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26.xml" ContentType="application/vnd.openxmlformats-officedocument.wordprocessingml.header+xml"/>
  <Override PartName="/word/footer29.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28.xml" ContentType="application/vnd.openxmlformats-officedocument.wordprocessingml.header+xml"/>
  <Override PartName="/word/footer31.xml" ContentType="application/vnd.openxmlformats-officedocument.wordprocessingml.footer+xml"/>
  <Override PartName="/word/header29.xml" ContentType="application/vnd.openxmlformats-officedocument.wordprocessingml.header+xml"/>
  <Override PartName="/word/footer32.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header34.xml" ContentType="application/vnd.openxmlformats-officedocument.wordprocessingml.header+xml"/>
  <Override PartName="/word/footer37.xml" ContentType="application/vnd.openxmlformats-officedocument.wordprocessingml.footer+xml"/>
  <Override PartName="/word/header35.xml" ContentType="application/vnd.openxmlformats-officedocument.wordprocessingml.header+xml"/>
  <Override PartName="/word/footer3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footer46.xml" ContentType="application/vnd.openxmlformats-officedocument.wordprocessingml.footer+xml"/>
  <Override PartName="/word/header44.xml" ContentType="application/vnd.openxmlformats-officedocument.wordprocessingml.header+xml"/>
  <Override PartName="/word/footer47.xml" ContentType="application/vnd.openxmlformats-officedocument.wordprocessingml.footer+xml"/>
  <Override PartName="/word/header45.xml" ContentType="application/vnd.openxmlformats-officedocument.wordprocessingml.header+xml"/>
  <Override PartName="/word/footer48.xml" ContentType="application/vnd.openxmlformats-officedocument.wordprocessingml.footer+xml"/>
  <Override PartName="/word/header46.xml" ContentType="application/vnd.openxmlformats-officedocument.wordprocessingml.header+xml"/>
  <Override PartName="/word/footer49.xml" ContentType="application/vnd.openxmlformats-officedocument.wordprocessingml.footer+xml"/>
  <Override PartName="/word/header47.xml" ContentType="application/vnd.openxmlformats-officedocument.wordprocessingml.header+xml"/>
  <Override PartName="/word/footer50.xml" ContentType="application/vnd.openxmlformats-officedocument.wordprocessingml.footer+xml"/>
  <Override PartName="/word/header48.xml" ContentType="application/vnd.openxmlformats-officedocument.wordprocessingml.header+xml"/>
  <Override PartName="/word/footer51.xml" ContentType="application/vnd.openxmlformats-officedocument.wordprocessingml.footer+xml"/>
  <Override PartName="/word/header49.xml" ContentType="application/vnd.openxmlformats-officedocument.wordprocessingml.header+xml"/>
  <Override PartName="/word/footer52.xml" ContentType="application/vnd.openxmlformats-officedocument.wordprocessingml.footer+xml"/>
  <Override PartName="/word/header50.xml" ContentType="application/vnd.openxmlformats-officedocument.wordprocessingml.header+xml"/>
  <Override PartName="/word/footer53.xml" ContentType="application/vnd.openxmlformats-officedocument.wordprocessingml.footer+xml"/>
  <Override PartName="/word/header51.xml" ContentType="application/vnd.openxmlformats-officedocument.wordprocessingml.header+xml"/>
  <Override PartName="/word/footer54.xml" ContentType="application/vnd.openxmlformats-officedocument.wordprocessingml.footer+xml"/>
  <Override PartName="/word/header52.xml" ContentType="application/vnd.openxmlformats-officedocument.wordprocessingml.header+xml"/>
  <Override PartName="/word/footer55.xml" ContentType="application/vnd.openxmlformats-officedocument.wordprocessingml.footer+xml"/>
  <Override PartName="/word/header5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6.xml" ContentType="application/vnd.openxmlformats-officedocument.wordprocessingml.header+xml"/>
  <Override PartName="/word/footer60.xml" ContentType="application/vnd.openxmlformats-officedocument.wordprocessingml.footer+xml"/>
  <Override PartName="/word/header57.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58.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59.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0.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61.xml" ContentType="application/vnd.openxmlformats-officedocument.wordprocessingml.header+xml"/>
  <Override PartName="/word/footer7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3376" w:lineRule="exact"/>
        <w:ind w:left="242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drawing>
          <wp:inline distT="0" distB="0" distL="0" distR="0">
            <wp:extent cx="3225598" cy="214426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225598" cy="2144268"/>
                    </a:xfrm>
                    <a:prstGeom prst="rect">
                      <a:avLst/>
                    </a:prstGeom>
                  </pic:spPr>
                </pic:pic>
              </a:graphicData>
            </a:graphic>
          </wp:inline>
        </w:drawing>
      </w:r>
      <w:r>
        <w:rPr>
          <w:rFonts w:ascii="Times New Roman" w:hAnsi="Times New Roman" w:cs="Times New Roman" w:eastAsia="Times New Roman" w:hint="default"/>
          <w:position w:val="-6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spacing w:line="986" w:lineRule="exact"/>
        <w:ind w:left="7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5402706" cy="62636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5402706" cy="626363"/>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
        <w:ind w:left="0" w:right="984" w:firstLine="0"/>
        <w:jc w:val="center"/>
        <w:rPr>
          <w:rFonts w:ascii="Microsoft JhengHei" w:hAnsi="Microsoft JhengHei" w:cs="Microsoft JhengHei" w:eastAsia="Microsoft JhengHei"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1"/>
          <w:sz w:val="44"/>
          <w:szCs w:val="44"/>
        </w:rPr>
        <w:t> </w:t>
      </w:r>
      <w:r>
        <w:rPr>
          <w:rFonts w:ascii="Microsoft JhengHei" w:hAnsi="Microsoft JhengHei" w:cs="Microsoft JhengHei" w:eastAsia="Microsoft JhengHei" w:hint="default"/>
          <w:b/>
          <w:bCs/>
          <w:sz w:val="44"/>
          <w:szCs w:val="44"/>
        </w:rPr>
        <w:t>年度报告</w:t>
      </w:r>
      <w:r>
        <w:rPr>
          <w:rFonts w:ascii="Microsoft JhengHei" w:hAnsi="Microsoft JhengHei" w:cs="Microsoft JhengHei" w:eastAsia="Microsoft JhengHei" w:hint="default"/>
          <w:sz w:val="44"/>
          <w:szCs w:val="44"/>
        </w:rPr>
      </w:r>
    </w:p>
    <w:p>
      <w:pPr>
        <w:spacing w:line="240" w:lineRule="auto" w:before="14"/>
        <w:rPr>
          <w:rFonts w:ascii="Microsoft JhengHei" w:hAnsi="Microsoft JhengHei" w:cs="Microsoft JhengHei" w:eastAsia="Microsoft JhengHei" w:hint="default"/>
          <w:b/>
          <w:bCs/>
          <w:sz w:val="24"/>
          <w:szCs w:val="24"/>
        </w:rPr>
      </w:pPr>
    </w:p>
    <w:p>
      <w:pPr>
        <w:pStyle w:val="Heading2"/>
        <w:spacing w:line="240" w:lineRule="auto"/>
        <w:ind w:right="980"/>
        <w:jc w:val="center"/>
        <w:rPr>
          <w:b w:val="0"/>
          <w:bCs w:val="0"/>
        </w:rPr>
      </w:pPr>
      <w:r>
        <w:rPr/>
        <w:t>（公告编号：</w:t>
      </w:r>
      <w:r>
        <w:rPr>
          <w:rFonts w:ascii="Times New Roman" w:hAnsi="Times New Roman" w:cs="Times New Roman" w:eastAsia="Times New Roman" w:hint="default"/>
        </w:rPr>
        <w:t>2019-030</w:t>
      </w:r>
      <w:r>
        <w:rPr/>
        <w:t>）</w:t>
      </w:r>
      <w:r>
        <w:rPr>
          <w:b w:val="0"/>
          <w:bCs w:val="0"/>
        </w:rPr>
      </w:r>
    </w:p>
    <w:p>
      <w:pPr>
        <w:spacing w:after="0" w:line="240" w:lineRule="auto"/>
        <w:jc w:val="center"/>
        <w:sectPr>
          <w:headerReference w:type="default" r:id="rId5"/>
          <w:footerReference w:type="default" r:id="rId6"/>
          <w:type w:val="continuous"/>
          <w:pgSz w:w="11910" w:h="16840"/>
          <w:pgMar w:header="877" w:footer="1265" w:top="1100" w:bottom="1460" w:left="980" w:right="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2802"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8"/>
        <w:rPr>
          <w:rFonts w:ascii="Microsoft JhengHei" w:hAnsi="Microsoft JhengHei" w:cs="Microsoft JhengHei" w:eastAsia="Microsoft JhengHei" w:hint="default"/>
          <w:b/>
          <w:bCs/>
          <w:sz w:val="34"/>
          <w:szCs w:val="34"/>
        </w:rPr>
      </w:pPr>
    </w:p>
    <w:p>
      <w:pPr>
        <w:pStyle w:val="Heading3"/>
        <w:spacing w:line="408" w:lineRule="auto"/>
        <w:ind w:left="152" w:right="1133" w:firstLine="559"/>
        <w:jc w:val="both"/>
      </w:pPr>
      <w:r>
        <w:rPr>
          <w:spacing w:val="2"/>
        </w:rPr>
        <w:t>本公司董事会、监事会及董事、监事、高级管理人员保证年度报告内容的</w:t>
      </w:r>
      <w:r>
        <w:rPr>
          <w:w w:val="100"/>
        </w:rPr>
        <w:t> </w:t>
      </w:r>
      <w:r>
        <w:rPr>
          <w:spacing w:val="2"/>
        </w:rPr>
        <w:t>真实、准确、完整，不存在虚假记载、误导性陈述或重大遗漏，并对其内容的</w:t>
      </w:r>
      <w:r>
        <w:rPr>
          <w:spacing w:val="-106"/>
        </w:rPr>
        <w:t> </w:t>
      </w:r>
      <w:r>
        <w:rPr>
          <w:spacing w:val="-106"/>
        </w:rPr>
      </w:r>
      <w:r>
        <w:rPr/>
        <w:t>真实性、准确性和完整性承担个别和连带的法律责任。</w:t>
      </w:r>
    </w:p>
    <w:p>
      <w:pPr>
        <w:pStyle w:val="Heading3"/>
        <w:spacing w:line="408" w:lineRule="auto" w:before="160"/>
        <w:ind w:left="152" w:right="0" w:firstLine="559"/>
        <w:jc w:val="left"/>
      </w:pPr>
      <w:r>
        <w:rPr>
          <w:spacing w:val="-2"/>
        </w:rPr>
        <w:t>公司法定代表人何建锋先生、总裁黄明先生、财务总监张磊先生、会计机</w:t>
      </w:r>
      <w:r>
        <w:rPr>
          <w:w w:val="100"/>
        </w:rPr>
        <w:t> </w:t>
      </w:r>
      <w:r>
        <w:rPr/>
        <w:t>构负责人向自力先生声明：保证年度报告中财务报告的真实、准确、完整。</w:t>
      </w:r>
    </w:p>
    <w:p>
      <w:pPr>
        <w:pStyle w:val="Heading3"/>
        <w:spacing w:line="408" w:lineRule="auto" w:before="162"/>
        <w:ind w:left="152" w:right="1124" w:firstLine="559"/>
        <w:jc w:val="both"/>
      </w:pPr>
      <w:r>
        <w:rPr>
          <w:spacing w:val="2"/>
        </w:rPr>
        <w:t>审议本报告的董事会会议为公司第八届董事会第二十三次会议。董事、总</w:t>
      </w:r>
      <w:r>
        <w:rPr>
          <w:spacing w:val="4"/>
          <w:w w:val="100"/>
        </w:rPr>
        <w:t> </w:t>
      </w:r>
      <w:r>
        <w:rPr>
          <w:spacing w:val="2"/>
        </w:rPr>
        <w:t>裁黄明先生因公未出席本次会议，委托董事长何建锋先生代为出席并表决；独</w:t>
      </w:r>
      <w:r>
        <w:rPr>
          <w:spacing w:val="-106"/>
        </w:rPr>
        <w:t> </w:t>
      </w:r>
      <w:r>
        <w:rPr>
          <w:spacing w:val="-106"/>
        </w:rPr>
      </w:r>
      <w:r>
        <w:rPr>
          <w:spacing w:val="2"/>
        </w:rPr>
        <w:t>立董事宁钟先生因公未出席本次会议，委托独立董事刘鲁鱼先生代为出席并表</w:t>
      </w:r>
      <w:r>
        <w:rPr>
          <w:spacing w:val="-105"/>
        </w:rPr>
        <w:t> </w:t>
      </w:r>
      <w:r>
        <w:rPr>
          <w:spacing w:val="-105"/>
        </w:rPr>
      </w:r>
      <w:r>
        <w:rPr>
          <w:spacing w:val="2"/>
        </w:rPr>
        <w:t>决；独立董事张志勇先生因公未出席本次会议，委托独立董事梅月欣女士代为</w:t>
      </w:r>
      <w:r>
        <w:rPr>
          <w:spacing w:val="-102"/>
        </w:rPr>
        <w:t> </w:t>
      </w:r>
      <w:r>
        <w:rPr>
          <w:spacing w:val="-102"/>
        </w:rPr>
      </w:r>
      <w:r>
        <w:rPr>
          <w:spacing w:val="2"/>
        </w:rPr>
        <w:t>出席并表决；董事陈穗生先生因公未出席本次会议，委托独立董事王丽娜女士</w:t>
      </w:r>
      <w:r>
        <w:rPr>
          <w:spacing w:val="-106"/>
        </w:rPr>
        <w:t> </w:t>
      </w:r>
      <w:r>
        <w:rPr>
          <w:spacing w:val="-106"/>
        </w:rPr>
      </w:r>
      <w:r>
        <w:rPr/>
        <w:t>代为出席并表决。其余董事均出席了本次会议。</w:t>
      </w:r>
    </w:p>
    <w:p>
      <w:pPr>
        <w:pStyle w:val="Heading3"/>
        <w:spacing w:line="408" w:lineRule="auto" w:before="162"/>
        <w:ind w:left="152" w:right="1128" w:firstLine="559"/>
        <w:jc w:val="both"/>
      </w:pPr>
      <w:r>
        <w:rPr>
          <w:spacing w:val="2"/>
        </w:rPr>
        <w:t>公司经第八届董事会第二十三次会议审议通过的利润分配预案为：以公司</w:t>
      </w:r>
      <w:r>
        <w:rPr>
          <w:w w:val="100"/>
        </w:rPr>
        <w:t> </w:t>
      </w:r>
      <w:r>
        <w:rPr/>
        <w:t>截至本报告披露日的总股本</w:t>
      </w:r>
      <w:r>
        <w:rPr>
          <w:spacing w:val="-69"/>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5"/>
        </w:rPr>
        <w:t> </w:t>
      </w:r>
      <w:r>
        <w:rPr>
          <w:spacing w:val="-10"/>
        </w:rPr>
        <w:t>股为基数，向全体股东每</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w:t>
      </w:r>
    </w:p>
    <w:p>
      <w:pPr>
        <w:pStyle w:val="Heading3"/>
        <w:spacing w:line="240" w:lineRule="auto" w:before="19"/>
        <w:ind w:left="152" w:right="0" w:firstLine="0"/>
        <w:jc w:val="left"/>
      </w:pPr>
      <w:r>
        <w:rPr>
          <w:w w:val="100"/>
        </w:rPr>
        <w:t>金红利</w:t>
      </w:r>
      <w:r>
        <w:rPr>
          <w:spacing w:val="-46"/>
        </w:rPr>
        <w:t> </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24"/>
        </w:rPr>
        <w:t> </w:t>
      </w:r>
      <w:r>
        <w:rPr>
          <w:w w:val="100"/>
        </w:rPr>
        <w:t>元</w:t>
      </w:r>
      <w:r>
        <w:rPr>
          <w:spacing w:val="-3"/>
          <w:w w:val="100"/>
        </w:rPr>
        <w:t>（含</w:t>
      </w:r>
      <w:r>
        <w:rPr>
          <w:w w:val="100"/>
        </w:rPr>
        <w:t>税</w:t>
      </w:r>
      <w:r>
        <w:rPr>
          <w:spacing w:val="-140"/>
          <w:w w:val="100"/>
        </w:rPr>
        <w:t>）</w:t>
      </w:r>
      <w:r>
        <w:rPr>
          <w:spacing w:val="-3"/>
          <w:w w:val="100"/>
        </w:rPr>
        <w:t>，</w:t>
      </w:r>
      <w:r>
        <w:rPr>
          <w:w w:val="100"/>
        </w:rPr>
        <w:t>本年</w:t>
      </w:r>
      <w:r>
        <w:rPr>
          <w:spacing w:val="-3"/>
          <w:w w:val="100"/>
        </w:rPr>
        <w:t>度</w:t>
      </w:r>
      <w:r>
        <w:rPr>
          <w:w w:val="100"/>
        </w:rPr>
        <w:t>暂不</w:t>
      </w:r>
      <w:r>
        <w:rPr>
          <w:spacing w:val="-3"/>
          <w:w w:val="100"/>
        </w:rPr>
        <w:t>以</w:t>
      </w:r>
      <w:r>
        <w:rPr>
          <w:w w:val="100"/>
        </w:rPr>
        <w:t>公积金</w:t>
      </w:r>
      <w:r>
        <w:rPr>
          <w:spacing w:val="-3"/>
          <w:w w:val="100"/>
        </w:rPr>
        <w:t>转</w:t>
      </w:r>
      <w:r>
        <w:rPr>
          <w:w w:val="100"/>
        </w:rPr>
        <w:t>增股</w:t>
      </w:r>
      <w:r>
        <w:rPr>
          <w:spacing w:val="-3"/>
          <w:w w:val="100"/>
        </w:rPr>
        <w:t>本。</w:t>
      </w:r>
      <w:r>
        <w:rPr>
          <w:w w:val="100"/>
        </w:rPr>
        <w:t>本利润</w:t>
      </w:r>
      <w:r>
        <w:rPr>
          <w:spacing w:val="-3"/>
          <w:w w:val="100"/>
        </w:rPr>
        <w:t>分</w:t>
      </w:r>
      <w:r>
        <w:rPr>
          <w:w w:val="100"/>
        </w:rPr>
        <w:t>配预</w:t>
      </w:r>
      <w:r>
        <w:rPr>
          <w:spacing w:val="-3"/>
          <w:w w:val="100"/>
        </w:rPr>
        <w:t>案尚</w:t>
      </w:r>
      <w:r>
        <w:rPr>
          <w:w w:val="100"/>
        </w:rPr>
        <w:t>须提</w:t>
      </w:r>
    </w:p>
    <w:p>
      <w:pPr>
        <w:pStyle w:val="Heading3"/>
        <w:spacing w:line="446" w:lineRule="auto" w:before="236"/>
        <w:ind w:left="712" w:right="0" w:hanging="560"/>
        <w:jc w:val="left"/>
      </w:pPr>
      <w:r>
        <w:rPr/>
        <w:t>交公司</w:t>
      </w:r>
      <w:r>
        <w:rPr>
          <w:spacing w:val="-7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年度股东大会审议通过后实施。</w:t>
      </w:r>
      <w:r>
        <w:rPr>
          <w:w w:val="100"/>
        </w:rPr>
        <w:t> </w:t>
      </w:r>
      <w:r>
        <w:rPr>
          <w:spacing w:val="2"/>
        </w:rPr>
        <w:t>公司农产品批发市场业务面临的机遇和挑战以及农产品批发市场行业和政</w:t>
      </w:r>
    </w:p>
    <w:p>
      <w:pPr>
        <w:pStyle w:val="Heading3"/>
        <w:spacing w:line="240" w:lineRule="auto" w:before="17"/>
        <w:ind w:left="152" w:right="0" w:firstLine="0"/>
        <w:jc w:val="left"/>
      </w:pPr>
      <w:r>
        <w:rPr/>
        <w:t>策环境变化等内容详见本报告第四节</w:t>
      </w:r>
      <w:r>
        <w:rPr>
          <w:spacing w:val="-3"/>
        </w:rPr>
        <w:t> </w:t>
      </w:r>
      <w:r>
        <w:rPr/>
        <w:t>经营情况讨论与分析。</w:t>
      </w:r>
    </w:p>
    <w:p>
      <w:pPr>
        <w:spacing w:after="0" w:line="240" w:lineRule="auto"/>
        <w:jc w:val="left"/>
        <w:sectPr>
          <w:pgSz w:w="11910" w:h="16840"/>
          <w:pgMar w:header="877" w:footer="1265"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61" w:val="left" w:leader="none"/>
        </w:tabs>
        <w:spacing w:line="240" w:lineRule="auto" w:before="56"/>
        <w:ind w:right="980"/>
        <w:jc w:val="center"/>
        <w:rPr>
          <w:b w:val="0"/>
          <w:bCs w:val="0"/>
        </w:rPr>
      </w:pPr>
      <w:r>
        <w:rPr/>
        <w:t>目</w:t>
        <w:tab/>
        <w:t>录</w:t>
      </w:r>
      <w:r>
        <w:rPr>
          <w:b w:val="0"/>
          <w:bCs w:val="0"/>
        </w:rPr>
      </w:r>
    </w:p>
    <w:sdt>
      <w:sdtPr>
        <w:docPartObj>
          <w:docPartGallery w:val="Table of Contents"/>
          <w:docPartUnique/>
        </w:docPartObj>
      </w:sdtPr>
      <w:sdtEndPr/>
      <w:sdtContent>
        <w:p>
          <w:pPr>
            <w:pStyle w:val="TOC1"/>
            <w:tabs>
              <w:tab w:pos="9789" w:val="right" w:leader="dot"/>
            </w:tabs>
            <w:spacing w:line="240" w:lineRule="auto" w:before="688"/>
            <w:ind w:right="0"/>
            <w:jc w:val="left"/>
            <w:rPr>
              <w:rFonts w:ascii="Calibri" w:hAnsi="Calibri" w:cs="Calibri" w:eastAsia="Calibri" w:hint="default"/>
              <w:b w:val="0"/>
              <w:bCs w:val="0"/>
            </w:rPr>
          </w:pPr>
          <w:hyperlink w:history="true" w:anchor="_bookmark0">
            <w:r>
              <w:rPr/>
              <w:t>第一节 </w:t>
            </w:r>
            <w:r>
              <w:rPr>
                <w:spacing w:val="2"/>
              </w:rPr>
              <w:t> </w:t>
            </w:r>
            <w:r>
              <w:rPr/>
              <w:t>重要提示、目录和释义</w:t>
            </w:r>
            <w:r>
              <w:rPr>
                <w:rFonts w:ascii="Calibri" w:hAnsi="Calibri" w:cs="Calibri" w:eastAsia="Calibri" w:hint="default"/>
              </w:rPr>
              <w:tab/>
              <w:t>2</w:t>
            </w:r>
            <w:r>
              <w:rPr>
                <w:rFonts w:ascii="Calibri" w:hAnsi="Calibri" w:cs="Calibri" w:eastAsia="Calibri" w:hint="default"/>
                <w:b w:val="0"/>
                <w:bCs w:val="0"/>
              </w:rPr>
            </w:r>
          </w:hyperlink>
        </w:p>
        <w:p>
          <w:pPr>
            <w:pStyle w:val="TOC1"/>
            <w:tabs>
              <w:tab w:pos="9789" w:val="right" w:leader="dot"/>
            </w:tabs>
            <w:spacing w:line="240" w:lineRule="auto" w:before="253"/>
            <w:ind w:right="0"/>
            <w:jc w:val="left"/>
            <w:rPr>
              <w:rFonts w:ascii="Calibri" w:hAnsi="Calibri" w:cs="Calibri" w:eastAsia="Calibri" w:hint="default"/>
              <w:b w:val="0"/>
              <w:bCs w:val="0"/>
            </w:rPr>
          </w:pPr>
          <w:hyperlink w:history="true" w:anchor="_bookmark1">
            <w:r>
              <w:rPr/>
              <w:t>第二节 </w:t>
            </w:r>
            <w:r>
              <w:rPr>
                <w:spacing w:val="2"/>
              </w:rPr>
              <w:t> </w:t>
            </w:r>
            <w:r>
              <w:rPr/>
              <w:t>公司简介和主要财务指标</w:t>
            </w:r>
            <w:r>
              <w:rPr>
                <w:rFonts w:ascii="Calibri" w:hAnsi="Calibri" w:cs="Calibri" w:eastAsia="Calibri" w:hint="default"/>
              </w:rPr>
              <w:tab/>
              <w:t>4</w:t>
            </w:r>
            <w:r>
              <w:rPr>
                <w:rFonts w:ascii="Calibri" w:hAnsi="Calibri" w:cs="Calibri" w:eastAsia="Calibri" w:hint="default"/>
                <w:b w:val="0"/>
                <w:bCs w:val="0"/>
              </w:rPr>
            </w:r>
          </w:hyperlink>
        </w:p>
        <w:p>
          <w:pPr>
            <w:pStyle w:val="TOC1"/>
            <w:tabs>
              <w:tab w:pos="9788" w:val="right" w:leader="dot"/>
            </w:tabs>
            <w:spacing w:line="240" w:lineRule="auto"/>
            <w:ind w:right="0"/>
            <w:jc w:val="left"/>
            <w:rPr>
              <w:rFonts w:ascii="Calibri" w:hAnsi="Calibri" w:cs="Calibri" w:eastAsia="Calibri" w:hint="default"/>
              <w:b w:val="0"/>
              <w:bCs w:val="0"/>
            </w:rPr>
          </w:pPr>
          <w:hyperlink w:history="true" w:anchor="_bookmark2">
            <w:r>
              <w:rPr/>
              <w:t>第三节 </w:t>
            </w:r>
            <w:r>
              <w:rPr>
                <w:spacing w:val="2"/>
              </w:rPr>
              <w:t> </w:t>
            </w:r>
            <w:r>
              <w:rPr/>
              <w:t>公司业务概要</w:t>
            </w:r>
            <w:r>
              <w:rPr>
                <w:rFonts w:ascii="Calibri" w:hAnsi="Calibri" w:cs="Calibri" w:eastAsia="Calibri" w:hint="default"/>
              </w:rPr>
              <w:tab/>
              <w:t>13</w:t>
            </w:r>
            <w:r>
              <w:rPr>
                <w:rFonts w:ascii="Calibri" w:hAnsi="Calibri" w:cs="Calibri" w:eastAsia="Calibri" w:hint="default"/>
                <w:b w:val="0"/>
                <w:bCs w:val="0"/>
              </w:rPr>
            </w:r>
          </w:hyperlink>
        </w:p>
        <w:p>
          <w:pPr>
            <w:pStyle w:val="TOC1"/>
            <w:tabs>
              <w:tab w:pos="9788" w:val="right" w:leader="dot"/>
            </w:tabs>
            <w:spacing w:line="240" w:lineRule="auto"/>
            <w:ind w:right="0"/>
            <w:jc w:val="left"/>
            <w:rPr>
              <w:rFonts w:ascii="Calibri" w:hAnsi="Calibri" w:cs="Calibri" w:eastAsia="Calibri" w:hint="default"/>
              <w:b w:val="0"/>
              <w:bCs w:val="0"/>
            </w:rPr>
          </w:pPr>
          <w:hyperlink w:history="true" w:anchor="_bookmark3">
            <w:r>
              <w:rPr/>
              <w:t>第四节 </w:t>
            </w:r>
            <w:r>
              <w:rPr>
                <w:spacing w:val="2"/>
              </w:rPr>
              <w:t> </w:t>
            </w:r>
            <w:r>
              <w:rPr/>
              <w:t>经营情况讨论与分析</w:t>
            </w:r>
            <w:r>
              <w:rPr>
                <w:rFonts w:ascii="Calibri" w:hAnsi="Calibri" w:cs="Calibri" w:eastAsia="Calibri" w:hint="default"/>
              </w:rPr>
              <w:tab/>
              <w:t>14</w:t>
            </w:r>
            <w:r>
              <w:rPr>
                <w:rFonts w:ascii="Calibri" w:hAnsi="Calibri" w:cs="Calibri" w:eastAsia="Calibri" w:hint="default"/>
                <w:b w:val="0"/>
                <w:bCs w:val="0"/>
              </w:rPr>
            </w:r>
          </w:hyperlink>
        </w:p>
        <w:p>
          <w:pPr>
            <w:pStyle w:val="TOC1"/>
            <w:tabs>
              <w:tab w:pos="9788" w:val="right" w:leader="dot"/>
            </w:tabs>
            <w:spacing w:line="240" w:lineRule="auto"/>
            <w:ind w:right="0"/>
            <w:jc w:val="left"/>
            <w:rPr>
              <w:rFonts w:ascii="Calibri" w:hAnsi="Calibri" w:cs="Calibri" w:eastAsia="Calibri" w:hint="default"/>
              <w:b w:val="0"/>
              <w:bCs w:val="0"/>
            </w:rPr>
          </w:pPr>
          <w:hyperlink w:history="true" w:anchor="_bookmark4">
            <w:r>
              <w:rPr/>
              <w:t>第五节 </w:t>
            </w:r>
            <w:r>
              <w:rPr>
                <w:spacing w:val="2"/>
              </w:rPr>
              <w:t> </w:t>
            </w:r>
            <w:r>
              <w:rPr/>
              <w:t>重要事项</w:t>
            </w:r>
            <w:r>
              <w:rPr>
                <w:rFonts w:ascii="Calibri" w:hAnsi="Calibri" w:cs="Calibri" w:eastAsia="Calibri" w:hint="default"/>
              </w:rPr>
              <w:tab/>
              <w:t>43</w:t>
            </w:r>
            <w:r>
              <w:rPr>
                <w:rFonts w:ascii="Calibri" w:hAnsi="Calibri" w:cs="Calibri" w:eastAsia="Calibri" w:hint="default"/>
                <w:b w:val="0"/>
                <w:bCs w:val="0"/>
              </w:rPr>
            </w:r>
          </w:hyperlink>
        </w:p>
        <w:p>
          <w:pPr>
            <w:pStyle w:val="TOC1"/>
            <w:tabs>
              <w:tab w:pos="9778" w:val="right" w:leader="dot"/>
            </w:tabs>
            <w:spacing w:line="240" w:lineRule="auto"/>
            <w:ind w:right="0"/>
            <w:jc w:val="left"/>
            <w:rPr>
              <w:rFonts w:ascii="Calibri" w:hAnsi="Calibri" w:cs="Calibri" w:eastAsia="Calibri" w:hint="default"/>
              <w:b w:val="0"/>
              <w:bCs w:val="0"/>
            </w:rPr>
          </w:pPr>
          <w:hyperlink w:history="true" w:anchor="_bookmark5">
            <w:r>
              <w:rPr/>
              <w:t>第六节 </w:t>
            </w:r>
            <w:r>
              <w:rPr>
                <w:spacing w:val="2"/>
              </w:rPr>
              <w:t> </w:t>
            </w:r>
            <w:r>
              <w:rPr/>
              <w:t>股份变动及股东情况</w:t>
            </w:r>
            <w:r>
              <w:rPr>
                <w:rFonts w:ascii="Calibri" w:hAnsi="Calibri" w:cs="Calibri" w:eastAsia="Calibri" w:hint="default"/>
              </w:rPr>
              <w:tab/>
            </w:r>
            <w:r>
              <w:rPr>
                <w:rFonts w:ascii="Calibri" w:hAnsi="Calibri" w:cs="Calibri" w:eastAsia="Calibri" w:hint="default"/>
                <w:spacing w:val="-8"/>
              </w:rPr>
              <w:t>47</w:t>
            </w:r>
            <w:r>
              <w:rPr>
                <w:rFonts w:ascii="Calibri" w:hAnsi="Calibri" w:cs="Calibri" w:eastAsia="Calibri" w:hint="default"/>
                <w:b w:val="0"/>
                <w:bCs w:val="0"/>
              </w:rPr>
            </w:r>
          </w:hyperlink>
        </w:p>
        <w:p>
          <w:pPr>
            <w:pStyle w:val="TOC1"/>
            <w:tabs>
              <w:tab w:pos="9785" w:val="right" w:leader="dot"/>
            </w:tabs>
            <w:spacing w:line="240" w:lineRule="auto" w:before="253"/>
            <w:ind w:right="0"/>
            <w:jc w:val="left"/>
            <w:rPr>
              <w:rFonts w:ascii="Calibri" w:hAnsi="Calibri" w:cs="Calibri" w:eastAsia="Calibri" w:hint="default"/>
              <w:b w:val="0"/>
              <w:bCs w:val="0"/>
            </w:rPr>
          </w:pPr>
          <w:hyperlink w:history="true" w:anchor="_bookmark6">
            <w:r>
              <w:rPr/>
              <w:t>第七节 </w:t>
            </w:r>
            <w:r>
              <w:rPr>
                <w:spacing w:val="2"/>
              </w:rPr>
              <w:t> </w:t>
            </w:r>
            <w:r>
              <w:rPr/>
              <w:t>优先股相关情况</w:t>
            </w:r>
            <w:r>
              <w:rPr>
                <w:rFonts w:ascii="Calibri" w:hAnsi="Calibri" w:cs="Calibri" w:eastAsia="Calibri" w:hint="default"/>
              </w:rPr>
              <w:tab/>
            </w:r>
            <w:r>
              <w:rPr>
                <w:rFonts w:ascii="Calibri" w:hAnsi="Calibri" w:cs="Calibri" w:eastAsia="Calibri" w:hint="default"/>
                <w:spacing w:val="-4"/>
              </w:rPr>
              <w:t>53</w:t>
            </w:r>
            <w:r>
              <w:rPr>
                <w:rFonts w:ascii="Calibri" w:hAnsi="Calibri" w:cs="Calibri" w:eastAsia="Calibri" w:hint="default"/>
                <w:b w:val="0"/>
                <w:bCs w:val="0"/>
              </w:rPr>
            </w:r>
          </w:hyperlink>
        </w:p>
        <w:p>
          <w:pPr>
            <w:pStyle w:val="TOC1"/>
            <w:tabs>
              <w:tab w:pos="9788" w:val="right" w:leader="dot"/>
            </w:tabs>
            <w:spacing w:line="240" w:lineRule="auto"/>
            <w:ind w:right="0"/>
            <w:jc w:val="left"/>
            <w:rPr>
              <w:rFonts w:ascii="Calibri" w:hAnsi="Calibri" w:cs="Calibri" w:eastAsia="Calibri" w:hint="default"/>
              <w:b w:val="0"/>
              <w:bCs w:val="0"/>
            </w:rPr>
          </w:pPr>
          <w:hyperlink w:history="true" w:anchor="_bookmark7">
            <w:r>
              <w:rPr/>
              <w:t>第八节 </w:t>
            </w:r>
            <w:r>
              <w:rPr>
                <w:spacing w:val="2"/>
              </w:rPr>
              <w:t> </w:t>
            </w:r>
            <w:r>
              <w:rPr/>
              <w:t>董事、监事、高级管理人员和员工情况</w:t>
            </w:r>
            <w:r>
              <w:rPr>
                <w:rFonts w:ascii="Calibri" w:hAnsi="Calibri" w:cs="Calibri" w:eastAsia="Calibri" w:hint="default"/>
              </w:rPr>
              <w:tab/>
              <w:t>54</w:t>
            </w:r>
            <w:r>
              <w:rPr>
                <w:rFonts w:ascii="Calibri" w:hAnsi="Calibri" w:cs="Calibri" w:eastAsia="Calibri" w:hint="default"/>
                <w:b w:val="0"/>
                <w:bCs w:val="0"/>
              </w:rPr>
            </w:r>
          </w:hyperlink>
        </w:p>
        <w:p>
          <w:pPr>
            <w:pStyle w:val="TOC1"/>
            <w:tabs>
              <w:tab w:pos="9788" w:val="right" w:leader="dot"/>
            </w:tabs>
            <w:spacing w:line="240" w:lineRule="auto"/>
            <w:ind w:right="0"/>
            <w:jc w:val="left"/>
            <w:rPr>
              <w:rFonts w:ascii="Calibri" w:hAnsi="Calibri" w:cs="Calibri" w:eastAsia="Calibri" w:hint="default"/>
              <w:b w:val="0"/>
              <w:bCs w:val="0"/>
            </w:rPr>
          </w:pPr>
          <w:hyperlink w:history="true" w:anchor="_bookmark8">
            <w:r>
              <w:rPr/>
              <w:t>第九节 </w:t>
            </w:r>
            <w:r>
              <w:rPr>
                <w:spacing w:val="2"/>
              </w:rPr>
              <w:t> </w:t>
            </w:r>
            <w:r>
              <w:rPr/>
              <w:t>公司治理</w:t>
            </w:r>
            <w:r>
              <w:rPr>
                <w:rFonts w:ascii="Calibri" w:hAnsi="Calibri" w:cs="Calibri" w:eastAsia="Calibri" w:hint="default"/>
              </w:rPr>
              <w:tab/>
              <w:t>65</w:t>
            </w:r>
            <w:r>
              <w:rPr>
                <w:rFonts w:ascii="Calibri" w:hAnsi="Calibri" w:cs="Calibri" w:eastAsia="Calibri" w:hint="default"/>
                <w:b w:val="0"/>
                <w:bCs w:val="0"/>
              </w:rPr>
            </w:r>
          </w:hyperlink>
        </w:p>
        <w:p>
          <w:pPr>
            <w:pStyle w:val="TOC1"/>
            <w:tabs>
              <w:tab w:pos="9783" w:val="right" w:leader="dot"/>
            </w:tabs>
            <w:spacing w:line="240" w:lineRule="auto"/>
            <w:ind w:right="0"/>
            <w:jc w:val="left"/>
            <w:rPr>
              <w:rFonts w:ascii="Calibri" w:hAnsi="Calibri" w:cs="Calibri" w:eastAsia="Calibri" w:hint="default"/>
              <w:b w:val="0"/>
              <w:bCs w:val="0"/>
            </w:rPr>
          </w:pPr>
          <w:hyperlink w:history="true" w:anchor="_bookmark9">
            <w:r>
              <w:rPr/>
              <w:t>第十节 </w:t>
            </w:r>
            <w:r>
              <w:rPr>
                <w:spacing w:val="2"/>
              </w:rPr>
              <w:t> </w:t>
            </w:r>
            <w:r>
              <w:rPr/>
              <w:t>公司债券相关情况</w:t>
            </w:r>
            <w:r>
              <w:rPr>
                <w:rFonts w:ascii="Calibri" w:hAnsi="Calibri" w:cs="Calibri" w:eastAsia="Calibri" w:hint="default"/>
              </w:rPr>
              <w:tab/>
            </w:r>
            <w:r>
              <w:rPr>
                <w:rFonts w:ascii="Calibri" w:hAnsi="Calibri" w:cs="Calibri" w:eastAsia="Calibri" w:hint="default"/>
                <w:spacing w:val="-6"/>
              </w:rPr>
              <w:t>76</w:t>
            </w:r>
            <w:r>
              <w:rPr>
                <w:rFonts w:ascii="Calibri" w:hAnsi="Calibri" w:cs="Calibri" w:eastAsia="Calibri" w:hint="default"/>
                <w:b w:val="0"/>
                <w:bCs w:val="0"/>
              </w:rPr>
            </w:r>
          </w:hyperlink>
        </w:p>
        <w:p>
          <w:pPr>
            <w:pStyle w:val="TOC1"/>
            <w:tabs>
              <w:tab w:pos="9790" w:val="right" w:leader="dot"/>
            </w:tabs>
            <w:spacing w:line="240" w:lineRule="auto" w:before="253"/>
            <w:ind w:right="0"/>
            <w:jc w:val="left"/>
            <w:rPr>
              <w:rFonts w:ascii="Calibri" w:hAnsi="Calibri" w:cs="Calibri" w:eastAsia="Calibri" w:hint="default"/>
              <w:b w:val="0"/>
              <w:bCs w:val="0"/>
            </w:rPr>
          </w:pPr>
          <w:hyperlink w:history="true" w:anchor="_bookmark10">
            <w:r>
              <w:rPr/>
              <w:t>第十一节</w:t>
            </w:r>
            <w:r>
              <w:rPr>
                <w:spacing w:val="69"/>
              </w:rPr>
              <w:t> </w:t>
            </w:r>
            <w:r>
              <w:rPr/>
              <w:t>备查文件目录</w:t>
            </w:r>
            <w:r>
              <w:rPr>
                <w:rFonts w:ascii="Calibri" w:hAnsi="Calibri" w:cs="Calibri" w:eastAsia="Calibri" w:hint="default"/>
              </w:rPr>
              <w:tab/>
              <w:t>77</w:t>
            </w:r>
            <w:r>
              <w:rPr>
                <w:rFonts w:ascii="Calibri" w:hAnsi="Calibri" w:cs="Calibri" w:eastAsia="Calibri" w:hint="default"/>
                <w:b w:val="0"/>
                <w:bCs w:val="0"/>
              </w:rPr>
            </w:r>
          </w:hyperlink>
        </w:p>
        <w:p>
          <w:pPr>
            <w:pStyle w:val="TOC1"/>
            <w:tabs>
              <w:tab w:pos="9781" w:val="right" w:leader="dot"/>
            </w:tabs>
            <w:spacing w:line="240" w:lineRule="auto"/>
            <w:ind w:right="0"/>
            <w:jc w:val="left"/>
            <w:rPr>
              <w:rFonts w:ascii="Calibri" w:hAnsi="Calibri" w:cs="Calibri" w:eastAsia="Calibri" w:hint="default"/>
              <w:b w:val="0"/>
              <w:bCs w:val="0"/>
            </w:rPr>
          </w:pPr>
          <w:hyperlink w:history="true" w:anchor="_bookmark11">
            <w:r>
              <w:rPr/>
              <w:t>第十二节</w:t>
            </w:r>
            <w:r>
              <w:rPr>
                <w:spacing w:val="69"/>
              </w:rPr>
              <w:t> </w:t>
            </w:r>
            <w:r>
              <w:rPr/>
              <w:t>财务报告</w:t>
            </w:r>
            <w:r>
              <w:rPr>
                <w:rFonts w:ascii="Calibri" w:hAnsi="Calibri" w:cs="Calibri" w:eastAsia="Calibri" w:hint="default"/>
              </w:rPr>
              <w:tab/>
            </w:r>
            <w:r>
              <w:rPr>
                <w:rFonts w:ascii="Calibri" w:hAnsi="Calibri" w:cs="Calibri" w:eastAsia="Calibri" w:hint="default"/>
                <w:spacing w:val="-6"/>
              </w:rPr>
              <w:t>78</w:t>
            </w:r>
            <w:r>
              <w:rPr>
                <w:rFonts w:ascii="Calibri" w:hAnsi="Calibri" w:cs="Calibri" w:eastAsia="Calibri" w:hint="default"/>
                <w:b w:val="0"/>
                <w:bCs w:val="0"/>
              </w:rPr>
            </w:r>
          </w:hyperlink>
        </w:p>
      </w:sdtContent>
    </w:sdt>
    <w:p>
      <w:pPr>
        <w:spacing w:after="0" w:line="240" w:lineRule="auto"/>
        <w:jc w:val="left"/>
        <w:rPr>
          <w:rFonts w:ascii="Calibri" w:hAnsi="Calibri" w:cs="Calibri" w:eastAsia="Calibri" w:hint="default"/>
        </w:rPr>
        <w:sectPr>
          <w:pgSz w:w="11910" w:h="16840"/>
          <w:pgMar w:header="877" w:footer="1265" w:top="1100" w:bottom="1460" w:left="980" w:right="0"/>
        </w:sectPr>
      </w:pPr>
    </w:p>
    <w:p>
      <w:pPr>
        <w:pStyle w:val="Heading2"/>
        <w:spacing w:line="240" w:lineRule="auto" w:before="381"/>
        <w:ind w:right="978"/>
        <w:jc w:val="center"/>
        <w:rPr>
          <w:b w:val="0"/>
          <w:bCs w:val="0"/>
        </w:rPr>
      </w:pPr>
      <w:bookmarkStart w:name="_bookmark1" w:id="2"/>
      <w:bookmarkEnd w:id="2"/>
      <w:r>
        <w:rPr>
          <w:b w:val="0"/>
          <w:bCs w:val="0"/>
        </w:rPr>
      </w: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2559"/>
        <w:gridCol w:w="317"/>
        <w:gridCol w:w="6939"/>
      </w:tblGrid>
      <w:tr>
        <w:trPr>
          <w:trHeight w:val="408"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简称</w:t>
            </w:r>
            <w:r>
              <w:rPr>
                <w:rFonts w:ascii="Microsoft JhengHei" w:hAnsi="Microsoft JhengHei" w:cs="Microsoft JhengHei" w:eastAsia="Microsoft JhengHei" w:hint="default"/>
                <w:sz w:val="18"/>
                <w:szCs w:val="18"/>
              </w:rPr>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指</w:t>
            </w:r>
            <w:r>
              <w:rPr>
                <w:rFonts w:ascii="Microsoft JhengHei" w:hAnsi="Microsoft JhengHei" w:cs="Microsoft JhengHei" w:eastAsia="Microsoft JhengHei" w:hint="default"/>
                <w:sz w:val="18"/>
                <w:szCs w:val="18"/>
              </w:rPr>
            </w:r>
          </w:p>
        </w:tc>
        <w:tc>
          <w:tcPr>
            <w:tcW w:w="6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释义内容</w:t>
            </w:r>
            <w:r>
              <w:rPr>
                <w:rFonts w:ascii="Microsoft JhengHei" w:hAnsi="Microsoft JhengHei" w:cs="Microsoft JhengHei" w:eastAsia="Microsoft JhengHei" w:hint="default"/>
                <w:sz w:val="18"/>
                <w:szCs w:val="18"/>
              </w:rPr>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中国结算深圳分公司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深圳市人民政府国有资产监督管理委员会，系公司实际控制人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福德资本</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深圳市福德国有资本运营有限公司，系公司控股股东</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远致投资</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远致创投</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深圳市远致创业投资有限公司，系远致投资之全资子公司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亿鑫投资</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w:t>
            </w:r>
            <w:r>
              <w:rPr>
                <w:rFonts w:ascii="宋体" w:hAnsi="宋体" w:cs="宋体" w:eastAsia="宋体" w:hint="default"/>
                <w:sz w:val="18"/>
                <w:szCs w:val="18"/>
              </w:rPr>
              <w:t>/</w:t>
            </w:r>
            <w:r>
              <w:rPr>
                <w:rFonts w:ascii="宋体" w:hAnsi="宋体" w:cs="宋体" w:eastAsia="宋体" w:hint="default"/>
                <w:sz w:val="18"/>
                <w:szCs w:val="18"/>
              </w:rPr>
              <w:t>生命人寿</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集团</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深圳联交所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深圳联合产权交易所</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22"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注册会计师</w:t>
            </w:r>
            <w:r>
              <w:rPr>
                <w:rFonts w:ascii="宋体" w:hAnsi="宋体" w:cs="宋体" w:eastAsia="宋体" w:hint="default"/>
                <w:sz w:val="18"/>
                <w:szCs w:val="18"/>
              </w:rPr>
              <w:t>/</w:t>
            </w:r>
            <w:r>
              <w:rPr>
                <w:rFonts w:ascii="宋体" w:hAnsi="宋体" w:cs="宋体" w:eastAsia="宋体" w:hint="default"/>
                <w:sz w:val="18"/>
                <w:szCs w:val="18"/>
              </w:rPr>
              <w:t>年审注册会计师</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立信会计师事务所负责公司</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年度报告及内控审计工作的注册会计师祁涛、毛彦波</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24" w:right="19"/>
              <w:jc w:val="left"/>
              <w:rPr>
                <w:rFonts w:ascii="宋体" w:hAnsi="宋体" w:cs="宋体" w:eastAsia="宋体" w:hint="default"/>
                <w:sz w:val="18"/>
                <w:szCs w:val="18"/>
              </w:rPr>
            </w:pPr>
            <w:r>
              <w:rPr>
                <w:rFonts w:ascii="宋体" w:hAnsi="宋体" w:cs="宋体" w:eastAsia="宋体" w:hint="default"/>
                <w:spacing w:val="-2"/>
                <w:sz w:val="18"/>
                <w:szCs w:val="18"/>
              </w:rPr>
              <w:t>深圳海吉星公司、深圳海吉星物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流园</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24" w:right="63"/>
              <w:jc w:val="left"/>
              <w:rPr>
                <w:rFonts w:ascii="宋体" w:hAnsi="宋体" w:cs="宋体" w:eastAsia="宋体" w:hint="default"/>
                <w:sz w:val="18"/>
                <w:szCs w:val="18"/>
              </w:rPr>
            </w:pPr>
            <w:r>
              <w:rPr>
                <w:rFonts w:ascii="宋体" w:hAnsi="宋体" w:cs="宋体" w:eastAsia="宋体" w:hint="default"/>
                <w:sz w:val="18"/>
                <w:szCs w:val="18"/>
              </w:rPr>
              <w:t>公司全资子公司“深圳市海吉星国际农产品物流管理有限公司”及其所运营的农产品物 流园</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福田公司、福田市场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公司控股子公司“深圳市福田农产品批发市场有限公司”</w:t>
            </w:r>
            <w:r>
              <w:rPr>
                <w:rFonts w:ascii="宋体" w:hAnsi="宋体" w:cs="宋体" w:eastAsia="宋体" w:hint="default"/>
                <w:spacing w:val="1"/>
                <w:sz w:val="18"/>
                <w:szCs w:val="18"/>
              </w:rPr>
              <w:t> </w:t>
            </w:r>
            <w:r>
              <w:rPr>
                <w:rFonts w:ascii="宋体" w:hAnsi="宋体" w:cs="宋体" w:eastAsia="宋体" w:hint="default"/>
                <w:sz w:val="18"/>
                <w:szCs w:val="18"/>
              </w:rPr>
              <w:t>及其所运营农批市场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南山公司、南山市场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公司控股子公司“深圳市南山农产品批发配送有限公司”</w:t>
            </w:r>
            <w:r>
              <w:rPr>
                <w:rFonts w:ascii="宋体" w:hAnsi="宋体" w:cs="宋体" w:eastAsia="宋体" w:hint="default"/>
                <w:spacing w:val="1"/>
                <w:sz w:val="18"/>
                <w:szCs w:val="18"/>
              </w:rPr>
              <w:t> </w:t>
            </w:r>
            <w:r>
              <w:rPr>
                <w:rFonts w:ascii="宋体" w:hAnsi="宋体" w:cs="宋体" w:eastAsia="宋体" w:hint="default"/>
                <w:sz w:val="18"/>
                <w:szCs w:val="18"/>
              </w:rPr>
              <w:t>及其所运营农批市场</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布吉市场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公司旗下原“布吉农产品中心批发市场”</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布吉海鲜公司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公司控股子公司“深圳市布吉海鲜市场有限公司”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上海公司、上农批</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公司控股子公司“上海农产品中心批发市场经营管理有限公司”及其所运营农批市场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成都公司、成都市场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公司控股子公司“成都农产品中心批发市场有限责任公司”</w:t>
            </w:r>
            <w:r>
              <w:rPr>
                <w:rFonts w:ascii="宋体" w:hAnsi="宋体" w:cs="宋体" w:eastAsia="宋体" w:hint="default"/>
                <w:spacing w:val="1"/>
                <w:sz w:val="18"/>
                <w:szCs w:val="18"/>
              </w:rPr>
              <w:t> </w:t>
            </w:r>
            <w:r>
              <w:rPr>
                <w:rFonts w:ascii="宋体" w:hAnsi="宋体" w:cs="宋体" w:eastAsia="宋体" w:hint="default"/>
                <w:sz w:val="18"/>
                <w:szCs w:val="18"/>
              </w:rPr>
              <w:t>及其所运营农批市场</w:t>
            </w:r>
          </w:p>
        </w:tc>
      </w:tr>
      <w:tr>
        <w:trPr>
          <w:trHeight w:val="8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广西海吉星、广西海吉星物流园</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公司全资子公司“广西海吉星农产品国际物流有限公司”及其所运营的“广西海吉星农</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产品国际物流园”</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广西新柳邕公司、广西新柳邕</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公司控股子公司“广西新柳邕农产品批发市场有限公司”及其所运营农批市场</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长沙公司、长沙市场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公司控股子公司“长沙马王堆农产品股份有限公司”及其所运营老农批市场</w:t>
            </w:r>
          </w:p>
        </w:tc>
      </w:tr>
      <w:tr>
        <w:trPr>
          <w:trHeight w:val="8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长沙黄兴农产品物流园、长沙黄</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兴海吉星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公司控股子公司“长沙马王堆农产品股份有限公司”运营的新农产品物流园“长沙黄兴</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海吉星国际农产品物流园”</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武汉海吉星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公司参股公司“武汉城市圈海吉星农产品物流有限公司”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武汉联投公司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武汉联投置业有限公司</w:t>
            </w:r>
          </w:p>
        </w:tc>
      </w:tr>
    </w:tbl>
    <w:p>
      <w:pPr>
        <w:spacing w:after="0" w:line="240" w:lineRule="auto"/>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559"/>
        <w:gridCol w:w="317"/>
        <w:gridCol w:w="6939"/>
      </w:tblGrid>
      <w:tr>
        <w:trPr>
          <w:trHeight w:val="411"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简称</w:t>
            </w:r>
            <w:r>
              <w:rPr>
                <w:rFonts w:ascii="Microsoft JhengHei" w:hAnsi="Microsoft JhengHei" w:cs="Microsoft JhengHei" w:eastAsia="Microsoft JhengHei" w:hint="default"/>
                <w:sz w:val="18"/>
                <w:szCs w:val="18"/>
              </w:rPr>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指</w:t>
            </w:r>
            <w:r>
              <w:rPr>
                <w:rFonts w:ascii="Microsoft JhengHei" w:hAnsi="Microsoft JhengHei" w:cs="Microsoft JhengHei" w:eastAsia="Microsoft JhengHei" w:hint="default"/>
                <w:sz w:val="18"/>
                <w:szCs w:val="18"/>
              </w:rPr>
            </w:r>
          </w:p>
        </w:tc>
        <w:tc>
          <w:tcPr>
            <w:tcW w:w="6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释义内容</w:t>
            </w:r>
            <w:r>
              <w:rPr>
                <w:rFonts w:ascii="Microsoft JhengHei" w:hAnsi="Microsoft JhengHei" w:cs="Microsoft JhengHei" w:eastAsia="Microsoft JhengHei" w:hint="default"/>
                <w:sz w:val="18"/>
                <w:szCs w:val="18"/>
              </w:rPr>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深圳豪腾公司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深圳市豪腾投资有限公司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天津海吉星</w:t>
            </w:r>
            <w:r>
              <w:rPr>
                <w:rFonts w:ascii="宋体" w:hAnsi="宋体" w:cs="宋体" w:eastAsia="宋体" w:hint="default"/>
                <w:sz w:val="18"/>
                <w:szCs w:val="18"/>
              </w:rPr>
              <w:t>/</w:t>
            </w:r>
            <w:r>
              <w:rPr>
                <w:rFonts w:ascii="宋体" w:hAnsi="宋体" w:cs="宋体" w:eastAsia="宋体" w:hint="default"/>
                <w:sz w:val="18"/>
                <w:szCs w:val="18"/>
              </w:rPr>
              <w:t>天津翰吉斯物流园</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公司控股子公司“天津海吉星农产品物流有限公司”及其所运营的农产品物流园</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天津韩家墅公司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公司控股子公司“天津韩家墅海吉星农产品物流有限公司”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南昌公司、南昌市场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公司控股子公司“南昌深圳农产品中心批发市场有限公司”</w:t>
            </w:r>
            <w:r>
              <w:rPr>
                <w:rFonts w:ascii="宋体" w:hAnsi="宋体" w:cs="宋体" w:eastAsia="宋体" w:hint="default"/>
                <w:spacing w:val="1"/>
                <w:sz w:val="18"/>
                <w:szCs w:val="18"/>
              </w:rPr>
              <w:t> </w:t>
            </w:r>
            <w:r>
              <w:rPr>
                <w:rFonts w:ascii="宋体" w:hAnsi="宋体" w:cs="宋体" w:eastAsia="宋体" w:hint="default"/>
                <w:sz w:val="18"/>
                <w:szCs w:val="18"/>
              </w:rPr>
              <w:t>及其所运营农批市场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南昌冷链公司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公司控股子公司南昌公司之参股公司“南昌深农冷链物流有限公司”</w:t>
            </w:r>
          </w:p>
        </w:tc>
      </w:tr>
      <w:tr>
        <w:trPr>
          <w:trHeight w:val="41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九江公司、九江市场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公司控股子公司“九江市琵琶湖农产品物流有限公司”及其所运营农批市场</w:t>
            </w:r>
          </w:p>
        </w:tc>
      </w:tr>
      <w:tr>
        <w:trPr>
          <w:trHeight w:val="4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岳阳海吉星、岳阳公司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公司控股子公司“岳阳海吉星国际农产品物流发展有限公司”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惠州海吉星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公司控股子公司“惠州海吉星农产品国际物流有限公司”</w:t>
            </w:r>
          </w:p>
        </w:tc>
      </w:tr>
      <w:tr>
        <w:trPr>
          <w:trHeight w:val="43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安庆海吉星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公司控股子公司“安庆海吉星农产品物流园有限公司”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沈阳公司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公司控股子公司“沈阳海吉星农产品物流有限公司”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长春海吉星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公司控股子公司“长春市海吉星农产品国际物流园有限公司”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西安公司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公司控股子公司“西安摩尔农产品有限责任公司”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宁夏海吉星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公司控股子公司“宁夏海吉星国际农产品物流有限公司”</w:t>
            </w:r>
          </w:p>
        </w:tc>
      </w:tr>
      <w:tr>
        <w:trPr>
          <w:trHeight w:val="4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合肥周谷堆公司、合肥市场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公司参股公司“合肥周谷堆农产品批发市场股份有限公司”</w:t>
            </w:r>
            <w:r>
              <w:rPr>
                <w:rFonts w:ascii="宋体" w:hAnsi="宋体" w:cs="宋体" w:eastAsia="宋体" w:hint="default"/>
                <w:spacing w:val="1"/>
                <w:sz w:val="18"/>
                <w:szCs w:val="18"/>
              </w:rPr>
              <w:t> </w:t>
            </w:r>
            <w:r>
              <w:rPr>
                <w:rFonts w:ascii="宋体" w:hAnsi="宋体" w:cs="宋体" w:eastAsia="宋体" w:hint="default"/>
                <w:sz w:val="18"/>
                <w:szCs w:val="18"/>
              </w:rPr>
              <w:t>及其所运营农批市场</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蚌埠海吉星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公司参股公司“蚌埠海吉星农产品物流有限公司”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桂林海吉星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公司参股公司“桂林海吉星农产品集团有限公司”</w:t>
            </w:r>
          </w:p>
        </w:tc>
      </w:tr>
      <w:tr>
        <w:trPr>
          <w:trHeight w:val="73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凯吉星检测公司</w:t>
            </w:r>
            <w:r>
              <w:rPr>
                <w:rFonts w:ascii="宋体" w:hAnsi="宋体" w:cs="宋体" w:eastAsia="宋体" w:hint="default"/>
                <w:sz w:val="18"/>
                <w:szCs w:val="18"/>
              </w:rPr>
              <w:t>/F.Q.T</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4" w:right="20"/>
              <w:jc w:val="left"/>
              <w:rPr>
                <w:rFonts w:ascii="宋体" w:hAnsi="宋体" w:cs="宋体" w:eastAsia="宋体" w:hint="default"/>
                <w:sz w:val="18"/>
                <w:szCs w:val="18"/>
              </w:rPr>
            </w:pPr>
            <w:r>
              <w:rPr>
                <w:rFonts w:ascii="宋体" w:hAnsi="宋体" w:cs="宋体" w:eastAsia="宋体" w:hint="default"/>
                <w:sz w:val="18"/>
                <w:szCs w:val="18"/>
              </w:rPr>
              <w:t>公司参股公司“深圳凯吉星农产品检测科技中心有限公司”</w:t>
            </w:r>
            <w:r>
              <w:rPr>
                <w:rFonts w:ascii="宋体" w:hAnsi="宋体" w:cs="宋体" w:eastAsia="宋体" w:hint="default"/>
                <w:spacing w:val="-44"/>
                <w:sz w:val="18"/>
                <w:szCs w:val="18"/>
              </w:rPr>
              <w:t> </w:t>
            </w:r>
            <w:r>
              <w:rPr>
                <w:rFonts w:ascii="宋体" w:hAnsi="宋体" w:cs="宋体" w:eastAsia="宋体" w:hint="default"/>
                <w:sz w:val="18"/>
                <w:szCs w:val="18"/>
              </w:rPr>
              <w:t>其运营的第三方食品安全检</w:t>
            </w:r>
            <w:r>
              <w:rPr>
                <w:rFonts w:ascii="宋体" w:hAnsi="宋体" w:cs="宋体" w:eastAsia="宋体" w:hint="default"/>
                <w:sz w:val="18"/>
                <w:szCs w:val="18"/>
              </w:rPr>
              <w:t> 测中心</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大白菜科技公司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公司全资子公司“深圳市大白菜科技有限公司”</w:t>
            </w:r>
          </w:p>
        </w:tc>
      </w:tr>
      <w:tr>
        <w:trPr>
          <w:trHeight w:val="47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中农网</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公司参股公司“深圳市中农网有限公司”</w:t>
            </w:r>
          </w:p>
        </w:tc>
      </w:tr>
      <w:tr>
        <w:trPr>
          <w:trHeight w:val="4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中央大厨房</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公司参股公司“深圳市中央大厨房物流配送有限公司”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海吉星环保公司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公司三级参股公司“深圳市海吉星环保有限责任公司”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广西星联公司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公司参股公司“广西北投星联国际供应链管理有限公司”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深圳星联公司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公司全资子公司“深圳市星联国际供应链管理有限公司”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南方物流公司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公司控股子公司“深圳市南方农产品物流有限公司”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海吉星投资公司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公司全资子公司“深圳市海吉星投资管理股份有限公司”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果菜公司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公司全资子公司“深圳市果菜贸易有限公司”</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深港通公司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公司全资子公司果菜公司的全资子公司“深圳市深港通果菜运输有限公司”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云南天露公司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公司全资子公司果菜公司的参股公司“云南天露高原果蔬有限公司”</w:t>
            </w:r>
          </w:p>
        </w:tc>
      </w:tr>
      <w:tr>
        <w:trPr>
          <w:trHeight w:val="8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益民公司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公司全资子公司果菜公司之原参股公</w:t>
            </w:r>
            <w:r>
              <w:rPr>
                <w:rFonts w:ascii="宋体" w:hAnsi="宋体" w:cs="宋体" w:eastAsia="宋体" w:hint="default"/>
                <w:spacing w:val="-24"/>
                <w:sz w:val="18"/>
                <w:szCs w:val="18"/>
              </w:rPr>
              <w:t>司</w:t>
            </w:r>
            <w:r>
              <w:rPr>
                <w:rFonts w:ascii="宋体" w:hAnsi="宋体" w:cs="宋体" w:eastAsia="宋体" w:hint="default"/>
                <w:sz w:val="18"/>
                <w:szCs w:val="18"/>
              </w:rPr>
              <w:t>“深圳市益民食品联合有限公司</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已公开挂牌转</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让并于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日完成工商登记变更手续，果菜公司不再持有其股权</w:t>
            </w:r>
          </w:p>
        </w:tc>
      </w:tr>
    </w:tbl>
    <w:p>
      <w:pPr>
        <w:spacing w:after="0" w:line="240" w:lineRule="auto"/>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559"/>
        <w:gridCol w:w="317"/>
        <w:gridCol w:w="6939"/>
      </w:tblGrid>
      <w:tr>
        <w:trPr>
          <w:trHeight w:val="411"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简称</w:t>
            </w:r>
            <w:r>
              <w:rPr>
                <w:rFonts w:ascii="Microsoft JhengHei" w:hAnsi="Microsoft JhengHei" w:cs="Microsoft JhengHei" w:eastAsia="Microsoft JhengHei" w:hint="default"/>
                <w:sz w:val="18"/>
                <w:szCs w:val="18"/>
              </w:rPr>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指</w:t>
            </w:r>
            <w:r>
              <w:rPr>
                <w:rFonts w:ascii="Microsoft JhengHei" w:hAnsi="Microsoft JhengHei" w:cs="Microsoft JhengHei" w:eastAsia="Microsoft JhengHei" w:hint="default"/>
                <w:sz w:val="18"/>
                <w:szCs w:val="18"/>
              </w:rPr>
            </w:r>
          </w:p>
        </w:tc>
        <w:tc>
          <w:tcPr>
            <w:tcW w:w="6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释义内容</w:t>
            </w:r>
            <w:r>
              <w:rPr>
                <w:rFonts w:ascii="Microsoft JhengHei" w:hAnsi="Microsoft JhengHei" w:cs="Microsoft JhengHei" w:eastAsia="Microsoft JhengHei" w:hint="default"/>
                <w:sz w:val="18"/>
                <w:szCs w:val="18"/>
              </w:rPr>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盈信国富公司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深圳市盈信国富资产管理有限公司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公司控股子公司“深圳市农产品小额贷款有限公司”</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担保公司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公司参股公司“深圳市农产品融资担保有限公司”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前海农交所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公司全资子公司“深圳前海农产品交易所股份有限公司”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农迈天下公司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公司全资子公司前海农交所之控股公司“深圳前海农迈天下电子商务有限公司”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电商公司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公司全资子公司前海农交所之全资子公司“深圳市农产品电子商务有限公司”</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信祥公司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公司参股公司“深圳市信祥投资发展有限公司”</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深粮控股、深深宝</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27"/>
              <w:jc w:val="left"/>
              <w:rPr>
                <w:rFonts w:ascii="宋体" w:hAnsi="宋体" w:cs="宋体" w:eastAsia="宋体" w:hint="default"/>
                <w:sz w:val="18"/>
                <w:szCs w:val="18"/>
              </w:rPr>
            </w:pPr>
            <w:r>
              <w:rPr>
                <w:rFonts w:ascii="宋体" w:hAnsi="宋体" w:cs="宋体" w:eastAsia="宋体" w:hint="default"/>
                <w:sz w:val="18"/>
                <w:szCs w:val="18"/>
              </w:rPr>
              <w:t>公司参股上市公司“深圳市深粮控股股份有限公司</w:t>
            </w:r>
            <w:r>
              <w:rPr>
                <w:rFonts w:ascii="宋体" w:hAnsi="宋体" w:cs="宋体" w:eastAsia="宋体" w:hint="default"/>
                <w:spacing w:val="-92"/>
                <w:sz w:val="18"/>
                <w:szCs w:val="18"/>
              </w:rPr>
              <w:t>”</w:t>
            </w:r>
            <w:r>
              <w:rPr>
                <w:rFonts w:ascii="宋体" w:hAnsi="宋体" w:cs="宋体" w:eastAsia="宋体" w:hint="default"/>
                <w:sz w:val="18"/>
                <w:szCs w:val="18"/>
              </w:rPr>
              <w:t>（股票</w:t>
            </w:r>
            <w:r>
              <w:rPr>
                <w:rFonts w:ascii="宋体" w:hAnsi="宋体" w:cs="宋体" w:eastAsia="宋体" w:hint="default"/>
                <w:spacing w:val="2"/>
                <w:sz w:val="18"/>
                <w:szCs w:val="18"/>
              </w:rPr>
              <w:t>简</w:t>
            </w:r>
            <w:r>
              <w:rPr>
                <w:rFonts w:ascii="宋体" w:hAnsi="宋体" w:cs="宋体" w:eastAsia="宋体" w:hint="default"/>
                <w:spacing w:val="1"/>
                <w:sz w:val="18"/>
                <w:szCs w:val="18"/>
              </w:rPr>
              <w:t>称</w:t>
            </w:r>
            <w:r>
              <w:rPr>
                <w:rFonts w:ascii="宋体" w:hAnsi="宋体" w:cs="宋体" w:eastAsia="宋体" w:hint="default"/>
                <w:sz w:val="18"/>
                <w:szCs w:val="18"/>
              </w:rPr>
              <w:t>：深粮控股；股票代码：</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宋体" w:hAnsi="宋体" w:cs="宋体" w:eastAsia="宋体" w:hint="default"/>
                <w:sz w:val="18"/>
                <w:szCs w:val="18"/>
              </w:rPr>
              <w:t>000019</w:t>
            </w:r>
            <w:r>
              <w:rPr>
                <w:rFonts w:ascii="宋体" w:hAnsi="宋体" w:cs="宋体" w:eastAsia="宋体" w:hint="default"/>
                <w:sz w:val="18"/>
                <w:szCs w:val="18"/>
              </w:rPr>
              <w:t>、</w:t>
            </w:r>
            <w:r>
              <w:rPr>
                <w:rFonts w:ascii="宋体" w:hAnsi="宋体" w:cs="宋体" w:eastAsia="宋体" w:hint="default"/>
                <w:sz w:val="18"/>
                <w:szCs w:val="18"/>
              </w:rPr>
              <w:t>B</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宋体" w:hAnsi="宋体" w:cs="宋体" w:eastAsia="宋体" w:hint="default"/>
                <w:sz w:val="18"/>
                <w:szCs w:val="18"/>
              </w:rPr>
              <w:t>200019</w:t>
            </w:r>
            <w:r>
              <w:rPr>
                <w:rFonts w:ascii="宋体" w:hAnsi="宋体" w:cs="宋体" w:eastAsia="宋体" w:hint="default"/>
                <w:sz w:val="18"/>
                <w:szCs w:val="18"/>
              </w:rPr>
              <w:t>）原名“深圳市深宝实业股份有限公司”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粮食集团</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深圳市粮食集团有限公司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广西冻品公司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公司全资子公司广西海吉星的参股公司“广西海吉星冻品市场管理有限公司”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海吉星市场管理公司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公司全资子公司“深圳市海吉星市场管理有限公司”</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农产品流通产业基金</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“深圳市农产品流通产业发展投资企业</w:t>
            </w:r>
            <w:r>
              <w:rPr>
                <w:rFonts w:ascii="宋体" w:hAnsi="宋体" w:cs="宋体" w:eastAsia="宋体" w:hint="default"/>
                <w:spacing w:val="1"/>
                <w:sz w:val="18"/>
                <w:szCs w:val="18"/>
              </w:rPr>
              <w:t>(</w:t>
            </w:r>
            <w:r>
              <w:rPr>
                <w:rFonts w:ascii="宋体" w:hAnsi="宋体" w:cs="宋体" w:eastAsia="宋体" w:hint="default"/>
                <w:sz w:val="18"/>
                <w:szCs w:val="18"/>
              </w:rPr>
              <w:t>有限合伙</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，公司作为有限合伙人持有其</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41.1765%</w:t>
            </w:r>
            <w:r>
              <w:rPr>
                <w:rFonts w:ascii="宋体" w:hAnsi="宋体" w:cs="宋体" w:eastAsia="宋体" w:hint="default"/>
                <w:sz w:val="18"/>
                <w:szCs w:val="18"/>
              </w:rPr>
              <w:t>份额</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运通资本公司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公司参股公司“深圳市运通资本投资管理有限公司”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运通致达公司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深圳市运通致达农产品市场管理有限责任公司</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光明海吉星公司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深圳市光明海吉星农产品产业发展有限公司，承接投资、开发、建设、运营光明农产品</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批发市场项目</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运通致远公司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深圳市运通致远冷链管理有限责任公司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运通致义公司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深圳市运通致义环保管理有限责任公司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吉农公司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公司全资子公司“上海吉农创业投资有限公司”</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云南东盟公司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公司控股子公司“云南东盟国际农产品物流有限公司”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国际食品</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公司控股子公司“深圳市海吉星国际食品产业发展有限公司”</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绿膳谷公司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深圳市绿膳谷农业创新发展有限公司</w:t>
            </w:r>
          </w:p>
        </w:tc>
      </w:tr>
      <w:tr>
        <w:trPr>
          <w:trHeight w:val="63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卓尔方</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63"/>
              <w:jc w:val="left"/>
              <w:rPr>
                <w:rFonts w:ascii="宋体" w:hAnsi="宋体" w:cs="宋体" w:eastAsia="宋体" w:hint="default"/>
                <w:sz w:val="18"/>
                <w:szCs w:val="18"/>
              </w:rPr>
            </w:pPr>
            <w:r>
              <w:rPr>
                <w:rFonts w:ascii="宋体" w:hAnsi="宋体" w:cs="宋体" w:eastAsia="宋体" w:hint="default"/>
                <w:sz w:val="18"/>
                <w:szCs w:val="18"/>
              </w:rPr>
              <w:t>卓尔云商供应链</w:t>
            </w:r>
            <w:r>
              <w:rPr>
                <w:rFonts w:ascii="宋体" w:hAnsi="宋体" w:cs="宋体" w:eastAsia="宋体" w:hint="default"/>
                <w:sz w:val="18"/>
                <w:szCs w:val="18"/>
              </w:rPr>
              <w:t>(</w:t>
            </w:r>
            <w:r>
              <w:rPr>
                <w:rFonts w:ascii="宋体" w:hAnsi="宋体" w:cs="宋体" w:eastAsia="宋体" w:hint="default"/>
                <w:sz w:val="18"/>
                <w:szCs w:val="18"/>
              </w:rPr>
              <w:t>武汉</w:t>
            </w:r>
            <w:r>
              <w:rPr>
                <w:rFonts w:ascii="宋体" w:hAnsi="宋体" w:cs="宋体" w:eastAsia="宋体" w:hint="default"/>
                <w:sz w:val="18"/>
                <w:szCs w:val="18"/>
              </w:rPr>
              <w:t>)</w:t>
            </w:r>
            <w:r>
              <w:rPr>
                <w:rFonts w:ascii="宋体" w:hAnsi="宋体" w:cs="宋体" w:eastAsia="宋体" w:hint="default"/>
                <w:sz w:val="18"/>
                <w:szCs w:val="18"/>
              </w:rPr>
              <w:t>有限公司及卓尔智联集团有限公司、卓尔发展投资有限公司、阎 志先生</w:t>
            </w:r>
          </w:p>
        </w:tc>
      </w:tr>
      <w:tr>
        <w:trPr>
          <w:trHeight w:val="48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万科物流公司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深圳市万科物流投资有限公司</w:t>
            </w:r>
          </w:p>
        </w:tc>
      </w:tr>
    </w:tbl>
    <w:p>
      <w:pPr>
        <w:spacing w:after="0" w:line="240" w:lineRule="auto"/>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7.849976pt;width:361.55pt;height:19.7pt;mso-position-horizontal-relative:page;mso-position-vertical-relative:page;z-index:-1638376" coordorigin="3447,5557" coordsize="7231,394">
            <v:shape style="position:absolute;left:3447;top:5557;width:7231;height:394" coordorigin="3447,5557" coordsize="7231,394" path="m3447,5951l10677,5951,10677,5557,3447,5557,3447,5951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7"/>
          <w:szCs w:val="17"/>
        </w:rPr>
      </w:pPr>
    </w:p>
    <w:p>
      <w:pPr>
        <w:pStyle w:val="Heading1"/>
        <w:spacing w:line="456" w:lineRule="exact"/>
        <w:ind w:left="2642" w:right="0"/>
        <w:jc w:val="left"/>
        <w:rPr>
          <w:b w:val="0"/>
          <w:bCs w:val="0"/>
        </w:rPr>
      </w:pP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left="152" w:right="0"/>
        <w:jc w:val="left"/>
        <w:rPr>
          <w:b w:val="0"/>
          <w:bCs w:val="0"/>
        </w:rPr>
      </w:pPr>
      <w:r>
        <w:rPr/>
        <w:t>一、</w:t>
      </w:r>
      <w:r>
        <w:rPr>
          <w:spacing w:val="-25"/>
        </w:rPr>
        <w:t> </w:t>
      </w:r>
      <w:r>
        <w:rPr/>
        <w:t>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农产品</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000061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深农集团</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17"/>
                <w:sz w:val="18"/>
              </w:rPr>
              <w:t> </w:t>
            </w:r>
            <w:r>
              <w:rPr>
                <w:rFonts w:ascii="Times New Roman"/>
                <w:sz w:val="18"/>
              </w:rPr>
              <w:t>AGRICULTURAL</w:t>
            </w:r>
            <w:r>
              <w:rPr>
                <w:rFonts w:ascii="Times New Roman"/>
                <w:spacing w:val="-14"/>
                <w:sz w:val="18"/>
              </w:rPr>
              <w:t> </w:t>
            </w:r>
            <w:r>
              <w:rPr>
                <w:rFonts w:ascii="Times New Roman"/>
                <w:sz w:val="18"/>
              </w:rPr>
              <w:t>PRODUCTS</w:t>
            </w:r>
            <w:r>
              <w:rPr>
                <w:rFonts w:ascii="Times New Roman"/>
                <w:spacing w:val="-8"/>
                <w:sz w:val="18"/>
              </w:rPr>
              <w:t> </w:t>
            </w:r>
            <w:r>
              <w:rPr>
                <w:rFonts w:ascii="Times New Roman"/>
                <w:sz w:val="18"/>
              </w:rPr>
              <w:t>GROUP</w:t>
            </w:r>
            <w:r>
              <w:rPr>
                <w:rFonts w:ascii="Times New Roman"/>
                <w:spacing w:val="-12"/>
                <w:sz w:val="18"/>
              </w:rPr>
              <w:t> </w:t>
            </w:r>
            <w:r>
              <w:rPr>
                <w:rFonts w:ascii="Times New Roman"/>
                <w:spacing w:val="-3"/>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SZAP</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何建锋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深圳市罗湖区东晓街道布吉路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号农产品批发市场第一层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518019</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号时代科技大厦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518040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http://www.szap.com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IR@szap.com</w:t>
              </w:r>
            </w:hyperlink>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pStyle w:val="Heading4"/>
        <w:spacing w:line="367" w:lineRule="exact"/>
        <w:ind w:left="152"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江 </w:t>
            </w:r>
            <w:r>
              <w:rPr>
                <w:rFonts w:ascii="宋体" w:hAnsi="宋体" w:cs="宋体" w:eastAsia="宋体" w:hint="default"/>
                <w:spacing w:val="2"/>
                <w:sz w:val="18"/>
                <w:szCs w:val="18"/>
              </w:rPr>
              <w:t> </w:t>
            </w:r>
            <w:r>
              <w:rPr>
                <w:rFonts w:ascii="宋体" w:hAnsi="宋体" w:cs="宋体" w:eastAsia="宋体" w:hint="default"/>
                <w:sz w:val="18"/>
                <w:szCs w:val="18"/>
              </w:rPr>
              <w:t>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裴 </w:t>
            </w:r>
            <w:r>
              <w:rPr>
                <w:rFonts w:ascii="宋体" w:hAnsi="宋体" w:cs="宋体" w:eastAsia="宋体" w:hint="default"/>
                <w:spacing w:val="3"/>
                <w:sz w:val="18"/>
                <w:szCs w:val="18"/>
              </w:rPr>
              <w:t> </w:t>
            </w:r>
            <w:r>
              <w:rPr>
                <w:rFonts w:ascii="宋体" w:hAnsi="宋体" w:cs="宋体" w:eastAsia="宋体" w:hint="default"/>
                <w:sz w:val="18"/>
                <w:szCs w:val="18"/>
              </w:rPr>
              <w:t>欣</w:t>
            </w:r>
          </w:p>
        </w:tc>
      </w:tr>
      <w:tr>
        <w:trPr>
          <w:trHeight w:val="16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pacing w:val="3"/>
                <w:sz w:val="18"/>
                <w:szCs w:val="18"/>
              </w:rPr>
              <w:t>深圳市福田区深南大道 </w:t>
            </w:r>
            <w:r>
              <w:rPr>
                <w:rFonts w:ascii="Times New Roman" w:hAnsi="Times New Roman" w:cs="Times New Roman" w:eastAsia="Times New Roman" w:hint="default"/>
                <w:sz w:val="18"/>
                <w:szCs w:val="18"/>
              </w:rPr>
              <w:t>7028 </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号时代科</w:t>
            </w:r>
            <w:r>
              <w:rPr>
                <w:rFonts w:ascii="宋体" w:hAnsi="宋体" w:cs="宋体" w:eastAsia="宋体" w:hint="default"/>
                <w:sz w:val="18"/>
                <w:szCs w:val="18"/>
              </w:rPr>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深圳市福田区深南大道 </w:t>
            </w:r>
            <w:r>
              <w:rPr>
                <w:rFonts w:ascii="Times New Roman" w:hAnsi="Times New Roman" w:cs="Times New Roman" w:eastAsia="Times New Roman" w:hint="default"/>
                <w:sz w:val="18"/>
                <w:szCs w:val="18"/>
              </w:rPr>
              <w:t>7028 </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号时代科</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hyperlink r:id="rId10">
              <w:r>
                <w:rPr>
                  <w:rFonts w:ascii="Times New Roman"/>
                  <w:sz w:val="18"/>
                </w:rPr>
                <w:t>IR@szap.com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IR@szap.com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left="152"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《上海证券报》及《证券日报》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14"/>
        <w:rPr>
          <w:rFonts w:ascii="Microsoft JhengHei" w:hAnsi="Microsoft JhengHei" w:cs="Microsoft JhengHei" w:eastAsia="Microsoft JhengHei" w:hint="default"/>
          <w:b/>
          <w:bCs/>
          <w:sz w:val="14"/>
          <w:szCs w:val="14"/>
        </w:rPr>
      </w:pPr>
      <w:r>
        <w:rPr/>
        <w:pict>
          <v:shape style="position:absolute;margin-left:56.459999pt;margin-top:102.739983pt;width:479.2pt;height:651.2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6735"/>
                  </w:tblGrid>
                  <w:tr>
                    <w:trPr>
                      <w:trHeight w:val="408"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sz w:val="18"/>
                          </w:rPr>
                          <w:t>91440300192179163P</w:t>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189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1988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pacing w:val="-4"/>
                            <w:sz w:val="18"/>
                            <w:szCs w:val="18"/>
                          </w:rPr>
                          <w:t>日经深圳市人民政府以“深府办（</w:t>
                        </w:r>
                        <w:r>
                          <w:rPr>
                            <w:rFonts w:ascii="宋体" w:hAnsi="宋体" w:cs="宋体" w:eastAsia="宋体" w:hint="default"/>
                            <w:spacing w:val="-4"/>
                            <w:sz w:val="18"/>
                            <w:szCs w:val="18"/>
                          </w:rPr>
                          <w:t>1988</w:t>
                        </w:r>
                        <w:r>
                          <w:rPr>
                            <w:rFonts w:ascii="宋体" w:hAnsi="宋体" w:cs="宋体" w:eastAsia="宋体" w:hint="default"/>
                            <w:spacing w:val="-4"/>
                            <w:sz w:val="18"/>
                            <w:szCs w:val="18"/>
                          </w:rPr>
                          <w:t>）</w:t>
                        </w:r>
                        <w:r>
                          <w:rPr>
                            <w:rFonts w:ascii="宋体" w:hAnsi="宋体" w:cs="宋体" w:eastAsia="宋体" w:hint="default"/>
                            <w:spacing w:val="-4"/>
                            <w:sz w:val="18"/>
                            <w:szCs w:val="18"/>
                          </w:rPr>
                          <w:t>1181</w:t>
                        </w:r>
                        <w:r>
                          <w:rPr>
                            <w:rFonts w:ascii="宋体" w:hAnsi="宋体" w:cs="宋体" w:eastAsia="宋体" w:hint="default"/>
                            <w:spacing w:val="-43"/>
                            <w:sz w:val="18"/>
                            <w:szCs w:val="18"/>
                          </w:rPr>
                          <w:t> </w:t>
                        </w:r>
                        <w:r>
                          <w:rPr>
                            <w:rFonts w:ascii="宋体" w:hAnsi="宋体" w:cs="宋体" w:eastAsia="宋体" w:hint="default"/>
                            <w:spacing w:val="-6"/>
                            <w:sz w:val="18"/>
                            <w:szCs w:val="18"/>
                          </w:rPr>
                          <w:t>号”文批准</w:t>
                        </w:r>
                      </w:p>
                      <w:p>
                        <w:pPr>
                          <w:pStyle w:val="TableParagraph"/>
                          <w:spacing w:line="367" w:lineRule="auto" w:before="124"/>
                          <w:ind w:left="24" w:right="22"/>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宋体" w:hAnsi="宋体" w:cs="宋体" w:eastAsia="宋体" w:hint="default"/>
                            <w:sz w:val="18"/>
                            <w:szCs w:val="18"/>
                          </w:rPr>
                          <w:t>1989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14</w:t>
                        </w:r>
                        <w:r>
                          <w:rPr>
                            <w:rFonts w:ascii="宋体" w:hAnsi="宋体" w:cs="宋体" w:eastAsia="宋体" w:hint="default"/>
                            <w:spacing w:val="-42"/>
                            <w:sz w:val="18"/>
                            <w:szCs w:val="18"/>
                          </w:rPr>
                          <w:t> </w:t>
                        </w:r>
                        <w:r>
                          <w:rPr>
                            <w:rFonts w:ascii="宋体" w:hAnsi="宋体" w:cs="宋体" w:eastAsia="宋体" w:hint="default"/>
                            <w:sz w:val="18"/>
                            <w:szCs w:val="18"/>
                          </w:rPr>
                          <w:t>日经深圳市工商行政管理局注册成立的市属国有企业，原名“深圳 </w:t>
                        </w:r>
                        <w:r>
                          <w:rPr>
                            <w:rFonts w:ascii="宋体" w:hAnsi="宋体" w:cs="宋体" w:eastAsia="宋体" w:hint="default"/>
                            <w:spacing w:val="-10"/>
                            <w:sz w:val="18"/>
                            <w:szCs w:val="18"/>
                          </w:rPr>
                          <w:t>市农产品批发公司”。</w:t>
                        </w:r>
                      </w:p>
                      <w:p>
                        <w:pPr>
                          <w:pStyle w:val="TableParagraph"/>
                          <w:spacing w:line="367" w:lineRule="auto" w:before="29"/>
                          <w:ind w:left="24" w:right="19" w:firstLine="360"/>
                          <w:jc w:val="both"/>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日，经深圳市人民政府以“深府办</w:t>
                        </w:r>
                        <w:r>
                          <w:rPr>
                            <w:rFonts w:ascii="宋体" w:hAnsi="宋体" w:cs="宋体" w:eastAsia="宋体" w:hint="default"/>
                            <w:sz w:val="18"/>
                            <w:szCs w:val="18"/>
                          </w:rPr>
                          <w:t>[1993]676</w:t>
                        </w:r>
                        <w:r>
                          <w:rPr>
                            <w:rFonts w:ascii="宋体" w:hAnsi="宋体" w:cs="宋体" w:eastAsia="宋体" w:hint="default"/>
                            <w:spacing w:val="-43"/>
                            <w:sz w:val="18"/>
                            <w:szCs w:val="18"/>
                          </w:rPr>
                          <w:t> </w:t>
                        </w:r>
                        <w:r>
                          <w:rPr>
                            <w:rFonts w:ascii="宋体" w:hAnsi="宋体" w:cs="宋体" w:eastAsia="宋体" w:hint="default"/>
                            <w:sz w:val="18"/>
                            <w:szCs w:val="18"/>
                          </w:rPr>
                          <w:t>号”文批准，并经深 圳市工商行政管理局核准，本公司改组为股份有限公司，并更名为“深圳市农产品股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4"/>
                            <w:sz w:val="18"/>
                            <w:szCs w:val="18"/>
                          </w:rPr>
                          <w:t>份有限公司”。</w:t>
                        </w:r>
                      </w:p>
                      <w:p>
                        <w:pPr>
                          <w:pStyle w:val="TableParagraph"/>
                          <w:spacing w:line="240" w:lineRule="auto" w:before="29"/>
                          <w:ind w:left="384" w:right="0"/>
                          <w:jc w:val="left"/>
                          <w:rPr>
                            <w:rFonts w:ascii="宋体" w:hAnsi="宋体" w:cs="宋体" w:eastAsia="宋体" w:hint="default"/>
                            <w:sz w:val="18"/>
                            <w:szCs w:val="18"/>
                          </w:rPr>
                        </w:pPr>
                        <w:r>
                          <w:rPr>
                            <w:rFonts w:ascii="宋体" w:hAnsi="宋体" w:cs="宋体" w:eastAsia="宋体" w:hint="default"/>
                            <w:sz w:val="18"/>
                            <w:szCs w:val="18"/>
                          </w:rPr>
                          <w:t>1996</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20</w:t>
                        </w:r>
                        <w:r>
                          <w:rPr>
                            <w:rFonts w:ascii="宋体" w:hAnsi="宋体" w:cs="宋体" w:eastAsia="宋体" w:hint="default"/>
                            <w:spacing w:val="-41"/>
                            <w:sz w:val="18"/>
                            <w:szCs w:val="18"/>
                          </w:rPr>
                          <w:t> </w:t>
                        </w:r>
                        <w:r>
                          <w:rPr>
                            <w:rFonts w:ascii="宋体" w:hAnsi="宋体" w:cs="宋体" w:eastAsia="宋体" w:hint="default"/>
                            <w:spacing w:val="-3"/>
                            <w:sz w:val="18"/>
                            <w:szCs w:val="18"/>
                          </w:rPr>
                          <w:t>日，经深圳市人民政府办公厅以“深府办</w:t>
                        </w:r>
                        <w:r>
                          <w:rPr>
                            <w:rFonts w:ascii="宋体" w:hAnsi="宋体" w:cs="宋体" w:eastAsia="宋体" w:hint="default"/>
                            <w:spacing w:val="-3"/>
                            <w:sz w:val="18"/>
                            <w:szCs w:val="18"/>
                          </w:rPr>
                          <w:t>[1996]150</w:t>
                        </w:r>
                        <w:r>
                          <w:rPr>
                            <w:rFonts w:ascii="宋体" w:hAnsi="宋体" w:cs="宋体" w:eastAsia="宋体" w:hint="default"/>
                            <w:spacing w:val="-38"/>
                            <w:sz w:val="18"/>
                            <w:szCs w:val="18"/>
                          </w:rPr>
                          <w:t> </w:t>
                        </w:r>
                        <w:r>
                          <w:rPr>
                            <w:rFonts w:ascii="宋体" w:hAnsi="宋体" w:cs="宋体" w:eastAsia="宋体" w:hint="default"/>
                            <w:spacing w:val="-5"/>
                            <w:sz w:val="18"/>
                            <w:szCs w:val="18"/>
                          </w:rPr>
                          <w:t>号”文批准</w:t>
                        </w:r>
                      </w:p>
                      <w:p>
                        <w:pPr>
                          <w:pStyle w:val="TableParagraph"/>
                          <w:spacing w:line="367" w:lineRule="auto" w:before="124"/>
                          <w:ind w:left="24" w:right="17"/>
                          <w:jc w:val="left"/>
                          <w:rPr>
                            <w:rFonts w:ascii="宋体" w:hAnsi="宋体" w:cs="宋体" w:eastAsia="宋体" w:hint="default"/>
                            <w:sz w:val="18"/>
                            <w:szCs w:val="18"/>
                          </w:rPr>
                        </w:pPr>
                        <w:r>
                          <w:rPr>
                            <w:rFonts w:ascii="宋体" w:hAnsi="宋体" w:cs="宋体" w:eastAsia="宋体" w:hint="default"/>
                            <w:sz w:val="18"/>
                            <w:szCs w:val="18"/>
                          </w:rPr>
                          <w:t>本公司改组为以募集方式设立的股份有限公司，</w:t>
                        </w:r>
                        <w:r>
                          <w:rPr>
                            <w:rFonts w:ascii="宋体" w:hAnsi="宋体" w:cs="宋体" w:eastAsia="宋体" w:hint="default"/>
                            <w:sz w:val="18"/>
                            <w:szCs w:val="18"/>
                          </w:rPr>
                          <w:t>1996</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日经中国证券监督管 理委员会以“证监发审字（</w:t>
                        </w:r>
                        <w:r>
                          <w:rPr>
                            <w:rFonts w:ascii="宋体" w:hAnsi="宋体" w:cs="宋体" w:eastAsia="宋体" w:hint="default"/>
                            <w:sz w:val="18"/>
                            <w:szCs w:val="18"/>
                          </w:rPr>
                          <w:t>1996</w:t>
                        </w:r>
                        <w:r>
                          <w:rPr>
                            <w:rFonts w:ascii="宋体" w:hAnsi="宋体" w:cs="宋体" w:eastAsia="宋体" w:hint="default"/>
                            <w:sz w:val="18"/>
                            <w:szCs w:val="18"/>
                          </w:rPr>
                          <w:t>）</w:t>
                        </w:r>
                        <w:r>
                          <w:rPr>
                            <w:rFonts w:ascii="宋体" w:hAnsi="宋体" w:cs="宋体" w:eastAsia="宋体" w:hint="default"/>
                            <w:sz w:val="18"/>
                            <w:szCs w:val="18"/>
                          </w:rPr>
                          <w:t>398</w:t>
                        </w:r>
                        <w:r>
                          <w:rPr>
                            <w:rFonts w:ascii="宋体" w:hAnsi="宋体" w:cs="宋体" w:eastAsia="宋体" w:hint="default"/>
                            <w:sz w:val="18"/>
                            <w:szCs w:val="18"/>
                          </w:rPr>
                          <w:t>、</w:t>
                        </w:r>
                        <w:r>
                          <w:rPr>
                            <w:rFonts w:ascii="宋体" w:hAnsi="宋体" w:cs="宋体" w:eastAsia="宋体" w:hint="default"/>
                            <w:sz w:val="18"/>
                            <w:szCs w:val="18"/>
                          </w:rPr>
                          <w:t>399</w:t>
                        </w:r>
                        <w:r>
                          <w:rPr>
                            <w:rFonts w:ascii="宋体" w:hAnsi="宋体" w:cs="宋体" w:eastAsia="宋体" w:hint="default"/>
                            <w:spacing w:val="-67"/>
                            <w:sz w:val="18"/>
                            <w:szCs w:val="18"/>
                          </w:rPr>
                          <w:t> </w:t>
                        </w:r>
                        <w:r>
                          <w:rPr>
                            <w:rFonts w:ascii="宋体" w:hAnsi="宋体" w:cs="宋体" w:eastAsia="宋体" w:hint="default"/>
                            <w:sz w:val="18"/>
                            <w:szCs w:val="18"/>
                          </w:rPr>
                          <w:t>号”文批准，向社会公众公开发行境内上 </w:t>
                        </w:r>
                        <w:r>
                          <w:rPr>
                            <w:rFonts w:ascii="宋体" w:hAnsi="宋体" w:cs="宋体" w:eastAsia="宋体" w:hint="default"/>
                            <w:spacing w:val="-7"/>
                            <w:sz w:val="18"/>
                            <w:szCs w:val="18"/>
                          </w:rPr>
                          <w:t>市内资股（</w:t>
                        </w:r>
                        <w:r>
                          <w:rPr>
                            <w:rFonts w:ascii="宋体" w:hAnsi="宋体" w:cs="宋体" w:eastAsia="宋体" w:hint="default"/>
                            <w:spacing w:val="-7"/>
                            <w:sz w:val="18"/>
                            <w:szCs w:val="18"/>
                          </w:rPr>
                          <w:t>A</w:t>
                        </w:r>
                        <w:r>
                          <w:rPr>
                            <w:rFonts w:ascii="宋体" w:hAnsi="宋体" w:cs="宋体" w:eastAsia="宋体" w:hint="default"/>
                            <w:spacing w:val="-44"/>
                            <w:sz w:val="18"/>
                            <w:szCs w:val="18"/>
                          </w:rPr>
                          <w:t> </w:t>
                        </w:r>
                        <w:r>
                          <w:rPr>
                            <w:rFonts w:ascii="宋体" w:hAnsi="宋体" w:cs="宋体" w:eastAsia="宋体" w:hint="default"/>
                            <w:spacing w:val="-8"/>
                            <w:sz w:val="18"/>
                            <w:szCs w:val="18"/>
                          </w:rPr>
                          <w:t>股）</w:t>
                        </w:r>
                        <w:r>
                          <w:rPr>
                            <w:rFonts w:ascii="宋体" w:hAnsi="宋体" w:cs="宋体" w:eastAsia="宋体" w:hint="default"/>
                            <w:spacing w:val="-8"/>
                            <w:sz w:val="18"/>
                            <w:szCs w:val="18"/>
                          </w:rPr>
                          <w:t>1900</w:t>
                        </w:r>
                        <w:r>
                          <w:rPr>
                            <w:rFonts w:ascii="宋体" w:hAnsi="宋体" w:cs="宋体" w:eastAsia="宋体" w:hint="default"/>
                            <w:spacing w:val="-43"/>
                            <w:sz w:val="18"/>
                            <w:szCs w:val="18"/>
                          </w:rPr>
                          <w:t> </w:t>
                        </w:r>
                        <w:r>
                          <w:rPr>
                            <w:rFonts w:ascii="宋体" w:hAnsi="宋体" w:cs="宋体" w:eastAsia="宋体" w:hint="default"/>
                            <w:spacing w:val="-4"/>
                            <w:sz w:val="18"/>
                            <w:szCs w:val="18"/>
                          </w:rPr>
                          <w:t>万股。公司总股份数增至</w:t>
                        </w:r>
                        <w:r>
                          <w:rPr>
                            <w:rFonts w:ascii="宋体" w:hAnsi="宋体" w:cs="宋体" w:eastAsia="宋体" w:hint="default"/>
                            <w:spacing w:val="-44"/>
                            <w:sz w:val="18"/>
                            <w:szCs w:val="18"/>
                          </w:rPr>
                          <w:t> </w:t>
                        </w:r>
                        <w:r>
                          <w:rPr>
                            <w:rFonts w:ascii="宋体" w:hAnsi="宋体" w:cs="宋体" w:eastAsia="宋体" w:hint="default"/>
                            <w:sz w:val="18"/>
                            <w:szCs w:val="18"/>
                          </w:rPr>
                          <w:t>5068</w:t>
                        </w:r>
                        <w:r>
                          <w:rPr>
                            <w:rFonts w:ascii="宋体" w:hAnsi="宋体" w:cs="宋体" w:eastAsia="宋体" w:hint="default"/>
                            <w:spacing w:val="-43"/>
                            <w:sz w:val="18"/>
                            <w:szCs w:val="18"/>
                          </w:rPr>
                          <w:t> </w:t>
                        </w:r>
                        <w:r>
                          <w:rPr>
                            <w:rFonts w:ascii="宋体" w:hAnsi="宋体" w:cs="宋体" w:eastAsia="宋体" w:hint="default"/>
                            <w:spacing w:val="-6"/>
                            <w:sz w:val="18"/>
                            <w:szCs w:val="18"/>
                          </w:rPr>
                          <w:t>万股；其中国家股</w:t>
                        </w:r>
                        <w:r>
                          <w:rPr>
                            <w:rFonts w:ascii="宋体" w:hAnsi="宋体" w:cs="宋体" w:eastAsia="宋体" w:hint="default"/>
                            <w:spacing w:val="-44"/>
                            <w:sz w:val="18"/>
                            <w:szCs w:val="18"/>
                          </w:rPr>
                          <w:t> </w:t>
                        </w:r>
                        <w:r>
                          <w:rPr>
                            <w:rFonts w:ascii="宋体" w:hAnsi="宋体" w:cs="宋体" w:eastAsia="宋体" w:hint="default"/>
                            <w:sz w:val="18"/>
                            <w:szCs w:val="18"/>
                          </w:rPr>
                          <w:t>592.416</w:t>
                        </w:r>
                        <w:r>
                          <w:rPr>
                            <w:rFonts w:ascii="宋体" w:hAnsi="宋体" w:cs="宋体" w:eastAsia="宋体" w:hint="default"/>
                            <w:spacing w:val="-43"/>
                            <w:sz w:val="18"/>
                            <w:szCs w:val="18"/>
                          </w:rPr>
                          <w:t> </w:t>
                        </w:r>
                        <w:r>
                          <w:rPr>
                            <w:rFonts w:ascii="宋体" w:hAnsi="宋体" w:cs="宋体" w:eastAsia="宋体" w:hint="default"/>
                            <w:sz w:val="18"/>
                            <w:szCs w:val="18"/>
                          </w:rPr>
                          <w:t>万股 占股份总额的</w:t>
                        </w:r>
                        <w:r>
                          <w:rPr>
                            <w:rFonts w:ascii="宋体" w:hAnsi="宋体" w:cs="宋体" w:eastAsia="宋体" w:hint="default"/>
                            <w:spacing w:val="-43"/>
                            <w:sz w:val="18"/>
                            <w:szCs w:val="18"/>
                          </w:rPr>
                          <w:t> </w:t>
                        </w:r>
                        <w:r>
                          <w:rPr>
                            <w:rFonts w:ascii="宋体" w:hAnsi="宋体" w:cs="宋体" w:eastAsia="宋体" w:hint="default"/>
                            <w:sz w:val="18"/>
                            <w:szCs w:val="18"/>
                          </w:rPr>
                          <w:t>11.69%</w:t>
                        </w:r>
                        <w:r>
                          <w:rPr>
                            <w:rFonts w:ascii="宋体" w:hAnsi="宋体" w:cs="宋体" w:eastAsia="宋体" w:hint="default"/>
                            <w:sz w:val="18"/>
                            <w:szCs w:val="18"/>
                          </w:rPr>
                          <w:t>，国有法人股</w:t>
                        </w:r>
                        <w:r>
                          <w:rPr>
                            <w:rFonts w:ascii="宋体" w:hAnsi="宋体" w:cs="宋体" w:eastAsia="宋体" w:hint="default"/>
                            <w:spacing w:val="-43"/>
                            <w:sz w:val="18"/>
                            <w:szCs w:val="18"/>
                          </w:rPr>
                          <w:t> </w:t>
                        </w:r>
                        <w:r>
                          <w:rPr>
                            <w:rFonts w:ascii="宋体" w:hAnsi="宋体" w:cs="宋体" w:eastAsia="宋体" w:hint="default"/>
                            <w:sz w:val="18"/>
                            <w:szCs w:val="18"/>
                          </w:rPr>
                          <w:t>1862.784</w:t>
                        </w:r>
                        <w:r>
                          <w:rPr>
                            <w:rFonts w:ascii="宋体" w:hAnsi="宋体" w:cs="宋体" w:eastAsia="宋体" w:hint="default"/>
                            <w:spacing w:val="-41"/>
                            <w:sz w:val="18"/>
                            <w:szCs w:val="18"/>
                          </w:rPr>
                          <w:t> </w:t>
                        </w:r>
                        <w:r>
                          <w:rPr>
                            <w:rFonts w:ascii="宋体" w:hAnsi="宋体" w:cs="宋体" w:eastAsia="宋体" w:hint="default"/>
                            <w:sz w:val="18"/>
                            <w:szCs w:val="18"/>
                          </w:rPr>
                          <w:t>万股，占股份总额的</w:t>
                        </w:r>
                        <w:r>
                          <w:rPr>
                            <w:rFonts w:ascii="宋体" w:hAnsi="宋体" w:cs="宋体" w:eastAsia="宋体" w:hint="default"/>
                            <w:spacing w:val="-43"/>
                            <w:sz w:val="18"/>
                            <w:szCs w:val="18"/>
                          </w:rPr>
                          <w:t> </w:t>
                        </w:r>
                        <w:r>
                          <w:rPr>
                            <w:rFonts w:ascii="宋体" w:hAnsi="宋体" w:cs="宋体" w:eastAsia="宋体" w:hint="default"/>
                            <w:sz w:val="18"/>
                            <w:szCs w:val="18"/>
                          </w:rPr>
                          <w:t>36.76%</w:t>
                        </w:r>
                        <w:r>
                          <w:rPr>
                            <w:rFonts w:ascii="宋体" w:hAnsi="宋体" w:cs="宋体" w:eastAsia="宋体" w:hint="default"/>
                            <w:sz w:val="18"/>
                            <w:szCs w:val="18"/>
                          </w:rPr>
                          <w:t>，内部职工 </w:t>
                        </w:r>
                        <w:r>
                          <w:rPr>
                            <w:rFonts w:ascii="宋体" w:hAnsi="宋体" w:cs="宋体" w:eastAsia="宋体" w:hint="default"/>
                            <w:sz w:val="18"/>
                            <w:szCs w:val="18"/>
                          </w:rPr>
                          <w:t>712.8</w:t>
                        </w:r>
                        <w:r>
                          <w:rPr>
                            <w:rFonts w:ascii="宋体" w:hAnsi="宋体" w:cs="宋体" w:eastAsia="宋体" w:hint="default"/>
                            <w:spacing w:val="-46"/>
                            <w:sz w:val="18"/>
                            <w:szCs w:val="18"/>
                          </w:rPr>
                          <w:t> </w:t>
                        </w:r>
                        <w:r>
                          <w:rPr>
                            <w:rFonts w:ascii="宋体" w:hAnsi="宋体" w:cs="宋体" w:eastAsia="宋体" w:hint="default"/>
                            <w:sz w:val="18"/>
                            <w:szCs w:val="18"/>
                          </w:rPr>
                          <w:t>万股、占股份总额的</w:t>
                        </w:r>
                        <w:r>
                          <w:rPr>
                            <w:rFonts w:ascii="宋体" w:hAnsi="宋体" w:cs="宋体" w:eastAsia="宋体" w:hint="default"/>
                            <w:spacing w:val="-47"/>
                            <w:sz w:val="18"/>
                            <w:szCs w:val="18"/>
                          </w:rPr>
                          <w:t> </w:t>
                        </w:r>
                        <w:r>
                          <w:rPr>
                            <w:rFonts w:ascii="宋体" w:hAnsi="宋体" w:cs="宋体" w:eastAsia="宋体" w:hint="default"/>
                            <w:sz w:val="18"/>
                            <w:szCs w:val="18"/>
                          </w:rPr>
                          <w:t>14.06%</w:t>
                        </w:r>
                        <w:r>
                          <w:rPr>
                            <w:rFonts w:ascii="宋体" w:hAnsi="宋体" w:cs="宋体" w:eastAsia="宋体" w:hint="default"/>
                            <w:sz w:val="18"/>
                            <w:szCs w:val="18"/>
                          </w:rPr>
                          <w:t>，社会公众股</w:t>
                        </w:r>
                        <w:r>
                          <w:rPr>
                            <w:rFonts w:ascii="宋体" w:hAnsi="宋体" w:cs="宋体" w:eastAsia="宋体" w:hint="default"/>
                            <w:spacing w:val="-47"/>
                            <w:sz w:val="18"/>
                            <w:szCs w:val="18"/>
                          </w:rPr>
                          <w:t> </w:t>
                        </w:r>
                        <w:r>
                          <w:rPr>
                            <w:rFonts w:ascii="宋体" w:hAnsi="宋体" w:cs="宋体" w:eastAsia="宋体" w:hint="default"/>
                            <w:sz w:val="18"/>
                            <w:szCs w:val="18"/>
                          </w:rPr>
                          <w:t>1900</w:t>
                        </w:r>
                        <w:r>
                          <w:rPr>
                            <w:rFonts w:ascii="宋体" w:hAnsi="宋体" w:cs="宋体" w:eastAsia="宋体" w:hint="default"/>
                            <w:spacing w:val="-46"/>
                            <w:sz w:val="18"/>
                            <w:szCs w:val="18"/>
                          </w:rPr>
                          <w:t> </w:t>
                        </w:r>
                        <w:r>
                          <w:rPr>
                            <w:rFonts w:ascii="宋体" w:hAnsi="宋体" w:cs="宋体" w:eastAsia="宋体" w:hint="default"/>
                            <w:sz w:val="18"/>
                            <w:szCs w:val="18"/>
                          </w:rPr>
                          <w:t>万股，占股份总额的</w:t>
                        </w:r>
                        <w:r>
                          <w:rPr>
                            <w:rFonts w:ascii="宋体" w:hAnsi="宋体" w:cs="宋体" w:eastAsia="宋体" w:hint="default"/>
                            <w:spacing w:val="-46"/>
                            <w:sz w:val="18"/>
                            <w:szCs w:val="18"/>
                          </w:rPr>
                          <w:t> </w:t>
                        </w:r>
                        <w:r>
                          <w:rPr>
                            <w:rFonts w:ascii="宋体" w:hAnsi="宋体" w:cs="宋体" w:eastAsia="宋体" w:hint="default"/>
                            <w:sz w:val="18"/>
                            <w:szCs w:val="18"/>
                          </w:rPr>
                          <w:t>37.49%</w:t>
                        </w:r>
                        <w:r>
                          <w:rPr>
                            <w:rFonts w:ascii="宋体" w:hAnsi="宋体" w:cs="宋体" w:eastAsia="宋体" w:hint="default"/>
                            <w:sz w:val="18"/>
                            <w:szCs w:val="18"/>
                          </w:rPr>
                          <w:t>。</w:t>
                        </w:r>
                      </w:p>
                      <w:p>
                        <w:pPr>
                          <w:pStyle w:val="TableParagraph"/>
                          <w:spacing w:line="367" w:lineRule="auto" w:before="29"/>
                          <w:ind w:left="24" w:right="17" w:firstLine="360"/>
                          <w:jc w:val="both"/>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21</w:t>
                        </w:r>
                        <w:r>
                          <w:rPr>
                            <w:rFonts w:ascii="宋体" w:hAnsi="宋体" w:cs="宋体" w:eastAsia="宋体" w:hint="default"/>
                            <w:spacing w:val="-50"/>
                            <w:sz w:val="18"/>
                            <w:szCs w:val="18"/>
                          </w:rPr>
                          <w:t> </w:t>
                        </w:r>
                        <w:r>
                          <w:rPr>
                            <w:rFonts w:ascii="宋体" w:hAnsi="宋体" w:cs="宋体" w:eastAsia="宋体" w:hint="default"/>
                            <w:sz w:val="18"/>
                            <w:szCs w:val="18"/>
                          </w:rPr>
                          <w:t>日，经深圳市国有资产管理办公室深国资办</w:t>
                        </w:r>
                        <w:r>
                          <w:rPr>
                            <w:rFonts w:ascii="宋体" w:hAnsi="宋体" w:cs="宋体" w:eastAsia="宋体" w:hint="default"/>
                            <w:sz w:val="18"/>
                            <w:szCs w:val="18"/>
                          </w:rPr>
                          <w:t>[1999]175</w:t>
                        </w:r>
                        <w:r>
                          <w:rPr>
                            <w:rFonts w:ascii="宋体" w:hAnsi="宋体" w:cs="宋体" w:eastAsia="宋体" w:hint="default"/>
                            <w:spacing w:val="-50"/>
                            <w:sz w:val="18"/>
                            <w:szCs w:val="18"/>
                          </w:rPr>
                          <w:t> </w:t>
                        </w:r>
                        <w:r>
                          <w:rPr>
                            <w:rFonts w:ascii="宋体" w:hAnsi="宋体" w:cs="宋体" w:eastAsia="宋体" w:hint="default"/>
                            <w:spacing w:val="-8"/>
                            <w:sz w:val="18"/>
                            <w:szCs w:val="18"/>
                          </w:rPr>
                          <w:t>号《关于深</w:t>
                        </w:r>
                        <w:r>
                          <w:rPr>
                            <w:rFonts w:ascii="宋体" w:hAnsi="宋体" w:cs="宋体" w:eastAsia="宋体" w:hint="default"/>
                            <w:sz w:val="18"/>
                            <w:szCs w:val="18"/>
                          </w:rPr>
                          <w:t> 圳市农产品股份有限公司股权划转问题的批复》批准，深圳市投资管理公司所持有的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占公司当时总股本</w:t>
                        </w:r>
                        <w:r>
                          <w:rPr>
                            <w:rFonts w:ascii="宋体" w:hAnsi="宋体" w:cs="宋体" w:eastAsia="宋体" w:hint="default"/>
                            <w:spacing w:val="-46"/>
                            <w:sz w:val="18"/>
                            <w:szCs w:val="18"/>
                          </w:rPr>
                          <w:t> </w:t>
                        </w:r>
                        <w:r>
                          <w:rPr>
                            <w:rFonts w:ascii="宋体" w:hAnsi="宋体" w:cs="宋体" w:eastAsia="宋体" w:hint="default"/>
                            <w:spacing w:val="-4"/>
                            <w:sz w:val="18"/>
                            <w:szCs w:val="18"/>
                          </w:rPr>
                          <w:t>9.225%</w:t>
                        </w:r>
                        <w:r>
                          <w:rPr>
                            <w:rFonts w:ascii="宋体" w:hAnsi="宋体" w:cs="宋体" w:eastAsia="宋体" w:hint="default"/>
                            <w:spacing w:val="-4"/>
                            <w:sz w:val="18"/>
                            <w:szCs w:val="18"/>
                          </w:rPr>
                          <w:t>、共计</w:t>
                        </w:r>
                        <w:r>
                          <w:rPr>
                            <w:rFonts w:ascii="宋体" w:hAnsi="宋体" w:cs="宋体" w:eastAsia="宋体" w:hint="default"/>
                            <w:spacing w:val="-46"/>
                            <w:sz w:val="18"/>
                            <w:szCs w:val="18"/>
                          </w:rPr>
                          <w:t> </w:t>
                        </w:r>
                        <w:r>
                          <w:rPr>
                            <w:rFonts w:ascii="宋体" w:hAnsi="宋体" w:cs="宋体" w:eastAsia="宋体" w:hint="default"/>
                            <w:sz w:val="18"/>
                            <w:szCs w:val="18"/>
                          </w:rPr>
                          <w:t>1184.8302</w:t>
                        </w:r>
                        <w:r>
                          <w:rPr>
                            <w:rFonts w:ascii="宋体" w:hAnsi="宋体" w:cs="宋体" w:eastAsia="宋体" w:hint="default"/>
                            <w:spacing w:val="-44"/>
                            <w:sz w:val="18"/>
                            <w:szCs w:val="18"/>
                          </w:rPr>
                          <w:t> </w:t>
                        </w:r>
                        <w:r>
                          <w:rPr>
                            <w:rFonts w:ascii="宋体" w:hAnsi="宋体" w:cs="宋体" w:eastAsia="宋体" w:hint="default"/>
                            <w:sz w:val="18"/>
                            <w:szCs w:val="18"/>
                          </w:rPr>
                          <w:t>万股国家股无偿划转到深圳市商贸投资控 股公司名下。</w:t>
                        </w:r>
                      </w:p>
                      <w:p>
                        <w:pPr>
                          <w:pStyle w:val="TableParagraph"/>
                          <w:spacing w:line="367" w:lineRule="auto" w:before="29"/>
                          <w:ind w:left="24" w:right="17" w:firstLine="360"/>
                          <w:jc w:val="both"/>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日，经深圳市国有资产管理办公室深国资办</w:t>
                        </w:r>
                        <w:r>
                          <w:rPr>
                            <w:rFonts w:ascii="宋体" w:hAnsi="宋体" w:cs="宋体" w:eastAsia="宋体" w:hint="default"/>
                            <w:sz w:val="18"/>
                            <w:szCs w:val="18"/>
                          </w:rPr>
                          <w:t>[2000]28</w:t>
                        </w:r>
                        <w:r>
                          <w:rPr>
                            <w:rFonts w:ascii="宋体" w:hAnsi="宋体" w:cs="宋体" w:eastAsia="宋体" w:hint="default"/>
                            <w:spacing w:val="-49"/>
                            <w:sz w:val="18"/>
                            <w:szCs w:val="18"/>
                          </w:rPr>
                          <w:t> </w:t>
                        </w:r>
                        <w:r>
                          <w:rPr>
                            <w:rFonts w:ascii="宋体" w:hAnsi="宋体" w:cs="宋体" w:eastAsia="宋体" w:hint="default"/>
                            <w:spacing w:val="-6"/>
                            <w:sz w:val="18"/>
                            <w:szCs w:val="18"/>
                          </w:rPr>
                          <w:t>号《关于深圳</w:t>
                        </w:r>
                        <w:r>
                          <w:rPr>
                            <w:rFonts w:ascii="宋体" w:hAnsi="宋体" w:cs="宋体" w:eastAsia="宋体" w:hint="default"/>
                            <w:sz w:val="18"/>
                            <w:szCs w:val="18"/>
                          </w:rPr>
                          <w:t> 市农产品股份有限公司国有股划转问题的批复》批准，深圳市果菜贸易有限公司所持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有的公司</w:t>
                        </w:r>
                        <w:r>
                          <w:rPr>
                            <w:rFonts w:ascii="宋体" w:hAnsi="宋体" w:cs="宋体" w:eastAsia="宋体" w:hint="default"/>
                            <w:spacing w:val="-44"/>
                            <w:sz w:val="18"/>
                            <w:szCs w:val="18"/>
                          </w:rPr>
                          <w:t> </w:t>
                        </w:r>
                        <w:r>
                          <w:rPr>
                            <w:rFonts w:ascii="宋体" w:hAnsi="宋体" w:cs="宋体" w:eastAsia="宋体" w:hint="default"/>
                            <w:sz w:val="18"/>
                            <w:szCs w:val="18"/>
                          </w:rPr>
                          <w:t>690.5598</w:t>
                        </w:r>
                        <w:r>
                          <w:rPr>
                            <w:rFonts w:ascii="宋体" w:hAnsi="宋体" w:cs="宋体" w:eastAsia="宋体" w:hint="default"/>
                            <w:spacing w:val="-42"/>
                            <w:sz w:val="18"/>
                            <w:szCs w:val="18"/>
                          </w:rPr>
                          <w:t> </w:t>
                        </w:r>
                        <w:r>
                          <w:rPr>
                            <w:rFonts w:ascii="宋体" w:hAnsi="宋体" w:cs="宋体" w:eastAsia="宋体" w:hint="default"/>
                            <w:sz w:val="18"/>
                            <w:szCs w:val="18"/>
                          </w:rPr>
                          <w:t>万股国有法人股、深圳市食品总公司所持有的公司</w:t>
                        </w:r>
                        <w:r>
                          <w:rPr>
                            <w:rFonts w:ascii="宋体" w:hAnsi="宋体" w:cs="宋体" w:eastAsia="宋体" w:hint="default"/>
                            <w:spacing w:val="-43"/>
                            <w:sz w:val="18"/>
                            <w:szCs w:val="18"/>
                          </w:rPr>
                          <w:t> </w:t>
                        </w:r>
                        <w:r>
                          <w:rPr>
                            <w:rFonts w:ascii="宋体" w:hAnsi="宋体" w:cs="宋体" w:eastAsia="宋体" w:hint="default"/>
                            <w:sz w:val="18"/>
                            <w:szCs w:val="18"/>
                          </w:rPr>
                          <w:t>690.5598</w:t>
                        </w:r>
                        <w:r>
                          <w:rPr>
                            <w:rFonts w:ascii="宋体" w:hAnsi="宋体" w:cs="宋体" w:eastAsia="宋体" w:hint="default"/>
                            <w:spacing w:val="-42"/>
                            <w:sz w:val="18"/>
                            <w:szCs w:val="18"/>
                          </w:rPr>
                          <w:t> </w:t>
                        </w:r>
                        <w:r>
                          <w:rPr>
                            <w:rFonts w:ascii="宋体" w:hAnsi="宋体" w:cs="宋体" w:eastAsia="宋体" w:hint="default"/>
                            <w:sz w:val="18"/>
                            <w:szCs w:val="18"/>
                          </w:rPr>
                          <w:t>万股</w:t>
                        </w:r>
                      </w:p>
                      <w:p>
                        <w:pPr>
                          <w:pStyle w:val="TableParagraph"/>
                          <w:spacing w:line="367" w:lineRule="auto" w:before="29"/>
                          <w:ind w:left="24" w:right="19"/>
                          <w:jc w:val="right"/>
                          <w:rPr>
                            <w:rFonts w:ascii="宋体" w:hAnsi="宋体" w:cs="宋体" w:eastAsia="宋体" w:hint="default"/>
                            <w:sz w:val="18"/>
                            <w:szCs w:val="18"/>
                          </w:rPr>
                        </w:pPr>
                        <w:r>
                          <w:rPr>
                            <w:rFonts w:ascii="宋体" w:hAnsi="宋体" w:cs="宋体" w:eastAsia="宋体" w:hint="default"/>
                            <w:spacing w:val="-4"/>
                            <w:sz w:val="18"/>
                            <w:szCs w:val="18"/>
                          </w:rPr>
                          <w:t>国有法人股、深圳市水产公司所持有的公司</w:t>
                        </w:r>
                        <w:r>
                          <w:rPr>
                            <w:rFonts w:ascii="宋体" w:hAnsi="宋体" w:cs="宋体" w:eastAsia="宋体" w:hint="default"/>
                            <w:spacing w:val="-45"/>
                            <w:sz w:val="18"/>
                            <w:szCs w:val="18"/>
                          </w:rPr>
                          <w:t> </w:t>
                        </w:r>
                        <w:r>
                          <w:rPr>
                            <w:rFonts w:ascii="宋体" w:hAnsi="宋体" w:cs="宋体" w:eastAsia="宋体" w:hint="default"/>
                            <w:sz w:val="18"/>
                            <w:szCs w:val="18"/>
                          </w:rPr>
                          <w:t>690.5598</w:t>
                        </w:r>
                        <w:r>
                          <w:rPr>
                            <w:rFonts w:ascii="宋体" w:hAnsi="宋体" w:cs="宋体" w:eastAsia="宋体" w:hint="default"/>
                            <w:spacing w:val="-44"/>
                            <w:sz w:val="18"/>
                            <w:szCs w:val="18"/>
                          </w:rPr>
                          <w:t> </w:t>
                        </w:r>
                        <w:r>
                          <w:rPr>
                            <w:rFonts w:ascii="宋体" w:hAnsi="宋体" w:cs="宋体" w:eastAsia="宋体" w:hint="default"/>
                            <w:sz w:val="18"/>
                            <w:szCs w:val="18"/>
                          </w:rPr>
                          <w:t>万股国有法人股均无偿划转到深 圳市商贸投资控股公司名下。深圳市商贸投资控股公司因而成为公司的第一大股东。 </w:t>
                        </w:r>
                        <w:r>
                          <w:rPr>
                            <w:rFonts w:ascii="宋体" w:hAnsi="宋体" w:cs="宋体" w:eastAsia="宋体" w:hint="default"/>
                            <w:spacing w:val="-1"/>
                            <w:sz w:val="18"/>
                            <w:szCs w:val="18"/>
                          </w:rPr>
                          <w:t>根据深圳市国资委</w:t>
                        </w:r>
                        <w:r>
                          <w:rPr>
                            <w:rFonts w:ascii="宋体" w:hAnsi="宋体" w:cs="宋体" w:eastAsia="宋体" w:hint="default"/>
                            <w:spacing w:val="-1"/>
                            <w:sz w:val="18"/>
                            <w:szCs w:val="18"/>
                          </w:rPr>
                          <w:t>[2004]88</w:t>
                        </w:r>
                        <w:r>
                          <w:rPr>
                            <w:rFonts w:ascii="宋体" w:hAnsi="宋体" w:cs="宋体" w:eastAsia="宋体" w:hint="default"/>
                            <w:spacing w:val="-16"/>
                            <w:sz w:val="18"/>
                            <w:szCs w:val="18"/>
                          </w:rPr>
                          <w:t> </w:t>
                        </w:r>
                        <w:r>
                          <w:rPr>
                            <w:rFonts w:ascii="宋体" w:hAnsi="宋体" w:cs="宋体" w:eastAsia="宋体" w:hint="default"/>
                            <w:spacing w:val="-2"/>
                            <w:sz w:val="18"/>
                            <w:szCs w:val="18"/>
                          </w:rPr>
                          <w:t>号《关于市投资管理公司等十六户企业划归市国资委</w:t>
                        </w:r>
                        <w:r>
                          <w:rPr>
                            <w:rFonts w:ascii="宋体" w:hAnsi="宋体" w:cs="宋体" w:eastAsia="宋体" w:hint="default"/>
                            <w:sz w:val="18"/>
                            <w:szCs w:val="18"/>
                          </w:rPr>
                          <w:t> 直接监管的通知》的规定，原由深圳市商贸投资控股公司持有公司的</w:t>
                        </w:r>
                        <w:r>
                          <w:rPr>
                            <w:rFonts w:ascii="宋体" w:hAnsi="宋体" w:cs="宋体" w:eastAsia="宋体" w:hint="default"/>
                            <w:spacing w:val="-74"/>
                            <w:sz w:val="18"/>
                            <w:szCs w:val="18"/>
                          </w:rPr>
                          <w:t> </w:t>
                        </w:r>
                        <w:r>
                          <w:rPr>
                            <w:rFonts w:ascii="宋体" w:hAnsi="宋体" w:cs="宋体" w:eastAsia="宋体" w:hint="default"/>
                            <w:sz w:val="18"/>
                            <w:szCs w:val="18"/>
                          </w:rPr>
                          <w:t>22.88%</w:t>
                        </w:r>
                        <w:r>
                          <w:rPr>
                            <w:rFonts w:ascii="宋体" w:hAnsi="宋体" w:cs="宋体" w:eastAsia="宋体" w:hint="default"/>
                            <w:sz w:val="18"/>
                            <w:szCs w:val="18"/>
                          </w:rPr>
                          <w:t>的国有股</w:t>
                        </w:r>
                      </w:p>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权划转由深圳市国资委持有，深圳市国资委为公司第一大股东。</w:t>
                        </w:r>
                      </w:p>
                      <w:p>
                        <w:pPr>
                          <w:pStyle w:val="TableParagraph"/>
                          <w:spacing w:line="367" w:lineRule="auto" w:before="124"/>
                          <w:ind w:left="24" w:right="19" w:firstLine="36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9</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12</w:t>
                        </w:r>
                        <w:r>
                          <w:rPr>
                            <w:rFonts w:ascii="宋体" w:hAnsi="宋体" w:cs="宋体" w:eastAsia="宋体" w:hint="default"/>
                            <w:spacing w:val="-33"/>
                            <w:sz w:val="18"/>
                            <w:szCs w:val="18"/>
                          </w:rPr>
                          <w:t> </w:t>
                        </w:r>
                        <w:r>
                          <w:rPr>
                            <w:rFonts w:ascii="宋体" w:hAnsi="宋体" w:cs="宋体" w:eastAsia="宋体" w:hint="default"/>
                            <w:sz w:val="18"/>
                            <w:szCs w:val="18"/>
                          </w:rPr>
                          <w:t>日，根据深圳市国资委《关于将深圳市投资管理公司所持深圳市 农产品股份有限公司</w:t>
                        </w:r>
                        <w:r>
                          <w:rPr>
                            <w:rFonts w:ascii="宋体" w:hAnsi="宋体" w:cs="宋体" w:eastAsia="宋体" w:hint="default"/>
                            <w:spacing w:val="-40"/>
                            <w:sz w:val="18"/>
                            <w:szCs w:val="18"/>
                          </w:rPr>
                          <w:t> </w:t>
                        </w:r>
                        <w:r>
                          <w:rPr>
                            <w:rFonts w:ascii="宋体" w:hAnsi="宋体" w:cs="宋体" w:eastAsia="宋体" w:hint="default"/>
                            <w:spacing w:val="-4"/>
                            <w:sz w:val="18"/>
                            <w:szCs w:val="18"/>
                          </w:rPr>
                          <w:t>2.21%</w:t>
                        </w:r>
                        <w:r>
                          <w:rPr>
                            <w:rFonts w:ascii="宋体" w:hAnsi="宋体" w:cs="宋体" w:eastAsia="宋体" w:hint="default"/>
                            <w:spacing w:val="-4"/>
                            <w:sz w:val="18"/>
                            <w:szCs w:val="18"/>
                          </w:rPr>
                          <w:t>股份无偿划转我委的决定》（深国资委</w:t>
                        </w:r>
                        <w:r>
                          <w:rPr>
                            <w:rFonts w:ascii="宋体" w:hAnsi="宋体" w:cs="宋体" w:eastAsia="宋体" w:hint="default"/>
                            <w:spacing w:val="-4"/>
                            <w:sz w:val="18"/>
                            <w:szCs w:val="18"/>
                          </w:rPr>
                          <w:t>[2007]290</w:t>
                        </w:r>
                        <w:r>
                          <w:rPr>
                            <w:rFonts w:ascii="宋体" w:hAnsi="宋体" w:cs="宋体" w:eastAsia="宋体" w:hint="default"/>
                            <w:spacing w:val="-38"/>
                            <w:sz w:val="18"/>
                            <w:szCs w:val="18"/>
                          </w:rPr>
                          <w:t> </w:t>
                        </w:r>
                        <w:r>
                          <w:rPr>
                            <w:rFonts w:ascii="宋体" w:hAnsi="宋体" w:cs="宋体" w:eastAsia="宋体" w:hint="default"/>
                            <w:spacing w:val="-23"/>
                            <w:sz w:val="18"/>
                            <w:szCs w:val="18"/>
                          </w:rPr>
                          <w:t>号文件）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深圳市投资管理公司持有的公司</w:t>
                        </w:r>
                        <w:r>
                          <w:rPr>
                            <w:rFonts w:ascii="宋体" w:hAnsi="宋体" w:cs="宋体" w:eastAsia="宋体" w:hint="default"/>
                            <w:spacing w:val="-26"/>
                            <w:sz w:val="18"/>
                            <w:szCs w:val="18"/>
                          </w:rPr>
                          <w:t> </w:t>
                        </w:r>
                        <w:r>
                          <w:rPr>
                            <w:rFonts w:ascii="宋体" w:hAnsi="宋体" w:cs="宋体" w:eastAsia="宋体" w:hint="default"/>
                            <w:sz w:val="18"/>
                            <w:szCs w:val="18"/>
                          </w:rPr>
                          <w:t>8,565,446</w:t>
                        </w:r>
                        <w:r>
                          <w:rPr>
                            <w:rFonts w:ascii="宋体" w:hAnsi="宋体" w:cs="宋体" w:eastAsia="宋体" w:hint="default"/>
                            <w:spacing w:val="-25"/>
                            <w:sz w:val="18"/>
                            <w:szCs w:val="18"/>
                          </w:rPr>
                          <w:t> </w:t>
                        </w:r>
                        <w:r>
                          <w:rPr>
                            <w:rFonts w:ascii="宋体" w:hAnsi="宋体" w:cs="宋体" w:eastAsia="宋体" w:hint="default"/>
                            <w:sz w:val="18"/>
                            <w:szCs w:val="18"/>
                          </w:rPr>
                          <w:t>股股票（占公司总股本</w:t>
                        </w:r>
                        <w:r>
                          <w:rPr>
                            <w:rFonts w:ascii="宋体" w:hAnsi="宋体" w:cs="宋体" w:eastAsia="宋体" w:hint="default"/>
                            <w:spacing w:val="-26"/>
                            <w:sz w:val="18"/>
                            <w:szCs w:val="18"/>
                          </w:rPr>
                          <w:t> </w:t>
                        </w:r>
                        <w:r>
                          <w:rPr>
                            <w:rFonts w:ascii="宋体" w:hAnsi="宋体" w:cs="宋体" w:eastAsia="宋体" w:hint="default"/>
                            <w:sz w:val="18"/>
                            <w:szCs w:val="18"/>
                          </w:rPr>
                          <w:t>2.21%</w:t>
                        </w:r>
                        <w:r>
                          <w:rPr>
                            <w:rFonts w:ascii="宋体" w:hAnsi="宋体" w:cs="宋体" w:eastAsia="宋体" w:hint="default"/>
                            <w:sz w:val="18"/>
                            <w:szCs w:val="18"/>
                          </w:rPr>
                          <w:t>）无偿划至 深圳市国资委名下持有。本次国有法人股划转后，深圳市国资委持有公司股票数量为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97,269,424</w:t>
                        </w:r>
                        <w:r>
                          <w:rPr>
                            <w:rFonts w:ascii="宋体" w:hAnsi="宋体" w:cs="宋体" w:eastAsia="宋体" w:hint="default"/>
                            <w:spacing w:val="-48"/>
                            <w:sz w:val="18"/>
                            <w:szCs w:val="18"/>
                          </w:rPr>
                          <w:t> </w:t>
                        </w:r>
                        <w:r>
                          <w:rPr>
                            <w:rFonts w:ascii="宋体" w:hAnsi="宋体" w:cs="宋体" w:eastAsia="宋体" w:hint="default"/>
                            <w:sz w:val="18"/>
                            <w:szCs w:val="18"/>
                          </w:rPr>
                          <w:t>股，占公司总股本的</w:t>
                        </w:r>
                        <w:r>
                          <w:rPr>
                            <w:rFonts w:ascii="宋体" w:hAnsi="宋体" w:cs="宋体" w:eastAsia="宋体" w:hint="default"/>
                            <w:spacing w:val="-50"/>
                            <w:sz w:val="18"/>
                            <w:szCs w:val="18"/>
                          </w:rPr>
                          <w:t> </w:t>
                        </w:r>
                        <w:r>
                          <w:rPr>
                            <w:rFonts w:ascii="宋体" w:hAnsi="宋体" w:cs="宋体" w:eastAsia="宋体" w:hint="default"/>
                            <w:sz w:val="18"/>
                            <w:szCs w:val="18"/>
                          </w:rPr>
                          <w:t>25.09%</w:t>
                        </w:r>
                        <w:r>
                          <w:rPr>
                            <w:rFonts w:ascii="宋体" w:hAnsi="宋体" w:cs="宋体" w:eastAsia="宋体" w:hint="default"/>
                            <w:sz w:val="18"/>
                            <w:szCs w:val="18"/>
                          </w:rPr>
                          <w:t>，深圳市国资委为公司第一大股东。</w:t>
                        </w:r>
                      </w:p>
                      <w:p>
                        <w:pPr>
                          <w:pStyle w:val="TableParagraph"/>
                          <w:spacing w:line="367" w:lineRule="auto" w:before="29"/>
                          <w:ind w:left="24" w:right="18" w:firstLine="36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2"/>
                            <w:sz w:val="18"/>
                            <w:szCs w:val="18"/>
                          </w:rPr>
                          <w:t> </w:t>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年两次非公开发行股票及通过二级市场增持等方式，截至</w:t>
                        </w:r>
                        <w:r>
                          <w:rPr>
                            <w:rFonts w:ascii="宋体" w:hAnsi="宋体" w:cs="宋体" w:eastAsia="宋体" w:hint="default"/>
                            <w:spacing w:val="-42"/>
                            <w:sz w:val="18"/>
                            <w:szCs w:val="18"/>
                          </w:rPr>
                          <w:t> </w:t>
                        </w:r>
                        <w:r>
                          <w:rPr>
                            <w:rFonts w:ascii="宋体" w:hAnsi="宋体" w:cs="宋体" w:eastAsia="宋体" w:hint="default"/>
                            <w:sz w:val="18"/>
                            <w:szCs w:val="18"/>
                          </w:rPr>
                          <w:t>2017 </w:t>
                        </w:r>
                        <w:r>
                          <w:rPr>
                            <w:rFonts w:ascii="宋体" w:hAnsi="宋体" w:cs="宋体" w:eastAsia="宋体" w:hint="default"/>
                            <w:sz w:val="18"/>
                            <w:szCs w:val="18"/>
                          </w:rPr>
                          <w:t>年底，深圳市国资委直接和间接持有公司</w:t>
                        </w:r>
                        <w:r>
                          <w:rPr>
                            <w:rFonts w:ascii="宋体" w:hAnsi="宋体" w:cs="宋体" w:eastAsia="宋体" w:hint="default"/>
                            <w:spacing w:val="-47"/>
                            <w:sz w:val="18"/>
                            <w:szCs w:val="18"/>
                          </w:rPr>
                          <w:t> </w:t>
                        </w:r>
                        <w:r>
                          <w:rPr>
                            <w:rFonts w:ascii="宋体" w:hAnsi="宋体" w:cs="宋体" w:eastAsia="宋体" w:hint="default"/>
                            <w:sz w:val="18"/>
                            <w:szCs w:val="18"/>
                          </w:rPr>
                          <w:t>34%</w:t>
                        </w:r>
                        <w:r>
                          <w:rPr>
                            <w:rFonts w:ascii="宋体" w:hAnsi="宋体" w:cs="宋体" w:eastAsia="宋体" w:hint="default"/>
                            <w:sz w:val="18"/>
                            <w:szCs w:val="18"/>
                          </w:rPr>
                          <w:t>股权，为公司控股股东，实际控制人。</w:t>
                        </w:r>
                      </w:p>
                      <w:p>
                        <w:pPr>
                          <w:pStyle w:val="TableParagraph"/>
                          <w:spacing w:line="240" w:lineRule="auto" w:before="29"/>
                          <w:ind w:left="24" w:right="0" w:firstLine="36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z w:val="18"/>
                            <w:szCs w:val="18"/>
                          </w:rPr>
                          <w:t>日，深圳市人民政府下发深府函〔</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号文件，将深圳市国</w:t>
                        </w: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pacing w:val="7"/>
                            <w:sz w:val="18"/>
                            <w:szCs w:val="18"/>
                          </w:rPr>
                          <w:t>资委持有的本公</w:t>
                        </w:r>
                        <w:r>
                          <w:rPr>
                            <w:rFonts w:ascii="宋体" w:hAnsi="宋体" w:cs="宋体" w:eastAsia="宋体" w:hint="default"/>
                            <w:sz w:val="18"/>
                            <w:szCs w:val="18"/>
                          </w:rPr>
                          <w:t>司</w:t>
                        </w:r>
                        <w:r>
                          <w:rPr>
                            <w:rFonts w:ascii="宋体" w:hAnsi="宋体" w:cs="宋体" w:eastAsia="宋体" w:hint="default"/>
                            <w:spacing w:val="6"/>
                            <w:sz w:val="18"/>
                            <w:szCs w:val="18"/>
                          </w:rPr>
                          <w:t> </w:t>
                        </w:r>
                        <w:r>
                          <w:rPr>
                            <w:rFonts w:ascii="宋体" w:hAnsi="宋体" w:cs="宋体" w:eastAsia="宋体" w:hint="default"/>
                            <w:spacing w:val="1"/>
                            <w:sz w:val="18"/>
                            <w:szCs w:val="18"/>
                          </w:rPr>
                          <w:t>28</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6</w:t>
                        </w:r>
                        <w:r>
                          <w:rPr>
                            <w:rFonts w:ascii="宋体" w:hAnsi="宋体" w:cs="宋体" w:eastAsia="宋体" w:hint="default"/>
                            <w:spacing w:val="8"/>
                            <w:sz w:val="18"/>
                            <w:szCs w:val="18"/>
                          </w:rPr>
                          <w:t>%</w:t>
                        </w:r>
                        <w:r>
                          <w:rPr>
                            <w:rFonts w:ascii="宋体" w:hAnsi="宋体" w:cs="宋体" w:eastAsia="宋体" w:hint="default"/>
                            <w:spacing w:val="4"/>
                            <w:sz w:val="18"/>
                            <w:szCs w:val="18"/>
                          </w:rPr>
                          <w:t>股</w:t>
                        </w:r>
                        <w:r>
                          <w:rPr>
                            <w:rFonts w:ascii="宋体" w:hAnsi="宋体" w:cs="宋体" w:eastAsia="宋体" w:hint="default"/>
                            <w:spacing w:val="7"/>
                            <w:sz w:val="18"/>
                            <w:szCs w:val="18"/>
                          </w:rPr>
                          <w:t>份（</w:t>
                        </w:r>
                        <w:r>
                          <w:rPr>
                            <w:rFonts w:ascii="宋体" w:hAnsi="宋体" w:cs="宋体" w:eastAsia="宋体" w:hint="default"/>
                            <w:spacing w:val="1"/>
                            <w:sz w:val="18"/>
                            <w:szCs w:val="18"/>
                          </w:rPr>
                          <w:t>4</w:t>
                        </w:r>
                        <w:r>
                          <w:rPr>
                            <w:rFonts w:ascii="宋体" w:hAnsi="宋体" w:cs="宋体" w:eastAsia="宋体" w:hint="default"/>
                            <w:spacing w:val="-2"/>
                            <w:sz w:val="18"/>
                            <w:szCs w:val="18"/>
                          </w:rPr>
                          <w:t>8</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3</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10"/>
                            <w:sz w:val="18"/>
                            <w:szCs w:val="18"/>
                          </w:rPr>
                          <w:t> </w:t>
                        </w:r>
                        <w:r>
                          <w:rPr>
                            <w:rFonts w:ascii="宋体" w:hAnsi="宋体" w:cs="宋体" w:eastAsia="宋体" w:hint="default"/>
                            <w:spacing w:val="7"/>
                            <w:sz w:val="18"/>
                            <w:szCs w:val="18"/>
                          </w:rPr>
                          <w:t>股流通股</w:t>
                        </w:r>
                        <w:r>
                          <w:rPr>
                            <w:rFonts w:ascii="宋体" w:hAnsi="宋体" w:cs="宋体" w:eastAsia="宋体" w:hint="default"/>
                            <w:spacing w:val="-87"/>
                            <w:sz w:val="18"/>
                            <w:szCs w:val="18"/>
                          </w:rPr>
                          <w:t>）</w:t>
                        </w:r>
                        <w:r>
                          <w:rPr>
                            <w:rFonts w:ascii="宋体" w:hAnsi="宋体" w:cs="宋体" w:eastAsia="宋体" w:hint="default"/>
                            <w:spacing w:val="7"/>
                            <w:sz w:val="18"/>
                            <w:szCs w:val="18"/>
                          </w:rPr>
                          <w:t>、远致投资持有的本公</w:t>
                        </w:r>
                        <w:r>
                          <w:rPr>
                            <w:rFonts w:ascii="宋体" w:hAnsi="宋体" w:cs="宋体" w:eastAsia="宋体" w:hint="default"/>
                            <w:sz w:val="18"/>
                            <w:szCs w:val="18"/>
                          </w:rPr>
                          <w:t>司</w:t>
                        </w:r>
                      </w:p>
                    </w:tc>
                  </w:tr>
                </w:tbl>
                <w:p>
                  <w:pPr/>
                </w:p>
              </w:txbxContent>
            </v:textbox>
            <w10:wrap type="none"/>
          </v:shape>
        </w:pict>
      </w:r>
    </w:p>
    <w:p>
      <w:pPr>
        <w:pStyle w:val="Heading4"/>
        <w:spacing w:line="367" w:lineRule="exact"/>
        <w:ind w:left="152" w:right="0"/>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5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65" w:top="1100" w:bottom="1460" w:left="980" w:right="0"/>
        </w:sectPr>
      </w:pPr>
    </w:p>
    <w:p>
      <w:pPr>
        <w:spacing w:line="240" w:lineRule="auto" w:before="8"/>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2834"/>
        <w:gridCol w:w="6735"/>
      </w:tblGrid>
      <w:tr>
        <w:trPr>
          <w:trHeight w:val="409" w:hRule="exact"/>
        </w:trPr>
        <w:tc>
          <w:tcPr>
            <w:tcW w:w="2834" w:type="dxa"/>
            <w:vMerge w:val="restart"/>
            <w:tcBorders>
              <w:top w:val="single" w:sz="4" w:space="0" w:color="000000"/>
              <w:left w:val="single" w:sz="4" w:space="0" w:color="000000"/>
              <w:right w:val="single" w:sz="4" w:space="0" w:color="000000"/>
            </w:tcBorders>
            <w:shd w:val="clear" w:color="auto" w:fill="D2D2D2"/>
          </w:tcPr>
          <w:p>
            <w:pPr/>
          </w:p>
        </w:tc>
        <w:tc>
          <w:tcPr>
            <w:tcW w:w="6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2"/>
                <w:sz w:val="18"/>
                <w:szCs w:val="18"/>
              </w:rPr>
              <w:t>2</w:t>
            </w:r>
            <w:r>
              <w:rPr>
                <w:rFonts w:ascii="宋体" w:hAnsi="宋体" w:cs="宋体" w:eastAsia="宋体" w:hint="default"/>
                <w:spacing w:val="1"/>
                <w:sz w:val="18"/>
                <w:szCs w:val="18"/>
              </w:rPr>
              <w:t>2%</w:t>
            </w:r>
            <w:r>
              <w:rPr>
                <w:rFonts w:ascii="宋体" w:hAnsi="宋体" w:cs="宋体" w:eastAsia="宋体" w:hint="default"/>
                <w:sz w:val="18"/>
                <w:szCs w:val="18"/>
              </w:rPr>
              <w:t>股份</w:t>
            </w:r>
            <w:r>
              <w:rPr>
                <w:rFonts w:ascii="宋体" w:hAnsi="宋体" w:cs="宋体" w:eastAsia="宋体" w:hint="default"/>
                <w:spacing w:val="-3"/>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0</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5</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流</w:t>
            </w:r>
            <w:r>
              <w:rPr>
                <w:rFonts w:ascii="宋体" w:hAnsi="宋体" w:cs="宋体" w:eastAsia="宋体" w:hint="default"/>
                <w:sz w:val="18"/>
                <w:szCs w:val="18"/>
              </w:rPr>
              <w:t>通股</w:t>
            </w:r>
            <w:r>
              <w:rPr>
                <w:rFonts w:ascii="宋体" w:hAnsi="宋体" w:cs="宋体" w:eastAsia="宋体" w:hint="default"/>
                <w:spacing w:val="-92"/>
                <w:sz w:val="18"/>
                <w:szCs w:val="18"/>
              </w:rPr>
              <w:t>）</w:t>
            </w:r>
            <w:r>
              <w:rPr>
                <w:rFonts w:ascii="宋体" w:hAnsi="宋体" w:cs="宋体" w:eastAsia="宋体" w:hint="default"/>
                <w:sz w:val="18"/>
                <w:szCs w:val="18"/>
              </w:rPr>
              <w:t>、亿鑫投资持有的本</w:t>
            </w:r>
            <w:r>
              <w:rPr>
                <w:rFonts w:ascii="宋体" w:hAnsi="宋体" w:cs="宋体" w:eastAsia="宋体" w:hint="default"/>
                <w:spacing w:val="2"/>
                <w:sz w:val="18"/>
                <w:szCs w:val="18"/>
              </w:rPr>
              <w:t>公</w:t>
            </w:r>
            <w:r>
              <w:rPr>
                <w:rFonts w:ascii="宋体" w:hAnsi="宋体" w:cs="宋体" w:eastAsia="宋体" w:hint="default"/>
                <w:sz w:val="18"/>
                <w:szCs w:val="18"/>
              </w:rPr>
              <w:t>司</w:t>
            </w:r>
            <w:r>
              <w:rPr>
                <w:rFonts w:ascii="宋体" w:hAnsi="宋体" w:cs="宋体" w:eastAsia="宋体" w:hint="default"/>
                <w:spacing w:val="-37"/>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股份</w:t>
            </w:r>
            <w:r>
              <w:rPr>
                <w:rFonts w:ascii="宋体" w:hAnsi="宋体" w:cs="宋体" w:eastAsia="宋体" w:hint="default"/>
                <w:spacing w:val="-3"/>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7</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2"/>
                <w:sz w:val="18"/>
                <w:szCs w:val="18"/>
              </w:rPr>
              <w:t> </w:t>
            </w:r>
            <w:r>
              <w:rPr>
                <w:rFonts w:ascii="宋体" w:hAnsi="宋体" w:cs="宋体" w:eastAsia="宋体" w:hint="default"/>
                <w:sz w:val="18"/>
                <w:szCs w:val="18"/>
              </w:rPr>
              <w:t>股</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流通股）无偿划转至深圳市福德国有资本运营有限公司。</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日，国有股份</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无偿划转至福德资本的过户工作已经完成，上述股份均已登记在福德资本名下。本次</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股权过户完成后，深圳市国资委、远致投资、亿鑫投资不再直接持有公司股份，福德</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资本合计持有公司</w:t>
            </w:r>
            <w:r>
              <w:rPr>
                <w:rFonts w:ascii="宋体" w:hAnsi="宋体" w:cs="宋体" w:eastAsia="宋体" w:hint="default"/>
                <w:spacing w:val="-28"/>
                <w:sz w:val="18"/>
                <w:szCs w:val="18"/>
              </w:rPr>
              <w:t> </w:t>
            </w:r>
            <w:r>
              <w:rPr>
                <w:rFonts w:ascii="宋体" w:hAnsi="宋体" w:cs="宋体" w:eastAsia="宋体" w:hint="default"/>
                <w:sz w:val="18"/>
                <w:szCs w:val="18"/>
              </w:rPr>
              <w:t>576,917,663</w:t>
            </w:r>
            <w:r>
              <w:rPr>
                <w:rFonts w:ascii="宋体" w:hAnsi="宋体" w:cs="宋体" w:eastAsia="宋体" w:hint="default"/>
                <w:spacing w:val="-25"/>
                <w:sz w:val="18"/>
                <w:szCs w:val="18"/>
              </w:rPr>
              <w:t> </w:t>
            </w:r>
            <w:r>
              <w:rPr>
                <w:rFonts w:ascii="宋体" w:hAnsi="宋体" w:cs="宋体" w:eastAsia="宋体" w:hint="default"/>
                <w:sz w:val="18"/>
                <w:szCs w:val="18"/>
              </w:rPr>
              <w:t>股，占公司总股本的</w:t>
            </w:r>
            <w:r>
              <w:rPr>
                <w:rFonts w:ascii="宋体" w:hAnsi="宋体" w:cs="宋体" w:eastAsia="宋体" w:hint="default"/>
                <w:spacing w:val="-28"/>
                <w:sz w:val="18"/>
                <w:szCs w:val="18"/>
              </w:rPr>
              <w:t> </w:t>
            </w:r>
            <w:r>
              <w:rPr>
                <w:rFonts w:ascii="宋体" w:hAnsi="宋体" w:cs="宋体" w:eastAsia="宋体" w:hint="default"/>
                <w:sz w:val="18"/>
                <w:szCs w:val="18"/>
              </w:rPr>
              <w:t>34%</w:t>
            </w:r>
            <w:r>
              <w:rPr>
                <w:rFonts w:ascii="宋体" w:hAnsi="宋体" w:cs="宋体" w:eastAsia="宋体" w:hint="default"/>
                <w:sz w:val="18"/>
                <w:szCs w:val="18"/>
              </w:rPr>
              <w:t>，为公司控股股东。公司实</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际控制人未发生变更，仍为深圳市国资委</w:t>
            </w:r>
            <w:r>
              <w:rPr>
                <w:rFonts w:ascii="宋体" w:hAnsi="宋体" w:cs="宋体" w:eastAsia="宋体" w:hint="default"/>
                <w:spacing w:val="-92"/>
                <w:sz w:val="18"/>
                <w:szCs w:val="18"/>
              </w:rPr>
              <w:t>。</w:t>
            </w:r>
            <w:r>
              <w:rPr>
                <w:rFonts w:ascii="宋体" w:hAnsi="宋体" w:cs="宋体" w:eastAsia="宋体" w:hint="default"/>
                <w:sz w:val="18"/>
                <w:szCs w:val="18"/>
              </w:rPr>
              <w:t>（详见公司于</w:t>
            </w:r>
            <w:r>
              <w:rPr>
                <w:rFonts w:ascii="宋体" w:hAnsi="宋体" w:cs="宋体" w:eastAsia="宋体" w:hint="default"/>
                <w:spacing w:val="-32"/>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0</w:t>
            </w:r>
            <w:r>
              <w:rPr>
                <w:rFonts w:ascii="宋体" w:hAnsi="宋体" w:cs="宋体" w:eastAsia="宋体" w:hint="default"/>
                <w:spacing w:val="-32"/>
                <w:sz w:val="18"/>
                <w:szCs w:val="18"/>
              </w:rPr>
              <w:t> </w:t>
            </w:r>
            <w:r>
              <w:rPr>
                <w:rFonts w:ascii="宋体" w:hAnsi="宋体" w:cs="宋体" w:eastAsia="宋体" w:hint="default"/>
                <w:sz w:val="18"/>
                <w:szCs w:val="18"/>
              </w:rPr>
              <w:t>日、</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pacing w:val="1"/>
                <w:sz w:val="18"/>
                <w:szCs w:val="18"/>
              </w:rPr>
              <w:t>25</w:t>
            </w:r>
            <w:r>
              <w:rPr>
                <w:rFonts w:ascii="宋体" w:hAnsi="宋体" w:cs="宋体" w:eastAsia="宋体" w:hint="default"/>
                <w:sz w:val="18"/>
                <w:szCs w:val="18"/>
              </w:rPr>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12"/>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12"/>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pacing w:val="-12"/>
                <w:sz w:val="18"/>
                <w:szCs w:val="18"/>
              </w:rPr>
              <w:t>、</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在</w:t>
            </w:r>
            <w:r>
              <w:rPr>
                <w:rFonts w:ascii="宋体" w:hAnsi="宋体" w:cs="宋体" w:eastAsia="宋体" w:hint="default"/>
                <w:sz w:val="18"/>
                <w:szCs w:val="18"/>
              </w:rPr>
              <w:t>《证券</w:t>
            </w:r>
            <w:r>
              <w:rPr>
                <w:rFonts w:ascii="宋体" w:hAnsi="宋体" w:cs="宋体" w:eastAsia="宋体" w:hint="default"/>
                <w:spacing w:val="-3"/>
                <w:sz w:val="18"/>
                <w:szCs w:val="18"/>
              </w:rPr>
              <w:t>时</w:t>
            </w: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《上</w:t>
            </w:r>
          </w:p>
        </w:tc>
      </w:tr>
      <w:tr>
        <w:trPr>
          <w:trHeight w:val="321" w:hRule="exact"/>
        </w:trPr>
        <w:tc>
          <w:tcPr>
            <w:tcW w:w="2834" w:type="dxa"/>
            <w:vMerge/>
            <w:tcBorders>
              <w:left w:val="single" w:sz="4" w:space="0" w:color="000000"/>
              <w:bottom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海证券报</w:t>
            </w:r>
            <w:r>
              <w:rPr>
                <w:rFonts w:ascii="宋体" w:hAnsi="宋体" w:cs="宋体" w:eastAsia="宋体" w:hint="default"/>
                <w:spacing w:val="-92"/>
                <w:sz w:val="18"/>
                <w:szCs w:val="18"/>
              </w:rPr>
              <w:t>》、</w:t>
            </w:r>
            <w:r>
              <w:rPr>
                <w:rFonts w:ascii="宋体" w:hAnsi="宋体" w:cs="宋体" w:eastAsia="宋体" w:hint="default"/>
                <w:sz w:val="18"/>
                <w:szCs w:val="18"/>
              </w:rPr>
              <w:t>《证券日报》和</w:t>
            </w:r>
            <w:r>
              <w:rPr>
                <w:rFonts w:ascii="宋体" w:hAnsi="宋体" w:cs="宋体" w:eastAsia="宋体" w:hint="default"/>
                <w:spacing w:val="2"/>
                <w:sz w:val="18"/>
                <w:szCs w:val="18"/>
              </w:rPr>
              <w:t>巨</w:t>
            </w:r>
            <w:r>
              <w:rPr>
                <w:rFonts w:ascii="宋体" w:hAnsi="宋体" w:cs="宋体" w:eastAsia="宋体" w:hint="default"/>
                <w:sz w:val="18"/>
                <w:szCs w:val="18"/>
              </w:rPr>
              <w:t>潮资讯网上刊登的公告）</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4"/>
        <w:spacing w:line="367" w:lineRule="exact"/>
        <w:ind w:left="252" w:right="0"/>
        <w:jc w:val="left"/>
        <w:rPr>
          <w:b w:val="0"/>
          <w:bCs w:val="0"/>
        </w:rPr>
      </w:pPr>
      <w:r>
        <w:rPr/>
        <w:t>五、其他有关资料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252" w:right="0"/>
        <w:jc w:val="left"/>
        <w:rPr>
          <w:b w:val="0"/>
          <w:bCs w:val="0"/>
        </w:rPr>
      </w:pPr>
      <w:r>
        <w:rPr>
          <w:rFonts w:ascii="Times New Roman" w:hAnsi="Times New Roman" w:cs="Times New Roman" w:eastAsia="Times New Roman" w:hint="default"/>
        </w:rPr>
        <w:t>1</w:t>
      </w:r>
      <w:r>
        <w:rPr/>
        <w:t>、公司聘请的会计师事务所</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2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祁涛、毛彦波</w:t>
            </w:r>
          </w:p>
        </w:tc>
      </w:tr>
    </w:tbl>
    <w:p>
      <w:pPr>
        <w:spacing w:line="240" w:lineRule="auto" w:before="0"/>
        <w:rPr>
          <w:rFonts w:ascii="Microsoft JhengHei" w:hAnsi="Microsoft JhengHei" w:cs="Microsoft JhengHei" w:eastAsia="Microsoft JhengHei" w:hint="default"/>
          <w:b/>
          <w:bCs/>
          <w:sz w:val="11"/>
          <w:szCs w:val="11"/>
        </w:rPr>
      </w:pPr>
    </w:p>
    <w:p>
      <w:pPr>
        <w:pStyle w:val="Heading6"/>
        <w:spacing w:line="335" w:lineRule="exact"/>
        <w:ind w:left="252" w:right="0"/>
        <w:jc w:val="left"/>
        <w:rPr>
          <w:b w:val="0"/>
          <w:bCs w:val="0"/>
        </w:rPr>
      </w:pPr>
      <w:r>
        <w:rPr>
          <w:rFonts w:ascii="Times New Roman" w:hAnsi="Times New Roman" w:cs="Times New Roman" w:eastAsia="Times New Roman" w:hint="default"/>
        </w:rPr>
        <w:t>2</w:t>
      </w:r>
      <w:r>
        <w:rPr/>
        <w:t>、公司聘请的报告期内履行持续督导职责的保荐机构</w:t>
      </w:r>
      <w:r>
        <w:rPr>
          <w:b w:val="0"/>
          <w:bCs w:val="0"/>
        </w:rPr>
      </w:r>
    </w:p>
    <w:p>
      <w:pPr>
        <w:spacing w:before="74"/>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247" w:type="dxa"/>
        <w:tblLayout w:type="fixed"/>
        <w:tblCellMar>
          <w:top w:w="0" w:type="dxa"/>
          <w:left w:w="0" w:type="dxa"/>
          <w:bottom w:w="0" w:type="dxa"/>
          <w:right w:w="0" w:type="dxa"/>
        </w:tblCellMar>
        <w:tblLook w:val="01E0"/>
      </w:tblPr>
      <w:tblGrid>
        <w:gridCol w:w="2393"/>
        <w:gridCol w:w="2571"/>
        <w:gridCol w:w="221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广西壮族自治区南宁市滨湖路</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号国海大厦</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覃涛、周琢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年非公开发行股票 </w:t>
            </w:r>
            <w:r>
              <w:rPr>
                <w:rFonts w:ascii="宋体" w:hAnsi="宋体" w:cs="宋体" w:eastAsia="宋体" w:hint="default"/>
                <w:spacing w:val="14"/>
                <w:sz w:val="18"/>
                <w:szCs w:val="18"/>
              </w:rPr>
              <w:t>上市至非公开发行股票募集</w:t>
            </w:r>
            <w:r>
              <w:rPr>
                <w:rFonts w:ascii="宋体" w:hAnsi="宋体" w:cs="宋体" w:eastAsia="宋体" w:hint="default"/>
                <w:sz w:val="18"/>
                <w:szCs w:val="18"/>
              </w:rPr>
              <w:t> 资金使用完毕</w:t>
            </w:r>
          </w:p>
        </w:tc>
      </w:tr>
    </w:tbl>
    <w:p>
      <w:pPr>
        <w:spacing w:line="240" w:lineRule="auto" w:before="6"/>
        <w:rPr>
          <w:rFonts w:ascii="宋体" w:hAnsi="宋体" w:cs="宋体" w:eastAsia="宋体" w:hint="default"/>
          <w:sz w:val="5"/>
          <w:szCs w:val="5"/>
        </w:rPr>
      </w:pPr>
    </w:p>
    <w:p>
      <w:pPr>
        <w:pStyle w:val="Heading6"/>
        <w:spacing w:line="335" w:lineRule="exact"/>
        <w:ind w:left="252" w:right="0"/>
        <w:jc w:val="left"/>
        <w:rPr>
          <w:b w:val="0"/>
          <w:bCs w:val="0"/>
        </w:rPr>
      </w:pPr>
      <w:r>
        <w:rPr>
          <w:rFonts w:ascii="Times New Roman" w:hAnsi="Times New Roman" w:cs="Times New Roman" w:eastAsia="Times New Roman" w:hint="default"/>
        </w:rPr>
        <w:t>3</w:t>
      </w:r>
      <w:r>
        <w:rPr/>
        <w:t>、公司聘请的报告期内履行持续督导职责的财务顾问</w:t>
      </w:r>
      <w:r>
        <w:rPr>
          <w:b w:val="0"/>
          <w:bCs w:val="0"/>
        </w:rPr>
      </w:r>
    </w:p>
    <w:p>
      <w:pPr>
        <w:spacing w:before="74"/>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Heading4"/>
        <w:spacing w:line="240" w:lineRule="auto"/>
        <w:ind w:left="252" w:right="0"/>
        <w:jc w:val="left"/>
        <w:rPr>
          <w:b w:val="0"/>
          <w:bCs w:val="0"/>
        </w:rPr>
      </w:pPr>
      <w:r>
        <w:rPr/>
        <w:t>六、主要会计数据和财务指标</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252" w:right="0"/>
        <w:jc w:val="left"/>
        <w:rPr>
          <w:b w:val="0"/>
          <w:bCs w:val="0"/>
        </w:rPr>
      </w:pPr>
      <w:r>
        <w:rPr>
          <w:rFonts w:ascii="Times New Roman" w:hAnsi="Times New Roman" w:cs="Times New Roman" w:eastAsia="Times New Roman" w:hint="default"/>
        </w:rPr>
        <w:t>1</w:t>
      </w:r>
      <w:r>
        <w:rPr/>
        <w:t>、公司是否需追溯调整或重述以前年度会计数据</w:t>
      </w:r>
      <w:r>
        <w:rPr>
          <w:b w:val="0"/>
          <w:bCs w:val="0"/>
        </w:rPr>
      </w:r>
    </w:p>
    <w:p>
      <w:pPr>
        <w:spacing w:before="154"/>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6"/>
        <w:spacing w:line="240" w:lineRule="auto" w:before="93"/>
        <w:ind w:left="252" w:right="0"/>
        <w:jc w:val="left"/>
        <w:rPr>
          <w:b w:val="0"/>
          <w:bCs w:val="0"/>
        </w:rPr>
      </w:pPr>
      <w:r>
        <w:rPr>
          <w:rFonts w:ascii="Times New Roman" w:hAnsi="Times New Roman" w:cs="Times New Roman" w:eastAsia="Times New Roman" w:hint="default"/>
        </w:rPr>
        <w:t>2</w:t>
      </w:r>
      <w:r>
        <w:rPr/>
        <w:t>、报告期，主要财务数据</w:t>
      </w:r>
      <w:r>
        <w:rPr>
          <w:b w:val="0"/>
          <w:bCs w:val="0"/>
        </w:rPr>
      </w:r>
    </w:p>
    <w:p>
      <w:pPr>
        <w:spacing w:line="240" w:lineRule="auto" w:before="3"/>
        <w:rPr>
          <w:rFonts w:ascii="Microsoft JhengHei" w:hAnsi="Microsoft JhengHei" w:cs="Microsoft JhengHei" w:eastAsia="Microsoft JhengHei" w:hint="default"/>
          <w:b/>
          <w:bCs/>
          <w:sz w:val="6"/>
          <w:szCs w:val="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814"/>
        <w:gridCol w:w="433"/>
        <w:gridCol w:w="1421"/>
        <w:gridCol w:w="1700"/>
        <w:gridCol w:w="1844"/>
        <w:gridCol w:w="1702"/>
      </w:tblGrid>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13" w:space="0" w:color="D0CECE"/>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4" w:type="dxa"/>
            <w:tcBorders>
              <w:top w:val="single" w:sz="4" w:space="0" w:color="000000"/>
              <w:left w:val="single" w:sz="10" w:space="0" w:color="D2D2D2"/>
              <w:bottom w:val="single" w:sz="4" w:space="0" w:color="000000"/>
              <w:right w:val="single" w:sz="4" w:space="0" w:color="000000"/>
            </w:tcBorders>
            <w:shd w:val="clear" w:color="auto" w:fill="D0CECE"/>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85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553" w:right="0"/>
              <w:jc w:val="left"/>
              <w:rPr>
                <w:rFonts w:ascii="Times New Roman" w:hAnsi="Times New Roman" w:cs="Times New Roman" w:eastAsia="Times New Roman" w:hint="default"/>
                <w:sz w:val="18"/>
                <w:szCs w:val="18"/>
              </w:rPr>
            </w:pPr>
            <w:r>
              <w:rPr>
                <w:rFonts w:ascii="Times New Roman"/>
                <w:sz w:val="18"/>
              </w:rPr>
              <w:t>2,302,055,708.59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2,446,281,449.79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2,020,079,117.77</w:t>
            </w:r>
          </w:p>
        </w:tc>
      </w:tr>
      <w:tr>
        <w:trPr>
          <w:trHeight w:val="71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归属于上市公司股东的净利润（元</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3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42,767,102.22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13,892,078.69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88,459,545.07</w:t>
            </w:r>
          </w:p>
        </w:tc>
      </w:tr>
      <w:tr>
        <w:trPr>
          <w:trHeight w:val="715"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0" w:right="49" w:hanging="15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w:t>
            </w:r>
            <w:r>
              <w:rPr>
                <w:rFonts w:ascii="宋体" w:hAnsi="宋体" w:cs="宋体" w:eastAsia="宋体" w:hint="default"/>
                <w:spacing w:val="-8"/>
                <w:sz w:val="18"/>
                <w:szCs w:val="18"/>
              </w:rPr>
              <w:t>性损益的净利润（元）（注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85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-133,472,774.92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-70,450,973.04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-164,928,727.37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5" w:top="1100" w:bottom="1460" w:left="880" w:right="0"/>
        </w:sectPr>
      </w:pPr>
    </w:p>
    <w:p>
      <w:pPr>
        <w:spacing w:line="240" w:lineRule="auto" w:before="8"/>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814"/>
        <w:gridCol w:w="320"/>
        <w:gridCol w:w="1534"/>
        <w:gridCol w:w="1700"/>
        <w:gridCol w:w="1844"/>
        <w:gridCol w:w="1702"/>
      </w:tblGrid>
      <w:tr>
        <w:trPr>
          <w:trHeight w:val="71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经营活动产生的现金流量净额（元</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2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1,247,423,260.30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771,773,024.23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527,937,261.56</w:t>
            </w: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85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0.0252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0.0521</w:t>
            </w: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85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0.0252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0.0521</w:t>
            </w: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85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 </w:t>
            </w:r>
            <w:r>
              <w:rPr>
                <w:rFonts w:ascii="宋体" w:hAnsi="宋体" w:cs="宋体" w:eastAsia="宋体" w:hint="default"/>
                <w:sz w:val="18"/>
                <w:szCs w:val="18"/>
              </w:rPr>
              <w:t>个百分点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0" w:type="dxa"/>
            <w:tcBorders>
              <w:top w:val="single" w:sz="4" w:space="0" w:color="000000"/>
              <w:left w:val="single" w:sz="4" w:space="0" w:color="000000"/>
              <w:bottom w:val="single" w:sz="4" w:space="0" w:color="000000"/>
              <w:right w:val="single" w:sz="13" w:space="0" w:color="D0CECE"/>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844" w:type="dxa"/>
            <w:tcBorders>
              <w:top w:val="single" w:sz="4" w:space="0" w:color="000000"/>
              <w:left w:val="single" w:sz="10" w:space="0" w:color="D2D2D2"/>
              <w:bottom w:val="single" w:sz="4" w:space="0" w:color="000000"/>
              <w:right w:val="single" w:sz="4" w:space="0" w:color="000000"/>
            </w:tcBorders>
            <w:shd w:val="clear" w:color="auto" w:fill="D0CECE"/>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85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462" w:right="0"/>
              <w:jc w:val="left"/>
              <w:rPr>
                <w:rFonts w:ascii="Times New Roman" w:hAnsi="Times New Roman" w:cs="Times New Roman" w:eastAsia="Times New Roman" w:hint="default"/>
                <w:sz w:val="18"/>
                <w:szCs w:val="18"/>
              </w:rPr>
            </w:pPr>
            <w:r>
              <w:rPr>
                <w:rFonts w:ascii="Times New Roman"/>
                <w:sz w:val="18"/>
              </w:rPr>
              <w:t>18,999,687,796.24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18,843,433,038.79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17,249,187,728.53</w:t>
            </w:r>
          </w:p>
        </w:tc>
      </w:tr>
      <w:tr>
        <w:trPr>
          <w:trHeight w:val="404"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32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4,927,569,139.27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4,809,926,423.25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4,844,272,168.54</w:t>
            </w:r>
          </w:p>
        </w:tc>
      </w:tr>
    </w:tbl>
    <w:p>
      <w:pPr>
        <w:spacing w:line="307" w:lineRule="auto" w:before="49"/>
        <w:ind w:left="252" w:right="1131"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、报告期，归属于上市公司股东的净利润、基本每股收益、稀释每股收益、加权平均净资产收益率同比增加，主要系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公司下属成都公司、南昌公司、广西海吉星经营性收入同比增加，岳阳海吉星实现商铺销售收入；公司下属天津海吉星实现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原三家子公司股权转让收益。</w:t>
      </w:r>
    </w:p>
    <w:p>
      <w:pPr>
        <w:spacing w:line="300" w:lineRule="auto" w:before="67"/>
        <w:ind w:left="2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、报告期，归属于上市公司股东的扣除非经常性损益的净利润同比减少，主要系下属广西新柳邕、九江公司商铺销售收入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同比减少，公司、国际食品及小额贷款公司计提资产减值准备同比增加。</w:t>
      </w:r>
    </w:p>
    <w:p>
      <w:pPr>
        <w:spacing w:line="300" w:lineRule="auto" w:before="72"/>
        <w:ind w:left="252"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、报告期，经营活动产生的现金流量净额同比增加，主要系下属龙岗分公司预收商铺租金增加、下属广西新柳邕和岳阳海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吉星预收商铺销售款增加，下属小额贷款公司业务量同比减少、下属广西海吉星和长沙公司付现销售费用同比减少。</w:t>
      </w:r>
    </w:p>
    <w:p>
      <w:pPr>
        <w:pStyle w:val="Heading6"/>
        <w:spacing w:line="240" w:lineRule="auto" w:before="64"/>
        <w:ind w:left="252" w:right="0"/>
        <w:jc w:val="both"/>
        <w:rPr>
          <w:b w:val="0"/>
          <w:bCs w:val="0"/>
        </w:rPr>
      </w:pPr>
      <w:r>
        <w:rPr>
          <w:rFonts w:ascii="Times New Roman" w:hAnsi="Times New Roman" w:cs="Times New Roman" w:eastAsia="Times New Roman" w:hint="default"/>
        </w:rPr>
        <w:t>3</w:t>
      </w:r>
      <w:r>
        <w:rPr/>
        <w:t>、会计政策变更的原因及会计差错更正的情况</w:t>
      </w:r>
      <w:r>
        <w:rPr>
          <w:b w:val="0"/>
          <w:bCs w:val="0"/>
        </w:rPr>
      </w:r>
    </w:p>
    <w:p>
      <w:pPr>
        <w:spacing w:line="240" w:lineRule="auto" w:before="7"/>
        <w:rPr>
          <w:rFonts w:ascii="Microsoft JhengHei" w:hAnsi="Microsoft JhengHei" w:cs="Microsoft JhengHei" w:eastAsia="Microsoft JhengHei" w:hint="default"/>
          <w:b/>
          <w:bCs/>
          <w:sz w:val="13"/>
          <w:szCs w:val="13"/>
        </w:rPr>
      </w:pPr>
    </w:p>
    <w:p>
      <w:pPr>
        <w:spacing w:before="0"/>
        <w:ind w:left="2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3"/>
          <w:szCs w:val="13"/>
        </w:rPr>
      </w:pPr>
    </w:p>
    <w:p>
      <w:pPr>
        <w:spacing w:line="1692" w:lineRule="exact"/>
        <w:ind w:left="144" w:right="0" w:firstLine="0"/>
        <w:rPr>
          <w:rFonts w:ascii="宋体" w:hAnsi="宋体" w:cs="宋体" w:eastAsia="宋体" w:hint="default"/>
          <w:sz w:val="20"/>
          <w:szCs w:val="20"/>
        </w:rPr>
      </w:pPr>
      <w:r>
        <w:rPr>
          <w:rFonts w:ascii="宋体" w:hAnsi="宋体" w:cs="宋体" w:eastAsia="宋体" w:hint="default"/>
          <w:position w:val="-33"/>
          <w:sz w:val="20"/>
          <w:szCs w:val="20"/>
        </w:rPr>
        <w:pict>
          <v:shape style="width:492.85pt;height:84.6pt;mso-position-horizontal-relative:char;mso-position-vertical-relative:line" type="#_x0000_t202" filled="false" stroked="true" strokeweight=".48004pt" strokecolor="#000000">
            <w10:anchorlock/>
            <v:textbox inset="0,0,0,0">
              <w:txbxContent>
                <w:p>
                  <w:pPr>
                    <w:spacing w:before="49"/>
                    <w:ind w:left="463" w:right="0" w:firstLine="0"/>
                    <w:jc w:val="left"/>
                    <w:rPr>
                      <w:rFonts w:ascii="宋体" w:hAnsi="宋体" w:cs="宋体" w:eastAsia="宋体" w:hint="default"/>
                      <w:sz w:val="18"/>
                      <w:szCs w:val="18"/>
                    </w:rPr>
                  </w:pPr>
                  <w:r>
                    <w:rPr>
                      <w:rFonts w:ascii="宋体" w:hAnsi="宋体" w:cs="宋体" w:eastAsia="宋体" w:hint="default"/>
                      <w:sz w:val="18"/>
                      <w:szCs w:val="18"/>
                    </w:rPr>
                    <w:t>报告期，公司无会计差错更正情况。</w:t>
                  </w:r>
                </w:p>
                <w:p>
                  <w:pPr>
                    <w:spacing w:before="117"/>
                    <w:ind w:left="463" w:right="0" w:firstLine="0"/>
                    <w:jc w:val="left"/>
                    <w:rPr>
                      <w:rFonts w:ascii="宋体" w:hAnsi="宋体" w:cs="宋体" w:eastAsia="宋体" w:hint="default"/>
                      <w:sz w:val="18"/>
                      <w:szCs w:val="18"/>
                    </w:rPr>
                  </w:pPr>
                  <w:r>
                    <w:rPr>
                      <w:rFonts w:ascii="宋体" w:hAnsi="宋体" w:cs="宋体" w:eastAsia="宋体" w:hint="default"/>
                      <w:sz w:val="18"/>
                      <w:szCs w:val="18"/>
                    </w:rPr>
                    <w:t>经第八届董事会第二十三次会议审议通过</w:t>
                  </w:r>
                  <w:r>
                    <w:rPr>
                      <w:rFonts w:ascii="宋体" w:hAnsi="宋体" w:cs="宋体" w:eastAsia="宋体" w:hint="default"/>
                      <w:spacing w:val="-26"/>
                      <w:sz w:val="18"/>
                      <w:szCs w:val="18"/>
                    </w:rPr>
                    <w:t>，</w:t>
                  </w:r>
                  <w:r>
                    <w:rPr>
                      <w:rFonts w:ascii="宋体" w:hAnsi="宋体" w:cs="宋体" w:eastAsia="宋体" w:hint="default"/>
                      <w:sz w:val="18"/>
                      <w:szCs w:val="18"/>
                    </w:rPr>
                    <w:t>根据财政</w:t>
                  </w:r>
                  <w:r>
                    <w:rPr>
                      <w:rFonts w:ascii="宋体" w:hAnsi="宋体" w:cs="宋体" w:eastAsia="宋体" w:hint="default"/>
                      <w:spacing w:val="-27"/>
                      <w:sz w:val="18"/>
                      <w:szCs w:val="18"/>
                    </w:rPr>
                    <w:t>部</w:t>
                  </w:r>
                  <w:r>
                    <w:rPr>
                      <w:rFonts w:ascii="宋体" w:hAnsi="宋体" w:cs="宋体" w:eastAsia="宋体" w:hint="default"/>
                      <w:sz w:val="18"/>
                      <w:szCs w:val="18"/>
                    </w:rPr>
                    <w:t>《</w:t>
                  </w:r>
                  <w:r>
                    <w:rPr>
                      <w:rFonts w:ascii="宋体" w:hAnsi="宋体" w:cs="宋体" w:eastAsia="宋体" w:hint="default"/>
                      <w:spacing w:val="-3"/>
                      <w:sz w:val="18"/>
                      <w:szCs w:val="18"/>
                    </w:rPr>
                    <w:t>关</w:t>
                  </w:r>
                  <w:r>
                    <w:rPr>
                      <w:rFonts w:ascii="宋体" w:hAnsi="宋体" w:cs="宋体" w:eastAsia="宋体" w:hint="default"/>
                      <w:sz w:val="18"/>
                      <w:szCs w:val="18"/>
                    </w:rPr>
                    <w:t>于修订印发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年度一般企</w:t>
                  </w:r>
                  <w:r>
                    <w:rPr>
                      <w:rFonts w:ascii="宋体" w:hAnsi="宋体" w:cs="宋体" w:eastAsia="宋体" w:hint="default"/>
                      <w:spacing w:val="-3"/>
                      <w:sz w:val="18"/>
                      <w:szCs w:val="18"/>
                    </w:rPr>
                    <w:t>业</w:t>
                  </w:r>
                  <w:r>
                    <w:rPr>
                      <w:rFonts w:ascii="宋体" w:hAnsi="宋体" w:cs="宋体" w:eastAsia="宋体" w:hint="default"/>
                      <w:sz w:val="18"/>
                      <w:szCs w:val="18"/>
                    </w:rPr>
                    <w:t>财务报表格式的通知</w:t>
                  </w:r>
                  <w:r>
                    <w:rPr>
                      <w:rFonts w:ascii="宋体" w:hAnsi="宋体" w:cs="宋体" w:eastAsia="宋体" w:hint="default"/>
                      <w:spacing w:val="-118"/>
                      <w:sz w:val="18"/>
                      <w:szCs w:val="18"/>
                    </w:rPr>
                    <w:t>》</w:t>
                  </w:r>
                  <w:r>
                    <w:rPr>
                      <w:rFonts w:ascii="宋体" w:hAnsi="宋体" w:cs="宋体" w:eastAsia="宋体" w:hint="default"/>
                      <w:sz w:val="18"/>
                      <w:szCs w:val="18"/>
                    </w:rPr>
                    <w:t>（财会</w:t>
                  </w:r>
                </w:p>
                <w:p>
                  <w:pPr>
                    <w:spacing w:line="309" w:lineRule="auto" w:before="63"/>
                    <w:ind w:left="103" w:right="10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[2018]15 </w:t>
                  </w:r>
                  <w:r>
                    <w:rPr>
                      <w:rFonts w:ascii="宋体" w:hAnsi="宋体" w:cs="宋体" w:eastAsia="宋体" w:hint="default"/>
                      <w:sz w:val="18"/>
                      <w:szCs w:val="18"/>
                    </w:rPr>
                    <w:t>号）要求，公司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年度及以后期间的财务报表需按照《修订报表格式通知》要求的修订后的一般企业财务报表</w:t>
                  </w:r>
                  <w:r>
                    <w:rPr>
                      <w:rFonts w:ascii="宋体" w:hAnsi="宋体" w:cs="宋体" w:eastAsia="宋体" w:hint="default"/>
                      <w:w w:val="99"/>
                      <w:sz w:val="18"/>
                      <w:szCs w:val="18"/>
                    </w:rPr>
                    <w:t> </w:t>
                  </w:r>
                  <w:r>
                    <w:rPr>
                      <w:rFonts w:ascii="宋体" w:hAnsi="宋体" w:cs="宋体" w:eastAsia="宋体" w:hint="default"/>
                      <w:sz w:val="18"/>
                      <w:szCs w:val="18"/>
                    </w:rPr>
                    <w:t>格式来编制。详见本报告第五节重要事项</w:t>
                  </w:r>
                  <w:r>
                    <w:rPr>
                      <w:rFonts w:ascii="宋体" w:hAnsi="宋体" w:cs="宋体" w:eastAsia="宋体" w:hint="default"/>
                      <w:spacing w:val="6"/>
                      <w:sz w:val="18"/>
                      <w:szCs w:val="18"/>
                    </w:rPr>
                    <w:t> </w:t>
                  </w:r>
                  <w:r>
                    <w:rPr>
                      <w:rFonts w:ascii="宋体" w:hAnsi="宋体" w:cs="宋体" w:eastAsia="宋体" w:hint="default"/>
                      <w:sz w:val="18"/>
                      <w:szCs w:val="18"/>
                    </w:rPr>
                    <w:t>六、与上年度财务报告相比，会计政策、会计估计和核算方法发生变化的情况说</w:t>
                  </w:r>
                  <w:r>
                    <w:rPr>
                      <w:rFonts w:ascii="宋体" w:hAnsi="宋体" w:cs="宋体" w:eastAsia="宋体" w:hint="default"/>
                      <w:w w:val="99"/>
                      <w:sz w:val="18"/>
                      <w:szCs w:val="18"/>
                    </w:rPr>
                    <w:t> </w:t>
                  </w:r>
                  <w:r>
                    <w:rPr>
                      <w:rFonts w:ascii="宋体" w:hAnsi="宋体" w:cs="宋体" w:eastAsia="宋体" w:hint="default"/>
                      <w:sz w:val="18"/>
                      <w:szCs w:val="18"/>
                    </w:rPr>
                    <w:t>明。</w:t>
                  </w:r>
                </w:p>
              </w:txbxContent>
            </v:textbox>
          </v:shape>
        </w:pict>
      </w:r>
      <w:r>
        <w:rPr>
          <w:rFonts w:ascii="宋体" w:hAnsi="宋体" w:cs="宋体" w:eastAsia="宋体" w:hint="default"/>
          <w:position w:val="-33"/>
          <w:sz w:val="20"/>
          <w:szCs w:val="20"/>
        </w:rPr>
      </w:r>
    </w:p>
    <w:p>
      <w:pPr>
        <w:pStyle w:val="Heading6"/>
        <w:spacing w:line="332" w:lineRule="exact"/>
        <w:ind w:left="252" w:right="0"/>
        <w:jc w:val="left"/>
        <w:rPr>
          <w:b w:val="0"/>
          <w:bCs w:val="0"/>
        </w:rPr>
      </w:pPr>
      <w:r>
        <w:rPr>
          <w:rFonts w:ascii="Times New Roman" w:hAnsi="Times New Roman" w:cs="Times New Roman" w:eastAsia="Times New Roman" w:hint="default"/>
        </w:rPr>
        <w:t>4</w:t>
      </w:r>
      <w:r>
        <w:rPr/>
        <w:t>、截止披露前一交易日的公司总股本：</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2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1,696,964,131</w:t>
            </w:r>
          </w:p>
        </w:tc>
      </w:tr>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0.0252</w:t>
            </w:r>
          </w:p>
        </w:tc>
      </w:tr>
    </w:tbl>
    <w:p>
      <w:pPr>
        <w:spacing w:line="240" w:lineRule="auto" w:before="2"/>
        <w:rPr>
          <w:rFonts w:ascii="Microsoft JhengHei" w:hAnsi="Microsoft JhengHei" w:cs="Microsoft JhengHei" w:eastAsia="Microsoft JhengHei" w:hint="default"/>
          <w:b/>
          <w:bCs/>
          <w:sz w:val="4"/>
          <w:szCs w:val="4"/>
        </w:rPr>
      </w:pPr>
    </w:p>
    <w:p>
      <w:pPr>
        <w:pStyle w:val="Heading6"/>
        <w:spacing w:line="335" w:lineRule="exact"/>
        <w:ind w:left="252" w:right="0"/>
        <w:jc w:val="left"/>
        <w:rPr>
          <w:b w:val="0"/>
          <w:bCs w:val="0"/>
        </w:rPr>
      </w:pPr>
      <w:r>
        <w:rPr>
          <w:rFonts w:ascii="Times New Roman" w:hAnsi="Times New Roman" w:cs="Times New Roman" w:eastAsia="Times New Roman" w:hint="default"/>
        </w:rPr>
        <w:t>5</w:t>
      </w:r>
      <w:r>
        <w:rPr/>
        <w:t>、是否存在公司债</w:t>
      </w:r>
      <w:r>
        <w:rPr>
          <w:b w:val="0"/>
          <w:bCs w:val="0"/>
        </w:rPr>
      </w:r>
    </w:p>
    <w:p>
      <w:pPr>
        <w:spacing w:before="74"/>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6"/>
        <w:spacing w:line="240" w:lineRule="auto" w:before="95"/>
        <w:ind w:left="252" w:right="0"/>
        <w:jc w:val="left"/>
        <w:rPr>
          <w:b w:val="0"/>
          <w:bCs w:val="0"/>
        </w:rPr>
      </w:pPr>
      <w:r>
        <w:rPr>
          <w:rFonts w:ascii="Times New Roman" w:hAnsi="Times New Roman" w:cs="Times New Roman" w:eastAsia="Times New Roman" w:hint="default"/>
        </w:rPr>
        <w:t>6</w:t>
      </w:r>
      <w:r>
        <w:rPr/>
        <w:t>、公司是否存在最近两年连续亏损的情形</w:t>
      </w:r>
      <w:r>
        <w:rPr>
          <w:b w:val="0"/>
          <w:bCs w:val="0"/>
        </w:rPr>
      </w:r>
    </w:p>
    <w:p>
      <w:pPr>
        <w:spacing w:before="74"/>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4"/>
        <w:spacing w:line="240" w:lineRule="auto"/>
        <w:ind w:left="252" w:right="0"/>
        <w:jc w:val="left"/>
        <w:rPr>
          <w:b w:val="0"/>
          <w:bCs w:val="0"/>
        </w:rPr>
      </w:pPr>
      <w:r>
        <w:rPr/>
        <w:t>七、境内外会计准则下会计数据差异</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left="252"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340" w:lineRule="auto" w:before="154"/>
        <w:ind w:left="2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after="0" w:line="340" w:lineRule="auto"/>
        <w:jc w:val="left"/>
        <w:rPr>
          <w:rFonts w:ascii="宋体" w:hAnsi="宋体" w:cs="宋体" w:eastAsia="宋体" w:hint="default"/>
          <w:sz w:val="18"/>
          <w:szCs w:val="18"/>
        </w:rPr>
        <w:sectPr>
          <w:pgSz w:w="11910" w:h="16840"/>
          <w:pgMar w:header="877" w:footer="1265" w:top="1100" w:bottom="1460" w:left="880" w:right="0"/>
        </w:sectPr>
      </w:pPr>
    </w:p>
    <w:p>
      <w:pPr>
        <w:spacing w:line="240" w:lineRule="auto" w:before="1"/>
        <w:rPr>
          <w:rFonts w:ascii="宋体" w:hAnsi="宋体" w:cs="宋体" w:eastAsia="宋体" w:hint="default"/>
          <w:sz w:val="21"/>
          <w:szCs w:val="21"/>
        </w:rPr>
      </w:pPr>
    </w:p>
    <w:p>
      <w:pPr>
        <w:pStyle w:val="Heading6"/>
        <w:spacing w:line="335" w:lineRule="exact"/>
        <w:ind w:left="152"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340" w:lineRule="auto" w:before="151"/>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6"/>
        <w:spacing w:line="240" w:lineRule="auto"/>
        <w:ind w:left="152"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before="15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240" w:lineRule="auto" w:before="58"/>
        <w:ind w:left="152" w:right="0"/>
        <w:jc w:val="left"/>
        <w:rPr>
          <w:b w:val="0"/>
          <w:bCs w:val="0"/>
        </w:rPr>
      </w:pPr>
      <w:r>
        <w:rPr/>
        <w:t>八、分季度主要财务指标</w:t>
      </w:r>
      <w:r>
        <w:rPr>
          <w:b w:val="0"/>
          <w:bCs w:val="0"/>
        </w:rPr>
      </w:r>
    </w:p>
    <w:p>
      <w:pPr>
        <w:spacing w:before="1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pacing w:val="-1"/>
                <w:sz w:val="18"/>
              </w:rPr>
              <w:t>532,860,813.99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567,002,668.09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598,954,166.89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603,238,059.62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pacing w:val="-1"/>
                <w:sz w:val="18"/>
              </w:rPr>
              <w:t>3,072,274.44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-20,680,293.63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64,842,145.74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-4,467,024.33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pacing w:val="-1"/>
                <w:sz w:val="18"/>
              </w:rPr>
              <w:t>-8,051,619.31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-40,039,513.30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-24,279,025.13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-61,102,617.18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pacing w:val="-1"/>
                <w:sz w:val="18"/>
              </w:rPr>
              <w:t>139,402,488.33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339,366,186.92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482,554,823.66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286,099,761.39</w:t>
            </w:r>
          </w:p>
        </w:tc>
      </w:tr>
    </w:tbl>
    <w:p>
      <w:pPr>
        <w:spacing w:line="240" w:lineRule="auto" w:before="5"/>
        <w:rPr>
          <w:rFonts w:ascii="宋体" w:hAnsi="宋体" w:cs="宋体" w:eastAsia="宋体" w:hint="default"/>
          <w:sz w:val="6"/>
          <w:szCs w:val="6"/>
        </w:rPr>
      </w:pPr>
    </w:p>
    <w:p>
      <w:pPr>
        <w:spacing w:line="300" w:lineRule="exact" w:before="0"/>
        <w:ind w:left="1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上述财务指标或其加总数是否与公司已披露季度报告、半年度报告相关财务指标存在重大差异</w:t>
      </w:r>
      <w:r>
        <w:rPr>
          <w:rFonts w:ascii="Microsoft JhengHei" w:hAnsi="Microsoft JhengHei" w:cs="Microsoft JhengHei" w:eastAsia="Microsoft JhengHei" w:hint="default"/>
          <w:sz w:val="18"/>
          <w:szCs w:val="18"/>
        </w:rPr>
      </w:r>
    </w:p>
    <w:p>
      <w:pPr>
        <w:spacing w:before="9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8"/>
          <w:szCs w:val="18"/>
        </w:rPr>
      </w:pPr>
    </w:p>
    <w:p>
      <w:pPr>
        <w:pStyle w:val="Heading4"/>
        <w:spacing w:line="240" w:lineRule="auto"/>
        <w:ind w:left="152" w:right="0"/>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571"/>
        <w:gridCol w:w="1416"/>
        <w:gridCol w:w="1419"/>
        <w:gridCol w:w="780"/>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3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107,938,962.11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55,849,272.80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289,934,561.80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3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155,264,564.49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68,733,350.11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59,966,143.97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23,500,625.42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20,496,578.97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1026"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3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 取得投资时应享有被投资单位可辨认净资产公允价值产 生的收益</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 值准备</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65" w:top="1100" w:bottom="14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394"/>
        <w:gridCol w:w="1560"/>
        <w:gridCol w:w="1416"/>
        <w:gridCol w:w="1419"/>
        <w:gridCol w:w="780"/>
      </w:tblGrid>
      <w:tr>
        <w:trPr>
          <w:trHeight w:val="36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 净损益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7"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 值变动产生的损益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 次性调整对当期损益的影响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9,418,465.75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7,572,904.11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-29,823,460.17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1,746,080.44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6,483,405.71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42,771,092.11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35,611,870.66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81,705,841.06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47,288,188.35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34,443,264.04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21,289,997.98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176,239,877.14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84,343,051.73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253,388,272.44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19" w:lineRule="auto" w:before="49"/>
        <w:ind w:left="152" w:right="112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、报告期，非流动资产处置损益主要系公司下属天津海吉星实现原三家子公司股权转让收益；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、报告期，计入当期损益的政府补助主要系公司下属广西新柳邕公司、长沙公司、岳阳公司、深圳海吉星等报告期确认政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府补助；</w:t>
      </w:r>
    </w:p>
    <w:p>
      <w:pPr>
        <w:spacing w:before="5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、报告期，计入当期损益的对非金融企业收取的资金占用费主要系公司对联营企业提供借款收取的资金占用成本；</w:t>
      </w:r>
    </w:p>
    <w:p>
      <w:pPr>
        <w:spacing w:line="319" w:lineRule="auto" w:before="103"/>
        <w:ind w:left="152" w:right="11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、报告期理财产品收益系公司使用闲置募集资金投资银行保本理财产品产生的收益，详见第五节、重要事项</w:t>
      </w:r>
      <w:r>
        <w:rPr>
          <w:rFonts w:ascii="宋体" w:hAnsi="宋体" w:cs="宋体" w:eastAsia="宋体" w:hint="default"/>
          <w:spacing w:val="-54"/>
          <w:sz w:val="18"/>
          <w:szCs w:val="18"/>
        </w:rPr>
        <w:t> </w:t>
      </w:r>
      <w:r>
        <w:rPr>
          <w:rFonts w:ascii="宋体" w:hAnsi="宋体" w:cs="宋体" w:eastAsia="宋体" w:hint="default"/>
          <w:spacing w:val="-4"/>
          <w:sz w:val="18"/>
          <w:szCs w:val="18"/>
        </w:rPr>
        <w:t>十七、重大合</w:t>
      </w:r>
      <w:r>
        <w:rPr>
          <w:rFonts w:ascii="宋体" w:hAnsi="宋体" w:cs="宋体" w:eastAsia="宋体" w:hint="default"/>
          <w:sz w:val="18"/>
          <w:szCs w:val="18"/>
        </w:rPr>
        <w:t> 同及其履行情况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、委托他人进行现金资产管理情况； </w:t>
      </w:r>
      <w:r>
        <w:rPr>
          <w:rFonts w:ascii="Times New Roman" w:hAnsi="Times New Roman" w:cs="Times New Roman" w:eastAsia="Times New Roman" w:hint="default"/>
          <w:sz w:val="18"/>
          <w:szCs w:val="18"/>
        </w:rPr>
        <w:t>5</w:t>
      </w:r>
      <w:r>
        <w:rPr>
          <w:rFonts w:ascii="宋体" w:hAnsi="宋体" w:cs="宋体" w:eastAsia="宋体" w:hint="default"/>
          <w:sz w:val="18"/>
          <w:szCs w:val="18"/>
        </w:rPr>
        <w:t>、报告期，除上述各项之外的其他营业外收入和支出主要系公司下属广西新柳邕公司拆除部分临时建筑产生损失、南方物</w:t>
      </w:r>
    </w:p>
    <w:p>
      <w:pPr>
        <w:spacing w:line="233"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流公司延期竣工支付违约金等。</w:t>
      </w:r>
    </w:p>
    <w:p>
      <w:pPr>
        <w:spacing w:line="240" w:lineRule="auto" w:before="6"/>
        <w:rPr>
          <w:rFonts w:ascii="宋体" w:hAnsi="宋体" w:cs="宋体" w:eastAsia="宋体" w:hint="default"/>
          <w:sz w:val="12"/>
          <w:szCs w:val="12"/>
        </w:rPr>
      </w:pPr>
    </w:p>
    <w:p>
      <w:pPr>
        <w:spacing w:before="0"/>
        <w:ind w:left="1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对公司根据《公开发行证券的公司信息披露解释性公告第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Microsoft JhengHei" w:hAnsi="Microsoft JhengHei" w:cs="Microsoft JhengHei" w:eastAsia="Microsoft JhengHei" w:hint="default"/>
          <w:b/>
          <w:bCs/>
          <w:sz w:val="18"/>
          <w:szCs w:val="18"/>
        </w:rPr>
        <w:t>号</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非经常性损益》定义界定的非经常性损益项目，以及把</w:t>
      </w:r>
      <w:r>
        <w:rPr>
          <w:rFonts w:ascii="Microsoft JhengHei" w:hAnsi="Microsoft JhengHei" w:cs="Microsoft JhengHei" w:eastAsia="Microsoft JhengHei" w:hint="default"/>
          <w:sz w:val="18"/>
          <w:szCs w:val="18"/>
        </w:rPr>
      </w:r>
    </w:p>
    <w:p>
      <w:pPr>
        <w:spacing w:line="273" w:lineRule="auto" w:before="46"/>
        <w:ind w:left="152" w:right="118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《公开发行证券的公司信息披露解释性公告第</w:t>
      </w:r>
      <w:r>
        <w:rPr>
          <w:rFonts w:ascii="Microsoft JhengHei" w:hAnsi="Microsoft JhengHei" w:cs="Microsoft JhengHei" w:eastAsia="Microsoft JhengHei" w:hint="default"/>
          <w:b/>
          <w:bCs/>
          <w:spacing w:val="1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3"/>
          <w:sz w:val="18"/>
          <w:szCs w:val="18"/>
        </w:rPr>
        <w:t> </w:t>
      </w:r>
      <w:r>
        <w:rPr>
          <w:rFonts w:ascii="Microsoft JhengHei" w:hAnsi="Microsoft JhengHei" w:cs="Microsoft JhengHei" w:eastAsia="Microsoft JhengHei" w:hint="default"/>
          <w:b/>
          <w:bCs/>
          <w:sz w:val="18"/>
          <w:szCs w:val="18"/>
        </w:rPr>
        <w:t>号</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非经常性损益》中列举的非经常性损益项目界定为经常性损益的项</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pacing w:val="-43"/>
          <w:sz w:val="18"/>
          <w:szCs w:val="18"/>
        </w:rPr>
      </w:r>
      <w:r>
        <w:rPr>
          <w:rFonts w:ascii="Microsoft JhengHei" w:hAnsi="Microsoft JhengHei" w:cs="Microsoft JhengHei" w:eastAsia="Microsoft JhengHei" w:hint="default"/>
          <w:b/>
          <w:bCs/>
          <w:sz w:val="18"/>
          <w:szCs w:val="18"/>
        </w:rPr>
        <w:t>目，应说明原因</w:t>
      </w:r>
      <w:r>
        <w:rPr>
          <w:rFonts w:ascii="Microsoft JhengHei" w:hAnsi="Microsoft JhengHei" w:cs="Microsoft JhengHei" w:eastAsia="Microsoft JhengHei" w:hint="default"/>
          <w:sz w:val="18"/>
          <w:szCs w:val="18"/>
        </w:rPr>
      </w:r>
    </w:p>
    <w:p>
      <w:pPr>
        <w:spacing w:before="10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45" w:lineRule="auto" w:before="152"/>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45" w:lineRule="auto"/>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left="152" w:right="0"/>
        <w:jc w:val="both"/>
        <w:rPr>
          <w:b w:val="0"/>
          <w:bCs w:val="0"/>
        </w:rPr>
      </w:pPr>
      <w:r>
        <w:rPr/>
        <w:t>一、报告期内公司从事的主要业务</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left="152" w:right="0" w:firstLine="420"/>
        <w:jc w:val="left"/>
      </w:pPr>
      <w:r>
        <w:rPr>
          <w:spacing w:val="-2"/>
        </w:rPr>
        <w:t>公司主营业务为农产品批发市场的开发、建设、经营和管理，业务范围涉及农产品流通、农产品供应</w:t>
      </w:r>
      <w:r>
        <w:rPr>
          <w:w w:val="100"/>
        </w:rPr>
        <w:t> </w:t>
      </w:r>
      <w:r>
        <w:rPr/>
        <w:t>链服务、农产品电子商务等。报告期内，公司主要经营模式未发生重大变化。</w:t>
      </w:r>
    </w:p>
    <w:p>
      <w:pPr>
        <w:pStyle w:val="Heading4"/>
        <w:spacing w:line="240" w:lineRule="auto" w:before="168"/>
        <w:ind w:left="152" w:right="0"/>
        <w:jc w:val="both"/>
        <w:rPr>
          <w:b w:val="0"/>
          <w:bCs w:val="0"/>
        </w:rPr>
      </w:pPr>
      <w:r>
        <w:rPr/>
        <w:t>二、核心竞争力分析</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240" w:lineRule="auto" w:before="0"/>
        <w:ind w:left="573" w:right="0"/>
        <w:jc w:val="left"/>
      </w:pPr>
      <w:r>
        <w:rPr/>
        <w:t>公司专注于农产品流通行业近 </w:t>
      </w:r>
      <w:r>
        <w:rPr>
          <w:rFonts w:ascii="宋体" w:hAnsi="宋体" w:cs="宋体" w:eastAsia="宋体" w:hint="default"/>
        </w:rPr>
        <w:t>30</w:t>
      </w:r>
      <w:r>
        <w:rPr>
          <w:rFonts w:ascii="宋体" w:hAnsi="宋体" w:cs="宋体" w:eastAsia="宋体" w:hint="default"/>
          <w:spacing w:val="-29"/>
        </w:rPr>
        <w:t> </w:t>
      </w:r>
      <w:r>
        <w:rPr/>
        <w:t>年，开创农产品批发市场“布吉模式”和“网络化”经营模式，在</w:t>
      </w:r>
    </w:p>
    <w:p>
      <w:pPr>
        <w:spacing w:line="240" w:lineRule="auto" w:before="10"/>
        <w:rPr>
          <w:rFonts w:ascii="宋体" w:hAnsi="宋体" w:cs="宋体" w:eastAsia="宋体" w:hint="default"/>
          <w:sz w:val="14"/>
          <w:szCs w:val="14"/>
        </w:rPr>
      </w:pPr>
    </w:p>
    <w:p>
      <w:pPr>
        <w:pStyle w:val="BodyText"/>
        <w:spacing w:line="408" w:lineRule="auto" w:before="0"/>
        <w:ind w:left="152" w:right="1105"/>
        <w:jc w:val="both"/>
      </w:pPr>
      <w:r>
        <w:rPr>
          <w:spacing w:val="-3"/>
        </w:rPr>
        <w:t>深圳、北京、上海、天津、成都、长沙、南昌、西安等</w:t>
      </w:r>
      <w:r>
        <w:rPr>
          <w:spacing w:val="-47"/>
        </w:rPr>
        <w:t> </w:t>
      </w:r>
      <w:r>
        <w:rPr>
          <w:rFonts w:ascii="宋体" w:hAnsi="宋体" w:cs="宋体" w:eastAsia="宋体" w:hint="default"/>
        </w:rPr>
        <w:t>30</w:t>
      </w:r>
      <w:r>
        <w:rPr>
          <w:rFonts w:ascii="宋体" w:hAnsi="宋体" w:cs="宋体" w:eastAsia="宋体" w:hint="default"/>
          <w:spacing w:val="-46"/>
        </w:rPr>
        <w:t> </w:t>
      </w:r>
      <w:r>
        <w:rPr/>
        <w:t>多个大中城市经营管理</w:t>
      </w:r>
      <w:r>
        <w:rPr>
          <w:spacing w:val="-47"/>
        </w:rPr>
        <w:t> </w:t>
      </w:r>
      <w:r>
        <w:rPr>
          <w:rFonts w:ascii="宋体" w:hAnsi="宋体" w:cs="宋体" w:eastAsia="宋体" w:hint="default"/>
        </w:rPr>
        <w:t>40</w:t>
      </w:r>
      <w:r>
        <w:rPr>
          <w:rFonts w:ascii="宋体" w:hAnsi="宋体" w:cs="宋体" w:eastAsia="宋体" w:hint="default"/>
          <w:spacing w:val="-46"/>
        </w:rPr>
        <w:t> </w:t>
      </w:r>
      <w:r>
        <w:rPr/>
        <w:t>多个实体农产品物流</w:t>
      </w:r>
      <w:r>
        <w:rPr>
          <w:spacing w:val="-99"/>
        </w:rPr>
        <w:t> </w:t>
      </w:r>
      <w:r>
        <w:rPr>
          <w:spacing w:val="-99"/>
        </w:rPr>
      </w:r>
      <w:r>
        <w:rPr>
          <w:spacing w:val="-2"/>
        </w:rPr>
        <w:t>园项目，形成国内最具规模的农产品批发市场网络体系。公司创导绿色交易，精心打造以保障食品安全、</w:t>
      </w:r>
      <w:r>
        <w:rPr>
          <w:spacing w:val="-21"/>
        </w:rPr>
        <w:t> </w:t>
      </w:r>
      <w:r>
        <w:rPr>
          <w:spacing w:val="-21"/>
        </w:rPr>
      </w:r>
      <w:r>
        <w:rPr>
          <w:spacing w:val="-2"/>
          <w:w w:val="100"/>
        </w:rPr>
        <w:t>提高流通效率、综合利用资源为核心的“海吉星品牌”，公司旗下海吉星市场汇集了公司在工程建设、食</w:t>
      </w:r>
      <w:r>
        <w:rPr>
          <w:spacing w:val="-90"/>
          <w:w w:val="100"/>
        </w:rPr>
        <w:t> </w:t>
      </w:r>
      <w:r>
        <w:rPr>
          <w:spacing w:val="-90"/>
          <w:w w:val="100"/>
        </w:rPr>
      </w:r>
      <w:r>
        <w:rPr>
          <w:spacing w:val="-2"/>
        </w:rPr>
        <w:t>品安全、信息科技、电子商务、物流管理、金融服务、综合环保等领域的创新性成果，是农产品流通行业</w:t>
      </w:r>
      <w:r>
        <w:rPr>
          <w:spacing w:val="-42"/>
        </w:rPr>
        <w:t> </w:t>
      </w:r>
      <w:r>
        <w:rPr>
          <w:spacing w:val="-42"/>
        </w:rPr>
      </w:r>
      <w:r>
        <w:rPr>
          <w:spacing w:val="-2"/>
          <w:w w:val="100"/>
        </w:rPr>
        <w:t>转型升级的典范之作。经过多年培育，“海吉星”品牌知名度和影响力与日俱增，成为农产品流通行业的</w:t>
      </w:r>
      <w:r>
        <w:rPr>
          <w:spacing w:val="-94"/>
          <w:w w:val="100"/>
        </w:rPr>
        <w:t> </w:t>
      </w:r>
      <w:r>
        <w:rPr>
          <w:spacing w:val="-94"/>
          <w:w w:val="100"/>
        </w:rPr>
      </w:r>
      <w:r>
        <w:rPr/>
        <w:t>标杆。同时，公司率先探索建设“大白菜</w:t>
      </w:r>
      <w:r>
        <w:rPr>
          <w:rFonts w:ascii="宋体" w:hAnsi="宋体" w:cs="宋体" w:eastAsia="宋体" w:hint="default"/>
        </w:rPr>
        <w:t>+</w:t>
      </w:r>
      <w:r>
        <w:rPr/>
        <w:t>”电商平台，整合全国农产品批发市场的数据资源，通过互联</w:t>
      </w:r>
      <w:r>
        <w:rPr>
          <w:spacing w:val="-23"/>
        </w:rPr>
        <w:t> </w:t>
      </w:r>
      <w:r>
        <w:rPr>
          <w:spacing w:val="-23"/>
        </w:rPr>
      </w:r>
      <w:r>
        <w:rPr>
          <w:spacing w:val="-2"/>
        </w:rPr>
        <w:t>网技术形成服务平台和网络，支撑实体批发市场转型升级。公司以农产品流通为主线、以信息智能化为基</w:t>
      </w:r>
      <w:r>
        <w:rPr>
          <w:spacing w:val="-43"/>
        </w:rPr>
        <w:t> </w:t>
      </w:r>
      <w:r>
        <w:rPr>
          <w:spacing w:val="-43"/>
        </w:rPr>
      </w:r>
      <w:r>
        <w:rPr>
          <w:spacing w:val="-2"/>
        </w:rPr>
        <w:t>础，整合内外资源，深耕批发市场主业，深耕重点区域、重点市场，围绕农产品产业链提供基地认证、食</w:t>
      </w:r>
      <w:r>
        <w:rPr>
          <w:spacing w:val="-42"/>
        </w:rPr>
        <w:t> </w:t>
      </w:r>
      <w:r>
        <w:rPr>
          <w:spacing w:val="-42"/>
        </w:rPr>
      </w:r>
      <w:r>
        <w:rPr>
          <w:spacing w:val="-2"/>
        </w:rPr>
        <w:t>品安全检测、品牌培育、金融、集约化加工配送、大数据等多种服务，打造供应链综合服务平台。公司始</w:t>
      </w:r>
      <w:r>
        <w:rPr>
          <w:spacing w:val="-42"/>
        </w:rPr>
        <w:t> </w:t>
      </w:r>
      <w:r>
        <w:rPr>
          <w:spacing w:val="-42"/>
        </w:rPr>
      </w:r>
      <w:r>
        <w:rPr>
          <w:spacing w:val="-2"/>
        </w:rPr>
        <w:t>终秉承“服务、创新、笃信、共赢”的企业精神，围绕“打造国际一流的农产品流通网络”的战略愿景，</w:t>
      </w:r>
      <w:r>
        <w:rPr>
          <w:spacing w:val="-21"/>
        </w:rPr>
        <w:t> </w:t>
      </w:r>
      <w:r>
        <w:rPr>
          <w:spacing w:val="-21"/>
        </w:rPr>
      </w:r>
      <w:r>
        <w:rPr/>
        <w:t>坚定不移地践行“绿色交易创导者，美好生活创造者”的企业使命孜孜不倦，改革创新。</w:t>
      </w:r>
    </w:p>
    <w:p>
      <w:pPr>
        <w:pStyle w:val="Heading4"/>
        <w:spacing w:line="240" w:lineRule="auto" w:before="165"/>
        <w:ind w:left="152" w:right="0"/>
        <w:jc w:val="both"/>
        <w:rPr>
          <w:b w:val="0"/>
          <w:bCs w:val="0"/>
        </w:rPr>
      </w:pPr>
      <w:r>
        <w:rPr/>
        <w:t>三、主要资产重大变化情况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152"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152" w:right="0"/>
        <w:jc w:val="both"/>
      </w:pPr>
      <w:r>
        <w:rPr/>
        <w:t>详见本报告第四节 经营情况讨论与分析</w:t>
      </w:r>
      <w:r>
        <w:rPr>
          <w:spacing w:val="-6"/>
        </w:rPr>
        <w:t> </w:t>
      </w:r>
      <w:r>
        <w:rPr/>
        <w:t>四、资产及负债状况</w:t>
      </w:r>
    </w:p>
    <w:p>
      <w:pPr>
        <w:spacing w:line="240" w:lineRule="auto" w:before="6"/>
        <w:rPr>
          <w:rFonts w:ascii="宋体" w:hAnsi="宋体" w:cs="宋体" w:eastAsia="宋体" w:hint="default"/>
          <w:sz w:val="20"/>
          <w:szCs w:val="20"/>
        </w:rPr>
      </w:pPr>
    </w:p>
    <w:p>
      <w:pPr>
        <w:pStyle w:val="Heading6"/>
        <w:spacing w:line="240" w:lineRule="auto"/>
        <w:ind w:left="152"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1265" w:top="1100" w:bottom="1460" w:left="980" w:right="0"/>
        </w:sectPr>
      </w:pPr>
    </w:p>
    <w:p>
      <w:pPr>
        <w:spacing w:line="240" w:lineRule="auto" w:before="0"/>
        <w:rPr>
          <w:rFonts w:ascii="宋体" w:hAnsi="宋体" w:cs="宋体" w:eastAsia="宋体" w:hint="default"/>
          <w:sz w:val="20"/>
          <w:szCs w:val="20"/>
        </w:rPr>
      </w:pPr>
    </w:p>
    <w:p>
      <w:pPr>
        <w:pStyle w:val="Heading1"/>
        <w:spacing w:line="240" w:lineRule="auto" w:before="72"/>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left="152" w:right="0"/>
        <w:jc w:val="both"/>
        <w:rPr>
          <w:b w:val="0"/>
          <w:bCs w:val="0"/>
        </w:rPr>
      </w:pPr>
      <w:r>
        <w:rPr/>
        <w:t>一、概述</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left="152" w:right="1131" w:firstLine="420"/>
        <w:jc w:val="both"/>
      </w:pPr>
      <w:r>
        <w:rPr>
          <w:rFonts w:ascii="宋体" w:hAnsi="宋体" w:cs="宋体" w:eastAsia="宋体" w:hint="default"/>
        </w:rPr>
        <w:t>2018</w:t>
      </w:r>
      <w:r>
        <w:rPr>
          <w:rFonts w:ascii="宋体" w:hAnsi="宋体" w:cs="宋体" w:eastAsia="宋体" w:hint="default"/>
          <w:spacing w:val="7"/>
        </w:rPr>
        <w:t> </w:t>
      </w:r>
      <w:r>
        <w:rPr>
          <w:spacing w:val="-4"/>
        </w:rPr>
        <w:t>年是公司实施“十三五”规划的关键一年，为了积极应对外部竞争、抓住改革开放发展机遇，公</w:t>
      </w:r>
      <w:r>
        <w:rPr>
          <w:w w:val="100"/>
        </w:rPr>
        <w:t> </w:t>
      </w:r>
      <w:r>
        <w:rPr/>
        <w:t>司启动了综合改革，加快转型升级，构建企业发展长效机制。</w:t>
      </w:r>
    </w:p>
    <w:p>
      <w:pPr>
        <w:spacing w:line="376" w:lineRule="auto" w:before="2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（一）启动综合改革，探索改革创新发展路径</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报告期，公司成立全面深化改革领导小组，聚焦改革重点难点，研究制定《综合改革实施方案》，明</w:t>
      </w:r>
      <w:r>
        <w:rPr>
          <w:rFonts w:ascii="宋体" w:hAnsi="宋体" w:cs="宋体" w:eastAsia="宋体" w:hint="default"/>
          <w:sz w:val="21"/>
          <w:szCs w:val="21"/>
        </w:rPr>
      </w:r>
    </w:p>
    <w:p>
      <w:pPr>
        <w:pStyle w:val="BodyText"/>
        <w:spacing w:line="350" w:lineRule="auto" w:before="6"/>
        <w:ind w:left="152" w:right="1128"/>
        <w:jc w:val="both"/>
      </w:pPr>
      <w:r>
        <w:rPr>
          <w:spacing w:val="-2"/>
        </w:rPr>
        <w:t>确改革目标和改革路线。公司从集团总部组织架构重组、完善公司治理结构、推动商业模式转型升级</w:t>
      </w:r>
      <w:r>
        <w:rPr>
          <w:rFonts w:ascii="Microsoft JhengHei" w:hAnsi="Microsoft JhengHei" w:cs="Microsoft JhengHei" w:eastAsia="Microsoft JhengHei" w:hint="default"/>
          <w:b/>
          <w:bCs/>
          <w:spacing w:val="-2"/>
        </w:rPr>
        <w:t>、</w:t>
      </w:r>
      <w:r>
        <w:rPr>
          <w:spacing w:val="-2"/>
        </w:rPr>
        <w:t>建</w:t>
      </w:r>
      <w:r>
        <w:rPr>
          <w:spacing w:val="-48"/>
        </w:rPr>
        <w:t> </w:t>
      </w:r>
      <w:r>
        <w:rPr/>
        <w:t>立激励约束机制等方面启动了改革工作。</w:t>
      </w:r>
    </w:p>
    <w:p>
      <w:pPr>
        <w:spacing w:line="376" w:lineRule="auto" w:before="7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（二）聚焦主业经营，提高经营管理效率</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3"/>
          <w:sz w:val="21"/>
          <w:szCs w:val="21"/>
        </w:rPr>
        <w:t>报告期，公司以“精细化、规范化、信息化、标准化”建设为抓手，推动旗下各批发市场深挖潜、强</w:t>
      </w:r>
    </w:p>
    <w:p>
      <w:pPr>
        <w:pStyle w:val="BodyText"/>
        <w:spacing w:line="441" w:lineRule="auto" w:before="73"/>
        <w:ind w:left="573" w:right="0" w:hanging="421"/>
        <w:jc w:val="left"/>
      </w:pPr>
      <w:r>
        <w:rPr/>
        <w:t>管理、内优化、稳经营，市场主业经营稳中向好。</w:t>
      </w:r>
      <w:r>
        <w:rPr>
          <w:w w:val="100"/>
        </w:rPr>
        <w:t> </w:t>
      </w:r>
      <w:r>
        <w:rPr>
          <w:rFonts w:ascii="宋体" w:hAnsi="宋体" w:cs="宋体" w:eastAsia="宋体" w:hint="default"/>
        </w:rPr>
        <w:t>1</w:t>
      </w:r>
      <w:r>
        <w:rPr/>
        <w:t>、在提升精细化管理方面，旗下成熟市场通过优化场地资源、优化客户结构，优化品种组合，调整</w:t>
      </w:r>
    </w:p>
    <w:p>
      <w:pPr>
        <w:pStyle w:val="BodyText"/>
        <w:spacing w:line="408" w:lineRule="auto" w:before="16"/>
        <w:ind w:left="152" w:right="1126"/>
        <w:jc w:val="both"/>
      </w:pPr>
      <w:r>
        <w:rPr>
          <w:spacing w:val="-2"/>
        </w:rPr>
        <w:t>经营业态，提升档位价值、提高档位出租率，挖掘市场潜力空间，提升经济效益；旗下培育市场通过对商</w:t>
      </w:r>
      <w:r>
        <w:rPr>
          <w:spacing w:val="-43"/>
        </w:rPr>
        <w:t> </w:t>
      </w:r>
      <w:r>
        <w:rPr>
          <w:spacing w:val="-43"/>
        </w:rPr>
      </w:r>
      <w:r>
        <w:rPr>
          <w:spacing w:val="-2"/>
        </w:rPr>
        <w:t>户分级分类管理、全方位提升服务，加强精准招商力度，加快市场培育速度，引进新业态，开拓市场发展</w:t>
      </w:r>
      <w:r>
        <w:rPr>
          <w:spacing w:val="-43"/>
        </w:rPr>
        <w:t> </w:t>
      </w:r>
      <w:r>
        <w:rPr>
          <w:spacing w:val="-43"/>
        </w:rPr>
      </w:r>
      <w:r>
        <w:rPr/>
        <w:t>空间。</w:t>
      </w:r>
    </w:p>
    <w:p>
      <w:pPr>
        <w:pStyle w:val="BodyText"/>
        <w:spacing w:line="408" w:lineRule="auto" w:before="87"/>
        <w:ind w:left="152" w:right="1131" w:firstLine="420"/>
        <w:jc w:val="both"/>
      </w:pPr>
      <w:r>
        <w:rPr>
          <w:rFonts w:ascii="宋体" w:hAnsi="宋体" w:cs="宋体" w:eastAsia="宋体" w:hint="default"/>
        </w:rPr>
        <w:t>2</w:t>
      </w:r>
      <w:r>
        <w:rPr/>
        <w:t>、在提升规范化管理方面，加强旗下市场档位或场地租赁、费用收取、交易秩序、工程招投标等方</w:t>
      </w:r>
      <w:r>
        <w:rPr>
          <w:w w:val="100"/>
        </w:rPr>
        <w:t> </w:t>
      </w:r>
      <w:r>
        <w:rPr/>
        <w:t>面的系统性规范管理，在市场形象规范、标识指引等方面加快对旗下老旧市场的升级改造。</w:t>
      </w:r>
    </w:p>
    <w:p>
      <w:pPr>
        <w:pStyle w:val="BodyText"/>
        <w:spacing w:line="408" w:lineRule="auto" w:before="87"/>
        <w:ind w:left="152" w:right="1131" w:firstLine="420"/>
        <w:jc w:val="both"/>
      </w:pPr>
      <w:r>
        <w:rPr>
          <w:rFonts w:ascii="宋体" w:hAnsi="宋体" w:cs="宋体" w:eastAsia="宋体" w:hint="default"/>
        </w:rPr>
        <w:t>3</w:t>
      </w:r>
      <w:r>
        <w:rPr/>
        <w:t>、在推进信息化建设方面，制定并启动信息化建设三年规划的总体方案；研发并优化集团版档位管</w:t>
      </w:r>
      <w:r>
        <w:rPr>
          <w:w w:val="100"/>
        </w:rPr>
        <w:t> </w:t>
      </w:r>
      <w:r>
        <w:rPr>
          <w:spacing w:val="-2"/>
        </w:rPr>
        <w:t>理系统、智慧食安追溯系统、智慧停车场收费管理系统、智慧海吉星管理系统，在旗下成熟市场进行初步</w:t>
      </w:r>
      <w:r>
        <w:rPr>
          <w:spacing w:val="-50"/>
        </w:rPr>
        <w:t> </w:t>
      </w:r>
      <w:r>
        <w:rPr>
          <w:spacing w:val="-50"/>
        </w:rPr>
      </w:r>
      <w:r>
        <w:rPr/>
        <w:t>部署和应用，将快速实现管理数据及业务数据的归集，提高管理效能。</w:t>
      </w:r>
    </w:p>
    <w:p>
      <w:pPr>
        <w:pStyle w:val="BodyText"/>
        <w:spacing w:line="408" w:lineRule="auto" w:before="84"/>
        <w:ind w:left="152" w:right="1128" w:firstLine="420"/>
        <w:jc w:val="both"/>
      </w:pPr>
      <w:r>
        <w:rPr>
          <w:rFonts w:ascii="宋体" w:hAnsi="宋体" w:cs="宋体" w:eastAsia="宋体" w:hint="default"/>
        </w:rPr>
        <w:t>4</w:t>
      </w:r>
      <w:r>
        <w:rPr/>
        <w:t>、在提升标准化管理方面，公司初步完成《海吉星批发市场运营管理手册》的编制工作，从批发市</w:t>
      </w:r>
      <w:r>
        <w:rPr>
          <w:w w:val="100"/>
        </w:rPr>
        <w:t> </w:t>
      </w:r>
      <w:r>
        <w:rPr>
          <w:spacing w:val="-2"/>
        </w:rPr>
        <w:t>场的市场定位、规划布局、制度流程、收费管理、客户服务、市场运营管理等方面，系统性提出了海吉星</w:t>
      </w:r>
      <w:r>
        <w:rPr>
          <w:spacing w:val="-45"/>
        </w:rPr>
        <w:t> </w:t>
      </w:r>
      <w:r>
        <w:rPr>
          <w:spacing w:val="-45"/>
        </w:rPr>
      </w:r>
      <w:r>
        <w:rPr/>
        <w:t>品牌市场运营和服务的标准化应用，将有效指导下属批发市场推进标准化管理。</w:t>
      </w:r>
    </w:p>
    <w:p>
      <w:pPr>
        <w:spacing w:line="376" w:lineRule="auto" w:before="2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（三）加快资源整合，探索产业链发展新模式</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3"/>
          <w:sz w:val="21"/>
          <w:szCs w:val="21"/>
        </w:rPr>
        <w:t>报告期，公司全面整合电商企业，推进重组供应链业务，探索打造线上线下融合互通、产业链全程高</w:t>
      </w:r>
    </w:p>
    <w:p>
      <w:pPr>
        <w:pStyle w:val="BodyText"/>
        <w:spacing w:line="408" w:lineRule="auto" w:before="73"/>
        <w:ind w:left="152" w:right="1126"/>
        <w:jc w:val="both"/>
      </w:pPr>
      <w:r>
        <w:rPr>
          <w:spacing w:val="-2"/>
        </w:rPr>
        <w:t>效联动的发展新模式。一是对集团现有电商企业进行整合，农迈天下公司、电商公司并入前海农交所，研</w:t>
      </w:r>
      <w:r>
        <w:rPr>
          <w:spacing w:val="-43"/>
        </w:rPr>
        <w:t> </w:t>
      </w:r>
      <w:r>
        <w:rPr>
          <w:spacing w:val="-43"/>
        </w:rPr>
      </w:r>
      <w:r>
        <w:rPr/>
        <w:t>究制定了产业链战略规划方案；二是启动集团金融业务板块股权结构优化工作，探索构建实体</w:t>
      </w:r>
      <w:r>
        <w:rPr>
          <w:rFonts w:ascii="宋体" w:hAnsi="宋体" w:cs="宋体" w:eastAsia="宋体" w:hint="default"/>
        </w:rPr>
        <w:t>+</w:t>
      </w:r>
      <w:r>
        <w:rPr/>
        <w:t>金融的综</w:t>
      </w:r>
    </w:p>
    <w:p>
      <w:pPr>
        <w:spacing w:after="0" w:line="408" w:lineRule="auto"/>
        <w:jc w:val="both"/>
        <w:sectPr>
          <w:pgSz w:w="11910" w:h="16840"/>
          <w:pgMar w:header="877" w:footer="1265" w:top="1100" w:bottom="1460" w:left="980" w:right="0"/>
        </w:sectPr>
      </w:pPr>
    </w:p>
    <w:p>
      <w:pPr>
        <w:spacing w:line="240" w:lineRule="auto" w:before="10"/>
        <w:rPr>
          <w:rFonts w:ascii="宋体" w:hAnsi="宋体" w:cs="宋体" w:eastAsia="宋体" w:hint="default"/>
          <w:sz w:val="26"/>
          <w:szCs w:val="26"/>
        </w:rPr>
      </w:pPr>
    </w:p>
    <w:p>
      <w:pPr>
        <w:pStyle w:val="BodyText"/>
        <w:spacing w:line="408" w:lineRule="auto"/>
        <w:ind w:left="432" w:right="0"/>
        <w:jc w:val="left"/>
      </w:pPr>
      <w:r>
        <w:rPr>
          <w:spacing w:val="-2"/>
        </w:rPr>
        <w:t>合服务体系；三是推动对旗下深圳星联公司和广西星联公司股权和业务的整合、优化工作，以物流为切入</w:t>
      </w:r>
      <w:r>
        <w:rPr>
          <w:spacing w:val="-45"/>
        </w:rPr>
        <w:t> </w:t>
      </w:r>
      <w:r>
        <w:rPr>
          <w:spacing w:val="-45"/>
        </w:rPr>
      </w:r>
      <w:r>
        <w:rPr/>
        <w:t>点，探索供应链一体化服务的运营模式。</w:t>
      </w:r>
    </w:p>
    <w:p>
      <w:pPr>
        <w:spacing w:line="376" w:lineRule="auto" w:before="20"/>
        <w:ind w:left="85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（四）优化组织架构，增强集团管控能力</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3"/>
          <w:sz w:val="21"/>
          <w:szCs w:val="21"/>
        </w:rPr>
        <w:t>报告期，本着精简高效等原则，推动公司组织架构的调整，以适应集团战略发展的需要；进一步优化</w:t>
      </w:r>
    </w:p>
    <w:p>
      <w:pPr>
        <w:pStyle w:val="BodyText"/>
        <w:spacing w:line="408" w:lineRule="auto" w:before="73"/>
        <w:ind w:left="432" w:right="0"/>
        <w:jc w:val="left"/>
      </w:pPr>
      <w:r>
        <w:rPr>
          <w:spacing w:val="-2"/>
        </w:rPr>
        <w:t>公司管理制度体系，系统推进公司管控体系的完善工作，梳理公司授权体系；强化财务管控能力，加大审</w:t>
      </w:r>
      <w:r>
        <w:rPr>
          <w:spacing w:val="-47"/>
        </w:rPr>
        <w:t> </w:t>
      </w:r>
      <w:r>
        <w:rPr>
          <w:spacing w:val="-47"/>
        </w:rPr>
      </w:r>
      <w:r>
        <w:rPr>
          <w:spacing w:val="-2"/>
        </w:rPr>
        <w:t>计监督力度；进一步健全与完善食品安全管控制度体系，发布《集中交易市场食品安全管理风险评审办法</w:t>
      </w:r>
    </w:p>
    <w:p>
      <w:pPr>
        <w:pStyle w:val="BodyText"/>
        <w:spacing w:line="240" w:lineRule="auto" w:before="46"/>
        <w:ind w:left="432" w:right="0"/>
        <w:jc w:val="both"/>
      </w:pPr>
      <w:r>
        <w:rPr/>
        <w:t>（试行）》，对旗下市场开展风险管理评审，进一步提升旗下批发市场食品安全风险管控能力。</w:t>
      </w:r>
    </w:p>
    <w:p>
      <w:pPr>
        <w:spacing w:line="240" w:lineRule="auto" w:before="1"/>
        <w:rPr>
          <w:rFonts w:ascii="宋体" w:hAnsi="宋体" w:cs="宋体" w:eastAsia="宋体" w:hint="default"/>
          <w:sz w:val="24"/>
          <w:szCs w:val="24"/>
        </w:rPr>
      </w:pPr>
    </w:p>
    <w:p>
      <w:pPr>
        <w:pStyle w:val="Heading4"/>
        <w:spacing w:line="240" w:lineRule="auto"/>
        <w:ind w:left="432" w:right="0"/>
        <w:jc w:val="both"/>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432"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853" w:right="0"/>
        <w:jc w:val="left"/>
      </w:pPr>
      <w:r>
        <w:rPr>
          <w:spacing w:val="-4"/>
        </w:rPr>
        <w:t>截至报告期末，公司总资产为</w:t>
      </w:r>
      <w:r>
        <w:rPr>
          <w:spacing w:val="-37"/>
        </w:rPr>
        <w:t> </w:t>
      </w:r>
      <w:r>
        <w:rPr>
          <w:rFonts w:ascii="Times New Roman" w:hAnsi="Times New Roman" w:cs="Times New Roman" w:eastAsia="Times New Roman" w:hint="default"/>
        </w:rPr>
        <w:t>190</w:t>
      </w:r>
      <w:r>
        <w:rPr>
          <w:rFonts w:ascii="Times New Roman" w:hAnsi="Times New Roman" w:cs="Times New Roman" w:eastAsia="Times New Roman" w:hint="default"/>
          <w:spacing w:val="16"/>
        </w:rPr>
        <w:t> </w:t>
      </w:r>
      <w:r>
        <w:rPr>
          <w:spacing w:val="-6"/>
        </w:rPr>
        <w:t>亿元，净资产为</w:t>
      </w:r>
      <w:r>
        <w:rPr>
          <w:spacing w:val="-37"/>
        </w:rPr>
        <w:t> </w:t>
      </w:r>
      <w:r>
        <w:rPr>
          <w:rFonts w:ascii="Times New Roman" w:hAnsi="Times New Roman" w:cs="Times New Roman" w:eastAsia="Times New Roman" w:hint="default"/>
        </w:rPr>
        <w:t>65.9</w:t>
      </w:r>
      <w:r>
        <w:rPr>
          <w:rFonts w:ascii="Times New Roman" w:hAnsi="Times New Roman" w:cs="Times New Roman" w:eastAsia="Times New Roman" w:hint="default"/>
          <w:spacing w:val="16"/>
        </w:rPr>
        <w:t> </w:t>
      </w:r>
      <w:r>
        <w:rPr>
          <w:spacing w:val="-3"/>
        </w:rPr>
        <w:t>亿元，其中归属于母公司股东的所有者权益为</w:t>
      </w:r>
    </w:p>
    <w:p>
      <w:pPr>
        <w:pStyle w:val="BodyText"/>
        <w:spacing w:line="240" w:lineRule="auto" w:before="177"/>
        <w:ind w:left="432" w:right="0"/>
        <w:jc w:val="both"/>
      </w:pPr>
      <w:r>
        <w:rPr>
          <w:rFonts w:ascii="Times New Roman" w:hAnsi="Times New Roman" w:cs="Times New Roman" w:eastAsia="Times New Roman" w:hint="default"/>
        </w:rPr>
        <w:t>49.28</w:t>
      </w:r>
      <w:r>
        <w:rPr>
          <w:rFonts w:ascii="Times New Roman" w:hAnsi="Times New Roman" w:cs="Times New Roman" w:eastAsia="Times New Roman" w:hint="default"/>
          <w:spacing w:val="-3"/>
        </w:rPr>
        <w:t> </w:t>
      </w:r>
      <w:r>
        <w:rPr/>
        <w:t>亿元，公司资产负债率为</w:t>
      </w:r>
      <w:r>
        <w:rPr>
          <w:spacing w:val="-54"/>
        </w:rPr>
        <w:t> </w:t>
      </w:r>
      <w:r>
        <w:rPr>
          <w:rFonts w:ascii="Times New Roman" w:hAnsi="Times New Roman" w:cs="Times New Roman" w:eastAsia="Times New Roman" w:hint="default"/>
        </w:rPr>
        <w:t>65.31%</w:t>
      </w:r>
      <w:r>
        <w:rPr/>
        <w:t>。报告期，公司实现营业收入</w:t>
      </w:r>
      <w:r>
        <w:rPr>
          <w:spacing w:val="-54"/>
        </w:rPr>
        <w:t> </w:t>
      </w:r>
      <w:r>
        <w:rPr>
          <w:rFonts w:ascii="Times New Roman" w:hAnsi="Times New Roman" w:cs="Times New Roman" w:eastAsia="Times New Roman" w:hint="default"/>
        </w:rPr>
        <w:t>23.02</w:t>
      </w:r>
      <w:r>
        <w:rPr>
          <w:rFonts w:ascii="Times New Roman" w:hAnsi="Times New Roman" w:cs="Times New Roman" w:eastAsia="Times New Roman" w:hint="default"/>
          <w:spacing w:val="-1"/>
        </w:rPr>
        <w:t> </w:t>
      </w:r>
      <w:r>
        <w:rPr/>
        <w:t>亿元，净利润</w:t>
      </w:r>
      <w:r>
        <w:rPr>
          <w:spacing w:val="-53"/>
        </w:rPr>
        <w:t> </w:t>
      </w:r>
      <w:r>
        <w:rPr>
          <w:rFonts w:ascii="Times New Roman" w:hAnsi="Times New Roman" w:cs="Times New Roman" w:eastAsia="Times New Roman" w:hint="default"/>
        </w:rPr>
        <w:t>10,022.59</w:t>
      </w:r>
      <w:r>
        <w:rPr>
          <w:rFonts w:ascii="Times New Roman" w:hAnsi="Times New Roman" w:cs="Times New Roman" w:eastAsia="Times New Roman" w:hint="default"/>
          <w:spacing w:val="-1"/>
        </w:rPr>
        <w:t> </w:t>
      </w:r>
      <w:r>
        <w:rPr>
          <w:spacing w:val="-3"/>
        </w:rPr>
        <w:t>万元，</w:t>
      </w:r>
      <w:r>
        <w:rPr/>
      </w:r>
    </w:p>
    <w:p>
      <w:pPr>
        <w:pStyle w:val="BodyText"/>
        <w:spacing w:line="386" w:lineRule="auto" w:before="177"/>
        <w:ind w:left="432" w:right="1126"/>
        <w:jc w:val="both"/>
      </w:pPr>
      <w:r>
        <w:rPr/>
        <w:t>其中，归属于母公司所有者净利润</w:t>
      </w:r>
      <w:r>
        <w:rPr>
          <w:spacing w:val="-35"/>
        </w:rPr>
        <w:t> </w:t>
      </w:r>
      <w:r>
        <w:rPr>
          <w:rFonts w:ascii="Times New Roman" w:hAnsi="Times New Roman" w:cs="Times New Roman" w:eastAsia="Times New Roman" w:hint="default"/>
        </w:rPr>
        <w:t>4,276.71</w:t>
      </w:r>
      <w:r>
        <w:rPr>
          <w:rFonts w:ascii="Times New Roman" w:hAnsi="Times New Roman" w:cs="Times New Roman" w:eastAsia="Times New Roman" w:hint="default"/>
          <w:spacing w:val="17"/>
        </w:rPr>
        <w:t> </w:t>
      </w:r>
      <w:r>
        <w:rPr>
          <w:spacing w:val="-3"/>
        </w:rPr>
        <w:t>万元。报告期，农产品批发市场整体经营状况良好，农产品批</w:t>
      </w:r>
      <w:r>
        <w:rPr>
          <w:spacing w:val="-96"/>
        </w:rPr>
        <w:t> </w:t>
      </w:r>
      <w:r>
        <w:rPr>
          <w:spacing w:val="-96"/>
        </w:rPr>
      </w:r>
      <w:r>
        <w:rPr>
          <w:spacing w:val="-2"/>
        </w:rPr>
        <w:t>发市场经营收入同比减少</w:t>
      </w:r>
      <w:r>
        <w:rPr/>
        <w:t> </w:t>
      </w:r>
      <w:r>
        <w:rPr>
          <w:rFonts w:ascii="Times New Roman" w:hAnsi="Times New Roman" w:cs="Times New Roman" w:eastAsia="Times New Roman" w:hint="default"/>
          <w:spacing w:val="-2"/>
        </w:rPr>
        <w:t>2.71%</w:t>
      </w:r>
      <w:r>
        <w:rPr>
          <w:spacing w:val="-2"/>
        </w:rPr>
        <w:t>，主要系旗下部分批发市场商铺销售收入减少所致。报告期，归属于上市</w:t>
      </w:r>
      <w:r>
        <w:rPr>
          <w:spacing w:val="-60"/>
        </w:rPr>
        <w:t> </w:t>
      </w:r>
      <w:r>
        <w:rPr>
          <w:spacing w:val="-60"/>
        </w:rPr>
      </w:r>
      <w:r>
        <w:rPr>
          <w:spacing w:val="-2"/>
        </w:rPr>
        <w:t>公司股东的净利润同比增加</w:t>
      </w:r>
      <w:r>
        <w:rPr/>
        <w:t> </w:t>
      </w:r>
      <w:r>
        <w:rPr>
          <w:rFonts w:ascii="Times New Roman" w:hAnsi="Times New Roman" w:cs="Times New Roman" w:eastAsia="Times New Roman" w:hint="default"/>
          <w:spacing w:val="-2"/>
        </w:rPr>
        <w:t>207.85%</w:t>
      </w:r>
      <w:r>
        <w:rPr>
          <w:spacing w:val="-2"/>
        </w:rPr>
        <w:t>，主要系公司下属成都公司、南昌公司、广西海吉星经营性收入同比</w:t>
      </w:r>
      <w:r>
        <w:rPr>
          <w:spacing w:val="-56"/>
        </w:rPr>
        <w:t> </w:t>
      </w:r>
      <w:r>
        <w:rPr>
          <w:spacing w:val="-56"/>
        </w:rPr>
      </w:r>
      <w:r>
        <w:rPr/>
        <w:t>增加，岳阳海吉星实现商铺销售收入；公司下属天津海吉星实现原三家子公司股权转让收益所致。</w:t>
      </w:r>
    </w:p>
    <w:p>
      <w:pPr>
        <w:spacing w:line="240" w:lineRule="auto" w:before="12"/>
        <w:rPr>
          <w:rFonts w:ascii="宋体" w:hAnsi="宋体" w:cs="宋体" w:eastAsia="宋体" w:hint="default"/>
          <w:sz w:val="16"/>
          <w:szCs w:val="16"/>
        </w:rPr>
      </w:pPr>
    </w:p>
    <w:p>
      <w:pPr>
        <w:pStyle w:val="Heading6"/>
        <w:spacing w:line="240" w:lineRule="auto"/>
        <w:ind w:left="432"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left="432"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line="300" w:lineRule="exact" w:before="0"/>
        <w:ind w:left="43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分行业情况</w:t>
      </w:r>
      <w:r>
        <w:rPr>
          <w:rFonts w:ascii="Microsoft JhengHei" w:hAnsi="Microsoft JhengHei" w:cs="Microsoft JhengHei" w:eastAsia="Microsoft JhengHei" w:hint="default"/>
          <w:sz w:val="18"/>
          <w:szCs w:val="18"/>
        </w:rPr>
      </w:r>
    </w:p>
    <w:p>
      <w:pPr>
        <w:spacing w:before="9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127"/>
        <w:gridCol w:w="1561"/>
        <w:gridCol w:w="1560"/>
        <w:gridCol w:w="1450"/>
        <w:gridCol w:w="1594"/>
        <w:gridCol w:w="1594"/>
      </w:tblGrid>
      <w:tr>
        <w:trPr>
          <w:trHeight w:val="401"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2,302,055,708.59</w:t>
            </w:r>
          </w:p>
        </w:tc>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45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2,446,281,449.79</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农产品批发市场经营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1,959,665,670.76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2,014,343,916.04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355,779,816.44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415,144,304.54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农产品加工生产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132,119,070.37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112,840,885.88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89,079.97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15,278,301.07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-99.42%</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公司内部行业抵销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-145,597,928.95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-111,325,957.74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0" w:lineRule="auto" w:before="49"/>
        <w:ind w:left="432" w:right="0" w:firstLine="0"/>
        <w:jc w:val="left"/>
        <w:rPr>
          <w:rFonts w:ascii="宋体" w:hAnsi="宋体" w:cs="宋体" w:eastAsia="宋体" w:hint="default"/>
          <w:sz w:val="18"/>
          <w:szCs w:val="18"/>
        </w:rPr>
      </w:pPr>
      <w:r>
        <w:rPr>
          <w:rFonts w:ascii="宋体" w:hAnsi="宋体" w:cs="宋体" w:eastAsia="宋体" w:hint="default"/>
          <w:sz w:val="18"/>
          <w:szCs w:val="18"/>
        </w:rPr>
        <w:t>注：报告期，其他业务同比下降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99.42%</w:t>
      </w:r>
      <w:r>
        <w:rPr>
          <w:rFonts w:ascii="宋体" w:hAnsi="宋体" w:cs="宋体" w:eastAsia="宋体" w:hint="default"/>
          <w:sz w:val="18"/>
          <w:szCs w:val="18"/>
        </w:rPr>
        <w:t>，主要系上年同期光明海吉星公司作为投资主体承接原海吉星市场管理公司投资、 </w:t>
      </w:r>
      <w:r>
        <w:rPr>
          <w:rFonts w:ascii="宋体" w:hAnsi="宋体" w:cs="宋体" w:eastAsia="宋体" w:hint="default"/>
          <w:spacing w:val="-2"/>
          <w:sz w:val="18"/>
          <w:szCs w:val="18"/>
        </w:rPr>
        <w:t>开发、建设、运营光明农产品批发市场项目，海吉星市场管理公司收到光明海吉星公司支付前期筹备费，冲减前期费用后剩</w:t>
      </w:r>
    </w:p>
    <w:p>
      <w:pPr>
        <w:spacing w:after="0" w:line="300" w:lineRule="auto"/>
        <w:jc w:val="left"/>
        <w:rPr>
          <w:rFonts w:ascii="宋体" w:hAnsi="宋体" w:cs="宋体" w:eastAsia="宋体" w:hint="default"/>
          <w:sz w:val="18"/>
          <w:szCs w:val="18"/>
        </w:rPr>
        <w:sectPr>
          <w:pgSz w:w="11910" w:h="16840"/>
          <w:pgMar w:header="877" w:footer="1265" w:top="1100" w:bottom="1460" w:left="700" w:right="0"/>
        </w:sectPr>
      </w:pPr>
    </w:p>
    <w:p>
      <w:pPr>
        <w:spacing w:line="240" w:lineRule="auto" w:before="11"/>
        <w:rPr>
          <w:rFonts w:ascii="宋体" w:hAnsi="宋体" w:cs="宋体" w:eastAsia="宋体" w:hint="default"/>
          <w:sz w:val="21"/>
          <w:szCs w:val="21"/>
        </w:rPr>
      </w:pPr>
    </w:p>
    <w:p>
      <w:pPr>
        <w:spacing w:line="300" w:lineRule="auto" w:before="44"/>
        <w:ind w:left="292" w:right="8054" w:firstLine="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余部分确认为其他业务收入所致。 </w:t>
      </w:r>
      <w:r>
        <w:rPr>
          <w:rFonts w:ascii="Microsoft JhengHei" w:hAnsi="Microsoft JhengHei" w:cs="Microsoft JhengHei" w:eastAsia="Microsoft JhengHei" w:hint="default"/>
          <w:b/>
          <w:bCs/>
          <w:sz w:val="18"/>
          <w:szCs w:val="18"/>
        </w:rPr>
        <w:t>分地区情况</w:t>
      </w:r>
      <w:r>
        <w:rPr>
          <w:rFonts w:ascii="Microsoft JhengHei" w:hAnsi="Microsoft JhengHei" w:cs="Microsoft JhengHei" w:eastAsia="Microsoft JhengHei" w:hint="default"/>
          <w:sz w:val="18"/>
          <w:szCs w:val="18"/>
        </w:rPr>
      </w:r>
    </w:p>
    <w:p>
      <w:pPr>
        <w:spacing w:before="113"/>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127"/>
        <w:gridCol w:w="1561"/>
        <w:gridCol w:w="1418"/>
        <w:gridCol w:w="1450"/>
        <w:gridCol w:w="1594"/>
        <w:gridCol w:w="1594"/>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2,302,055,708.59</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45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2,446,281,449.79</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1,171,780,229.66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1,265,868,515.32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广西自治区（注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256,096,893.15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430,123,610.01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165,773,151.55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186,488,355.80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185,451,621.13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179,025,800.46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305,045,951.71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173,840,555.82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75.47%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201,213,719.53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170,460,348.94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78,574,101.97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59,382,166.52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32.32%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83,717,968.84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92,418,054.66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公司地区分部间抵销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-145,597,928.95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-111,325,957.74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38" w:lineRule="auto" w:before="49"/>
        <w:ind w:left="292" w:right="250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、报告期，广西自治区收入同比下降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40.46%</w:t>
      </w:r>
      <w:r>
        <w:rPr>
          <w:rFonts w:ascii="宋体" w:hAnsi="宋体" w:cs="宋体" w:eastAsia="宋体" w:hint="default"/>
          <w:sz w:val="18"/>
          <w:szCs w:val="18"/>
        </w:rPr>
        <w:t>，主要系广西新柳邕公司商铺销售收入同比减少所致；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、报告期，湖南省收入同比增加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75.47%</w:t>
      </w:r>
      <w:r>
        <w:rPr>
          <w:rFonts w:ascii="宋体" w:hAnsi="宋体" w:cs="宋体" w:eastAsia="宋体" w:hint="default"/>
          <w:sz w:val="18"/>
          <w:szCs w:val="18"/>
        </w:rPr>
        <w:t>，主要系岳阳海吉星实现商铺销售收入所致；</w:t>
      </w:r>
    </w:p>
    <w:p>
      <w:pPr>
        <w:spacing w:before="22"/>
        <w:ind w:left="2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、报告期，天津市收入同比增加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32.32%</w:t>
      </w:r>
      <w:r>
        <w:rPr>
          <w:rFonts w:ascii="宋体" w:hAnsi="宋体" w:cs="宋体" w:eastAsia="宋体" w:hint="default"/>
          <w:sz w:val="18"/>
          <w:szCs w:val="18"/>
        </w:rPr>
        <w:t>，主要系天津海吉星、天津韩家墅公司租金收入同比增加所致。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54"/>
        <w:ind w:left="292" w:right="2505"/>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1265" w:top="1100" w:bottom="1460" w:left="840" w:right="0"/>
        </w:sectPr>
      </w:pPr>
    </w:p>
    <w:p>
      <w:pPr>
        <w:spacing w:line="340" w:lineRule="auto" w:before="44"/>
        <w:ind w:left="29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w:t>
      </w:r>
    </w:p>
    <w:p>
      <w:pPr>
        <w:spacing w:before="42"/>
        <w:ind w:left="29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29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840" w:right="0"/>
          <w:cols w:num="2" w:equalWidth="0">
            <w:col w:w="3353" w:space="5567"/>
            <w:col w:w="2150"/>
          </w:cols>
        </w:sectPr>
      </w:pP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812"/>
        <w:gridCol w:w="1417"/>
        <w:gridCol w:w="1452"/>
        <w:gridCol w:w="788"/>
        <w:gridCol w:w="1368"/>
        <w:gridCol w:w="1246"/>
        <w:gridCol w:w="1843"/>
      </w:tblGrid>
      <w:tr>
        <w:trPr>
          <w:trHeight w:val="715"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8" w:right="7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7" w:right="103" w:hanging="720"/>
              <w:jc w:val="left"/>
              <w:rPr>
                <w:rFonts w:ascii="宋体" w:hAnsi="宋体" w:cs="宋体" w:eastAsia="宋体" w:hint="default"/>
                <w:sz w:val="18"/>
                <w:szCs w:val="18"/>
              </w:rPr>
            </w:pPr>
            <w:r>
              <w:rPr>
                <w:rFonts w:ascii="宋体" w:hAnsi="宋体" w:cs="宋体" w:eastAsia="宋体" w:hint="default"/>
                <w:sz w:val="18"/>
                <w:szCs w:val="18"/>
              </w:rPr>
              <w:t>毛利率比上年同期增 减</w:t>
            </w:r>
          </w:p>
        </w:tc>
      </w:tr>
      <w:tr>
        <w:trPr>
          <w:trHeight w:val="401"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农产品批发市场经营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1,959,665,670.76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1,161,200,985.74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市场配套服务（注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355,779,816.44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213,431,809.31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31.54 </w:t>
            </w:r>
            <w:r>
              <w:rPr>
                <w:rFonts w:ascii="宋体" w:hAnsi="宋体" w:cs="宋体" w:eastAsia="宋体" w:hint="default"/>
                <w:sz w:val="18"/>
                <w:szCs w:val="18"/>
              </w:rPr>
              <w:t>个百分点</w:t>
            </w:r>
          </w:p>
        </w:tc>
      </w:tr>
      <w:tr>
        <w:trPr>
          <w:trHeight w:val="403"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1,171,780,229.66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710,596,892.95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广西自治区（注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256,096,893.15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168,758,257.85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湖南省（注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305,045,951.71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178,956,563.30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75.47%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before="49"/>
        <w:ind w:left="29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、报告期，市场配套服务营业收入和营业成本同比下降，主要系深圳星联公司、大白菜科技公司业务同比减少所致；</w:t>
      </w:r>
    </w:p>
    <w:p>
      <w:pPr>
        <w:spacing w:after="0"/>
        <w:jc w:val="left"/>
        <w:rPr>
          <w:rFonts w:ascii="宋体" w:hAnsi="宋体" w:cs="宋体" w:eastAsia="宋体" w:hint="default"/>
          <w:sz w:val="18"/>
          <w:szCs w:val="18"/>
        </w:rPr>
        <w:sectPr>
          <w:type w:val="continuous"/>
          <w:pgSz w:w="11910" w:h="16840"/>
          <w:pgMar w:top="1100" w:bottom="1460" w:left="840" w:right="0"/>
        </w:sectPr>
      </w:pPr>
    </w:p>
    <w:p>
      <w:pPr>
        <w:spacing w:line="240" w:lineRule="auto" w:before="11"/>
        <w:rPr>
          <w:rFonts w:ascii="宋体" w:hAnsi="宋体" w:cs="宋体" w:eastAsia="宋体" w:hint="default"/>
          <w:sz w:val="21"/>
          <w:szCs w:val="21"/>
        </w:rPr>
      </w:pPr>
      <w:r>
        <w:rPr/>
        <w:pict>
          <v:group style="position:absolute;margin-left:205.369995pt;margin-top:507.669983pt;width:68.05pt;height:19.6pt;mso-position-horizontal-relative:page;mso-position-vertical-relative:page;z-index:-1638304" coordorigin="4107,10153" coordsize="1361,392">
            <v:shape style="position:absolute;left:4107;top:10153;width:1361;height:392" coordorigin="4107,10153" coordsize="1361,392" path="m4107,10545l5468,10545,5468,10153,4107,10153,4107,10545xe" filled="true" fillcolor="#ffffff" stroked="false">
              <v:path arrowok="t"/>
              <v:fill type="solid"/>
            </v:shape>
            <w10:wrap type="none"/>
          </v:group>
        </w:pict>
      </w:r>
    </w:p>
    <w:p>
      <w:pPr>
        <w:spacing w:before="44"/>
        <w:ind w:left="2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、报告期，广西自治区营业收入、营业成本同比下降，主要系广西新柳邕公司商铺销售收入同比减少所致；</w:t>
      </w:r>
    </w:p>
    <w:p>
      <w:pPr>
        <w:spacing w:line="338" w:lineRule="auto" w:before="103"/>
        <w:ind w:left="292"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、报告期，湖南省营业收入、营业成本同比增加，主要系岳阳海吉星实现商铺销售收入所致。 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22"/>
        <w:ind w:left="29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left="292" w:right="250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9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0"/>
          <w:szCs w:val="20"/>
        </w:rPr>
      </w:pPr>
    </w:p>
    <w:p>
      <w:pPr>
        <w:pStyle w:val="Heading6"/>
        <w:spacing w:line="240" w:lineRule="auto"/>
        <w:ind w:left="292" w:right="250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9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6"/>
        <w:spacing w:line="240" w:lineRule="auto"/>
        <w:ind w:left="292" w:right="805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419"/>
        <w:gridCol w:w="1702"/>
        <w:gridCol w:w="1418"/>
        <w:gridCol w:w="1416"/>
        <w:gridCol w:w="1418"/>
        <w:gridCol w:w="1417"/>
        <w:gridCol w:w="1037"/>
      </w:tblGrid>
      <w:tr>
        <w:trPr>
          <w:trHeight w:val="403"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3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4" w:right="123"/>
              <w:jc w:val="left"/>
              <w:rPr>
                <w:rFonts w:ascii="宋体" w:hAnsi="宋体" w:cs="宋体" w:eastAsia="宋体" w:hint="default"/>
                <w:sz w:val="18"/>
                <w:szCs w:val="18"/>
              </w:rPr>
            </w:pPr>
            <w:r>
              <w:rPr>
                <w:rFonts w:ascii="宋体" w:hAnsi="宋体" w:cs="宋体" w:eastAsia="宋体" w:hint="default"/>
                <w:sz w:val="18"/>
                <w:szCs w:val="18"/>
              </w:rPr>
              <w:t>农产品批发市场 经营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388,379,113.57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344,444,591.30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12.76%</w:t>
            </w:r>
          </w:p>
        </w:tc>
      </w:tr>
      <w:tr>
        <w:trPr>
          <w:trHeight w:val="401"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297,194,362.92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265,523,745.16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11.93%</w:t>
            </w:r>
          </w:p>
        </w:tc>
      </w:tr>
      <w:tr>
        <w:trPr>
          <w:trHeight w:val="403"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水电销售成本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132,864,823.59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127,098,532.63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r>
      <w:tr>
        <w:trPr>
          <w:trHeight w:val="401"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商铺销售成本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103,790,911.90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131,681,999.28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-21.18%</w:t>
            </w:r>
          </w:p>
        </w:tc>
      </w:tr>
      <w:tr>
        <w:trPr>
          <w:trHeight w:val="403"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服务外包成本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111,216,482.43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97,487,562.88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14.08%</w:t>
            </w:r>
          </w:p>
        </w:tc>
      </w:tr>
      <w:tr>
        <w:trPr>
          <w:trHeight w:val="401"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租金支出（注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44,513,743.49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31,543,308.38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41.12%</w:t>
            </w:r>
          </w:p>
        </w:tc>
      </w:tr>
      <w:tr>
        <w:trPr>
          <w:trHeight w:val="403" w:hRule="exact"/>
        </w:trPr>
        <w:tc>
          <w:tcPr>
            <w:tcW w:w="141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其他运营成本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83,241,547.84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89,361,576.01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w:t>
            </w:r>
          </w:p>
        </w:tc>
      </w:tr>
      <w:tr>
        <w:trPr>
          <w:trHeight w:val="401"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70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商品销售成本（注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p>
        </w:tc>
        <w:tc>
          <w:tcPr>
            <w:tcW w:w="1418" w:type="dxa"/>
            <w:tcBorders>
              <w:top w:val="single" w:sz="4" w:space="0" w:color="000000"/>
              <w:left w:val="single" w:sz="10" w:space="0" w:color="FFFFFF"/>
              <w:bottom w:val="single" w:sz="4" w:space="0" w:color="000000"/>
              <w:right w:val="single" w:sz="4" w:space="0" w:color="000000"/>
            </w:tcBorders>
          </w:tcPr>
          <w:p>
            <w:pPr>
              <w:pStyle w:val="TableParagraph"/>
              <w:tabs>
                <w:tab w:pos="254" w:val="left" w:leader="none"/>
              </w:tabs>
              <w:spacing w:line="240" w:lineRule="auto" w:before="49"/>
              <w:ind w:left="-128"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138,675,621.48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286,913,158.69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-51.67%</w:t>
            </w:r>
          </w:p>
        </w:tc>
      </w:tr>
      <w:tr>
        <w:trPr>
          <w:trHeight w:val="403"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水电销售成本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10,604,920.48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10,293,321.81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27,761,906.75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38,280,824.82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-27.48%</w:t>
            </w:r>
          </w:p>
        </w:tc>
      </w:tr>
      <w:tr>
        <w:trPr>
          <w:trHeight w:val="403" w:hRule="exact"/>
        </w:trPr>
        <w:tc>
          <w:tcPr>
            <w:tcW w:w="141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人员薪酬（注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5,546,870.09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9,659,095.69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-42.57%</w:t>
            </w:r>
          </w:p>
        </w:tc>
      </w:tr>
      <w:tr>
        <w:trPr>
          <w:trHeight w:val="401" w:hRule="exact"/>
        </w:trPr>
        <w:tc>
          <w:tcPr>
            <w:tcW w:w="141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其他运营成本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30,842,490.51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34,847,172.95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-11.49%</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农产品加工生产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124,904,203.94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104,756,127.08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19.23%</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65,364.13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127,639.56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-48.79%</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合并抵消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-50,822,672.35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-49,144,158.55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1,448,779,690.77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1,522,874,497.69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w:t>
            </w:r>
          </w:p>
        </w:tc>
      </w:tr>
    </w:tbl>
    <w:p>
      <w:pPr>
        <w:spacing w:line="300" w:lineRule="auto" w:before="49"/>
        <w:ind w:left="292" w:right="1158"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、报告期，农产品批发市场租金支出同比增加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41.12%</w:t>
      </w:r>
      <w:r>
        <w:rPr>
          <w:rFonts w:ascii="宋体" w:hAnsi="宋体" w:cs="宋体" w:eastAsia="宋体" w:hint="default"/>
          <w:sz w:val="18"/>
          <w:szCs w:val="18"/>
        </w:rPr>
        <w:t>，主要系天津韩家墅采取租赁经营场地方式经营，租金支出增 加所致；</w:t>
      </w:r>
    </w:p>
    <w:p>
      <w:pPr>
        <w:spacing w:before="72"/>
        <w:ind w:left="292"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、报告期，市场配套服务商品销售成本同比减少</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51.67%</w:t>
      </w:r>
      <w:r>
        <w:rPr>
          <w:rFonts w:ascii="宋体" w:hAnsi="宋体" w:cs="宋体" w:eastAsia="宋体" w:hint="default"/>
          <w:spacing w:val="-3"/>
          <w:sz w:val="18"/>
          <w:szCs w:val="18"/>
        </w:rPr>
        <w:t>，主要系深圳星联公司、大白菜科技公司供应链业务同比减少所致；</w:t>
      </w:r>
    </w:p>
    <w:p>
      <w:pPr>
        <w:spacing w:before="101"/>
        <w:ind w:left="292" w:right="25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、报告期，市场配套服务人员薪酬同比减少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42.57%</w:t>
      </w:r>
      <w:r>
        <w:rPr>
          <w:rFonts w:ascii="宋体" w:hAnsi="宋体" w:cs="宋体" w:eastAsia="宋体" w:hint="default"/>
          <w:sz w:val="18"/>
          <w:szCs w:val="18"/>
        </w:rPr>
        <w:t>，主要系电商板块业务整合人员减少所致。</w:t>
      </w:r>
    </w:p>
    <w:p>
      <w:pPr>
        <w:spacing w:after="0"/>
        <w:jc w:val="left"/>
        <w:rPr>
          <w:rFonts w:ascii="宋体" w:hAnsi="宋体" w:cs="宋体" w:eastAsia="宋体" w:hint="default"/>
          <w:sz w:val="18"/>
          <w:szCs w:val="18"/>
        </w:rPr>
        <w:sectPr>
          <w:pgSz w:w="11910" w:h="16840"/>
          <w:pgMar w:header="877" w:footer="1265" w:top="1100" w:bottom="1460" w:left="840" w:right="0"/>
        </w:sectPr>
      </w:pPr>
    </w:p>
    <w:p>
      <w:pPr>
        <w:spacing w:line="240" w:lineRule="auto" w:before="12"/>
        <w:rPr>
          <w:rFonts w:ascii="宋体" w:hAnsi="宋体" w:cs="宋体" w:eastAsia="宋体" w:hint="default"/>
          <w:sz w:val="20"/>
          <w:szCs w:val="20"/>
        </w:rPr>
      </w:pPr>
    </w:p>
    <w:p>
      <w:pPr>
        <w:pStyle w:val="Heading6"/>
        <w:spacing w:line="335" w:lineRule="exact"/>
        <w:ind w:left="212" w:right="111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Microsoft JhengHei" w:hAnsi="Microsoft JhengHei" w:cs="Microsoft JhengHei" w:eastAsia="Microsoft JhengHei" w:hint="default"/>
          <w:b/>
          <w:bCs/>
          <w:sz w:val="19"/>
          <w:szCs w:val="19"/>
        </w:rPr>
      </w:pPr>
    </w:p>
    <w:p>
      <w:pPr>
        <w:spacing w:line="2008"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9"/>
          <w:sz w:val="20"/>
          <w:szCs w:val="20"/>
        </w:rPr>
        <w:pict>
          <v:shape style="width:481.55pt;height:100.45pt;mso-position-horizontal-relative:char;mso-position-vertical-relative:line" type="#_x0000_t202" filled="false" stroked="true" strokeweight=".47998pt" strokecolor="#000000">
            <w10:anchorlock/>
            <v:textbox inset="0,0,0,0">
              <w:txbxContent>
                <w:p>
                  <w:pPr>
                    <w:spacing w:line="393" w:lineRule="auto" w:before="109"/>
                    <w:ind w:left="103" w:right="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、报告期，公司控股子公司天津海吉星公开挂牌转让其下属三家全资子公司</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股权的事项已完成，天津海吉星下属 三家子公司退出合并报表范围。详见第四节 经营情况讨论与分析</w:t>
                  </w:r>
                  <w:r>
                    <w:rPr>
                      <w:rFonts w:ascii="宋体" w:hAnsi="宋体" w:cs="宋体" w:eastAsia="宋体" w:hint="default"/>
                      <w:spacing w:val="2"/>
                      <w:sz w:val="18"/>
                      <w:szCs w:val="18"/>
                    </w:rPr>
                    <w:t> </w:t>
                  </w:r>
                  <w:r>
                    <w:rPr>
                      <w:rFonts w:ascii="宋体" w:hAnsi="宋体" w:cs="宋体" w:eastAsia="宋体" w:hint="default"/>
                      <w:sz w:val="18"/>
                      <w:szCs w:val="18"/>
                    </w:rPr>
                    <w:t>六、重大资产与股权出售。</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、报告期，公司全资子公司深圳市海吉星国际农产品物流管理有限公司下属深圳市农安认证农产品有限公司注销，退出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合并报表范围。</w:t>
                  </w:r>
                </w:p>
                <w:p>
                  <w:pPr>
                    <w:spacing w:before="47"/>
                    <w:ind w:left="10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、报告期，公司控股子公司宁夏海吉星国际农产品物流有限公司下属宁夏安顺货运有限公司注销，退出合并报表范围。</w:t>
                  </w:r>
                </w:p>
              </w:txbxContent>
            </v:textbox>
          </v:shape>
        </w:pict>
      </w:r>
      <w:r>
        <w:rPr>
          <w:rFonts w:ascii="Microsoft JhengHei" w:hAnsi="Microsoft JhengHei" w:cs="Microsoft JhengHei" w:eastAsia="Microsoft JhengHei" w:hint="default"/>
          <w:position w:val="-39"/>
          <w:sz w:val="20"/>
          <w:szCs w:val="20"/>
        </w:rPr>
      </w:r>
    </w:p>
    <w:p>
      <w:pPr>
        <w:spacing w:line="240" w:lineRule="auto" w:before="14"/>
        <w:rPr>
          <w:rFonts w:ascii="Microsoft JhengHei" w:hAnsi="Microsoft JhengHei" w:cs="Microsoft JhengHei" w:eastAsia="Microsoft JhengHei" w:hint="default"/>
          <w:b/>
          <w:bCs/>
          <w:sz w:val="14"/>
          <w:szCs w:val="14"/>
        </w:rPr>
      </w:pPr>
    </w:p>
    <w:p>
      <w:pPr>
        <w:pStyle w:val="Heading6"/>
        <w:spacing w:line="335" w:lineRule="exact"/>
        <w:ind w:left="212" w:right="111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6"/>
        <w:spacing w:line="240" w:lineRule="auto"/>
        <w:ind w:left="212" w:right="111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before="0"/>
        <w:ind w:left="212" w:right="111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公司主要销售客户情况</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20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234,970,720.83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10.21%</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Microsoft JhengHei" w:hAnsi="Microsoft JhengHei" w:cs="Microsoft JhengHei" w:eastAsia="Microsoft JhengHei" w:hint="default"/>
          <w:b/>
          <w:bCs/>
          <w:sz w:val="20"/>
          <w:szCs w:val="20"/>
        </w:rPr>
      </w:pPr>
    </w:p>
    <w:p>
      <w:pPr>
        <w:spacing w:line="300" w:lineRule="exact" w:before="0"/>
        <w:ind w:left="212" w:right="111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公司前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大客户资料</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220" w:type="dxa"/>
        <w:tblLayout w:type="fixed"/>
        <w:tblCellMar>
          <w:top w:w="0" w:type="dxa"/>
          <w:left w:w="0" w:type="dxa"/>
          <w:bottom w:w="0" w:type="dxa"/>
          <w:right w:w="0" w:type="dxa"/>
        </w:tblCellMar>
        <w:tblLook w:val="01E0"/>
      </w:tblPr>
      <w:tblGrid>
        <w:gridCol w:w="779"/>
        <w:gridCol w:w="4281"/>
        <w:gridCol w:w="2268"/>
        <w:gridCol w:w="2230"/>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42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郑佳琪</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135,031,501.96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42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香港菜联行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43,935,261.63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42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广州华泽包装设备有限公司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27,781,692.27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42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黄春城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18,697,787.91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42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SOHO INDUSTRY</w:t>
            </w:r>
            <w:r>
              <w:rPr>
                <w:rFonts w:ascii="Times New Roman"/>
                <w:spacing w:val="-24"/>
                <w:sz w:val="18"/>
              </w:rPr>
              <w:t> </w:t>
            </w:r>
            <w:r>
              <w:rPr>
                <w:rFonts w:ascii="Times New Roman"/>
                <w:sz w:val="18"/>
              </w:rPr>
              <w:t>LIMITED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9,524,477.06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50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234,970,720.83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w:t>
            </w:r>
          </w:p>
        </w:tc>
      </w:tr>
    </w:tbl>
    <w:p>
      <w:pPr>
        <w:spacing w:line="300" w:lineRule="auto" w:before="49"/>
        <w:ind w:left="212" w:right="1115" w:firstLine="0"/>
        <w:jc w:val="left"/>
        <w:rPr>
          <w:rFonts w:ascii="宋体" w:hAnsi="宋体" w:cs="宋体" w:eastAsia="宋体" w:hint="default"/>
          <w:sz w:val="18"/>
          <w:szCs w:val="18"/>
        </w:rPr>
      </w:pPr>
      <w:r>
        <w:rPr>
          <w:rFonts w:ascii="宋体" w:hAnsi="宋体" w:cs="宋体" w:eastAsia="宋体" w:hint="default"/>
          <w:sz w:val="18"/>
          <w:szCs w:val="18"/>
        </w:rPr>
        <w:t>注：公司与前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名客户不存在关联关系，公司董事、监事、高级管理人员、核心技术人员、持股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 和其他关联方在主要客户中没有直接或者间接拥有权益。</w:t>
      </w:r>
    </w:p>
    <w:p>
      <w:pPr>
        <w:spacing w:line="240" w:lineRule="auto" w:before="0"/>
        <w:rPr>
          <w:rFonts w:ascii="宋体" w:hAnsi="宋体" w:cs="宋体" w:eastAsia="宋体" w:hint="default"/>
          <w:sz w:val="18"/>
          <w:szCs w:val="18"/>
        </w:rPr>
      </w:pPr>
    </w:p>
    <w:p>
      <w:pPr>
        <w:spacing w:before="130"/>
        <w:ind w:left="212" w:right="111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公司主要供应商情况</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20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240,404,733.80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16.59%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Microsoft JhengHei" w:hAnsi="Microsoft JhengHei" w:cs="Microsoft JhengHei" w:eastAsia="Microsoft JhengHei" w:hint="default"/>
          <w:b/>
          <w:bCs/>
          <w:sz w:val="20"/>
          <w:szCs w:val="20"/>
        </w:rPr>
      </w:pPr>
    </w:p>
    <w:p>
      <w:pPr>
        <w:spacing w:line="300" w:lineRule="exact" w:before="0"/>
        <w:ind w:left="212" w:right="111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公司前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名供应商资料</w:t>
      </w:r>
      <w:r>
        <w:rPr>
          <w:rFonts w:ascii="Microsoft JhengHei" w:hAnsi="Microsoft JhengHei" w:cs="Microsoft JhengHei" w:eastAsia="Microsoft JhengHei" w:hint="default"/>
          <w:sz w:val="18"/>
          <w:szCs w:val="18"/>
        </w:rPr>
      </w:r>
    </w:p>
    <w:p>
      <w:pPr>
        <w:spacing w:after="0" w:line="300" w:lineRule="exact"/>
        <w:jc w:val="left"/>
        <w:rPr>
          <w:rFonts w:ascii="Microsoft JhengHei" w:hAnsi="Microsoft JhengHei" w:cs="Microsoft JhengHei" w:eastAsia="Microsoft JhengHei" w:hint="default"/>
          <w:sz w:val="18"/>
          <w:szCs w:val="18"/>
        </w:rPr>
        <w:sectPr>
          <w:footerReference w:type="default" r:id="rId12"/>
          <w:pgSz w:w="11910" w:h="16840"/>
          <w:pgMar w:footer="1265" w:header="877" w:top="1100" w:bottom="1460" w:left="920" w:right="0"/>
          <w:pgNumType w:start="18"/>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深圳市深农国际物流发展有限公司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146,981,404.82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10.15%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东莞市六盛农产品有限公司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38,318,952.73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华泽（香港）有限公司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27,265,971.68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社旗安菜达农业发展有限公司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18,387,841.00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广州特美声电器有限公司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9,450,563.57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40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240,404,733.80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16.59%</w:t>
            </w:r>
          </w:p>
        </w:tc>
      </w:tr>
    </w:tbl>
    <w:p>
      <w:pPr>
        <w:spacing w:line="240" w:lineRule="auto" w:before="13"/>
        <w:rPr>
          <w:rFonts w:ascii="Microsoft JhengHei" w:hAnsi="Microsoft JhengHei" w:cs="Microsoft JhengHei" w:eastAsia="Microsoft JhengHei" w:hint="default"/>
          <w:b/>
          <w:bCs/>
          <w:sz w:val="3"/>
          <w:szCs w:val="3"/>
        </w:rPr>
      </w:pPr>
    </w:p>
    <w:p>
      <w:pPr>
        <w:spacing w:line="384" w:lineRule="auto"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注：公司与前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名供应商不存在关联关系，公司董事、监事、高级管理人员、核心技术人员、持股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 人和其他关联方在主要供应商中没有直接或者间接拥有权益。</w:t>
      </w:r>
    </w:p>
    <w:p>
      <w:pPr>
        <w:spacing w:line="240" w:lineRule="auto" w:before="12"/>
        <w:rPr>
          <w:rFonts w:ascii="宋体" w:hAnsi="宋体" w:cs="宋体" w:eastAsia="宋体" w:hint="default"/>
          <w:sz w:val="12"/>
          <w:szCs w:val="12"/>
        </w:rPr>
      </w:pPr>
    </w:p>
    <w:p>
      <w:pPr>
        <w:pStyle w:val="Heading6"/>
        <w:spacing w:line="240" w:lineRule="auto"/>
        <w:ind w:left="152"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139,040,856.83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179,486,383.56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383,428,054.21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382,260,813.31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272,965,928.01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255,719,386.50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7,200,731.46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4,260,587.71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见下文</w:t>
            </w:r>
          </w:p>
        </w:tc>
      </w:tr>
    </w:tbl>
    <w:p>
      <w:pPr>
        <w:spacing w:line="240" w:lineRule="auto" w:before="3"/>
        <w:rPr>
          <w:rFonts w:ascii="宋体" w:hAnsi="宋体" w:cs="宋体" w:eastAsia="宋体" w:hint="default"/>
          <w:sz w:val="19"/>
          <w:szCs w:val="19"/>
        </w:rPr>
      </w:pPr>
    </w:p>
    <w:p>
      <w:pPr>
        <w:pStyle w:val="Heading6"/>
        <w:spacing w:line="335" w:lineRule="exact"/>
        <w:ind w:left="152"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513" w:right="112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公司下属大白菜科技公司围绕农产品批发市场食品安全追溯、档位管理、智慧停车场收费管理、智慧海吉星管理等方面</w:t>
      </w:r>
    </w:p>
    <w:p>
      <w:pPr>
        <w:spacing w:line="316" w:lineRule="auto" w:before="1"/>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进行信息化建设工作，并在旗下成熟市场进行初步部署和应用，快速实现管理数据及业务数据的归集，提高管理效能。报告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期研发投入、研发费用同比增加。</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80"/>
        <w:gridCol w:w="1997"/>
        <w:gridCol w:w="1788"/>
        <w:gridCol w:w="2393"/>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7,200,731.46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4,260,587.71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69.01%</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5" w:lineRule="exact" w:before="0"/>
        <w:ind w:left="1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研发投入总额占营业收入的比重较上年发生显著变化的原因</w:t>
      </w:r>
      <w:r>
        <w:rPr>
          <w:rFonts w:ascii="Microsoft JhengHei" w:hAnsi="Microsoft JhengHei" w:cs="Microsoft JhengHei" w:eastAsia="Microsoft JhengHei" w:hint="default"/>
          <w:sz w:val="18"/>
          <w:szCs w:val="18"/>
        </w:rPr>
      </w:r>
    </w:p>
    <w:p>
      <w:pPr>
        <w:spacing w:line="283" w:lineRule="auto" w:before="96"/>
        <w:ind w:left="152" w:right="679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研发投入资本化率大幅变动的原因及其合理性说明</w:t>
      </w:r>
      <w:r>
        <w:rPr>
          <w:rFonts w:ascii="Microsoft JhengHei" w:hAnsi="Microsoft JhengHei" w:cs="Microsoft JhengHei" w:eastAsia="Microsoft JhengHei" w:hint="default"/>
          <w:sz w:val="18"/>
          <w:szCs w:val="18"/>
        </w:rPr>
      </w:r>
    </w:p>
    <w:p>
      <w:pPr>
        <w:spacing w:before="5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12"/>
        <w:rPr>
          <w:rFonts w:ascii="宋体" w:hAnsi="宋体" w:cs="宋体" w:eastAsia="宋体" w:hint="default"/>
          <w:sz w:val="20"/>
          <w:szCs w:val="20"/>
        </w:rPr>
      </w:pPr>
    </w:p>
    <w:p>
      <w:pPr>
        <w:pStyle w:val="Heading6"/>
        <w:spacing w:line="335" w:lineRule="exact"/>
        <w:ind w:left="212" w:right="111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954"/>
        <w:gridCol w:w="2423"/>
        <w:gridCol w:w="2268"/>
        <w:gridCol w:w="1913"/>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3,597,185,417.18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3,459,591,577.16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2,349,762,156.88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2,687,818,552.93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-12.58%</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tabs>
                <w:tab w:pos="1121" w:val="left" w:leader="none"/>
              </w:tabs>
              <w:spacing w:line="240" w:lineRule="auto" w:before="49"/>
              <w:ind w:left="-117"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1,247,423,260.30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771,773,024.23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61.63%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768,073,783.97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855,258,716.15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-10.19%</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1,155,797,467.79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2,163,601,175.47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tabs>
                <w:tab w:pos="1198" w:val="left" w:leader="none"/>
              </w:tabs>
              <w:spacing w:line="240" w:lineRule="auto" w:before="49"/>
              <w:ind w:left="-117"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-387,723,683.82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-1,308,342,459.32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70.37%</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7,052,187,000.00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5,967,773,987.00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7,874,244,224.27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4,786,457,525.00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64.51%</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筹资活动产生的现金流量净额（注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tabs>
                <w:tab w:pos="1198" w:val="left" w:leader="none"/>
              </w:tabs>
              <w:spacing w:line="240" w:lineRule="auto" w:before="49"/>
              <w:ind w:left="-117"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-822,057,224.27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1,181,316,462.00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37,559,237.84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644,605,642.31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-94.17%</w:t>
            </w:r>
          </w:p>
        </w:tc>
      </w:tr>
    </w:tbl>
    <w:p>
      <w:pPr>
        <w:spacing w:line="300" w:lineRule="auto" w:before="49"/>
        <w:ind w:left="212" w:right="112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、报告期，经营活动产生的现金流量净额同比增加，主要系下属龙岗分公司预收商铺租金增加、下属广西新柳邕公司 和岳阳海吉星预收商铺销售款增加，下属小额贷款公司业务量减少、下属广西海吉星和长沙公司付现销售费用减少；</w:t>
      </w:r>
    </w:p>
    <w:p>
      <w:pPr>
        <w:spacing w:before="7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、报告期，投资活动产生的现金流量净额增加，主要系对联营企业投资、支付工程款同比减少；</w:t>
      </w:r>
    </w:p>
    <w:p>
      <w:pPr>
        <w:spacing w:before="103"/>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、报告期，筹资活动产生的现金流量净额同比下降，主要系公司及下属长沙公司偿还到期借款增加；</w:t>
      </w:r>
    </w:p>
    <w:p>
      <w:pPr>
        <w:spacing w:line="240" w:lineRule="auto" w:before="1"/>
        <w:rPr>
          <w:rFonts w:ascii="宋体" w:hAnsi="宋体" w:cs="宋体" w:eastAsia="宋体" w:hint="default"/>
          <w:sz w:val="21"/>
          <w:szCs w:val="21"/>
        </w:rPr>
      </w:pPr>
    </w:p>
    <w:p>
      <w:pPr>
        <w:pStyle w:val="Heading6"/>
        <w:spacing w:line="240" w:lineRule="auto"/>
        <w:ind w:left="212" w:right="1115"/>
        <w:jc w:val="left"/>
        <w:rPr>
          <w:b w:val="0"/>
          <w:bCs w:val="0"/>
        </w:rPr>
      </w:pPr>
      <w:r>
        <w:rPr>
          <w:rFonts w:ascii="Times New Roman" w:hAnsi="Times New Roman" w:cs="Times New Roman" w:eastAsia="Times New Roman" w:hint="default"/>
        </w:rPr>
        <w:t>6</w:t>
      </w:r>
      <w:r>
        <w:rPr/>
        <w:t>、报告期内公司经营活动产生的现金净流量与本年度净利润存在重大差异的原因说明</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3"/>
          <w:szCs w:val="13"/>
        </w:rPr>
      </w:pPr>
    </w:p>
    <w:p>
      <w:pPr>
        <w:spacing w:line="1027" w:lineRule="exact"/>
        <w:ind w:left="104" w:right="0" w:firstLine="0"/>
        <w:rPr>
          <w:rFonts w:ascii="宋体" w:hAnsi="宋体" w:cs="宋体" w:eastAsia="宋体" w:hint="default"/>
          <w:sz w:val="20"/>
          <w:szCs w:val="20"/>
        </w:rPr>
      </w:pPr>
      <w:r>
        <w:rPr>
          <w:rFonts w:ascii="宋体" w:hAnsi="宋体" w:cs="宋体" w:eastAsia="宋体" w:hint="default"/>
          <w:position w:val="-20"/>
          <w:sz w:val="20"/>
          <w:szCs w:val="20"/>
        </w:rPr>
        <w:pict>
          <v:shape style="width:481.55pt;height:51.4pt;mso-position-horizontal-relative:char;mso-position-vertical-relative:line" type="#_x0000_t202" filled="false" stroked="true" strokeweight=".47998pt" strokecolor="#000000">
            <w10:anchorlock/>
            <v:textbox inset="0,0,0,0">
              <w:txbxContent>
                <w:p>
                  <w:pPr>
                    <w:pStyle w:val="BodyText"/>
                    <w:spacing w:line="386" w:lineRule="auto" w:before="105"/>
                    <w:ind w:left="103" w:right="113"/>
                    <w:jc w:val="left"/>
                  </w:pPr>
                  <w:r>
                    <w:rPr/>
                    <w:t>报告期内，公司经营活动产生的现金流量净额约为</w:t>
                  </w:r>
                  <w:r>
                    <w:rPr>
                      <w:spacing w:val="-56"/>
                    </w:rPr>
                    <w:t> </w:t>
                  </w:r>
                  <w:r>
                    <w:rPr>
                      <w:rFonts w:ascii="Times New Roman" w:hAnsi="Times New Roman" w:cs="Times New Roman" w:eastAsia="Times New Roman" w:hint="default"/>
                    </w:rPr>
                    <w:t>124,742.33</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年净利润为</w:t>
                  </w:r>
                  <w:r>
                    <w:rPr>
                      <w:spacing w:val="-53"/>
                    </w:rPr>
                    <w:t> </w:t>
                  </w:r>
                  <w:r>
                    <w:rPr>
                      <w:rFonts w:ascii="Times New Roman" w:hAnsi="Times New Roman" w:cs="Times New Roman" w:eastAsia="Times New Roman" w:hint="default"/>
                    </w:rPr>
                    <w:t>10,022.59</w:t>
                  </w:r>
                  <w:r>
                    <w:rPr>
                      <w:rFonts w:ascii="Times New Roman" w:hAnsi="Times New Roman" w:cs="Times New Roman" w:eastAsia="Times New Roman" w:hint="default"/>
                      <w:spacing w:val="-4"/>
                    </w:rPr>
                    <w:t> </w:t>
                  </w:r>
                  <w:r>
                    <w:rPr/>
                    <w:t>万元，</w:t>
                  </w:r>
                  <w:r>
                    <w:rPr>
                      <w:w w:val="100"/>
                    </w:rPr>
                    <w:t> </w:t>
                  </w:r>
                  <w:r>
                    <w:rPr/>
                    <w:t>存在差异的原因，主要系折旧摊销等非付现成本、预收账款等因素所致。</w:t>
                  </w:r>
                </w:p>
              </w:txbxContent>
            </v:textbox>
          </v:shape>
        </w:pict>
      </w:r>
      <w:r>
        <w:rPr>
          <w:rFonts w:ascii="宋体" w:hAnsi="宋体" w:cs="宋体" w:eastAsia="宋体" w:hint="default"/>
          <w:position w:val="-20"/>
          <w:sz w:val="20"/>
          <w:szCs w:val="20"/>
        </w:rPr>
      </w:r>
    </w:p>
    <w:p>
      <w:pPr>
        <w:spacing w:line="240" w:lineRule="auto" w:before="6"/>
        <w:rPr>
          <w:rFonts w:ascii="宋体" w:hAnsi="宋体" w:cs="宋体" w:eastAsia="宋体" w:hint="default"/>
          <w:sz w:val="18"/>
          <w:szCs w:val="18"/>
        </w:rPr>
      </w:pPr>
    </w:p>
    <w:p>
      <w:pPr>
        <w:pStyle w:val="Heading4"/>
        <w:spacing w:line="367" w:lineRule="exact"/>
        <w:ind w:right="1115"/>
        <w:jc w:val="left"/>
        <w:rPr>
          <w:b w:val="0"/>
          <w:bCs w:val="0"/>
        </w:rPr>
      </w:pPr>
      <w:r>
        <w:rPr/>
        <w:t>三、非主营业务分析</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0"/>
          <w:szCs w:val="10"/>
        </w:rPr>
      </w:pPr>
    </w:p>
    <w:tbl>
      <w:tblPr>
        <w:tblW w:w="0" w:type="auto"/>
        <w:jc w:val="left"/>
        <w:tblInd w:w="22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160,838,379.14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67.42%</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5"/>
                <w:sz w:val="18"/>
                <w:szCs w:val="18"/>
              </w:rPr>
              <w:t>天津海吉星、果菜公司实现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股权转让收益；按权益法确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认的联营企业投资收益</w:t>
            </w:r>
          </w:p>
        </w:tc>
        <w:tc>
          <w:tcPr>
            <w:tcW w:w="234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pacing w:val="10"/>
                <w:sz w:val="18"/>
                <w:szCs w:val="18"/>
              </w:rPr>
              <w:t>其中对联营企业投资收益具</w:t>
            </w:r>
            <w:r>
              <w:rPr>
                <w:rFonts w:ascii="宋体" w:hAnsi="宋体" w:cs="宋体" w:eastAsia="宋体" w:hint="default"/>
                <w:sz w:val="18"/>
                <w:szCs w:val="18"/>
              </w:rPr>
              <w:t> </w:t>
            </w:r>
            <w:r>
              <w:rPr>
                <w:rFonts w:ascii="宋体" w:hAnsi="宋体" w:cs="宋体" w:eastAsia="宋体" w:hint="default"/>
                <w:spacing w:val="-5"/>
                <w:sz w:val="18"/>
                <w:szCs w:val="18"/>
              </w:rPr>
              <w:t>有可持续性；资产处置获得投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资收益属一次性收益</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49,175,514.38</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20.61%</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12"/>
                <w:sz w:val="18"/>
                <w:szCs w:val="18"/>
              </w:rPr>
              <w:t>公司及国际食品计提坏账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准备；小额贷款公司按贷款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级分类计提贷款减值准备</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7,735,654.59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265" w:top="1100" w:bottom="1460" w:left="920" w:right="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1340" w:hRule="exact"/>
        </w:trPr>
        <w:tc>
          <w:tcPr>
            <w:tcW w:w="152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37,559,114.76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15.74%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10"/>
                <w:sz w:val="18"/>
                <w:szCs w:val="18"/>
              </w:rPr>
              <w:t>广西新柳邕公司拆除部分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临时建筑产生损失、南方物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流公司延期竣工支付违约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367" w:lineRule="exact"/>
        <w:ind w:right="1115"/>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6"/>
        <w:spacing w:line="240" w:lineRule="auto"/>
        <w:ind w:left="212" w:right="1115"/>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22" w:type="dxa"/>
        <w:tblLayout w:type="fixed"/>
        <w:tblCellMar>
          <w:top w:w="0" w:type="dxa"/>
          <w:left w:w="0" w:type="dxa"/>
          <w:bottom w:w="0" w:type="dxa"/>
          <w:right w:w="0" w:type="dxa"/>
        </w:tblCellMar>
        <w:tblLook w:val="01E0"/>
      </w:tblPr>
      <w:tblGrid>
        <w:gridCol w:w="1396"/>
        <w:gridCol w:w="1430"/>
        <w:gridCol w:w="850"/>
        <w:gridCol w:w="1414"/>
        <w:gridCol w:w="826"/>
        <w:gridCol w:w="2007"/>
        <w:gridCol w:w="852"/>
        <w:gridCol w:w="850"/>
      </w:tblGrid>
      <w:tr>
        <w:trPr>
          <w:trHeight w:val="206"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22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07"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2279" w:type="dxa"/>
            <w:gridSpan w:val="2"/>
            <w:vMerge/>
            <w:tcBorders>
              <w:left w:val="single" w:sz="4" w:space="0" w:color="000000"/>
              <w:bottom w:val="single" w:sz="4" w:space="0" w:color="000000"/>
              <w:right w:val="single" w:sz="4" w:space="0" w:color="000000"/>
            </w:tcBorders>
            <w:shd w:val="clear" w:color="auto" w:fill="D2D2D2"/>
          </w:tcPr>
          <w:p>
            <w:pPr/>
          </w:p>
        </w:tc>
        <w:tc>
          <w:tcPr>
            <w:tcW w:w="2240" w:type="dxa"/>
            <w:gridSpan w:val="2"/>
            <w:vMerge/>
            <w:tcBorders>
              <w:left w:val="single" w:sz="4" w:space="0" w:color="000000"/>
              <w:bottom w:val="single" w:sz="4" w:space="0" w:color="000000"/>
              <w:right w:val="single" w:sz="4" w:space="0" w:color="000000"/>
            </w:tcBorders>
            <w:shd w:val="clear" w:color="auto" w:fill="D2D2D2"/>
          </w:tcPr>
          <w:p>
            <w:pPr/>
          </w:p>
        </w:tc>
        <w:tc>
          <w:tcPr>
            <w:tcW w:w="2007"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重大变动 说明</w:t>
            </w:r>
          </w:p>
        </w:tc>
      </w:tr>
      <w:tr>
        <w:trPr>
          <w:trHeight w:val="179"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28" w:right="46"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20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6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9" w:right="0"/>
              <w:jc w:val="left"/>
              <w:rPr>
                <w:rFonts w:ascii="宋体" w:hAnsi="宋体" w:cs="宋体" w:eastAsia="宋体" w:hint="default"/>
                <w:sz w:val="18"/>
                <w:szCs w:val="18"/>
              </w:rPr>
            </w:pPr>
            <w:r>
              <w:rPr>
                <w:rFonts w:ascii="宋体" w:hAnsi="宋体" w:cs="宋体" w:eastAsia="宋体" w:hint="default"/>
                <w:sz w:val="18"/>
                <w:szCs w:val="18"/>
              </w:rPr>
              <w:t>同比变动</w:t>
            </w:r>
          </w:p>
        </w:tc>
        <w:tc>
          <w:tcPr>
            <w:tcW w:w="850" w:type="dxa"/>
            <w:vMerge/>
            <w:tcBorders>
              <w:left w:val="single" w:sz="4" w:space="0" w:color="000000"/>
              <w:right w:val="single" w:sz="4" w:space="0" w:color="000000"/>
            </w:tcBorders>
            <w:shd w:val="clear" w:color="auto" w:fill="D2D2D2"/>
          </w:tcPr>
          <w:p>
            <w:pPr/>
          </w:p>
        </w:tc>
      </w:tr>
      <w:tr>
        <w:trPr>
          <w:trHeight w:val="190"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vMerge/>
            <w:tcBorders>
              <w:left w:val="single" w:sz="4" w:space="0" w:color="000000"/>
              <w:right w:val="single" w:sz="4" w:space="0" w:color="000000"/>
            </w:tcBorders>
            <w:shd w:val="clear" w:color="auto" w:fill="D2D2D2"/>
          </w:tcPr>
          <w:p>
            <w:pPr/>
          </w:p>
        </w:tc>
        <w:tc>
          <w:tcPr>
            <w:tcW w:w="2007"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179"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right w:val="single" w:sz="4" w:space="0" w:color="000000"/>
            </w:tcBorders>
            <w:shd w:val="clear" w:color="auto" w:fill="D2D2D2"/>
          </w:tcPr>
          <w:p>
            <w:pPr/>
          </w:p>
        </w:tc>
        <w:tc>
          <w:tcPr>
            <w:tcW w:w="2007"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200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1,860,317,522.24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1,822,758,284.40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59,377,586.96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57,983,342.15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604,500,165.15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520,687,437.45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7,096,812,991.00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7,033,493,507.91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2,360,545,977.15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2,198,080,741.40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1,925,380,400.35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1,943,550,868.88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1,034,631,533.28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999,551,080.26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2,034,686,725.76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2,199,593,865.42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11.67%</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4,727,000,000.00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4,540,258,000.00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2,121,028,302.33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2,650,423,494.33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14.07%</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、以公允价值计量的资产和负债</w:t>
      </w:r>
    </w:p>
    <w:p>
      <w:pPr>
        <w:spacing w:line="240" w:lineRule="auto" w:before="0"/>
        <w:rPr>
          <w:rFonts w:ascii="宋体" w:hAnsi="宋体" w:cs="宋体" w:eastAsia="宋体" w:hint="default"/>
          <w:sz w:val="14"/>
          <w:szCs w:val="14"/>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3"/>
          <w:szCs w:val="13"/>
        </w:rPr>
      </w:pPr>
    </w:p>
    <w:p>
      <w:pPr>
        <w:spacing w:line="516" w:lineRule="exact"/>
        <w:ind w:left="10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493.3pt;height:25.8pt;mso-position-horizontal-relative:char;mso-position-vertical-relative:line" type="#_x0000_t202" filled="false" stroked="true" strokeweight=".47998pt" strokecolor="#000000">
            <w10:anchorlock/>
            <v:textbox inset="0,0,0,0">
              <w:txbxContent>
                <w:p>
                  <w:pPr>
                    <w:pStyle w:val="BodyText"/>
                    <w:spacing w:line="240" w:lineRule="auto" w:before="86"/>
                    <w:ind w:left="108" w:right="0"/>
                    <w:jc w:val="left"/>
                  </w:pPr>
                  <w:r>
                    <w:rPr/>
                    <w:t>报告期，公司不存在以公允价值计量的资产和负债。</w:t>
                  </w:r>
                </w:p>
              </w:txbxContent>
            </v:textbox>
          </v:shape>
        </w:pict>
      </w:r>
      <w:r>
        <w:rPr>
          <w:rFonts w:ascii="宋体" w:hAnsi="宋体" w:cs="宋体" w:eastAsia="宋体" w:hint="default"/>
          <w:position w:val="-9"/>
          <w:sz w:val="20"/>
          <w:szCs w:val="20"/>
        </w:rPr>
      </w:r>
    </w:p>
    <w:p>
      <w:pPr>
        <w:spacing w:line="240" w:lineRule="auto" w:before="11"/>
        <w:rPr>
          <w:rFonts w:ascii="宋体" w:hAnsi="宋体" w:cs="宋体" w:eastAsia="宋体" w:hint="default"/>
          <w:sz w:val="20"/>
          <w:szCs w:val="20"/>
        </w:rPr>
      </w:pPr>
    </w:p>
    <w:p>
      <w:pPr>
        <w:pStyle w:val="Heading6"/>
        <w:spacing w:line="335" w:lineRule="exact"/>
        <w:ind w:left="212" w:right="1115"/>
        <w:jc w:val="left"/>
        <w:rPr>
          <w:b w:val="0"/>
          <w:bCs w:val="0"/>
        </w:rPr>
      </w:pPr>
      <w:r>
        <w:rPr>
          <w:rFonts w:ascii="Times New Roman" w:hAnsi="Times New Roman" w:cs="Times New Roman" w:eastAsia="Times New Roman" w:hint="default"/>
        </w:rPr>
        <w:t>3</w:t>
      </w:r>
      <w:r>
        <w:rPr/>
        <w:t>、报告期内公司主要资产计量属性是否发生重大变化</w:t>
      </w:r>
      <w:r>
        <w:rPr>
          <w:b w:val="0"/>
          <w:bCs w:val="0"/>
        </w:rPr>
      </w:r>
    </w:p>
    <w:p>
      <w:pPr>
        <w:spacing w:line="240" w:lineRule="auto" w:before="7"/>
        <w:rPr>
          <w:rFonts w:ascii="Microsoft JhengHei" w:hAnsi="Microsoft JhengHei" w:cs="Microsoft JhengHei" w:eastAsia="Microsoft JhengHei" w:hint="default"/>
          <w:b/>
          <w:bCs/>
          <w:sz w:val="13"/>
          <w:szCs w:val="13"/>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13"/>
          <w:szCs w:val="13"/>
        </w:rPr>
      </w:pPr>
    </w:p>
    <w:p>
      <w:pPr>
        <w:spacing w:line="516" w:lineRule="exact"/>
        <w:ind w:left="10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493.3pt;height:25.8pt;mso-position-horizontal-relative:char;mso-position-vertical-relative:line" type="#_x0000_t202" filled="false" stroked="true" strokeweight=".47998pt" strokecolor="#000000">
            <w10:anchorlock/>
            <v:textbox inset="0,0,0,0">
              <w:txbxContent>
                <w:p>
                  <w:pPr>
                    <w:pStyle w:val="BodyText"/>
                    <w:spacing w:line="240" w:lineRule="auto" w:before="86"/>
                    <w:ind w:left="108" w:right="0"/>
                    <w:jc w:val="left"/>
                  </w:pPr>
                  <w:r>
                    <w:rPr/>
                    <w:t>报告期，公司主要资产计量属性没有发生重大变化。</w:t>
                  </w:r>
                </w:p>
              </w:txbxContent>
            </v:textbox>
          </v:shape>
        </w:pict>
      </w:r>
      <w:r>
        <w:rPr>
          <w:rFonts w:ascii="宋体" w:hAnsi="宋体" w:cs="宋体" w:eastAsia="宋体" w:hint="default"/>
          <w:position w:val="-9"/>
          <w:sz w:val="20"/>
          <w:szCs w:val="20"/>
        </w:rPr>
      </w:r>
    </w:p>
    <w:p>
      <w:pPr>
        <w:spacing w:line="240" w:lineRule="auto" w:before="8"/>
        <w:rPr>
          <w:rFonts w:ascii="宋体" w:hAnsi="宋体" w:cs="宋体" w:eastAsia="宋体" w:hint="default"/>
          <w:sz w:val="19"/>
          <w:szCs w:val="19"/>
        </w:rPr>
      </w:pPr>
    </w:p>
    <w:p>
      <w:pPr>
        <w:pStyle w:val="Heading6"/>
        <w:spacing w:line="335" w:lineRule="exact"/>
        <w:ind w:left="212" w:right="1115"/>
        <w:jc w:val="left"/>
        <w:rPr>
          <w:b w:val="0"/>
          <w:bCs w:val="0"/>
        </w:rPr>
      </w:pPr>
      <w:r>
        <w:rPr>
          <w:rFonts w:ascii="Times New Roman" w:hAnsi="Times New Roman" w:cs="Times New Roman" w:eastAsia="Times New Roman" w:hint="default"/>
        </w:rPr>
        <w:t>4</w:t>
      </w:r>
      <w:r>
        <w:rPr/>
        <w:t>、截至报告期末的资产权利受限情况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52"/>
        <w:gridCol w:w="2285"/>
        <w:gridCol w:w="4217"/>
      </w:tblGrid>
      <w:tr>
        <w:trPr>
          <w:trHeight w:val="422" w:hRule="exact"/>
        </w:trPr>
        <w:tc>
          <w:tcPr>
            <w:tcW w:w="3152"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5"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4217"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877" w:footer="1265" w:top="1100" w:bottom="1460" w:left="92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152"/>
        <w:gridCol w:w="2285"/>
        <w:gridCol w:w="4217"/>
      </w:tblGrid>
      <w:tr>
        <w:trPr>
          <w:trHeight w:val="413" w:hRule="exact"/>
        </w:trPr>
        <w:tc>
          <w:tcPr>
            <w:tcW w:w="31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2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2,593,429.21</w:t>
            </w:r>
          </w:p>
        </w:tc>
        <w:tc>
          <w:tcPr>
            <w:tcW w:w="42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1" w:hRule="exact"/>
        </w:trPr>
        <w:tc>
          <w:tcPr>
            <w:tcW w:w="3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43,450,179.51</w:t>
            </w:r>
          </w:p>
        </w:tc>
        <w:tc>
          <w:tcPr>
            <w:tcW w:w="4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3" w:hRule="exact"/>
        </w:trPr>
        <w:tc>
          <w:tcPr>
            <w:tcW w:w="3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1,079,197,901.30</w:t>
            </w:r>
          </w:p>
        </w:tc>
        <w:tc>
          <w:tcPr>
            <w:tcW w:w="4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1" w:hRule="exact"/>
        </w:trPr>
        <w:tc>
          <w:tcPr>
            <w:tcW w:w="3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599,521,776.83</w:t>
            </w:r>
          </w:p>
        </w:tc>
        <w:tc>
          <w:tcPr>
            <w:tcW w:w="4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3" w:hRule="exact"/>
        </w:trPr>
        <w:tc>
          <w:tcPr>
            <w:tcW w:w="3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321,744,756.41</w:t>
            </w:r>
          </w:p>
        </w:tc>
        <w:tc>
          <w:tcPr>
            <w:tcW w:w="4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13" w:hRule="exact"/>
        </w:trPr>
        <w:tc>
          <w:tcPr>
            <w:tcW w:w="3152" w:type="dxa"/>
            <w:tcBorders>
              <w:top w:val="dotted" w:sz="4" w:space="0" w:color="000000"/>
              <w:left w:val="nil" w:sz="6" w:space="0" w:color="auto"/>
              <w:bottom w:val="single" w:sz="12" w:space="0" w:color="000000"/>
              <w:right w:val="dotted" w:sz="4" w:space="0" w:color="000000"/>
            </w:tcBorders>
          </w:tcPr>
          <w:p>
            <w:pPr>
              <w:pStyle w:val="TableParagraph"/>
              <w:spacing w:line="305" w:lineRule="exact"/>
              <w:ind w:left="2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b/>
                <w:sz w:val="18"/>
              </w:rPr>
              <w:t>2,046,508,043.26</w:t>
            </w:r>
            <w:r>
              <w:rPr>
                <w:rFonts w:ascii="Times New Roman"/>
                <w:sz w:val="18"/>
              </w:rPr>
            </w:r>
          </w:p>
        </w:tc>
        <w:tc>
          <w:tcPr>
            <w:tcW w:w="42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03" w:lineRule="exact" w:before="0"/>
        <w:ind w:left="172" w:right="857" w:firstLine="0"/>
        <w:jc w:val="left"/>
        <w:rPr>
          <w:rFonts w:ascii="宋体" w:hAnsi="宋体" w:cs="宋体" w:eastAsia="宋体" w:hint="default"/>
          <w:sz w:val="18"/>
          <w:szCs w:val="18"/>
        </w:rPr>
      </w:pPr>
      <w:r>
        <w:rPr>
          <w:rFonts w:ascii="宋体" w:hAnsi="宋体" w:cs="宋体" w:eastAsia="宋体" w:hint="default"/>
          <w:sz w:val="18"/>
          <w:szCs w:val="18"/>
        </w:rPr>
        <w:t>注：公司旗下南昌公司、广西新柳邕公司、长沙公司、岳阳海吉星、惠州海吉星、南方物流公司以存货、投资性房地产、固</w:t>
      </w:r>
    </w:p>
    <w:p>
      <w:pPr>
        <w:spacing w:line="357" w:lineRule="auto" w:before="115"/>
        <w:ind w:left="172" w:right="857" w:firstLine="0"/>
        <w:jc w:val="left"/>
        <w:rPr>
          <w:rFonts w:ascii="宋体" w:hAnsi="宋体" w:cs="宋体" w:eastAsia="宋体" w:hint="default"/>
          <w:sz w:val="18"/>
          <w:szCs w:val="18"/>
        </w:rPr>
      </w:pPr>
      <w:r>
        <w:rPr>
          <w:rFonts w:ascii="宋体" w:hAnsi="宋体" w:cs="宋体" w:eastAsia="宋体" w:hint="default"/>
          <w:spacing w:val="-2"/>
          <w:sz w:val="18"/>
          <w:szCs w:val="18"/>
        </w:rPr>
        <w:t>定资产及土地使用权向农业银行、建设银行、工商银行、国家开发银行、九江银行、珠海华润银行取得抵押贷款，具体详见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本报告第十二节</w:t>
      </w:r>
      <w:r>
        <w:rPr>
          <w:rFonts w:ascii="宋体" w:hAnsi="宋体" w:cs="宋体" w:eastAsia="宋体" w:hint="default"/>
          <w:spacing w:val="19"/>
          <w:sz w:val="18"/>
          <w:szCs w:val="18"/>
        </w:rPr>
        <w:t> </w:t>
      </w:r>
      <w:r>
        <w:rPr>
          <w:rFonts w:ascii="宋体" w:hAnsi="宋体" w:cs="宋体" w:eastAsia="宋体" w:hint="default"/>
          <w:spacing w:val="-15"/>
          <w:sz w:val="18"/>
          <w:szCs w:val="18"/>
        </w:rPr>
        <w:t>财务报告附注五、（五十）。</w:t>
      </w:r>
    </w:p>
    <w:p>
      <w:pPr>
        <w:spacing w:line="240" w:lineRule="auto" w:before="9"/>
        <w:rPr>
          <w:rFonts w:ascii="宋体" w:hAnsi="宋体" w:cs="宋体" w:eastAsia="宋体" w:hint="default"/>
          <w:sz w:val="18"/>
          <w:szCs w:val="18"/>
        </w:rPr>
      </w:pPr>
    </w:p>
    <w:p>
      <w:pPr>
        <w:pStyle w:val="Heading4"/>
        <w:spacing w:line="240" w:lineRule="auto"/>
        <w:ind w:left="172" w:right="857"/>
        <w:jc w:val="left"/>
        <w:rPr>
          <w:b w:val="0"/>
          <w:bCs w:val="0"/>
        </w:rPr>
      </w:pPr>
      <w:r>
        <w:rPr/>
        <w:t>五、投资状况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6"/>
        <w:spacing w:line="240" w:lineRule="auto"/>
        <w:ind w:left="172" w:right="857"/>
        <w:jc w:val="left"/>
        <w:rPr>
          <w:b w:val="0"/>
          <w:bCs w:val="0"/>
        </w:rPr>
      </w:pPr>
      <w:r>
        <w:rPr>
          <w:rFonts w:ascii="Times New Roman" w:hAnsi="Times New Roman" w:cs="Times New Roman" w:eastAsia="Times New Roman" w:hint="default"/>
        </w:rPr>
        <w:t>1</w:t>
      </w:r>
      <w:r>
        <w:rPr/>
        <w:t>、报告期重大投资总体情况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93" w:right="857"/>
        <w:jc w:val="left"/>
      </w:pPr>
      <w:r>
        <w:rPr>
          <w:w w:val="100"/>
        </w:rPr>
        <w:t>报告</w:t>
      </w:r>
      <w:r>
        <w:rPr>
          <w:spacing w:val="-3"/>
          <w:w w:val="100"/>
        </w:rPr>
        <w:t>期</w:t>
      </w:r>
      <w:r>
        <w:rPr>
          <w:w w:val="100"/>
        </w:rPr>
        <w:t>公</w:t>
      </w:r>
      <w:r>
        <w:rPr>
          <w:spacing w:val="-3"/>
          <w:w w:val="100"/>
        </w:rPr>
        <w:t>司</w:t>
      </w:r>
      <w:r>
        <w:rPr>
          <w:w w:val="100"/>
        </w:rPr>
        <w:t>股</w:t>
      </w:r>
      <w:r>
        <w:rPr>
          <w:spacing w:val="-3"/>
          <w:w w:val="100"/>
        </w:rPr>
        <w:t>权</w:t>
      </w:r>
      <w:r>
        <w:rPr>
          <w:w w:val="100"/>
        </w:rPr>
        <w:t>投</w:t>
      </w:r>
      <w:r>
        <w:rPr>
          <w:spacing w:val="-3"/>
          <w:w w:val="100"/>
        </w:rPr>
        <w:t>资</w:t>
      </w:r>
      <w:r>
        <w:rPr>
          <w:w w:val="100"/>
        </w:rPr>
        <w:t>为</w:t>
      </w:r>
      <w:r>
        <w:rPr>
          <w:spacing w:val="-3"/>
          <w:w w:val="100"/>
        </w:rPr>
        <w:t>向</w:t>
      </w:r>
      <w:r>
        <w:rPr>
          <w:w w:val="100"/>
        </w:rPr>
        <w:t>九江</w:t>
      </w:r>
      <w:r>
        <w:rPr>
          <w:spacing w:val="-3"/>
          <w:w w:val="100"/>
        </w:rPr>
        <w:t>公</w:t>
      </w:r>
      <w:r>
        <w:rPr>
          <w:w w:val="100"/>
        </w:rPr>
        <w:t>司</w:t>
      </w:r>
      <w:r>
        <w:rPr>
          <w:spacing w:val="-3"/>
          <w:w w:val="100"/>
        </w:rPr>
        <w:t>增</w:t>
      </w:r>
      <w:r>
        <w:rPr>
          <w:w w:val="100"/>
        </w:rPr>
        <w:t>资</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500</w:t>
      </w:r>
      <w:r>
        <w:rPr>
          <w:rFonts w:ascii="Times New Roman" w:hAnsi="Times New Roman" w:cs="Times New Roman" w:eastAsia="Times New Roman" w:hint="default"/>
          <w:spacing w:val="-3"/>
        </w:rPr>
        <w:t> </w:t>
      </w:r>
      <w:r>
        <w:rPr>
          <w:w w:val="100"/>
        </w:rPr>
        <w:t>万</w:t>
      </w:r>
      <w:r>
        <w:rPr>
          <w:spacing w:val="-39"/>
          <w:w w:val="100"/>
        </w:rPr>
        <w:t>元</w:t>
      </w:r>
      <w:r>
        <w:rPr>
          <w:spacing w:val="-3"/>
          <w:w w:val="100"/>
        </w:rPr>
        <w:t>（</w:t>
      </w:r>
      <w:r>
        <w:rPr>
          <w:w w:val="100"/>
        </w:rPr>
        <w:t>详见</w:t>
      </w:r>
      <w:r>
        <w:rPr>
          <w:spacing w:val="-3"/>
          <w:w w:val="100"/>
        </w:rPr>
        <w:t>下</w:t>
      </w:r>
      <w:r>
        <w:rPr>
          <w:w w:val="100"/>
        </w:rPr>
        <w:t>文</w:t>
      </w:r>
      <w:r>
        <w:rPr>
          <w:spacing w:val="-106"/>
          <w:w w:val="100"/>
        </w:rPr>
        <w:t>）</w:t>
      </w:r>
      <w:r>
        <w:rPr>
          <w:spacing w:val="-41"/>
          <w:w w:val="100"/>
        </w:rPr>
        <w:t>，</w:t>
      </w:r>
      <w:r>
        <w:rPr>
          <w:w w:val="100"/>
        </w:rPr>
        <w:t>上</w:t>
      </w:r>
      <w:r>
        <w:rPr>
          <w:spacing w:val="-3"/>
          <w:w w:val="100"/>
        </w:rPr>
        <w:t>年</w:t>
      </w:r>
      <w:r>
        <w:rPr>
          <w:w w:val="100"/>
        </w:rPr>
        <w:t>同</w:t>
      </w:r>
      <w:r>
        <w:rPr>
          <w:spacing w:val="-3"/>
          <w:w w:val="100"/>
        </w:rPr>
        <w:t>期</w:t>
      </w:r>
      <w:r>
        <w:rPr>
          <w:w w:val="100"/>
        </w:rPr>
        <w:t>公</w:t>
      </w:r>
      <w:r>
        <w:rPr>
          <w:spacing w:val="-3"/>
          <w:w w:val="100"/>
        </w:rPr>
        <w:t>司</w:t>
      </w:r>
      <w:r>
        <w:rPr>
          <w:w w:val="100"/>
        </w:rPr>
        <w:t>投资</w:t>
      </w:r>
      <w:r>
        <w:rPr>
          <w:spacing w:val="-3"/>
          <w:w w:val="100"/>
        </w:rPr>
        <w:t>为</w:t>
      </w:r>
      <w:r>
        <w:rPr>
          <w:w w:val="100"/>
        </w:rPr>
        <w:t>作</w:t>
      </w:r>
      <w:r>
        <w:rPr>
          <w:spacing w:val="-3"/>
          <w:w w:val="100"/>
        </w:rPr>
        <w:t>为</w:t>
      </w:r>
      <w:r>
        <w:rPr>
          <w:w w:val="100"/>
        </w:rPr>
        <w:t>有</w:t>
      </w:r>
      <w:r>
        <w:rPr>
          <w:spacing w:val="-3"/>
          <w:w w:val="100"/>
        </w:rPr>
        <w:t>限</w:t>
      </w:r>
      <w:r>
        <w:rPr>
          <w:w w:val="100"/>
        </w:rPr>
        <w:t>合</w:t>
      </w:r>
      <w:r>
        <w:rPr>
          <w:spacing w:val="-3"/>
          <w:w w:val="100"/>
        </w:rPr>
        <w:t>伙</w:t>
      </w:r>
      <w:r>
        <w:rPr>
          <w:w w:val="100"/>
        </w:rPr>
        <w:t>人</w:t>
      </w:r>
    </w:p>
    <w:p>
      <w:pPr>
        <w:pStyle w:val="BodyText"/>
        <w:spacing w:line="240" w:lineRule="auto" w:before="177"/>
        <w:ind w:left="172" w:right="857"/>
        <w:jc w:val="left"/>
      </w:pPr>
      <w:r>
        <w:rPr/>
        <w:t>向农产品流通产业基金出资</w:t>
      </w:r>
      <w:r>
        <w:rPr>
          <w:spacing w:val="-53"/>
        </w:rPr>
        <w:t> </w:t>
      </w:r>
      <w:r>
        <w:rPr>
          <w:rFonts w:ascii="Times New Roman" w:hAnsi="Times New Roman" w:cs="Times New Roman" w:eastAsia="Times New Roman" w:hint="default"/>
        </w:rPr>
        <w:t>56,000</w:t>
      </w:r>
      <w:r>
        <w:rPr>
          <w:rFonts w:ascii="Times New Roman" w:hAnsi="Times New Roman" w:cs="Times New Roman" w:eastAsia="Times New Roman" w:hint="default"/>
          <w:spacing w:val="-3"/>
        </w:rPr>
        <w:t> </w:t>
      </w:r>
      <w:r>
        <w:rPr/>
        <w:t>万元。</w:t>
      </w:r>
    </w:p>
    <w:p>
      <w:pPr>
        <w:pStyle w:val="Heading6"/>
        <w:spacing w:line="690" w:lineRule="atLeast" w:before="7"/>
        <w:ind w:left="595" w:right="2730" w:hanging="423"/>
        <w:jc w:val="left"/>
        <w:rPr>
          <w:b w:val="0"/>
          <w:bCs w:val="0"/>
        </w:rPr>
      </w:pPr>
      <w:r>
        <w:rPr>
          <w:rFonts w:ascii="Times New Roman" w:hAnsi="Times New Roman" w:cs="Times New Roman" w:eastAsia="Times New Roman" w:hint="default"/>
        </w:rPr>
        <w:t>2</w:t>
      </w:r>
      <w:r>
        <w:rPr/>
        <w:t>、报告期内获取的重大的股权投资情况</w:t>
      </w:r>
      <w:r>
        <w:rPr>
          <w:spacing w:val="-38"/>
        </w:rPr>
        <w:t> </w:t>
      </w:r>
      <w:r>
        <w:rPr>
          <w:spacing w:val="-38"/>
        </w:rPr>
      </w:r>
      <w:r>
        <w:rPr>
          <w:spacing w:val="-1"/>
        </w:rPr>
        <w:t>关于按出资比例增资控股子公司九江公司的事项</w:t>
      </w:r>
      <w:r>
        <w:rPr>
          <w:b w:val="0"/>
          <w:bCs w:val="0"/>
          <w:spacing w:val="-1"/>
        </w:rPr>
      </w:r>
    </w:p>
    <w:p>
      <w:pPr>
        <w:spacing w:line="240" w:lineRule="auto" w:before="1"/>
        <w:rPr>
          <w:rFonts w:ascii="Microsoft JhengHei" w:hAnsi="Microsoft JhengHei" w:cs="Microsoft JhengHei" w:eastAsia="Microsoft JhengHei" w:hint="default"/>
          <w:b/>
          <w:bCs/>
          <w:sz w:val="12"/>
          <w:szCs w:val="12"/>
        </w:rPr>
      </w:pPr>
    </w:p>
    <w:p>
      <w:pPr>
        <w:pStyle w:val="BodyText"/>
        <w:spacing w:line="386" w:lineRule="auto" w:before="0"/>
        <w:ind w:left="172" w:right="1120" w:firstLine="420"/>
        <w:jc w:val="left"/>
      </w:pPr>
      <w:r>
        <w:rPr>
          <w:spacing w:val="-3"/>
        </w:rPr>
        <w:t>经公司第八届董事会第二十一次会议审议通过，同意公司与控股子公司九江公司（公司持有其</w:t>
      </w:r>
      <w:r>
        <w:rPr>
          <w:spacing w:val="3"/>
        </w:rPr>
        <w:t> </w:t>
      </w:r>
      <w:r>
        <w:rPr>
          <w:rFonts w:ascii="Times New Roman" w:hAnsi="Times New Roman" w:cs="Times New Roman" w:eastAsia="Times New Roman" w:hint="default"/>
        </w:rPr>
        <w:t>55%</w:t>
      </w:r>
      <w:r>
        <w:rPr/>
        <w:t>股</w:t>
      </w:r>
      <w:r>
        <w:rPr>
          <w:w w:val="100"/>
        </w:rPr>
        <w:t> </w:t>
      </w:r>
      <w:r>
        <w:rPr/>
        <w:t>权）其他股东方九江市琵琶湖农副产品批发市场有限公司按出资比例现金增资九江公司人民币 </w:t>
      </w:r>
      <w:r>
        <w:rPr>
          <w:rFonts w:ascii="Times New Roman" w:hAnsi="Times New Roman" w:cs="Times New Roman" w:eastAsia="Times New Roman" w:hint="default"/>
        </w:rPr>
        <w:t>10,000 </w:t>
      </w:r>
      <w:r>
        <w:rPr>
          <w:rFonts w:ascii="Times New Roman" w:hAnsi="Times New Roman" w:cs="Times New Roman" w:eastAsia="Times New Roman" w:hint="default"/>
          <w:spacing w:val="26"/>
        </w:rPr>
        <w:t> </w:t>
      </w:r>
      <w:r>
        <w:rPr/>
        <w:t>万</w:t>
      </w:r>
    </w:p>
    <w:p>
      <w:pPr>
        <w:pStyle w:val="BodyText"/>
        <w:spacing w:line="240" w:lineRule="auto" w:before="35"/>
        <w:ind w:left="172" w:right="857"/>
        <w:jc w:val="left"/>
      </w:pPr>
      <w:r>
        <w:rPr/>
        <w:t>元。其中，公司现金增资九江公司人民币 </w:t>
      </w:r>
      <w:r>
        <w:rPr>
          <w:rFonts w:ascii="Times New Roman" w:hAnsi="Times New Roman" w:cs="Times New Roman" w:eastAsia="Times New Roman" w:hint="default"/>
        </w:rPr>
        <w:t>5,500</w:t>
      </w:r>
      <w:r>
        <w:rPr>
          <w:rFonts w:ascii="Times New Roman" w:hAnsi="Times New Roman" w:cs="Times New Roman" w:eastAsia="Times New Roman" w:hint="default"/>
          <w:spacing w:val="-28"/>
        </w:rPr>
        <w:t> </w:t>
      </w:r>
      <w:r>
        <w:rPr/>
        <w:t>万元。九江公司获得上述增资款项后，用于偿还公司对其</w:t>
      </w:r>
    </w:p>
    <w:p>
      <w:pPr>
        <w:pStyle w:val="BodyText"/>
        <w:spacing w:line="240" w:lineRule="auto" w:before="177"/>
        <w:ind w:left="172" w:right="857"/>
        <w:jc w:val="left"/>
      </w:pPr>
      <w:r>
        <w:rPr/>
        <w:t>历史借款</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w:t>
      </w:r>
    </w:p>
    <w:p>
      <w:pPr>
        <w:spacing w:line="240" w:lineRule="auto" w:before="7"/>
        <w:rPr>
          <w:rFonts w:ascii="宋体" w:hAnsi="宋体" w:cs="宋体" w:eastAsia="宋体" w:hint="default"/>
          <w:sz w:val="16"/>
          <w:szCs w:val="16"/>
        </w:rPr>
      </w:pPr>
    </w:p>
    <w:p>
      <w:pPr>
        <w:pStyle w:val="BodyText"/>
        <w:spacing w:line="240" w:lineRule="auto" w:before="0"/>
        <w:ind w:left="593" w:right="857"/>
        <w:jc w:val="left"/>
      </w:pPr>
      <w:r>
        <w:rPr/>
        <w:t>报告期，公司及九江公司其他股东方已按出资比例向九江公司注资人民币</w:t>
      </w:r>
      <w:r>
        <w:rPr>
          <w:spacing w:val="-50"/>
        </w:rPr>
        <w:t> </w:t>
      </w:r>
      <w:r>
        <w:rPr>
          <w:rFonts w:ascii="Times New Roman" w:hAnsi="Times New Roman" w:cs="Times New Roman" w:eastAsia="Times New Roman" w:hint="default"/>
        </w:rPr>
        <w:t>1 </w:t>
      </w:r>
      <w:r>
        <w:rPr>
          <w:spacing w:val="-3"/>
        </w:rPr>
        <w:t>亿元，九江公司已向公司</w:t>
      </w:r>
    </w:p>
    <w:p>
      <w:pPr>
        <w:pStyle w:val="BodyText"/>
        <w:spacing w:line="240" w:lineRule="auto" w:before="177"/>
        <w:ind w:left="172" w:right="857"/>
        <w:jc w:val="left"/>
      </w:pPr>
      <w:r>
        <w:rPr/>
        <w:t>归还其历史借款</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亿元，九江公司已完成相关工商变更手续，注册资本由</w:t>
      </w:r>
      <w:r>
        <w:rPr>
          <w:spacing w:val="-5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万元变更为</w:t>
      </w:r>
      <w:r>
        <w:rPr>
          <w:spacing w:val="-5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2"/>
        </w:rPr>
        <w:t> </w:t>
      </w:r>
      <w:r>
        <w:rPr>
          <w:spacing w:val="-3"/>
        </w:rPr>
        <w:t>万元。</w:t>
      </w:r>
      <w:r>
        <w:rPr/>
      </w:r>
    </w:p>
    <w:p>
      <w:pPr>
        <w:spacing w:line="240" w:lineRule="auto" w:before="9"/>
        <w:rPr>
          <w:rFonts w:ascii="宋体" w:hAnsi="宋体" w:cs="宋体" w:eastAsia="宋体" w:hint="default"/>
          <w:sz w:val="16"/>
          <w:szCs w:val="16"/>
        </w:rPr>
      </w:pPr>
    </w:p>
    <w:p>
      <w:pPr>
        <w:pStyle w:val="BodyText"/>
        <w:spacing w:line="386" w:lineRule="auto" w:before="0"/>
        <w:ind w:left="172" w:right="857"/>
        <w:jc w:val="left"/>
      </w:pPr>
      <w:r>
        <w:rPr/>
        <w:t>（上述情况详见公司于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日和</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日在《证券时报》、《中国证券报》、《上海证券</w:t>
      </w:r>
      <w:r>
        <w:rPr>
          <w:w w:val="100"/>
        </w:rPr>
        <w:t> </w:t>
      </w:r>
      <w:r>
        <w:rPr/>
        <w:t>报》、《证券日报》和巨潮资讯网上刊登的公告）</w:t>
      </w:r>
    </w:p>
    <w:p>
      <w:pPr>
        <w:spacing w:line="240" w:lineRule="auto" w:before="12"/>
        <w:rPr>
          <w:rFonts w:ascii="宋体" w:hAnsi="宋体" w:cs="宋体" w:eastAsia="宋体" w:hint="default"/>
          <w:sz w:val="16"/>
          <w:szCs w:val="16"/>
        </w:rPr>
      </w:pPr>
    </w:p>
    <w:p>
      <w:pPr>
        <w:pStyle w:val="Heading6"/>
        <w:spacing w:line="240" w:lineRule="auto"/>
        <w:ind w:left="172" w:right="857"/>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72" w:right="8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65" w:top="1100" w:bottom="1460" w:left="960" w:right="0"/>
        </w:sectPr>
      </w:pPr>
    </w:p>
    <w:p>
      <w:pPr>
        <w:spacing w:line="240" w:lineRule="auto" w:before="12"/>
        <w:rPr>
          <w:rFonts w:ascii="宋体" w:hAnsi="宋体" w:cs="宋体" w:eastAsia="宋体" w:hint="default"/>
          <w:sz w:val="20"/>
          <w:szCs w:val="20"/>
        </w:rPr>
      </w:pPr>
    </w:p>
    <w:p>
      <w:pPr>
        <w:pStyle w:val="Heading6"/>
        <w:spacing w:line="335" w:lineRule="exact"/>
        <w:ind w:left="152"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0" w:lineRule="auto"/>
        <w:ind w:left="152"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公司报告期不存在证券投资。</w:t>
      </w:r>
    </w:p>
    <w:p>
      <w:pPr>
        <w:spacing w:line="240" w:lineRule="auto" w:before="2"/>
        <w:rPr>
          <w:rFonts w:ascii="宋体" w:hAnsi="宋体" w:cs="宋体" w:eastAsia="宋体" w:hint="default"/>
          <w:sz w:val="16"/>
          <w:szCs w:val="16"/>
        </w:rPr>
      </w:pPr>
    </w:p>
    <w:p>
      <w:pPr>
        <w:pStyle w:val="Heading6"/>
        <w:spacing w:line="240" w:lineRule="auto"/>
        <w:ind w:left="152"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69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公司报告期不存在衍生品投资。</w:t>
      </w:r>
    </w:p>
    <w:p>
      <w:pPr>
        <w:spacing w:line="240" w:lineRule="auto" w:before="4"/>
        <w:rPr>
          <w:rFonts w:ascii="宋体" w:hAnsi="宋体" w:cs="宋体" w:eastAsia="宋体" w:hint="default"/>
          <w:sz w:val="16"/>
          <w:szCs w:val="16"/>
        </w:rPr>
      </w:pPr>
    </w:p>
    <w:p>
      <w:pPr>
        <w:pStyle w:val="Heading6"/>
        <w:spacing w:line="240" w:lineRule="auto"/>
        <w:ind w:left="152" w:right="0"/>
        <w:jc w:val="left"/>
        <w:rPr>
          <w:b w:val="0"/>
          <w:bCs w:val="0"/>
        </w:rPr>
      </w:pPr>
      <w:r>
        <w:rPr>
          <w:rFonts w:ascii="Times New Roman" w:hAnsi="Times New Roman" w:cs="Times New Roman" w:eastAsia="Times New Roman" w:hint="default"/>
        </w:rPr>
        <w:t>5</w:t>
      </w:r>
      <w:r>
        <w:rPr/>
        <w:t>、持有其他上市公司股权情况</w:t>
      </w:r>
      <w:r>
        <w:rPr>
          <w:b w:val="0"/>
          <w:bCs w:val="0"/>
        </w:rPr>
      </w:r>
    </w:p>
    <w:p>
      <w:pPr>
        <w:spacing w:line="240" w:lineRule="auto" w:before="3"/>
        <w:rPr>
          <w:rFonts w:ascii="Microsoft JhengHei" w:hAnsi="Microsoft JhengHei" w:cs="Microsoft JhengHei" w:eastAsia="Microsoft JhengHei"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965"/>
        <w:gridCol w:w="962"/>
        <w:gridCol w:w="1445"/>
        <w:gridCol w:w="1121"/>
        <w:gridCol w:w="1445"/>
        <w:gridCol w:w="1284"/>
        <w:gridCol w:w="1445"/>
        <w:gridCol w:w="962"/>
      </w:tblGrid>
      <w:tr>
        <w:trPr>
          <w:trHeight w:val="714" w:hRule="exact"/>
        </w:trPr>
        <w:tc>
          <w:tcPr>
            <w:tcW w:w="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31" w:right="29" w:firstLine="76"/>
              <w:jc w:val="left"/>
              <w:rPr>
                <w:rFonts w:ascii="宋体" w:hAnsi="宋体" w:cs="宋体" w:eastAsia="宋体" w:hint="default"/>
                <w:sz w:val="18"/>
                <w:szCs w:val="18"/>
              </w:rPr>
            </w:pPr>
            <w:r>
              <w:rPr>
                <w:rFonts w:ascii="宋体" w:hAnsi="宋体" w:cs="宋体" w:eastAsia="宋体" w:hint="default"/>
                <w:sz w:val="18"/>
                <w:szCs w:val="18"/>
              </w:rPr>
              <w:t>占该公司股 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000019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深粮控股</w:t>
            </w:r>
          </w:p>
          <w:p>
            <w:pPr>
              <w:pStyle w:val="TableParagraph"/>
              <w:spacing w:line="240" w:lineRule="auto" w:before="77"/>
              <w:ind w:left="206"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107,788,170.19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8.23%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352,040,834.67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-12,778,897.88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股权转让</w:t>
            </w:r>
          </w:p>
        </w:tc>
      </w:tr>
    </w:tbl>
    <w:p>
      <w:pPr>
        <w:spacing w:line="314" w:lineRule="auto" w:before="49"/>
        <w:ind w:left="152" w:right="1122" w:firstLine="0"/>
        <w:jc w:val="left"/>
        <w:rPr>
          <w:rFonts w:ascii="宋体" w:hAnsi="宋体" w:cs="宋体" w:eastAsia="宋体" w:hint="default"/>
          <w:sz w:val="18"/>
          <w:szCs w:val="18"/>
        </w:rPr>
      </w:pPr>
      <w:r>
        <w:rPr>
          <w:rFonts w:ascii="宋体" w:hAnsi="宋体" w:cs="宋体" w:eastAsia="宋体" w:hint="default"/>
          <w:spacing w:val="-3"/>
          <w:sz w:val="18"/>
          <w:szCs w:val="18"/>
        </w:rPr>
        <w:t>注：深粮控股原为“深深宝”，其在报告期完成发行股份购买资产情况详见本报告第五节</w:t>
      </w:r>
      <w:r>
        <w:rPr>
          <w:rFonts w:ascii="宋体" w:hAnsi="宋体" w:cs="宋体" w:eastAsia="宋体" w:hint="default"/>
          <w:sz w:val="18"/>
          <w:szCs w:val="18"/>
        </w:rPr>
        <w:t> 重要事项</w:t>
      </w:r>
      <w:r>
        <w:rPr>
          <w:rFonts w:ascii="宋体" w:hAnsi="宋体" w:cs="宋体" w:eastAsia="宋体" w:hint="default"/>
          <w:spacing w:val="29"/>
          <w:sz w:val="18"/>
          <w:szCs w:val="18"/>
        </w:rPr>
        <w:t> </w:t>
      </w:r>
      <w:r>
        <w:rPr>
          <w:rFonts w:ascii="宋体" w:hAnsi="宋体" w:cs="宋体" w:eastAsia="宋体" w:hint="default"/>
          <w:sz w:val="18"/>
          <w:szCs w:val="18"/>
        </w:rPr>
        <w:t>十九、其他重大事项的</w:t>
      </w:r>
      <w:r>
        <w:rPr>
          <w:rFonts w:ascii="宋体" w:hAnsi="宋体" w:cs="宋体" w:eastAsia="宋体" w:hint="default"/>
          <w:sz w:val="18"/>
          <w:szCs w:val="18"/>
        </w:rPr>
        <w:t> 说明。</w:t>
      </w:r>
    </w:p>
    <w:p>
      <w:pPr>
        <w:spacing w:line="240" w:lineRule="auto" w:before="11"/>
        <w:rPr>
          <w:rFonts w:ascii="宋体" w:hAnsi="宋体" w:cs="宋体" w:eastAsia="宋体" w:hint="default"/>
          <w:sz w:val="17"/>
          <w:szCs w:val="17"/>
        </w:rPr>
      </w:pPr>
    </w:p>
    <w:p>
      <w:pPr>
        <w:pStyle w:val="Heading6"/>
        <w:spacing w:line="240" w:lineRule="auto"/>
        <w:ind w:left="152" w:right="0"/>
        <w:jc w:val="left"/>
        <w:rPr>
          <w:b w:val="0"/>
          <w:bCs w:val="0"/>
        </w:rPr>
      </w:pPr>
      <w:r>
        <w:rPr>
          <w:rFonts w:ascii="Times New Roman" w:hAnsi="Times New Roman" w:cs="Times New Roman" w:eastAsia="Times New Roman" w:hint="default"/>
        </w:rPr>
        <w:t>6</w:t>
      </w:r>
      <w:r>
        <w:rPr/>
        <w:t>、持有金融企业股权情况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2"/>
        <w:gridCol w:w="869"/>
        <w:gridCol w:w="869"/>
        <w:gridCol w:w="869"/>
        <w:gridCol w:w="869"/>
        <w:gridCol w:w="869"/>
        <w:gridCol w:w="869"/>
        <w:gridCol w:w="929"/>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6"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广发银行</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2,661,689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2,661,689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69" w:right="67"/>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股权转让</w:t>
            </w:r>
          </w:p>
        </w:tc>
      </w:tr>
    </w:tbl>
    <w:p>
      <w:pPr>
        <w:spacing w:line="240" w:lineRule="auto" w:before="3"/>
        <w:rPr>
          <w:rFonts w:ascii="宋体" w:hAnsi="宋体" w:cs="宋体" w:eastAsia="宋体" w:hint="default"/>
          <w:sz w:val="19"/>
          <w:szCs w:val="19"/>
        </w:rPr>
      </w:pPr>
    </w:p>
    <w:p>
      <w:pPr>
        <w:pStyle w:val="Heading6"/>
        <w:spacing w:line="335" w:lineRule="exact"/>
        <w:ind w:left="152" w:right="0"/>
        <w:jc w:val="left"/>
        <w:rPr>
          <w:b w:val="0"/>
          <w:bCs w:val="0"/>
        </w:rPr>
      </w:pPr>
      <w:r>
        <w:rPr>
          <w:rFonts w:ascii="Times New Roman" w:hAnsi="Times New Roman" w:cs="Times New Roman" w:eastAsia="Times New Roman" w:hint="default"/>
        </w:rPr>
        <w:t>7</w:t>
      </w:r>
      <w:r>
        <w:rPr/>
        <w:t>、募集资金使用情况</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Heading6"/>
        <w:spacing w:line="240" w:lineRule="auto"/>
        <w:ind w:left="15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261"/>
        <w:gridCol w:w="6303"/>
      </w:tblGrid>
      <w:tr>
        <w:trPr>
          <w:trHeight w:val="716"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2"/>
                <w:sz w:val="18"/>
                <w:szCs w:val="18"/>
              </w:rPr>
              <w:t>募集资金总额（不包含募集资金利息及理</w:t>
            </w:r>
            <w:r>
              <w:rPr>
                <w:rFonts w:ascii="宋体" w:hAnsi="宋体" w:cs="宋体" w:eastAsia="宋体" w:hint="default"/>
                <w:sz w:val="18"/>
                <w:szCs w:val="18"/>
              </w:rPr>
              <w:t> 财收益）</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167,067.13</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2,075.55</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150,806.92</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2"/>
                <w:sz w:val="18"/>
                <w:szCs w:val="18"/>
              </w:rPr>
              <w:t>报告期内变更用途的募集资金总额（不包</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3,000</w:t>
            </w:r>
          </w:p>
        </w:tc>
      </w:tr>
    </w:tbl>
    <w:p>
      <w:pPr>
        <w:spacing w:after="0" w:line="240" w:lineRule="auto"/>
        <w:jc w:val="right"/>
        <w:rPr>
          <w:rFonts w:ascii="宋体" w:hAnsi="宋体" w:cs="宋体" w:eastAsia="宋体" w:hint="default"/>
          <w:sz w:val="18"/>
          <w:szCs w:val="18"/>
        </w:rPr>
        <w:sectPr>
          <w:pgSz w:w="11910" w:h="16840"/>
          <w:pgMar w:header="877" w:footer="1265"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6303"/>
      </w:tblGrid>
      <w:tr>
        <w:trPr>
          <w:trHeight w:val="363"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含变更用途募集资金利息及理财收益）</w:t>
            </w:r>
          </w:p>
        </w:tc>
        <w:tc>
          <w:tcPr>
            <w:tcW w:w="6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累计变更用途的募集资金总额（不包含变</w:t>
            </w:r>
            <w:r>
              <w:rPr>
                <w:rFonts w:ascii="宋体" w:hAnsi="宋体" w:cs="宋体" w:eastAsia="宋体" w:hint="default"/>
                <w:sz w:val="18"/>
                <w:szCs w:val="18"/>
              </w:rPr>
              <w:t> 更用途募集资金利息及理财收益）</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w:t>
            </w:r>
          </w:p>
        </w:tc>
      </w:tr>
      <w:tr>
        <w:trPr>
          <w:trHeight w:val="3610" w:hRule="exact"/>
        </w:trPr>
        <w:tc>
          <w:tcPr>
            <w:tcW w:w="326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尚未使用募集资金用途及去向</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9"/>
              <w:ind w:left="24" w:right="17"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23,965.76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万元（含募集资金存款</w:t>
            </w:r>
            <w:r>
              <w:rPr>
                <w:rFonts w:ascii="宋体" w:hAnsi="宋体" w:cs="宋体" w:eastAsia="宋体" w:hint="default"/>
                <w:sz w:val="18"/>
                <w:szCs w:val="18"/>
              </w:rPr>
              <w:t> </w:t>
            </w:r>
            <w:r>
              <w:rPr>
                <w:rFonts w:ascii="宋体" w:hAnsi="宋体" w:cs="宋体" w:eastAsia="宋体" w:hint="default"/>
                <w:spacing w:val="-3"/>
                <w:sz w:val="18"/>
                <w:szCs w:val="18"/>
              </w:rPr>
              <w:t>利息收入和闲置募集资金投资银行保本理财产品产生的收益）；其中，公司募集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资金存储专户的余额为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965.76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万元；用于购买银行保本理财产品余额为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23,000 </w:t>
            </w:r>
            <w:r>
              <w:rPr>
                <w:rFonts w:ascii="宋体" w:hAnsi="宋体" w:cs="宋体" w:eastAsia="宋体" w:hint="default"/>
                <w:sz w:val="18"/>
                <w:szCs w:val="18"/>
              </w:rPr>
              <w:t>万元。</w:t>
            </w:r>
          </w:p>
          <w:p>
            <w:pPr>
              <w:pStyle w:val="TableParagraph"/>
              <w:spacing w:line="297" w:lineRule="auto" w:before="23"/>
              <w:ind w:left="24" w:right="20"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日，承诺使用于天津翰吉斯国际农产品物流园项目的 </w:t>
            </w:r>
            <w:r>
              <w:rPr>
                <w:rFonts w:ascii="宋体" w:hAnsi="宋体" w:cs="宋体" w:eastAsia="宋体" w:hint="default"/>
                <w:spacing w:val="-2"/>
                <w:sz w:val="18"/>
                <w:szCs w:val="18"/>
              </w:rPr>
              <w:t>募集资金金额使用完毕；承诺使用于广西海吉星农产品国际物流中心项目的募集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资金继续用于广西海吉星农产品国际物流中心项目。</w:t>
            </w:r>
          </w:p>
          <w:p>
            <w:pPr>
              <w:pStyle w:val="TableParagraph"/>
              <w:spacing w:line="240" w:lineRule="auto" w:before="21"/>
              <w:ind w:left="384" w:right="0"/>
              <w:jc w:val="left"/>
              <w:rPr>
                <w:rFonts w:ascii="宋体" w:hAnsi="宋体" w:cs="宋体" w:eastAsia="宋体" w:hint="default"/>
                <w:sz w:val="18"/>
                <w:szCs w:val="18"/>
              </w:rPr>
            </w:pPr>
            <w:r>
              <w:rPr>
                <w:rFonts w:ascii="宋体" w:hAnsi="宋体" w:cs="宋体" w:eastAsia="宋体" w:hint="default"/>
                <w:spacing w:val="3"/>
                <w:sz w:val="18"/>
                <w:szCs w:val="18"/>
              </w:rPr>
              <w:t>经公司第八届董事会第十八次会议及 </w:t>
            </w:r>
            <w:r>
              <w:rPr>
                <w:rFonts w:ascii="宋体" w:hAnsi="宋体" w:cs="宋体" w:eastAsia="宋体" w:hint="default"/>
                <w:sz w:val="18"/>
                <w:szCs w:val="18"/>
              </w:rPr>
              <w:t>2018</w:t>
            </w:r>
            <w:r>
              <w:rPr>
                <w:rFonts w:ascii="宋体" w:hAnsi="宋体" w:cs="宋体" w:eastAsia="宋体" w:hint="default"/>
                <w:spacing w:val="17"/>
                <w:sz w:val="18"/>
                <w:szCs w:val="18"/>
              </w:rPr>
              <w:t> </w:t>
            </w:r>
            <w:r>
              <w:rPr>
                <w:rFonts w:ascii="宋体" w:hAnsi="宋体" w:cs="宋体" w:eastAsia="宋体" w:hint="default"/>
                <w:spacing w:val="3"/>
                <w:sz w:val="18"/>
                <w:szCs w:val="18"/>
              </w:rPr>
              <w:t>年第六次临时股东大会审议通</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8"/>
                <w:sz w:val="18"/>
                <w:szCs w:val="18"/>
              </w:rPr>
              <w:t>过，同意将共计</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4"/>
                <w:sz w:val="18"/>
                <w:szCs w:val="18"/>
              </w:rPr>
              <w:t> </w:t>
            </w:r>
            <w:r>
              <w:rPr>
                <w:rFonts w:ascii="宋体" w:hAnsi="宋体" w:cs="宋体" w:eastAsia="宋体" w:hint="default"/>
                <w:sz w:val="18"/>
                <w:szCs w:val="18"/>
              </w:rPr>
              <w:t>万元募集资金所获利息及购买银行保本理财产品所获理财</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1"/>
                <w:sz w:val="18"/>
                <w:szCs w:val="18"/>
              </w:rPr>
              <w:t>收益，以及</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万元原计划投资于广西海吉星农产品国际物流中心项目部分募</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5"/>
                <w:sz w:val="18"/>
                <w:szCs w:val="18"/>
              </w:rPr>
              <w:t>集资金，即将上述暂未使用</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亿元募集资金变更投向至公司旗下深圳海吉星国际</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农产品物流园</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号楼项目。</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闲置两年以上募集资金金额</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募集资金总体使用情况说明</w:t>
            </w:r>
            <w:r>
              <w:rPr>
                <w:rFonts w:ascii="Microsoft JhengHei" w:hAnsi="Microsoft JhengHei" w:cs="Microsoft JhengHei" w:eastAsia="Microsoft JhengHei" w:hint="default"/>
                <w:sz w:val="18"/>
                <w:szCs w:val="18"/>
              </w:rPr>
            </w:r>
          </w:p>
        </w:tc>
      </w:tr>
      <w:tr>
        <w:trPr>
          <w:trHeight w:val="7859"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5" w:lineRule="exact"/>
              <w:ind w:left="3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一、募集资金基本情况</w:t>
            </w:r>
            <w:r>
              <w:rPr>
                <w:rFonts w:ascii="Microsoft JhengHei" w:hAnsi="Microsoft JhengHei" w:cs="Microsoft JhengHei" w:eastAsia="Microsoft JhengHei" w:hint="default"/>
                <w:sz w:val="18"/>
                <w:szCs w:val="18"/>
              </w:rPr>
            </w:r>
          </w:p>
          <w:p>
            <w:pPr>
              <w:pStyle w:val="TableParagraph"/>
              <w:spacing w:line="240" w:lineRule="auto" w:before="37"/>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、募集资金到账情况</w:t>
            </w:r>
            <w:r>
              <w:rPr>
                <w:rFonts w:ascii="Microsoft JhengHei" w:hAnsi="Microsoft JhengHei" w:cs="Microsoft JhengHei" w:eastAsia="Microsoft JhengHei" w:hint="default"/>
                <w:sz w:val="18"/>
                <w:szCs w:val="18"/>
              </w:rPr>
            </w:r>
          </w:p>
          <w:p>
            <w:pPr>
              <w:pStyle w:val="TableParagraph"/>
              <w:spacing w:line="240" w:lineRule="auto" w:before="96"/>
              <w:ind w:left="384" w:right="0"/>
              <w:jc w:val="left"/>
              <w:rPr>
                <w:rFonts w:ascii="宋体" w:hAnsi="宋体" w:cs="宋体" w:eastAsia="宋体" w:hint="default"/>
                <w:sz w:val="18"/>
                <w:szCs w:val="18"/>
              </w:rPr>
            </w:pPr>
            <w:r>
              <w:rPr>
                <w:rFonts w:ascii="宋体" w:hAnsi="宋体" w:cs="宋体" w:eastAsia="宋体" w:hint="default"/>
                <w:sz w:val="18"/>
                <w:szCs w:val="18"/>
              </w:rPr>
              <w:t>经公司第六届董事会第十一次会议、公司第六届董事会第十七次会议、公司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年第三次临时股东大会、公司第六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届董事会第二十二次会议、公司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年第一次临时股东大会审议，同意本公司向深圳市人民政府国有资产监督管理委员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会、深圳市远致投资有限公司等在内的不超过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名特定对象非公开发行不超过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457,875,457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股人民币普通股股票，每股面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元，发行价为人民币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股。本次非公开发行于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日获得中国证券监督管理委员会《关于核准深圳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1"/>
                <w:sz w:val="18"/>
                <w:szCs w:val="18"/>
              </w:rPr>
              <w:t>市农产品</w:t>
            </w:r>
            <w:r>
              <w:rPr>
                <w:rFonts w:ascii="宋体" w:hAnsi="宋体" w:cs="宋体" w:eastAsia="宋体" w:hint="default"/>
                <w:spacing w:val="14"/>
                <w:sz w:val="18"/>
                <w:szCs w:val="18"/>
              </w:rPr>
              <w:t>集</w:t>
            </w:r>
            <w:r>
              <w:rPr>
                <w:rFonts w:ascii="宋体" w:hAnsi="宋体" w:cs="宋体" w:eastAsia="宋体" w:hint="default"/>
                <w:spacing w:val="11"/>
                <w:sz w:val="18"/>
                <w:szCs w:val="18"/>
              </w:rPr>
              <w:t>团股份</w:t>
            </w:r>
            <w:r>
              <w:rPr>
                <w:rFonts w:ascii="宋体" w:hAnsi="宋体" w:cs="宋体" w:eastAsia="宋体" w:hint="default"/>
                <w:spacing w:val="14"/>
                <w:sz w:val="18"/>
                <w:szCs w:val="18"/>
              </w:rPr>
              <w:t>有</w:t>
            </w:r>
            <w:r>
              <w:rPr>
                <w:rFonts w:ascii="宋体" w:hAnsi="宋体" w:cs="宋体" w:eastAsia="宋体" w:hint="default"/>
                <w:spacing w:val="11"/>
                <w:sz w:val="18"/>
                <w:szCs w:val="18"/>
              </w:rPr>
              <w:t>限公</w:t>
            </w:r>
            <w:r>
              <w:rPr>
                <w:rFonts w:ascii="宋体" w:hAnsi="宋体" w:cs="宋体" w:eastAsia="宋体" w:hint="default"/>
                <w:spacing w:val="14"/>
                <w:sz w:val="18"/>
                <w:szCs w:val="18"/>
              </w:rPr>
              <w:t>司</w:t>
            </w:r>
            <w:r>
              <w:rPr>
                <w:rFonts w:ascii="宋体" w:hAnsi="宋体" w:cs="宋体" w:eastAsia="宋体" w:hint="default"/>
                <w:spacing w:val="11"/>
                <w:sz w:val="18"/>
                <w:szCs w:val="18"/>
              </w:rPr>
              <w:t>非公开发</w:t>
            </w:r>
            <w:r>
              <w:rPr>
                <w:rFonts w:ascii="宋体" w:hAnsi="宋体" w:cs="宋体" w:eastAsia="宋体" w:hint="default"/>
                <w:spacing w:val="14"/>
                <w:sz w:val="18"/>
                <w:szCs w:val="18"/>
              </w:rPr>
              <w:t>行</w:t>
            </w:r>
            <w:r>
              <w:rPr>
                <w:rFonts w:ascii="宋体" w:hAnsi="宋体" w:cs="宋体" w:eastAsia="宋体" w:hint="default"/>
                <w:spacing w:val="11"/>
                <w:sz w:val="18"/>
                <w:szCs w:val="18"/>
              </w:rPr>
              <w:t>股票的</w:t>
            </w:r>
            <w:r>
              <w:rPr>
                <w:rFonts w:ascii="宋体" w:hAnsi="宋体" w:cs="宋体" w:eastAsia="宋体" w:hint="default"/>
                <w:spacing w:val="14"/>
                <w:sz w:val="18"/>
                <w:szCs w:val="18"/>
              </w:rPr>
              <w:t>批</w:t>
            </w:r>
            <w:r>
              <w:rPr>
                <w:rFonts w:ascii="宋体" w:hAnsi="宋体" w:cs="宋体" w:eastAsia="宋体" w:hint="default"/>
                <w:spacing w:val="11"/>
                <w:sz w:val="18"/>
                <w:szCs w:val="18"/>
              </w:rPr>
              <w:t>复</w:t>
            </w:r>
            <w:r>
              <w:rPr>
                <w:rFonts w:ascii="宋体" w:hAnsi="宋体" w:cs="宋体" w:eastAsia="宋体" w:hint="default"/>
                <w:spacing w:val="-77"/>
                <w:sz w:val="18"/>
                <w:szCs w:val="18"/>
              </w:rPr>
              <w:t>》</w:t>
            </w:r>
            <w:r>
              <w:rPr>
                <w:rFonts w:ascii="宋体" w:hAnsi="宋体" w:cs="宋体" w:eastAsia="宋体" w:hint="default"/>
                <w:spacing w:val="11"/>
                <w:sz w:val="18"/>
                <w:szCs w:val="18"/>
              </w:rPr>
              <w:t>（</w:t>
            </w:r>
            <w:r>
              <w:rPr>
                <w:rFonts w:ascii="宋体" w:hAnsi="宋体" w:cs="宋体" w:eastAsia="宋体" w:hint="default"/>
                <w:spacing w:val="14"/>
                <w:sz w:val="18"/>
                <w:szCs w:val="18"/>
              </w:rPr>
              <w:t>证</w:t>
            </w:r>
            <w:r>
              <w:rPr>
                <w:rFonts w:ascii="宋体" w:hAnsi="宋体" w:cs="宋体" w:eastAsia="宋体" w:hint="default"/>
                <w:spacing w:val="11"/>
                <w:sz w:val="18"/>
                <w:szCs w:val="18"/>
              </w:rPr>
              <w:t>监许</w:t>
            </w:r>
            <w:r>
              <w:rPr>
                <w:rFonts w:ascii="宋体" w:hAnsi="宋体" w:cs="宋体" w:eastAsia="宋体" w:hint="default"/>
                <w:sz w:val="18"/>
                <w:szCs w:val="18"/>
              </w:rPr>
              <w:t>可</w:t>
            </w:r>
            <w:r>
              <w:rPr>
                <w:rFonts w:ascii="宋体" w:hAnsi="宋体" w:cs="宋体" w:eastAsia="宋体" w:hint="default"/>
                <w:spacing w:val="-74"/>
                <w:sz w:val="18"/>
                <w:szCs w:val="18"/>
              </w:rPr>
              <w:t> </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5"/>
                <w:sz w:val="18"/>
                <w:szCs w:val="18"/>
              </w:rPr>
              <w:t> </w:t>
            </w:r>
            <w:r>
              <w:rPr>
                <w:rFonts w:ascii="宋体" w:hAnsi="宋体" w:cs="宋体" w:eastAsia="宋体" w:hint="default"/>
                <w:spacing w:val="12"/>
                <w:sz w:val="18"/>
                <w:szCs w:val="18"/>
              </w:rPr>
              <w:t>号）批准，核准公</w:t>
            </w:r>
            <w:r>
              <w:rPr>
                <w:rFonts w:ascii="宋体" w:hAnsi="宋体" w:cs="宋体" w:eastAsia="宋体" w:hint="default"/>
                <w:spacing w:val="14"/>
                <w:sz w:val="18"/>
                <w:szCs w:val="18"/>
              </w:rPr>
              <w:t>司</w:t>
            </w:r>
            <w:r>
              <w:rPr>
                <w:rFonts w:ascii="宋体" w:hAnsi="宋体" w:cs="宋体" w:eastAsia="宋体" w:hint="default"/>
                <w:spacing w:val="12"/>
                <w:sz w:val="18"/>
                <w:szCs w:val="18"/>
              </w:rPr>
              <w:t>非公开</w:t>
            </w:r>
            <w:r>
              <w:rPr>
                <w:rFonts w:ascii="宋体" w:hAnsi="宋体" w:cs="宋体" w:eastAsia="宋体" w:hint="default"/>
                <w:spacing w:val="14"/>
                <w:sz w:val="18"/>
                <w:szCs w:val="18"/>
              </w:rPr>
              <w:t>发</w:t>
            </w:r>
            <w:r>
              <w:rPr>
                <w:rFonts w:ascii="宋体" w:hAnsi="宋体" w:cs="宋体" w:eastAsia="宋体" w:hint="default"/>
                <w:spacing w:val="12"/>
                <w:sz w:val="18"/>
                <w:szCs w:val="18"/>
              </w:rPr>
              <w:t>行不</w:t>
            </w:r>
            <w:r>
              <w:rPr>
                <w:rFonts w:ascii="宋体" w:hAnsi="宋体" w:cs="宋体" w:eastAsia="宋体" w:hint="default"/>
                <w:spacing w:val="14"/>
                <w:sz w:val="18"/>
                <w:szCs w:val="18"/>
              </w:rPr>
              <w:t>超</w:t>
            </w:r>
            <w:r>
              <w:rPr>
                <w:rFonts w:ascii="宋体" w:hAnsi="宋体" w:cs="宋体" w:eastAsia="宋体" w:hint="default"/>
                <w:sz w:val="18"/>
                <w:szCs w:val="18"/>
              </w:rPr>
              <w:t>过</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457,875,457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股新股，本次实际发行股票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313,650,000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股，发行价格</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股；截止</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日，募集资金总额为</w:t>
            </w:r>
          </w:p>
          <w:p>
            <w:pPr>
              <w:pStyle w:val="TableParagraph"/>
              <w:spacing w:line="300" w:lineRule="auto" w:before="63"/>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1,712,529,000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元，扣除有关发行费用后，募集资金净额为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1,670,671,339.94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日，中审国际会计师事务所 有限公司进行验资，并出具了中审国际验字</w:t>
            </w:r>
            <w:r>
              <w:rPr>
                <w:rFonts w:ascii="Times New Roman" w:hAnsi="Times New Roman" w:cs="Times New Roman" w:eastAsia="Times New Roman" w:hint="default"/>
                <w:sz w:val="18"/>
                <w:szCs w:val="18"/>
              </w:rPr>
              <w:t>[2013]01020002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w:t>
            </w:r>
          </w:p>
          <w:p>
            <w:pPr>
              <w:pStyle w:val="TableParagraph"/>
              <w:spacing w:line="310" w:lineRule="exact"/>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、募集资金利息收入及理财收益的基本情况</w:t>
            </w:r>
            <w:r>
              <w:rPr>
                <w:rFonts w:ascii="Microsoft JhengHei" w:hAnsi="Microsoft JhengHei" w:cs="Microsoft JhengHei" w:eastAsia="Microsoft JhengHei" w:hint="default"/>
                <w:sz w:val="18"/>
                <w:szCs w:val="18"/>
              </w:rPr>
            </w:r>
          </w:p>
          <w:p>
            <w:pPr>
              <w:pStyle w:val="TableParagraph"/>
              <w:spacing w:line="240" w:lineRule="auto" w:before="94"/>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日，募集资金累计实现利息收入为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万元，闲置募集资金投资银行保本理财产品产生的累</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7,343.46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年度，募集资金存款利息收入为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年度，募集资金存款利息收入为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57.73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万元，闲置募集资金投资银行保本理财产品产生的收益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2,539.57</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2015</w:t>
            </w:r>
          </w:p>
          <w:p>
            <w:pPr>
              <w:pStyle w:val="TableParagraph"/>
              <w:spacing w:line="240" w:lineRule="auto" w:before="63"/>
              <w:ind w:left="24" w:right="-10"/>
              <w:jc w:val="left"/>
              <w:rPr>
                <w:rFonts w:ascii="宋体" w:hAnsi="宋体" w:cs="宋体" w:eastAsia="宋体" w:hint="default"/>
                <w:sz w:val="18"/>
                <w:szCs w:val="18"/>
              </w:rPr>
            </w:pPr>
            <w:r>
              <w:rPr>
                <w:rFonts w:ascii="宋体" w:hAnsi="宋体" w:cs="宋体" w:eastAsia="宋体" w:hint="default"/>
                <w:sz w:val="18"/>
                <w:szCs w:val="18"/>
              </w:rPr>
              <w:t>年度，募集资金存款利息收入为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募集资金存款利息收入为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912.59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存款利息收入为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757.29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年度，募集资金存款利息</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收入为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16.57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941.85 </w:t>
            </w:r>
            <w:r>
              <w:rPr>
                <w:rFonts w:ascii="宋体" w:hAnsi="宋体" w:cs="宋体" w:eastAsia="宋体" w:hint="default"/>
                <w:sz w:val="18"/>
                <w:szCs w:val="18"/>
              </w:rPr>
              <w:t>万元。</w:t>
            </w:r>
          </w:p>
          <w:p>
            <w:pPr>
              <w:pStyle w:val="TableParagraph"/>
              <w:spacing w:line="240" w:lineRule="auto" w:before="46"/>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、募集资金使用的基本情况</w:t>
            </w:r>
            <w:r>
              <w:rPr>
                <w:rFonts w:ascii="Microsoft JhengHei" w:hAnsi="Microsoft JhengHei" w:cs="Microsoft JhengHei" w:eastAsia="Microsoft JhengHei" w:hint="default"/>
                <w:sz w:val="18"/>
                <w:szCs w:val="18"/>
              </w:rPr>
            </w:r>
          </w:p>
          <w:p>
            <w:pPr>
              <w:pStyle w:val="TableParagraph"/>
              <w:spacing w:line="240" w:lineRule="auto" w:before="94"/>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日，共计累计使用募集资金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150,850.63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万元，包含天津募集资金投资项目（募集资金投资项目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以下简称“募投项目</w:t>
            </w:r>
            <w:r>
              <w:rPr>
                <w:rFonts w:ascii="宋体" w:hAnsi="宋体" w:cs="宋体" w:eastAsia="宋体" w:hint="default"/>
                <w:spacing w:val="-92"/>
                <w:sz w:val="18"/>
                <w:szCs w:val="18"/>
              </w:rPr>
              <w:t>”</w:t>
            </w:r>
            <w:r>
              <w:rPr>
                <w:rFonts w:ascii="宋体" w:hAnsi="宋体" w:cs="宋体" w:eastAsia="宋体" w:hint="default"/>
                <w:sz w:val="18"/>
                <w:szCs w:val="18"/>
              </w:rPr>
              <w:t>）使用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万账户结余募集资金利息</w:t>
            </w:r>
            <w:r>
              <w:rPr>
                <w:rFonts w:ascii="宋体" w:hAnsi="宋体" w:cs="宋体" w:eastAsia="宋体" w:hint="default"/>
                <w:spacing w:val="-92"/>
                <w:sz w:val="18"/>
                <w:szCs w:val="18"/>
              </w:rPr>
              <w:t>）</w:t>
            </w:r>
            <w:r>
              <w:rPr>
                <w:rFonts w:ascii="宋体" w:hAnsi="宋体" w:cs="宋体" w:eastAsia="宋体" w:hint="default"/>
                <w:sz w:val="18"/>
                <w:szCs w:val="18"/>
              </w:rPr>
              <w:t>，另支付银行转账手续费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3"/>
              <w:ind w:left="24" w:right="16" w:firstLine="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其中，</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年度，募投项目使用本次募集资金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94,615.38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万元，另支付银行转账手续费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2014 </w:t>
            </w:r>
            <w:r>
              <w:rPr>
                <w:rFonts w:ascii="宋体" w:hAnsi="宋体" w:cs="宋体" w:eastAsia="宋体" w:hint="default"/>
                <w:spacing w:val="-3"/>
                <w:sz w:val="18"/>
                <w:szCs w:val="18"/>
              </w:rPr>
              <w:t>年度，募投项</w:t>
            </w:r>
            <w:r>
              <w:rPr>
                <w:rFonts w:ascii="宋体" w:hAnsi="宋体" w:cs="宋体" w:eastAsia="宋体" w:hint="default"/>
                <w:sz w:val="18"/>
                <w:szCs w:val="18"/>
              </w:rPr>
              <w:t> 目使用本次募集资金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23,990.34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万元，另支付银行转账手续费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年度，募投项目使用本次募集资金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14,324.84</w:t>
            </w:r>
          </w:p>
        </w:tc>
      </w:tr>
    </w:tbl>
    <w:p>
      <w:pPr>
        <w:spacing w:after="0" w:line="300" w:lineRule="auto"/>
        <w:jc w:val="left"/>
        <w:rPr>
          <w:rFonts w:ascii="Times New Roman" w:hAnsi="Times New Roman" w:cs="Times New Roman" w:eastAsia="Times New Roman" w:hint="default"/>
          <w:sz w:val="18"/>
          <w:szCs w:val="18"/>
        </w:rPr>
        <w:sectPr>
          <w:pgSz w:w="11910" w:h="16840"/>
          <w:pgMar w:header="877" w:footer="1265" w:top="1100" w:bottom="14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1.999985pt;width:479.05pt;height:691.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
                    <w:gridCol w:w="5072"/>
                    <w:gridCol w:w="1978"/>
                    <w:gridCol w:w="1635"/>
                    <w:gridCol w:w="439"/>
                  </w:tblGrid>
                  <w:tr>
                    <w:trPr>
                      <w:trHeight w:val="9616" w:hRule="exact"/>
                    </w:trPr>
                    <w:tc>
                      <w:tcPr>
                        <w:tcW w:w="9566"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万元，另支付银行转账手续费</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年度，募投项目使用本次募集资金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13,363.19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万元，另支付银行转账手续费</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0.76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年度，募投项目使用本次募集资金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2,481.33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万元（包含天津海吉星将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43.71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万账户结余利息用于天津翰吉</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斯物流园建设的资金</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另支付银行转账手续费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pacing w:val="-8"/>
                            <w:sz w:val="18"/>
                            <w:szCs w:val="18"/>
                          </w:rPr>
                          <w:t>，</w:t>
                        </w:r>
                        <w:r>
                          <w:rPr>
                            <w:rFonts w:ascii="宋体" w:hAnsi="宋体" w:cs="宋体" w:eastAsia="宋体" w:hint="default"/>
                            <w:sz w:val="18"/>
                            <w:szCs w:val="18"/>
                          </w:rPr>
                          <w:t>共计使用募集资金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另支付银行转账</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手续费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46"/>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、募集资金结余的基本情况</w:t>
                        </w:r>
                        <w:r>
                          <w:rPr>
                            <w:rFonts w:ascii="Microsoft JhengHei" w:hAnsi="Microsoft JhengHei" w:cs="Microsoft JhengHei" w:eastAsia="Microsoft JhengHei" w:hint="default"/>
                            <w:sz w:val="18"/>
                            <w:szCs w:val="18"/>
                          </w:rPr>
                        </w:r>
                      </w:p>
                      <w:p>
                        <w:pPr>
                          <w:pStyle w:val="TableParagraph"/>
                          <w:spacing w:line="240" w:lineRule="auto" w:before="94"/>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23,965.76 </w:t>
                        </w:r>
                        <w:r>
                          <w:rPr>
                            <w:rFonts w:ascii="宋体" w:hAnsi="宋体" w:cs="宋体" w:eastAsia="宋体" w:hint="default"/>
                            <w:sz w:val="18"/>
                            <w:szCs w:val="18"/>
                          </w:rPr>
                          <w:t>万元（含募集资金存款利息收入和闲置募集资金投资银行保本理</w:t>
                        </w:r>
                      </w:p>
                      <w:p>
                        <w:pPr>
                          <w:pStyle w:val="TableParagraph"/>
                          <w:spacing w:line="398" w:lineRule="auto" w:before="63"/>
                          <w:ind w:left="384" w:right="107" w:hanging="361"/>
                          <w:jc w:val="left"/>
                          <w:rPr>
                            <w:rFonts w:ascii="Microsoft JhengHei" w:hAnsi="Microsoft JhengHei" w:cs="Microsoft JhengHei" w:eastAsia="Microsoft JhengHei" w:hint="default"/>
                            <w:sz w:val="18"/>
                            <w:szCs w:val="18"/>
                          </w:rPr>
                        </w:pPr>
                        <w:r>
                          <w:rPr>
                            <w:rFonts w:ascii="宋体" w:hAnsi="宋体" w:cs="宋体" w:eastAsia="宋体" w:hint="default"/>
                            <w:spacing w:val="-7"/>
                            <w:sz w:val="18"/>
                            <w:szCs w:val="18"/>
                          </w:rPr>
                          <w:t>财产品产生的收益）；其中，公司募集资金存储专户的余额为</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965.76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万元；用于购买银行保本理财产品余额为</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23,000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Microsoft JhengHei" w:hAnsi="Microsoft JhengHei" w:cs="Microsoft JhengHei" w:eastAsia="Microsoft JhengHei" w:hint="default"/>
                            <w:b/>
                            <w:bCs/>
                            <w:sz w:val="18"/>
                            <w:szCs w:val="18"/>
                          </w:rPr>
                          <w:t>二、募集资金存放和管理情况</w:t>
                        </w:r>
                        <w:r>
                          <w:rPr>
                            <w:rFonts w:ascii="Microsoft JhengHei" w:hAnsi="Microsoft JhengHei" w:cs="Microsoft JhengHei" w:eastAsia="Microsoft JhengHei" w:hint="default"/>
                            <w:sz w:val="18"/>
                            <w:szCs w:val="18"/>
                          </w:rPr>
                        </w:r>
                      </w:p>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公司严格执行经公司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第</w:t>
                        </w:r>
                        <w:r>
                          <w:rPr>
                            <w:rFonts w:ascii="宋体" w:hAnsi="宋体" w:cs="宋体" w:eastAsia="宋体" w:hint="default"/>
                            <w:sz w:val="18"/>
                            <w:szCs w:val="18"/>
                          </w:rPr>
                          <w:t>一次临时股东大会审议通过</w:t>
                        </w:r>
                        <w:r>
                          <w:rPr>
                            <w:rFonts w:ascii="宋体" w:hAnsi="宋体" w:cs="宋体" w:eastAsia="宋体" w:hint="default"/>
                            <w:spacing w:val="-17"/>
                            <w:sz w:val="18"/>
                            <w:szCs w:val="18"/>
                          </w:rPr>
                          <w:t>的</w:t>
                        </w:r>
                        <w:r>
                          <w:rPr>
                            <w:rFonts w:ascii="宋体" w:hAnsi="宋体" w:cs="宋体" w:eastAsia="宋体" w:hint="default"/>
                            <w:sz w:val="18"/>
                            <w:szCs w:val="18"/>
                          </w:rPr>
                          <w:t>《募集资金管理办法</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本</w:t>
                        </w:r>
                        <w:r>
                          <w:rPr>
                            <w:rFonts w:ascii="宋体" w:hAnsi="宋体" w:cs="宋体" w:eastAsia="宋体" w:hint="default"/>
                            <w:sz w:val="18"/>
                            <w:szCs w:val="18"/>
                          </w:rPr>
                          <w:t>次扣除发行费用后的募集</w:t>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z w:val="18"/>
                            <w:szCs w:val="18"/>
                          </w:rPr>
                          <w:t>资金净额为 </w:t>
                        </w:r>
                        <w:r>
                          <w:rPr>
                            <w:rFonts w:ascii="宋体" w:hAnsi="宋体" w:cs="宋体" w:eastAsia="宋体" w:hint="default"/>
                            <w:sz w:val="18"/>
                            <w:szCs w:val="18"/>
                          </w:rPr>
                          <w:t>1,670,671,339.94</w:t>
                        </w:r>
                        <w:r>
                          <w:rPr>
                            <w:rFonts w:ascii="宋体" w:hAnsi="宋体" w:cs="宋体" w:eastAsia="宋体" w:hint="default"/>
                            <w:spacing w:val="-41"/>
                            <w:sz w:val="18"/>
                            <w:szCs w:val="18"/>
                          </w:rPr>
                          <w:t> </w:t>
                        </w:r>
                        <w:r>
                          <w:rPr>
                            <w:rFonts w:ascii="宋体" w:hAnsi="宋体" w:cs="宋体" w:eastAsia="宋体" w:hint="default"/>
                            <w:sz w:val="18"/>
                            <w:szCs w:val="18"/>
                          </w:rPr>
                          <w:t>元，原计划募投项目为向天津海吉星农产品物流有限公司增加投资用于天津翰吉斯国际农 </w:t>
                        </w:r>
                        <w:r>
                          <w:rPr>
                            <w:rFonts w:ascii="宋体" w:hAnsi="宋体" w:cs="宋体" w:eastAsia="宋体" w:hint="default"/>
                            <w:spacing w:val="-1"/>
                            <w:sz w:val="18"/>
                            <w:szCs w:val="18"/>
                          </w:rPr>
                          <w:t>产品物流园项目，向广西海吉星农产品国际物流有限公司增加投资用于广西海吉星农产品国际物流中心项目及偿还银行贷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款用途，分别存放在广发银行股份有限公司深圳分行香蜜湖支行、上海浦东发展银行股份有限公司深圳分行和中国民生银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行股份有限公司深圳分行香蜜湖支行募集资金存储专户；</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21</w:t>
                        </w:r>
                        <w:r>
                          <w:rPr>
                            <w:rFonts w:ascii="宋体" w:hAnsi="宋体" w:cs="宋体" w:eastAsia="宋体" w:hint="default"/>
                            <w:spacing w:val="-42"/>
                            <w:sz w:val="18"/>
                            <w:szCs w:val="18"/>
                          </w:rPr>
                          <w:t> </w:t>
                        </w:r>
                        <w:r>
                          <w:rPr>
                            <w:rFonts w:ascii="宋体" w:hAnsi="宋体" w:cs="宋体" w:eastAsia="宋体" w:hint="default"/>
                            <w:sz w:val="18"/>
                            <w:szCs w:val="18"/>
                          </w:rPr>
                          <w:t>日，公司分别与保荐机构国海证券股份有限公司 及上述银行签订了募集资金三方监管协议。</w:t>
                        </w: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4" w:right="20" w:firstLine="360"/>
                          <w:jc w:val="both"/>
                          <w:rPr>
                            <w:rFonts w:ascii="宋体" w:hAnsi="宋体" w:cs="宋体" w:eastAsia="宋体" w:hint="default"/>
                            <w:sz w:val="18"/>
                            <w:szCs w:val="18"/>
                          </w:rPr>
                        </w:pPr>
                        <w:r>
                          <w:rPr>
                            <w:rFonts w:ascii="宋体" w:hAnsi="宋体" w:cs="宋体" w:eastAsia="宋体" w:hint="default"/>
                            <w:spacing w:val="-1"/>
                            <w:sz w:val="18"/>
                            <w:szCs w:val="18"/>
                          </w:rPr>
                          <w:t>鉴于公司募集资金使用是对募投项目实施子公司现金增资后再用于募投项目的方式进行的，公司向天津海吉星和广西</w:t>
                        </w:r>
                        <w:r>
                          <w:rPr>
                            <w:rFonts w:ascii="宋体" w:hAnsi="宋体" w:cs="宋体" w:eastAsia="宋体" w:hint="default"/>
                            <w:sz w:val="18"/>
                            <w:szCs w:val="18"/>
                          </w:rPr>
                          <w:t> </w:t>
                        </w:r>
                        <w:r>
                          <w:rPr>
                            <w:rFonts w:ascii="宋体" w:hAnsi="宋体" w:cs="宋体" w:eastAsia="宋体" w:hint="default"/>
                            <w:spacing w:val="2"/>
                            <w:sz w:val="18"/>
                            <w:szCs w:val="18"/>
                          </w:rPr>
                          <w:t>海吉星增资的资金分别存放在渤海银行股份有限公司深圳车公庙支行和中国农业银行股份有限公司深圳分行募集资金存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储专户；</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2"/>
                            <w:sz w:val="18"/>
                            <w:szCs w:val="18"/>
                          </w:rPr>
                          <w:t> </w:t>
                        </w:r>
                        <w:r>
                          <w:rPr>
                            <w:rFonts w:ascii="宋体" w:hAnsi="宋体" w:cs="宋体" w:eastAsia="宋体" w:hint="default"/>
                            <w:sz w:val="18"/>
                            <w:szCs w:val="18"/>
                          </w:rPr>
                          <w:t>日，该两家银行分别与本公司、天津海吉星和广西海吉星及保荐机构国海证券股份有限公司签订 了募集资金监管协议。</w:t>
                        </w:r>
                      </w:p>
                      <w:p>
                        <w:pPr>
                          <w:pStyle w:val="TableParagraph"/>
                          <w:spacing w:line="468" w:lineRule="exact" w:before="11"/>
                          <w:ind w:left="384" w:right="-9"/>
                          <w:jc w:val="left"/>
                          <w:rPr>
                            <w:rFonts w:ascii="宋体" w:hAnsi="宋体" w:cs="宋体" w:eastAsia="宋体" w:hint="default"/>
                            <w:sz w:val="18"/>
                            <w:szCs w:val="18"/>
                          </w:rPr>
                        </w:pPr>
                        <w:r>
                          <w:rPr>
                            <w:rFonts w:ascii="宋体" w:hAnsi="宋体" w:cs="宋体" w:eastAsia="宋体" w:hint="default"/>
                            <w:sz w:val="18"/>
                            <w:szCs w:val="18"/>
                          </w:rPr>
                          <w:t>上述监管协议与“三方监管协议”</w:t>
                        </w:r>
                        <w:r>
                          <w:rPr>
                            <w:rFonts w:ascii="宋体" w:hAnsi="宋体" w:cs="宋体" w:eastAsia="宋体" w:hint="default"/>
                            <w:spacing w:val="1"/>
                            <w:sz w:val="18"/>
                            <w:szCs w:val="18"/>
                          </w:rPr>
                          <w:t> </w:t>
                        </w:r>
                        <w:r>
                          <w:rPr>
                            <w:rFonts w:ascii="宋体" w:hAnsi="宋体" w:cs="宋体" w:eastAsia="宋体" w:hint="default"/>
                            <w:sz w:val="18"/>
                            <w:szCs w:val="18"/>
                          </w:rPr>
                          <w:t>范本不存在重大差异，协议履行情况良好。</w:t>
                        </w:r>
                        <w:r>
                          <w:rPr>
                            <w:rFonts w:ascii="宋体" w:hAnsi="宋体" w:cs="宋体" w:eastAsia="宋体" w:hint="default"/>
                            <w:sz w:val="18"/>
                            <w:szCs w:val="18"/>
                          </w:rPr>
                          <w:t> 上述专户中，公司原在中国民生银行股份有限公司深圳分行香蜜湖支行设立的募集资金专户用于偿还银行贷款用途，</w:t>
                        </w:r>
                      </w:p>
                      <w:p>
                        <w:pPr>
                          <w:pStyle w:val="TableParagraph"/>
                          <w:spacing w:line="316" w:lineRule="auto" w:before="8"/>
                          <w:ind w:left="24" w:right="19"/>
                          <w:jc w:val="both"/>
                          <w:rPr>
                            <w:rFonts w:ascii="宋体" w:hAnsi="宋体" w:cs="宋体" w:eastAsia="宋体" w:hint="default"/>
                            <w:sz w:val="18"/>
                            <w:szCs w:val="18"/>
                          </w:rPr>
                        </w:pPr>
                        <w:r>
                          <w:rPr>
                            <w:rFonts w:ascii="宋体" w:hAnsi="宋体" w:cs="宋体" w:eastAsia="宋体" w:hint="default"/>
                            <w:spacing w:val="-3"/>
                            <w:sz w:val="18"/>
                            <w:szCs w:val="18"/>
                          </w:rPr>
                          <w:t>该用途募集资金已使用完毕，公司于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日注销了该募集资金专户，该账户剩余募集资金产生的利息</w:t>
                        </w:r>
                        <w:r>
                          <w:rPr>
                            <w:rFonts w:ascii="宋体" w:hAnsi="宋体" w:cs="宋体" w:eastAsia="宋体" w:hint="default"/>
                            <w:spacing w:val="-49"/>
                            <w:sz w:val="18"/>
                            <w:szCs w:val="18"/>
                          </w:rPr>
                          <w:t> </w:t>
                        </w:r>
                        <w:r>
                          <w:rPr>
                            <w:rFonts w:ascii="宋体" w:hAnsi="宋体" w:cs="宋体" w:eastAsia="宋体" w:hint="default"/>
                            <w:sz w:val="18"/>
                            <w:szCs w:val="18"/>
                          </w:rPr>
                          <w:t>39,373.14 </w:t>
                        </w:r>
                        <w:r>
                          <w:rPr>
                            <w:rFonts w:ascii="宋体" w:hAnsi="宋体" w:cs="宋体" w:eastAsia="宋体" w:hint="default"/>
                            <w:sz w:val="18"/>
                            <w:szCs w:val="18"/>
                          </w:rPr>
                          <w:t>元转至公司在广发银行股份有限公司深圳分行香蜜湖支行所设立的募集资金专户中。</w:t>
                        </w: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4" w:right="21" w:firstLine="360"/>
                          <w:jc w:val="left"/>
                          <w:rPr>
                            <w:rFonts w:ascii="宋体" w:hAnsi="宋体" w:cs="宋体" w:eastAsia="宋体" w:hint="default"/>
                            <w:sz w:val="18"/>
                            <w:szCs w:val="18"/>
                          </w:rPr>
                        </w:pPr>
                        <w:r>
                          <w:rPr>
                            <w:rFonts w:ascii="宋体" w:hAnsi="宋体" w:cs="宋体" w:eastAsia="宋体" w:hint="default"/>
                            <w:spacing w:val="-1"/>
                            <w:sz w:val="18"/>
                            <w:szCs w:val="18"/>
                          </w:rPr>
                          <w:t>上述专户中，公司原在渤海银行股份有限公司深圳车公庙支行设立的募集资金专户用于天津翰吉斯物流园，该用途募</w:t>
                        </w:r>
                        <w:r>
                          <w:rPr>
                            <w:rFonts w:ascii="宋体" w:hAnsi="宋体" w:cs="宋体" w:eastAsia="宋体" w:hint="default"/>
                            <w:sz w:val="18"/>
                            <w:szCs w:val="18"/>
                          </w:rPr>
                          <w:t> 集资金（含募集资金产生的利息）已于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年使用完毕，天津海吉星于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日注销了该募集资金专户。</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日，募集资金（含利息及理财收益）具体存放情况如下：</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单位：元</w:t>
                        </w:r>
                      </w:p>
                    </w:tc>
                  </w:tr>
                  <w:tr>
                    <w:trPr>
                      <w:trHeight w:val="413" w:hRule="exact"/>
                    </w:trPr>
                    <w:tc>
                      <w:tcPr>
                        <w:tcW w:w="442" w:type="dxa"/>
                        <w:vMerge w:val="restart"/>
                        <w:tcBorders>
                          <w:top w:val="nil" w:sz="6" w:space="0" w:color="auto"/>
                          <w:left w:val="single" w:sz="4" w:space="0" w:color="000000"/>
                          <w:right w:val="nil" w:sz="6" w:space="0" w:color="auto"/>
                        </w:tcBorders>
                      </w:tcPr>
                      <w:p>
                        <w:pPr/>
                      </w:p>
                    </w:tc>
                    <w:tc>
                      <w:tcPr>
                        <w:tcW w:w="50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募集资金存放银行</w:t>
                        </w:r>
                      </w:p>
                    </w:tc>
                    <w:tc>
                      <w:tcPr>
                        <w:tcW w:w="19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银行账号</w:t>
                        </w:r>
                      </w:p>
                    </w:tc>
                    <w:tc>
                      <w:tcPr>
                        <w:tcW w:w="16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9" w:type="dxa"/>
                        <w:vMerge w:val="restart"/>
                        <w:tcBorders>
                          <w:top w:val="nil" w:sz="6" w:space="0" w:color="auto"/>
                          <w:left w:val="nil" w:sz="6" w:space="0" w:color="auto"/>
                          <w:right w:val="single" w:sz="4" w:space="0" w:color="000000"/>
                        </w:tcBorders>
                      </w:tcPr>
                      <w:p>
                        <w:pPr/>
                      </w:p>
                    </w:tc>
                  </w:tr>
                  <w:tr>
                    <w:trPr>
                      <w:trHeight w:val="403"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一、存放于募集资金专户的余额</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9,657,612.59</w:t>
                        </w:r>
                      </w:p>
                    </w:tc>
                    <w:tc>
                      <w:tcPr>
                        <w:tcW w:w="439" w:type="dxa"/>
                        <w:vMerge/>
                        <w:tcBorders>
                          <w:left w:val="nil" w:sz="6" w:space="0" w:color="auto"/>
                          <w:right w:val="single" w:sz="4" w:space="0" w:color="000000"/>
                        </w:tcBorders>
                      </w:tcPr>
                      <w:p>
                        <w:pPr/>
                      </w:p>
                    </w:tc>
                  </w:tr>
                  <w:tr>
                    <w:trPr>
                      <w:trHeight w:val="401"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（一）本公司募集资金专户</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6,242,720.97</w:t>
                        </w:r>
                      </w:p>
                    </w:tc>
                    <w:tc>
                      <w:tcPr>
                        <w:tcW w:w="439" w:type="dxa"/>
                        <w:vMerge/>
                        <w:tcBorders>
                          <w:left w:val="nil" w:sz="6" w:space="0" w:color="auto"/>
                          <w:right w:val="single" w:sz="4" w:space="0" w:color="000000"/>
                        </w:tcBorders>
                      </w:tcPr>
                      <w:p>
                        <w:pPr/>
                      </w:p>
                    </w:tc>
                  </w:tr>
                  <w:tr>
                    <w:trPr>
                      <w:trHeight w:val="559"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、广发银行股份有限公司深圳分行香蜜湖支行</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pacing w:val="-1"/>
                            <w:sz w:val="18"/>
                          </w:rPr>
                          <w:t>102004516010006893</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5,026,096.50</w:t>
                        </w:r>
                      </w:p>
                    </w:tc>
                    <w:tc>
                      <w:tcPr>
                        <w:tcW w:w="439" w:type="dxa"/>
                        <w:vMerge/>
                        <w:tcBorders>
                          <w:left w:val="nil" w:sz="6" w:space="0" w:color="auto"/>
                          <w:right w:val="single" w:sz="4" w:space="0" w:color="000000"/>
                        </w:tcBorders>
                      </w:tcPr>
                      <w:p>
                        <w:pPr/>
                      </w:p>
                    </w:tc>
                  </w:tr>
                  <w:tr>
                    <w:trPr>
                      <w:trHeight w:val="557"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、上海浦东发展银行股份有限公司深圳分行</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79170155200005367</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1,216,624.47</w:t>
                        </w:r>
                      </w:p>
                    </w:tc>
                    <w:tc>
                      <w:tcPr>
                        <w:tcW w:w="439" w:type="dxa"/>
                        <w:vMerge/>
                        <w:tcBorders>
                          <w:left w:val="nil" w:sz="6" w:space="0" w:color="auto"/>
                          <w:right w:val="single" w:sz="4" w:space="0" w:color="000000"/>
                        </w:tcBorders>
                      </w:tcPr>
                      <w:p>
                        <w:pPr/>
                      </w:p>
                    </w:tc>
                  </w:tr>
                  <w:tr>
                    <w:trPr>
                      <w:trHeight w:val="560"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、中国民生银行股份有限公司深圳分行香蜜湖支行</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1819014170008357</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已注销</w:t>
                        </w:r>
                      </w:p>
                    </w:tc>
                    <w:tc>
                      <w:tcPr>
                        <w:tcW w:w="439" w:type="dxa"/>
                        <w:vMerge/>
                        <w:tcBorders>
                          <w:left w:val="nil" w:sz="6" w:space="0" w:color="auto"/>
                          <w:right w:val="single" w:sz="4" w:space="0" w:color="000000"/>
                        </w:tcBorders>
                      </w:tcPr>
                      <w:p>
                        <w:pPr/>
                      </w:p>
                    </w:tc>
                  </w:tr>
                  <w:tr>
                    <w:trPr>
                      <w:trHeight w:val="754"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（二）渤海银行股份有限公司深圳车公庙支行</w:t>
                        </w:r>
                      </w:p>
                      <w:p>
                        <w:pPr>
                          <w:pStyle w:val="TableParagraph"/>
                          <w:spacing w:line="240" w:lineRule="auto" w:before="115"/>
                          <w:ind w:left="451" w:right="0"/>
                          <w:jc w:val="left"/>
                          <w:rPr>
                            <w:rFonts w:ascii="宋体" w:hAnsi="宋体" w:cs="宋体" w:eastAsia="宋体" w:hint="default"/>
                            <w:sz w:val="18"/>
                            <w:szCs w:val="18"/>
                          </w:rPr>
                        </w:pPr>
                        <w:r>
                          <w:rPr>
                            <w:rFonts w:ascii="宋体" w:hAnsi="宋体" w:cs="宋体" w:eastAsia="宋体" w:hint="default"/>
                            <w:sz w:val="18"/>
                            <w:szCs w:val="18"/>
                          </w:rPr>
                          <w:t>（天津海吉星募集资金专户）</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2000422689000358</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已注销</w:t>
                        </w:r>
                      </w:p>
                    </w:tc>
                    <w:tc>
                      <w:tcPr>
                        <w:tcW w:w="439" w:type="dxa"/>
                        <w:vMerge/>
                        <w:tcBorders>
                          <w:left w:val="nil" w:sz="6" w:space="0" w:color="auto"/>
                          <w:right w:val="single" w:sz="4" w:space="0" w:color="000000"/>
                        </w:tcBorders>
                      </w:tcPr>
                      <w:p>
                        <w:pPr/>
                      </w:p>
                    </w:tc>
                  </w:tr>
                  <w:tr>
                    <w:trPr>
                      <w:trHeight w:val="559" w:hRule="exact"/>
                    </w:trPr>
                    <w:tc>
                      <w:tcPr>
                        <w:tcW w:w="442" w:type="dxa"/>
                        <w:vMerge/>
                        <w:tcBorders>
                          <w:left w:val="single" w:sz="4" w:space="0" w:color="000000"/>
                          <w:bottom w:val="single" w:sz="4" w:space="0" w:color="000000"/>
                          <w:right w:val="nil" w:sz="6" w:space="0" w:color="auto"/>
                        </w:tcBorders>
                      </w:tcPr>
                      <w:p>
                        <w:pPr/>
                      </w:p>
                    </w:tc>
                    <w:tc>
                      <w:tcPr>
                        <w:tcW w:w="5072" w:type="dxa"/>
                        <w:tcBorders>
                          <w:top w:val="single" w:sz="4" w:space="0" w:color="000000"/>
                          <w:left w:val="nil" w:sz="6" w:space="0" w:color="auto"/>
                          <w:bottom w:val="single" w:sz="9" w:space="0" w:color="000000"/>
                          <w:right w:val="single" w:sz="4" w:space="0" w:color="000000"/>
                        </w:tcBorders>
                      </w:tcPr>
                      <w:p>
                        <w:pPr>
                          <w:pStyle w:val="TableParagraph"/>
                          <w:spacing w:line="240" w:lineRule="auto" w:before="128"/>
                          <w:ind w:right="0"/>
                          <w:jc w:val="left"/>
                          <w:rPr>
                            <w:rFonts w:ascii="宋体" w:hAnsi="宋体" w:cs="宋体" w:eastAsia="宋体" w:hint="default"/>
                            <w:sz w:val="18"/>
                            <w:szCs w:val="18"/>
                          </w:rPr>
                        </w:pPr>
                        <w:r>
                          <w:rPr>
                            <w:rFonts w:ascii="宋体" w:hAnsi="宋体" w:cs="宋体" w:eastAsia="宋体" w:hint="default"/>
                            <w:sz w:val="18"/>
                            <w:szCs w:val="18"/>
                          </w:rPr>
                          <w:t>（三）中国农业银行股份有限公司深圳分行</w:t>
                        </w:r>
                      </w:p>
                    </w:tc>
                    <w:tc>
                      <w:tcPr>
                        <w:tcW w:w="1978"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41000500040031402</w:t>
                        </w:r>
                      </w:p>
                    </w:tc>
                    <w:tc>
                      <w:tcPr>
                        <w:tcW w:w="1635" w:type="dxa"/>
                        <w:tcBorders>
                          <w:top w:val="single" w:sz="4" w:space="0" w:color="000000"/>
                          <w:left w:val="single" w:sz="4" w:space="0" w:color="000000"/>
                          <w:bottom w:val="single" w:sz="9"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3,414,891.62</w:t>
                        </w:r>
                      </w:p>
                    </w:tc>
                    <w:tc>
                      <w:tcPr>
                        <w:tcW w:w="439" w:type="dxa"/>
                        <w:vMerge/>
                        <w:tcBorders>
                          <w:left w:val="nil" w:sz="6" w:space="0" w:color="auto"/>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65" w:top="1100" w:bottom="1460" w:left="980" w:right="0"/>
        </w:sectPr>
      </w:pP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42"/>
        <w:gridCol w:w="5072"/>
        <w:gridCol w:w="1978"/>
        <w:gridCol w:w="1635"/>
        <w:gridCol w:w="439"/>
      </w:tblGrid>
      <w:tr>
        <w:trPr>
          <w:trHeight w:val="372" w:hRule="exact"/>
        </w:trPr>
        <w:tc>
          <w:tcPr>
            <w:tcW w:w="442" w:type="dxa"/>
            <w:vMerge w:val="restart"/>
            <w:tcBorders>
              <w:top w:val="single" w:sz="4" w:space="0" w:color="000000"/>
              <w:left w:val="single" w:sz="4" w:space="0" w:color="000000"/>
              <w:right w:val="nil" w:sz="6" w:space="0" w:color="auto"/>
            </w:tcBorders>
          </w:tcPr>
          <w:p>
            <w:pPr/>
          </w:p>
        </w:tc>
        <w:tc>
          <w:tcPr>
            <w:tcW w:w="507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3"/>
              <w:ind w:right="2274"/>
              <w:jc w:val="right"/>
              <w:rPr>
                <w:rFonts w:ascii="宋体" w:hAnsi="宋体" w:cs="宋体" w:eastAsia="宋体" w:hint="default"/>
                <w:sz w:val="18"/>
                <w:szCs w:val="18"/>
              </w:rPr>
            </w:pPr>
            <w:r>
              <w:rPr>
                <w:rFonts w:ascii="宋体" w:hAnsi="宋体" w:cs="宋体" w:eastAsia="宋体" w:hint="default"/>
                <w:sz w:val="18"/>
                <w:szCs w:val="18"/>
              </w:rPr>
              <w:t>（广西海吉星募集资金专户）</w:t>
            </w:r>
          </w:p>
        </w:tc>
        <w:tc>
          <w:tcPr>
            <w:tcW w:w="1978" w:type="dxa"/>
            <w:tcBorders>
              <w:top w:val="single" w:sz="8" w:space="0" w:color="000000"/>
              <w:left w:val="single" w:sz="4" w:space="0" w:color="000000"/>
              <w:bottom w:val="single" w:sz="4" w:space="0" w:color="000000"/>
              <w:right w:val="single" w:sz="4" w:space="0" w:color="000000"/>
            </w:tcBorders>
          </w:tcPr>
          <w:p>
            <w:pPr/>
          </w:p>
        </w:tc>
        <w:tc>
          <w:tcPr>
            <w:tcW w:w="1635" w:type="dxa"/>
            <w:tcBorders>
              <w:top w:val="single" w:sz="8" w:space="0" w:color="000000"/>
              <w:left w:val="single" w:sz="4" w:space="0" w:color="000000"/>
              <w:bottom w:val="single" w:sz="4" w:space="0" w:color="000000"/>
              <w:right w:val="nil" w:sz="6" w:space="0" w:color="auto"/>
            </w:tcBorders>
          </w:tcPr>
          <w:p>
            <w:pPr/>
          </w:p>
        </w:tc>
        <w:tc>
          <w:tcPr>
            <w:tcW w:w="439" w:type="dxa"/>
            <w:vMerge w:val="restart"/>
            <w:tcBorders>
              <w:top w:val="single" w:sz="4" w:space="0" w:color="000000"/>
              <w:left w:val="nil" w:sz="6" w:space="0" w:color="auto"/>
              <w:right w:val="single" w:sz="4" w:space="0" w:color="000000"/>
            </w:tcBorders>
          </w:tcPr>
          <w:p>
            <w:pPr/>
          </w:p>
        </w:tc>
      </w:tr>
      <w:tr>
        <w:trPr>
          <w:trHeight w:val="401"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二、投资银行理财产品余额（注）</w:t>
            </w:r>
          </w:p>
        </w:tc>
        <w:tc>
          <w:tcPr>
            <w:tcW w:w="1978"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230,000,000.00</w:t>
            </w:r>
          </w:p>
        </w:tc>
        <w:tc>
          <w:tcPr>
            <w:tcW w:w="439" w:type="dxa"/>
            <w:vMerge/>
            <w:tcBorders>
              <w:left w:val="nil" w:sz="6" w:space="0" w:color="auto"/>
              <w:right w:val="single" w:sz="4" w:space="0" w:color="000000"/>
            </w:tcBorders>
          </w:tcPr>
          <w:p>
            <w:pPr/>
          </w:p>
        </w:tc>
      </w:tr>
      <w:tr>
        <w:trPr>
          <w:trHeight w:val="413" w:hRule="exact"/>
        </w:trPr>
        <w:tc>
          <w:tcPr>
            <w:tcW w:w="442" w:type="dxa"/>
            <w:vMerge/>
            <w:tcBorders>
              <w:left w:val="single" w:sz="4" w:space="0" w:color="000000"/>
              <w:right w:val="nil" w:sz="6" w:space="0" w:color="auto"/>
            </w:tcBorders>
          </w:tcPr>
          <w:p>
            <w:pPr/>
          </w:p>
        </w:tc>
        <w:tc>
          <w:tcPr>
            <w:tcW w:w="5072" w:type="dxa"/>
            <w:tcBorders>
              <w:top w:val="single" w:sz="4" w:space="0" w:color="000000"/>
              <w:left w:val="nil" w:sz="6" w:space="0" w:color="auto"/>
              <w:bottom w:val="single" w:sz="12" w:space="0" w:color="000000"/>
              <w:right w:val="single" w:sz="4" w:space="0" w:color="000000"/>
            </w:tcBorders>
          </w:tcPr>
          <w:p>
            <w:pPr>
              <w:pStyle w:val="TableParagraph"/>
              <w:spacing w:line="307" w:lineRule="exact"/>
              <w:ind w:right="226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9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239,657,612.59</w:t>
            </w:r>
          </w:p>
        </w:tc>
        <w:tc>
          <w:tcPr>
            <w:tcW w:w="439" w:type="dxa"/>
            <w:vMerge/>
            <w:tcBorders>
              <w:left w:val="nil" w:sz="6" w:space="0" w:color="auto"/>
              <w:right w:val="single" w:sz="4" w:space="0" w:color="000000"/>
            </w:tcBorders>
          </w:tcPr>
          <w:p>
            <w:pPr/>
          </w:p>
        </w:tc>
      </w:tr>
      <w:tr>
        <w:trPr>
          <w:trHeight w:val="413" w:hRule="exact"/>
        </w:trPr>
        <w:tc>
          <w:tcPr>
            <w:tcW w:w="442" w:type="dxa"/>
            <w:vMerge/>
            <w:tcBorders>
              <w:left w:val="single" w:sz="4" w:space="0" w:color="000000"/>
              <w:bottom w:val="single" w:sz="4" w:space="0" w:color="000000"/>
              <w:right w:val="nil" w:sz="6" w:space="0" w:color="auto"/>
            </w:tcBorders>
          </w:tcPr>
          <w:p>
            <w:pPr/>
          </w:p>
        </w:tc>
        <w:tc>
          <w:tcPr>
            <w:tcW w:w="8685" w:type="dxa"/>
            <w:gridSpan w:val="3"/>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（续下页）</w:t>
            </w:r>
          </w:p>
        </w:tc>
        <w:tc>
          <w:tcPr>
            <w:tcW w:w="439" w:type="dxa"/>
            <w:vMerge/>
            <w:tcBorders>
              <w:left w:val="nil" w:sz="6" w:space="0" w:color="auto"/>
              <w:bottom w:val="single" w:sz="4" w:space="0" w:color="000000"/>
              <w:right w:val="single" w:sz="4" w:space="0" w:color="000000"/>
            </w:tcBorders>
          </w:tcPr>
          <w:p>
            <w:pPr/>
          </w:p>
        </w:tc>
      </w:tr>
    </w:tbl>
    <w:p>
      <w:pPr>
        <w:spacing w:after="0"/>
        <w:sectPr>
          <w:pgSz w:w="11910" w:h="16840"/>
          <w:pgMar w:header="877" w:footer="1265" w:top="1100" w:bottom="1460" w:left="980" w:right="0"/>
        </w:sectPr>
      </w:pPr>
    </w:p>
    <w:p>
      <w:pPr>
        <w:pStyle w:val="Heading6"/>
        <w:spacing w:line="331" w:lineRule="exact"/>
        <w:ind w:left="360" w:right="0"/>
        <w:jc w:val="left"/>
        <w:rPr>
          <w:b w:val="0"/>
          <w:bCs w:val="0"/>
        </w:rPr>
      </w:pPr>
      <w:r>
        <w:rPr/>
        <w:pict>
          <v:group style="position:absolute;margin-left:70.559998pt;margin-top:2.202064pt;width:700.95pt;height:.1pt;mso-position-horizontal-relative:page;mso-position-vertical-relative:paragraph;z-index:-1638160" coordorigin="1411,44" coordsize="14019,2">
            <v:shape style="position:absolute;left:1411;top:44;width:14019;height:2" coordorigin="1411,44" coordsize="14019,0" path="m1411,44l15430,44e" filled="false" stroked="true" strokeweight=".72pt" strokecolor="#000000">
              <v:path arrowok="t"/>
            </v:shape>
            <w10:wrap type="none"/>
          </v:group>
        </w:pict>
      </w:r>
      <w:r>
        <w:rPr/>
        <w:pict>
          <v:group style="position:absolute;margin-left:235.369995pt;margin-top:222.050003pt;width:56.3pt;height:7.6pt;mso-position-horizontal-relative:page;mso-position-vertical-relative:page;z-index:-1638136" coordorigin="4707,4441" coordsize="1126,152">
            <v:shape style="position:absolute;left:4707;top:4441;width:1126;height:152" coordorigin="4707,4441" coordsize="1126,152" path="m4707,4592l5833,4592,5833,4441,4707,4441,4707,4592xe" filled="true" fillcolor="#ffffff" stroked="false">
              <v:path arrowok="t"/>
              <v:fill type="solid"/>
            </v:shape>
            <w10:wrap type="none"/>
          </v:group>
        </w:pict>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BodyText"/>
        <w:spacing w:line="240" w:lineRule="auto"/>
        <w:ind w:left="0" w:right="372"/>
        <w:jc w:val="right"/>
      </w:pPr>
      <w:r>
        <w:rPr>
          <w:spacing w:val="-2"/>
        </w:rPr>
        <w:t>单位：人民币万元</w:t>
      </w:r>
    </w:p>
    <w:p>
      <w:pPr>
        <w:spacing w:line="240" w:lineRule="auto" w:before="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515"/>
        <w:gridCol w:w="1135"/>
        <w:gridCol w:w="989"/>
        <w:gridCol w:w="1138"/>
        <w:gridCol w:w="991"/>
        <w:gridCol w:w="1274"/>
        <w:gridCol w:w="1275"/>
        <w:gridCol w:w="1135"/>
        <w:gridCol w:w="1020"/>
        <w:gridCol w:w="965"/>
        <w:gridCol w:w="1025"/>
      </w:tblGrid>
      <w:tr>
        <w:trPr>
          <w:trHeight w:val="1140"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8"/>
              <w:ind w:left="83" w:right="79"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8"/>
              <w:ind w:left="127" w:right="13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ind w:left="278" w:right="113"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ind w:left="218" w:right="131"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ind w:left="165" w:right="91"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7"/>
              <w:ind w:left="93" w:right="89"/>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29"/>
              <w:ind w:left="4" w:right="0"/>
              <w:jc w:val="center"/>
              <w:rPr>
                <w:rFonts w:ascii="Times New Roman" w:hAnsi="Times New Roman" w:cs="Times New Roman" w:eastAsia="Times New Roman" w:hint="default"/>
                <w:sz w:val="18"/>
                <w:szCs w:val="18"/>
              </w:rPr>
            </w:pPr>
            <w:r>
              <w:rPr>
                <w:rFonts w:ascii="Times New Roman"/>
                <w:sz w:val="18"/>
              </w:rPr>
              <w:t>(2)/(1)</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8"/>
              <w:ind w:left="112" w:right="11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ind w:left="232" w:right="57"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ind w:left="117" w:right="11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8"/>
              <w:ind w:left="57" w:right="55"/>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69" w:hRule="exact"/>
        </w:trPr>
        <w:tc>
          <w:tcPr>
            <w:tcW w:w="351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6"/>
              <w:ind w:left="52" w:right="-56"/>
              <w:jc w:val="left"/>
              <w:rPr>
                <w:rFonts w:ascii="宋体" w:hAnsi="宋体" w:cs="宋体" w:eastAsia="宋体" w:hint="default"/>
                <w:sz w:val="18"/>
                <w:szCs w:val="18"/>
              </w:rPr>
            </w:pPr>
            <w:r>
              <w:rPr>
                <w:rFonts w:ascii="宋体" w:hAnsi="宋体" w:cs="宋体" w:eastAsia="宋体" w:hint="default"/>
                <w:spacing w:val="-4"/>
                <w:sz w:val="18"/>
                <w:szCs w:val="18"/>
              </w:rPr>
              <w:t>广西海吉星农产品国际物流中心项目（注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6"/>
              <w:ind w:right="11"/>
              <w:jc w:val="center"/>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40,000.00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01" w:right="0"/>
              <w:jc w:val="left"/>
              <w:rPr>
                <w:rFonts w:ascii="Times New Roman" w:hAnsi="Times New Roman" w:cs="Times New Roman" w:eastAsia="Times New Roman" w:hint="default"/>
                <w:sz w:val="18"/>
                <w:szCs w:val="18"/>
              </w:rPr>
            </w:pPr>
            <w:r>
              <w:rPr>
                <w:rFonts w:ascii="Times New Roman"/>
                <w:sz w:val="18"/>
              </w:rPr>
              <w:t>37,000.00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2,075.55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23,739.79</w:t>
            </w:r>
          </w:p>
        </w:tc>
        <w:tc>
          <w:tcPr>
            <w:tcW w:w="127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64.16%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2,251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91" w:hRule="exact"/>
        </w:trPr>
        <w:tc>
          <w:tcPr>
            <w:tcW w:w="351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号楼项目</w:t>
            </w:r>
          </w:p>
          <w:p>
            <w:pPr>
              <w:pStyle w:val="TableParagraph"/>
              <w:spacing w:line="240"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9"/>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17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以</w:t>
            </w:r>
            <w:r>
              <w:rPr>
                <w:rFonts w:ascii="宋体" w:hAnsi="宋体" w:cs="宋体" w:eastAsia="宋体" w:hint="default"/>
                <w:spacing w:val="-1"/>
                <w:sz w:val="18"/>
                <w:szCs w:val="18"/>
              </w:rPr>
              <w:t>下</w:t>
            </w: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深圳海吉星</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号楼项目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tc>
        <w:tc>
          <w:tcPr>
            <w:tcW w:w="113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2" w:right="0"/>
              <w:jc w:val="left"/>
              <w:rPr>
                <w:rFonts w:ascii="宋体" w:hAnsi="宋体" w:cs="宋体" w:eastAsia="宋体" w:hint="default"/>
                <w:sz w:val="18"/>
                <w:szCs w:val="18"/>
              </w:rPr>
            </w:pPr>
            <w:r>
              <w:rPr>
                <w:rFonts w:ascii="宋体" w:hAnsi="宋体" w:cs="宋体" w:eastAsia="宋体" w:hint="default"/>
                <w:sz w:val="18"/>
                <w:szCs w:val="18"/>
              </w:rPr>
              <w:t>天津翰吉斯国际农产品物流园项目（注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77,067.13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01" w:right="0"/>
              <w:jc w:val="left"/>
              <w:rPr>
                <w:rFonts w:ascii="Times New Roman" w:hAnsi="Times New Roman" w:cs="Times New Roman" w:eastAsia="Times New Roman" w:hint="default"/>
                <w:sz w:val="18"/>
                <w:szCs w:val="18"/>
              </w:rPr>
            </w:pPr>
            <w:r>
              <w:rPr>
                <w:rFonts w:ascii="Times New Roman"/>
                <w:sz w:val="18"/>
              </w:rPr>
              <w:t>77,067.13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77,067.13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-570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2"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01" w:right="0"/>
              <w:jc w:val="left"/>
              <w:rPr>
                <w:rFonts w:ascii="Times New Roman" w:hAnsi="Times New Roman" w:cs="Times New Roman" w:eastAsia="Times New Roman" w:hint="default"/>
                <w:sz w:val="18"/>
                <w:szCs w:val="18"/>
              </w:rPr>
            </w:pPr>
            <w:r>
              <w:rPr>
                <w:rFonts w:ascii="Times New Roman"/>
                <w:sz w:val="18"/>
              </w:rPr>
              <w:t>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 w:right="0"/>
              <w:jc w:val="center"/>
              <w:rPr>
                <w:rFonts w:ascii="宋体" w:hAnsi="宋体" w:cs="宋体" w:eastAsia="宋体" w:hint="default"/>
                <w:sz w:val="18"/>
                <w:szCs w:val="18"/>
              </w:rPr>
            </w:pPr>
            <w:r>
              <w:rPr>
                <w:rFonts w:ascii="宋体" w:hAnsi="宋体" w:cs="宋体" w:eastAsia="宋体" w:hint="default"/>
                <w:sz w:val="18"/>
                <w:szCs w:val="18"/>
              </w:rPr>
              <w:t>合计（注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Times New Roman" w:hAnsi="Times New Roman" w:cs="Times New Roman" w:eastAsia="Times New Roman" w:hint="default"/>
                <w:sz w:val="18"/>
                <w:szCs w:val="18"/>
              </w:rPr>
            </w:pPr>
            <w:r>
              <w:rPr>
                <w:rFonts w:ascii="Times New Roman"/>
                <w:sz w:val="18"/>
              </w:rPr>
              <w:t>167,067.13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6" w:right="0"/>
              <w:jc w:val="left"/>
              <w:rPr>
                <w:rFonts w:ascii="Times New Roman" w:hAnsi="Times New Roman" w:cs="Times New Roman" w:eastAsia="Times New Roman" w:hint="default"/>
                <w:sz w:val="18"/>
                <w:szCs w:val="18"/>
              </w:rPr>
            </w:pPr>
            <w:r>
              <w:rPr>
                <w:rFonts w:ascii="Times New Roman"/>
                <w:sz w:val="18"/>
              </w:rPr>
              <w:t>174,067.13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Times New Roman" w:hAnsi="Times New Roman" w:cs="Times New Roman" w:eastAsia="Times New Roman" w:hint="default"/>
                <w:sz w:val="18"/>
                <w:szCs w:val="18"/>
              </w:rPr>
            </w:pPr>
            <w:r>
              <w:rPr>
                <w:rFonts w:ascii="Times New Roman"/>
                <w:sz w:val="18"/>
              </w:rPr>
              <w:t>2,075.55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150,806.92</w:t>
            </w:r>
          </w:p>
        </w:tc>
        <w:tc>
          <w:tcPr>
            <w:tcW w:w="12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446"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13"/>
          <w:footerReference w:type="default" r:id="rId14"/>
          <w:pgSz w:w="16840" w:h="11910" w:orient="landscape"/>
          <w:pgMar w:header="867" w:footer="1265" w:top="1060" w:bottom="1460" w:left="1080" w:right="1060"/>
          <w:pgNumType w:start="27"/>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515"/>
        <w:gridCol w:w="10948"/>
      </w:tblGrid>
      <w:tr>
        <w:trPr>
          <w:trHeight w:val="4986" w:hRule="exact"/>
        </w:trPr>
        <w:tc>
          <w:tcPr>
            <w:tcW w:w="3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57" w:lineRule="auto"/>
              <w:ind w:left="52" w:right="52"/>
              <w:jc w:val="left"/>
              <w:rPr>
                <w:rFonts w:ascii="宋体" w:hAnsi="宋体" w:cs="宋体" w:eastAsia="宋体" w:hint="default"/>
                <w:sz w:val="20"/>
                <w:szCs w:val="20"/>
              </w:rPr>
            </w:pPr>
            <w:r>
              <w:rPr>
                <w:rFonts w:ascii="宋体" w:hAnsi="宋体" w:cs="宋体" w:eastAsia="宋体" w:hint="default"/>
                <w:sz w:val="20"/>
                <w:szCs w:val="20"/>
              </w:rPr>
              <w:t>未达到计划进度或预计收益的情况和原</w:t>
            </w:r>
            <w:r>
              <w:rPr>
                <w:rFonts w:ascii="宋体" w:hAnsi="宋体" w:cs="宋体" w:eastAsia="宋体" w:hint="default"/>
                <w:w w:val="99"/>
                <w:sz w:val="20"/>
                <w:szCs w:val="20"/>
              </w:rPr>
              <w:t> </w:t>
            </w:r>
            <w:r>
              <w:rPr>
                <w:rFonts w:ascii="宋体" w:hAnsi="宋体" w:cs="宋体" w:eastAsia="宋体" w:hint="default"/>
                <w:sz w:val="20"/>
                <w:szCs w:val="20"/>
              </w:rPr>
              <w:t>因（分具体项目）</w:t>
            </w:r>
          </w:p>
        </w:tc>
        <w:tc>
          <w:tcPr>
            <w:tcW w:w="10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5"/>
              <w:ind w:left="23"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、广西海吉星农产品国际物流中心项目</w:t>
            </w:r>
          </w:p>
          <w:p>
            <w:pPr>
              <w:pStyle w:val="TableParagraph"/>
              <w:spacing w:line="240" w:lineRule="auto" w:before="124"/>
              <w:ind w:left="424" w:right="0"/>
              <w:jc w:val="left"/>
              <w:rPr>
                <w:rFonts w:ascii="宋体" w:hAnsi="宋体" w:cs="宋体" w:eastAsia="宋体" w:hint="default"/>
                <w:sz w:val="20"/>
                <w:szCs w:val="20"/>
              </w:rPr>
            </w:pPr>
            <w:r>
              <w:rPr>
                <w:rFonts w:ascii="宋体" w:hAnsi="宋体" w:cs="宋体" w:eastAsia="宋体" w:hint="default"/>
                <w:sz w:val="20"/>
                <w:szCs w:val="20"/>
              </w:rPr>
              <w:t>广西海吉星原计划</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年度使用募集资金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9,205</w:t>
            </w:r>
            <w:r>
              <w:rPr>
                <w:rFonts w:ascii="Times New Roman" w:hAnsi="Times New Roman" w:cs="Times New Roman" w:eastAsia="Times New Roman" w:hint="default"/>
                <w:spacing w:val="-1"/>
                <w:sz w:val="20"/>
                <w:szCs w:val="20"/>
              </w:rPr>
              <w:t> </w:t>
            </w:r>
            <w:r>
              <w:rPr>
                <w:rFonts w:ascii="宋体" w:hAnsi="宋体" w:cs="宋体" w:eastAsia="宋体" w:hint="default"/>
                <w:spacing w:val="-4"/>
                <w:sz w:val="20"/>
                <w:szCs w:val="20"/>
              </w:rPr>
              <w:t>万元于广西海吉星物流园，实际</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年度使用募集资金为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2,075.55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p>
            <w:pPr>
              <w:pStyle w:val="TableParagraph"/>
              <w:spacing w:line="319" w:lineRule="auto" w:before="83"/>
              <w:ind w:left="23" w:right="23"/>
              <w:jc w:val="both"/>
              <w:rPr>
                <w:rFonts w:ascii="宋体" w:hAnsi="宋体" w:cs="宋体" w:eastAsia="宋体" w:hint="default"/>
                <w:sz w:val="20"/>
                <w:szCs w:val="20"/>
              </w:rPr>
            </w:pPr>
            <w:r>
              <w:rPr>
                <w:rFonts w:ascii="宋体" w:hAnsi="宋体" w:cs="宋体" w:eastAsia="宋体" w:hint="default"/>
                <w:spacing w:val="-2"/>
                <w:w w:val="99"/>
                <w:sz w:val="20"/>
                <w:szCs w:val="20"/>
              </w:rPr>
              <w:t>（不含支付银行转账手续费），募集资金投资进度有所延后，主要原因为：①广西海吉星物流园因云桂铁路跨园区建设及南宁</w:t>
            </w:r>
            <w:r>
              <w:rPr>
                <w:rFonts w:ascii="宋体" w:hAnsi="宋体" w:cs="宋体" w:eastAsia="宋体" w:hint="default"/>
                <w:spacing w:val="-62"/>
                <w:w w:val="99"/>
                <w:sz w:val="20"/>
                <w:szCs w:val="20"/>
              </w:rPr>
              <w:t> </w:t>
            </w:r>
            <w:r>
              <w:rPr>
                <w:rFonts w:ascii="宋体" w:hAnsi="宋体" w:cs="宋体" w:eastAsia="宋体" w:hint="default"/>
                <w:spacing w:val="-62"/>
                <w:w w:val="99"/>
                <w:sz w:val="20"/>
                <w:szCs w:val="20"/>
              </w:rPr>
            </w:r>
            <w:r>
              <w:rPr>
                <w:rFonts w:ascii="宋体" w:hAnsi="宋体" w:cs="宋体" w:eastAsia="宋体" w:hint="default"/>
                <w:sz w:val="20"/>
                <w:szCs w:val="20"/>
              </w:rPr>
              <w:t>地区</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号地铁施工影响需调整项目整体总平规划，该调整报批程序较为缓慢，导致项目</w:t>
            </w:r>
            <w:r>
              <w:rPr>
                <w:rFonts w:ascii="宋体" w:hAnsi="宋体" w:cs="宋体" w:eastAsia="宋体" w:hint="default"/>
                <w:spacing w:val="-67"/>
                <w:sz w:val="20"/>
                <w:szCs w:val="20"/>
              </w:rPr>
              <w:t> </w:t>
            </w:r>
            <w:r>
              <w:rPr>
                <w:rFonts w:ascii="Times New Roman" w:hAnsi="Times New Roman" w:cs="Times New Roman" w:eastAsia="Times New Roman" w:hint="default"/>
                <w:spacing w:val="-6"/>
                <w:sz w:val="20"/>
                <w:szCs w:val="20"/>
              </w:rPr>
              <w:t>A2</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A4</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部分启动和建设有所延后；②</w:t>
            </w:r>
            <w:r>
              <w:rPr>
                <w:rFonts w:ascii="宋体" w:hAnsi="宋体" w:cs="宋体" w:eastAsia="宋体" w:hint="default"/>
                <w:w w:val="99"/>
                <w:sz w:val="20"/>
                <w:szCs w:val="20"/>
              </w:rPr>
              <w:t> </w:t>
            </w:r>
            <w:r>
              <w:rPr>
                <w:rFonts w:ascii="宋体" w:hAnsi="宋体" w:cs="宋体" w:eastAsia="宋体" w:hint="default"/>
                <w:sz w:val="20"/>
                <w:szCs w:val="20"/>
              </w:rPr>
              <w:t>因广西地区政策调整，导致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年广西海吉星物流园</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A2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部分的招投标工作有所延迟，影响项目建设进度。</w:t>
            </w:r>
          </w:p>
          <w:p>
            <w:pPr>
              <w:pStyle w:val="TableParagraph"/>
              <w:spacing w:line="319" w:lineRule="auto" w:before="53"/>
              <w:ind w:left="23" w:right="19" w:firstLine="400"/>
              <w:jc w:val="both"/>
              <w:rPr>
                <w:rFonts w:ascii="宋体" w:hAnsi="宋体" w:cs="宋体" w:eastAsia="宋体" w:hint="default"/>
                <w:sz w:val="20"/>
                <w:szCs w:val="20"/>
              </w:rPr>
            </w:pPr>
            <w:r>
              <w:rPr>
                <w:rFonts w:ascii="宋体" w:hAnsi="宋体" w:cs="宋体" w:eastAsia="宋体" w:hint="default"/>
                <w:sz w:val="20"/>
                <w:szCs w:val="20"/>
              </w:rPr>
              <w:t>广西海吉星物流园水果交易区、蔬菜交易区、冻品交易区已开业，运营状况良好；</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年度，广西海吉星物流园收益未</w:t>
            </w:r>
            <w:r>
              <w:rPr>
                <w:rFonts w:ascii="宋体" w:hAnsi="宋体" w:cs="宋体" w:eastAsia="宋体" w:hint="default"/>
                <w:w w:val="99"/>
                <w:sz w:val="20"/>
                <w:szCs w:val="20"/>
              </w:rPr>
              <w:t> </w:t>
            </w:r>
            <w:r>
              <w:rPr>
                <w:rFonts w:ascii="宋体" w:hAnsi="宋体" w:cs="宋体" w:eastAsia="宋体" w:hint="default"/>
                <w:spacing w:val="2"/>
                <w:w w:val="95"/>
                <w:sz w:val="20"/>
                <w:szCs w:val="20"/>
              </w:rPr>
              <w:t>达预期，主要系因广西南宁地区农产品批发市场竞争激烈且项目建设进度延后，交易品种和交易区域未能按期扩展等原因，</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z w:val="20"/>
                <w:szCs w:val="20"/>
              </w:rPr>
              <w:t>影响了项目整体收入水平的提升。</w:t>
            </w:r>
          </w:p>
          <w:p>
            <w:pPr>
              <w:pStyle w:val="TableParagraph"/>
              <w:spacing w:line="348" w:lineRule="auto" w:before="70"/>
              <w:ind w:left="424" w:right="4974" w:hanging="401"/>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、天津翰吉斯国际农产品物流园项目</w:t>
            </w:r>
            <w:r>
              <w:rPr>
                <w:rFonts w:ascii="宋体" w:hAnsi="宋体" w:cs="宋体" w:eastAsia="宋体" w:hint="default"/>
                <w:w w:val="99"/>
                <w:sz w:val="20"/>
                <w:szCs w:val="20"/>
              </w:rPr>
              <w:t> </w:t>
            </w:r>
            <w:r>
              <w:rPr>
                <w:rFonts w:ascii="宋体" w:hAnsi="宋体" w:cs="宋体" w:eastAsia="宋体" w:hint="default"/>
                <w:sz w:val="20"/>
                <w:szCs w:val="20"/>
              </w:rPr>
              <w:t>公司承诺使用于天津翰吉斯</w:t>
            </w:r>
            <w:r>
              <w:rPr>
                <w:rFonts w:ascii="宋体" w:hAnsi="宋体" w:cs="宋体" w:eastAsia="宋体" w:hint="default"/>
                <w:sz w:val="18"/>
                <w:szCs w:val="18"/>
              </w:rPr>
              <w:t>物流园</w:t>
            </w:r>
            <w:r>
              <w:rPr>
                <w:rFonts w:ascii="宋体" w:hAnsi="宋体" w:cs="宋体" w:eastAsia="宋体" w:hint="default"/>
                <w:sz w:val="20"/>
                <w:szCs w:val="20"/>
              </w:rPr>
              <w:t>的募集资金已全部使用完毕。</w:t>
            </w:r>
          </w:p>
          <w:p>
            <w:pPr>
              <w:pStyle w:val="TableParagraph"/>
              <w:spacing w:line="319" w:lineRule="auto" w:before="51"/>
              <w:ind w:left="23" w:right="19" w:firstLine="400"/>
              <w:jc w:val="both"/>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4"/>
                <w:sz w:val="20"/>
                <w:szCs w:val="20"/>
              </w:rPr>
              <w:t> </w:t>
            </w:r>
            <w:r>
              <w:rPr>
                <w:rFonts w:ascii="宋体" w:hAnsi="宋体" w:cs="宋体" w:eastAsia="宋体" w:hint="default"/>
                <w:sz w:val="20"/>
                <w:szCs w:val="20"/>
              </w:rPr>
              <w:t>年度，天津翰吉斯物流园收益未达预期，主要系该项目定位为立足天津、辐射华北地区的区域性的一级农产品物流</w:t>
            </w:r>
            <w:r>
              <w:rPr>
                <w:rFonts w:ascii="宋体" w:hAnsi="宋体" w:cs="宋体" w:eastAsia="宋体" w:hint="default"/>
                <w:w w:val="99"/>
                <w:sz w:val="20"/>
                <w:szCs w:val="20"/>
              </w:rPr>
              <w:t> </w:t>
            </w:r>
            <w:r>
              <w:rPr>
                <w:rFonts w:ascii="宋体" w:hAnsi="宋体" w:cs="宋体" w:eastAsia="宋体" w:hint="default"/>
                <w:spacing w:val="2"/>
                <w:w w:val="95"/>
                <w:sz w:val="20"/>
                <w:szCs w:val="20"/>
              </w:rPr>
              <w:t>园，项目整体投资强度较大，日常运营费用较高，但天津和华北地区农产品批发市场竞争激烈，项目整体招商和运营情况及</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sz w:val="20"/>
                <w:szCs w:val="20"/>
              </w:rPr>
              <w:t>收入水平未达预期。</w:t>
            </w:r>
          </w:p>
        </w:tc>
      </w:tr>
      <w:tr>
        <w:trPr>
          <w:trHeight w:val="480"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52" w:right="0"/>
              <w:jc w:val="left"/>
              <w:rPr>
                <w:rFonts w:ascii="宋体" w:hAnsi="宋体" w:cs="宋体" w:eastAsia="宋体" w:hint="default"/>
                <w:sz w:val="20"/>
                <w:szCs w:val="20"/>
              </w:rPr>
            </w:pPr>
            <w:r>
              <w:rPr>
                <w:rFonts w:ascii="宋体" w:hAnsi="宋体" w:cs="宋体" w:eastAsia="宋体" w:hint="default"/>
                <w:sz w:val="20"/>
                <w:szCs w:val="20"/>
              </w:rPr>
              <w:t>项目可行性发生重大变化的情况说明</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80"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52" w:right="0"/>
              <w:jc w:val="left"/>
              <w:rPr>
                <w:rFonts w:ascii="宋体" w:hAnsi="宋体" w:cs="宋体" w:eastAsia="宋体" w:hint="default"/>
                <w:sz w:val="20"/>
                <w:szCs w:val="20"/>
              </w:rPr>
            </w:pPr>
            <w:r>
              <w:rPr>
                <w:rFonts w:ascii="宋体" w:hAnsi="宋体" w:cs="宋体" w:eastAsia="宋体" w:hint="default"/>
                <w:sz w:val="20"/>
                <w:szCs w:val="20"/>
              </w:rPr>
              <w:t>超募资金的金额、用途及使用进展情况</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78"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52" w:right="0"/>
              <w:jc w:val="left"/>
              <w:rPr>
                <w:rFonts w:ascii="宋体" w:hAnsi="宋体" w:cs="宋体" w:eastAsia="宋体" w:hint="default"/>
                <w:sz w:val="20"/>
                <w:szCs w:val="20"/>
              </w:rPr>
            </w:pPr>
            <w:r>
              <w:rPr>
                <w:rFonts w:ascii="宋体" w:hAnsi="宋体" w:cs="宋体" w:eastAsia="宋体" w:hint="default"/>
                <w:sz w:val="20"/>
                <w:szCs w:val="20"/>
              </w:rPr>
              <w:t>募集资金投资项目实施地点变更情况</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511"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52" w:right="0"/>
              <w:jc w:val="left"/>
              <w:rPr>
                <w:rFonts w:ascii="宋体" w:hAnsi="宋体" w:cs="宋体" w:eastAsia="宋体" w:hint="default"/>
                <w:sz w:val="20"/>
                <w:szCs w:val="20"/>
              </w:rPr>
            </w:pPr>
            <w:r>
              <w:rPr>
                <w:rFonts w:ascii="宋体" w:hAnsi="宋体" w:cs="宋体" w:eastAsia="宋体" w:hint="default"/>
                <w:sz w:val="20"/>
                <w:szCs w:val="20"/>
              </w:rPr>
              <w:t>募集资金投资项目实施方式调整情况</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1647"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52" w:right="0"/>
              <w:jc w:val="left"/>
              <w:rPr>
                <w:rFonts w:ascii="宋体" w:hAnsi="宋体" w:cs="宋体" w:eastAsia="宋体" w:hint="default"/>
                <w:sz w:val="20"/>
                <w:szCs w:val="20"/>
              </w:rPr>
            </w:pPr>
            <w:r>
              <w:rPr>
                <w:rFonts w:ascii="宋体" w:hAnsi="宋体" w:cs="宋体" w:eastAsia="宋体" w:hint="default"/>
                <w:sz w:val="20"/>
                <w:szCs w:val="20"/>
              </w:rPr>
              <w:t>募集资金投资项目先期投入及置换情况</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6"/>
              <w:ind w:left="52" w:right="-4"/>
              <w:jc w:val="left"/>
              <w:rPr>
                <w:rFonts w:ascii="宋体" w:hAnsi="宋体" w:cs="宋体" w:eastAsia="宋体" w:hint="default"/>
                <w:sz w:val="20"/>
                <w:szCs w:val="20"/>
              </w:rPr>
            </w:pPr>
            <w:r>
              <w:rPr>
                <w:rFonts w:ascii="宋体" w:hAnsi="宋体" w:cs="宋体" w:eastAsia="宋体" w:hint="default"/>
                <w:sz w:val="20"/>
                <w:szCs w:val="20"/>
              </w:rPr>
              <w:t>经公司</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年第三次临时股东大会审议，同意本次发行募集资金到位之前，公司可根据项目进展情况以自筹资金先行投入，</w:t>
            </w:r>
            <w:r>
              <w:rPr>
                <w:rFonts w:ascii="宋体" w:hAnsi="宋体" w:cs="宋体" w:eastAsia="宋体" w:hint="default"/>
                <w:w w:val="99"/>
                <w:sz w:val="20"/>
                <w:szCs w:val="20"/>
              </w:rPr>
              <w:t> </w:t>
            </w:r>
            <w:r>
              <w:rPr>
                <w:rFonts w:ascii="宋体" w:hAnsi="宋体" w:cs="宋体" w:eastAsia="宋体" w:hint="default"/>
                <w:sz w:val="20"/>
                <w:szCs w:val="20"/>
              </w:rPr>
              <w:t>并在募集资金到位之后审议置换本次发行的股东大会决议公告日后所投入的自筹资金。经公司第六届董事会第三十九次会议</w:t>
            </w:r>
            <w:r>
              <w:rPr>
                <w:rFonts w:ascii="宋体" w:hAnsi="宋体" w:cs="宋体" w:eastAsia="宋体" w:hint="default"/>
                <w:w w:val="99"/>
                <w:sz w:val="20"/>
                <w:szCs w:val="20"/>
              </w:rPr>
              <w:t> 审议，同意以募集资金置换预先投入募集资金投资项目的自筹资金金额为</w:t>
            </w:r>
            <w:r>
              <w:rPr>
                <w:rFonts w:ascii="宋体" w:hAnsi="宋体" w:cs="宋体" w:eastAsia="宋体" w:hint="default"/>
                <w:spacing w:val="-44"/>
                <w:w w:val="99"/>
                <w:sz w:val="20"/>
                <w:szCs w:val="20"/>
              </w:rPr>
              <w:t> </w:t>
            </w:r>
            <w:r>
              <w:rPr>
                <w:rFonts w:ascii="Times New Roman" w:hAnsi="Times New Roman" w:cs="Times New Roman" w:eastAsia="Times New Roman" w:hint="default"/>
                <w:w w:val="99"/>
                <w:sz w:val="20"/>
                <w:szCs w:val="20"/>
              </w:rPr>
              <w:t>30,407.93</w:t>
            </w:r>
            <w:r>
              <w:rPr>
                <w:rFonts w:ascii="Times New Roman" w:hAnsi="Times New Roman" w:cs="Times New Roman" w:eastAsia="Times New Roman" w:hint="default"/>
                <w:spacing w:val="4"/>
                <w:w w:val="99"/>
                <w:sz w:val="20"/>
                <w:szCs w:val="20"/>
              </w:rPr>
              <w:t> </w:t>
            </w:r>
            <w:r>
              <w:rPr>
                <w:rFonts w:ascii="宋体" w:hAnsi="宋体" w:cs="宋体" w:eastAsia="宋体" w:hint="default"/>
                <w:spacing w:val="-11"/>
                <w:w w:val="99"/>
                <w:sz w:val="20"/>
                <w:szCs w:val="20"/>
              </w:rPr>
              <w:t>万元。（详见公司于</w:t>
            </w:r>
            <w:r>
              <w:rPr>
                <w:rFonts w:ascii="宋体" w:hAnsi="宋体" w:cs="宋体" w:eastAsia="宋体" w:hint="default"/>
                <w:spacing w:val="-46"/>
                <w:w w:val="99"/>
                <w:sz w:val="20"/>
                <w:szCs w:val="20"/>
              </w:rPr>
              <w:t> </w:t>
            </w:r>
            <w:r>
              <w:rPr>
                <w:rFonts w:ascii="Times New Roman" w:hAnsi="Times New Roman" w:cs="Times New Roman" w:eastAsia="Times New Roman" w:hint="default"/>
                <w:w w:val="99"/>
                <w:sz w:val="20"/>
                <w:szCs w:val="20"/>
              </w:rPr>
              <w:t>2013</w:t>
            </w:r>
            <w:r>
              <w:rPr>
                <w:rFonts w:ascii="Times New Roman" w:hAnsi="Times New Roman" w:cs="Times New Roman" w:eastAsia="Times New Roman" w:hint="default"/>
                <w:spacing w:val="1"/>
                <w:w w:val="99"/>
                <w:sz w:val="20"/>
                <w:szCs w:val="20"/>
              </w:rPr>
              <w:t> </w:t>
            </w:r>
            <w:r>
              <w:rPr>
                <w:rFonts w:ascii="宋体" w:hAnsi="宋体" w:cs="宋体" w:eastAsia="宋体" w:hint="default"/>
                <w:w w:val="99"/>
                <w:sz w:val="20"/>
                <w:szCs w:val="20"/>
              </w:rPr>
              <w:t>年</w:t>
            </w:r>
            <w:r>
              <w:rPr>
                <w:rFonts w:ascii="宋体" w:hAnsi="宋体" w:cs="宋体" w:eastAsia="宋体" w:hint="default"/>
                <w:spacing w:val="-47"/>
                <w:w w:val="99"/>
                <w:sz w:val="20"/>
                <w:szCs w:val="20"/>
              </w:rPr>
              <w:t> </w:t>
            </w:r>
            <w:r>
              <w:rPr>
                <w:rFonts w:ascii="Times New Roman" w:hAnsi="Times New Roman" w:cs="Times New Roman" w:eastAsia="Times New Roman" w:hint="default"/>
                <w:w w:val="99"/>
                <w:sz w:val="20"/>
                <w:szCs w:val="20"/>
              </w:rPr>
              <w:t>3</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月</w:t>
            </w:r>
            <w:r>
              <w:rPr>
                <w:rFonts w:ascii="宋体" w:hAnsi="宋体" w:cs="宋体" w:eastAsia="宋体" w:hint="default"/>
                <w:spacing w:val="-47"/>
                <w:w w:val="99"/>
                <w:sz w:val="20"/>
                <w:szCs w:val="20"/>
              </w:rPr>
              <w:t> </w:t>
            </w:r>
            <w:r>
              <w:rPr>
                <w:rFonts w:ascii="Times New Roman" w:hAnsi="Times New Roman" w:cs="Times New Roman" w:eastAsia="Times New Roman" w:hint="default"/>
                <w:w w:val="99"/>
                <w:sz w:val="20"/>
                <w:szCs w:val="20"/>
              </w:rPr>
              <w:t>19</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日刊</w:t>
            </w:r>
            <w:r>
              <w:rPr>
                <w:rFonts w:ascii="宋体" w:hAnsi="宋体" w:cs="宋体" w:eastAsia="宋体" w:hint="default"/>
                <w:spacing w:val="-94"/>
                <w:w w:val="99"/>
                <w:sz w:val="20"/>
                <w:szCs w:val="20"/>
              </w:rPr>
              <w:t> </w:t>
            </w:r>
            <w:r>
              <w:rPr>
                <w:rFonts w:ascii="宋体" w:hAnsi="宋体" w:cs="宋体" w:eastAsia="宋体" w:hint="default"/>
                <w:spacing w:val="-14"/>
                <w:w w:val="99"/>
                <w:sz w:val="20"/>
                <w:szCs w:val="20"/>
              </w:rPr>
              <w:t>登在《证券时报》、《中国证券报》、《上海证券报》、《证券日报》和巨潮资讯网上的公司公告）</w:t>
            </w:r>
            <w:r>
              <w:rPr>
                <w:rFonts w:ascii="宋体" w:hAnsi="宋体" w:cs="宋体" w:eastAsia="宋体" w:hint="default"/>
                <w:spacing w:val="-14"/>
                <w:sz w:val="20"/>
                <w:szCs w:val="20"/>
              </w:rPr>
            </w:r>
          </w:p>
        </w:tc>
      </w:tr>
    </w:tbl>
    <w:p>
      <w:pPr>
        <w:spacing w:after="0" w:line="343" w:lineRule="auto"/>
        <w:jc w:val="left"/>
        <w:rPr>
          <w:rFonts w:ascii="宋体" w:hAnsi="宋体" w:cs="宋体" w:eastAsia="宋体" w:hint="default"/>
          <w:sz w:val="20"/>
          <w:szCs w:val="20"/>
        </w:rPr>
        <w:sectPr>
          <w:pgSz w:w="16840" w:h="11910" w:orient="landscape"/>
          <w:pgMar w:header="867" w:footer="1265" w:top="1060" w:bottom="1460" w:left="1080" w:right="106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515"/>
        <w:gridCol w:w="10948"/>
      </w:tblGrid>
      <w:tr>
        <w:trPr>
          <w:trHeight w:val="1272" w:hRule="exact"/>
        </w:trPr>
        <w:tc>
          <w:tcPr>
            <w:tcW w:w="3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52" w:right="0"/>
              <w:jc w:val="left"/>
              <w:rPr>
                <w:rFonts w:ascii="宋体" w:hAnsi="宋体" w:cs="宋体" w:eastAsia="宋体" w:hint="default"/>
                <w:sz w:val="20"/>
                <w:szCs w:val="20"/>
              </w:rPr>
            </w:pPr>
            <w:r>
              <w:rPr>
                <w:rFonts w:ascii="宋体" w:hAnsi="宋体" w:cs="宋体" w:eastAsia="宋体" w:hint="default"/>
                <w:sz w:val="20"/>
                <w:szCs w:val="20"/>
              </w:rPr>
              <w:t>用闲置募集资金暂时补充流动资金情况</w:t>
            </w:r>
          </w:p>
        </w:tc>
        <w:tc>
          <w:tcPr>
            <w:tcW w:w="10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left="5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日，经公司第六届董事会第三十八次会议和</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年第一次临时股东大会审议，同意将暂未使用的部分募集资</w:t>
            </w:r>
          </w:p>
          <w:p>
            <w:pPr>
              <w:pStyle w:val="TableParagraph"/>
              <w:spacing w:line="240" w:lineRule="auto" w:before="112"/>
              <w:ind w:left="5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83,500</w:t>
            </w:r>
            <w:r>
              <w:rPr>
                <w:rFonts w:ascii="Times New Roman" w:hAnsi="Times New Roman" w:cs="Times New Roman" w:eastAsia="Times New Roman" w:hint="default"/>
                <w:spacing w:val="-1"/>
                <w:sz w:val="20"/>
                <w:szCs w:val="20"/>
              </w:rPr>
              <w:t> </w:t>
            </w:r>
            <w:r>
              <w:rPr>
                <w:rFonts w:ascii="宋体" w:hAnsi="宋体" w:cs="宋体" w:eastAsia="宋体" w:hint="default"/>
                <w:spacing w:val="-3"/>
                <w:sz w:val="20"/>
                <w:szCs w:val="20"/>
              </w:rPr>
              <w:t>万元暂时用于补充流动资金，期限不超过</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pacing w:val="-11"/>
                <w:sz w:val="20"/>
                <w:szCs w:val="20"/>
              </w:rPr>
              <w:t>个月。截至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pacing w:val="-3"/>
                <w:sz w:val="20"/>
                <w:szCs w:val="20"/>
              </w:rPr>
              <w:t>日，公司已将暂时用于补充流动资金的</w:t>
            </w:r>
            <w:r>
              <w:rPr>
                <w:rFonts w:ascii="宋体" w:hAnsi="宋体" w:cs="宋体" w:eastAsia="宋体" w:hint="default"/>
                <w:spacing w:val="-2"/>
                <w:sz w:val="20"/>
                <w:szCs w:val="20"/>
              </w:rPr>
              <w:t> </w:t>
            </w:r>
            <w:r>
              <w:rPr>
                <w:rFonts w:ascii="Times New Roman" w:hAnsi="Times New Roman" w:cs="Times New Roman" w:eastAsia="Times New Roman" w:hint="default"/>
                <w:sz w:val="20"/>
                <w:szCs w:val="20"/>
              </w:rPr>
              <w:t>83,500</w:t>
            </w:r>
          </w:p>
          <w:p>
            <w:pPr>
              <w:pStyle w:val="TableParagraph"/>
              <w:spacing w:line="240" w:lineRule="auto" w:before="112"/>
              <w:ind w:left="52" w:right="0"/>
              <w:jc w:val="left"/>
              <w:rPr>
                <w:rFonts w:ascii="宋体" w:hAnsi="宋体" w:cs="宋体" w:eastAsia="宋体" w:hint="default"/>
                <w:sz w:val="20"/>
                <w:szCs w:val="20"/>
              </w:rPr>
            </w:pPr>
            <w:r>
              <w:rPr>
                <w:rFonts w:ascii="宋体" w:hAnsi="宋体" w:cs="宋体" w:eastAsia="宋体" w:hint="default"/>
                <w:sz w:val="20"/>
                <w:szCs w:val="20"/>
              </w:rPr>
              <w:t>万元募集资金归还至募集资金专用账户。</w:t>
            </w:r>
          </w:p>
        </w:tc>
      </w:tr>
      <w:tr>
        <w:trPr>
          <w:trHeight w:val="869"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
              <w:ind w:left="52" w:right="52"/>
              <w:jc w:val="left"/>
              <w:rPr>
                <w:rFonts w:ascii="宋体" w:hAnsi="宋体" w:cs="宋体" w:eastAsia="宋体" w:hint="default"/>
                <w:sz w:val="20"/>
                <w:szCs w:val="20"/>
              </w:rPr>
            </w:pPr>
            <w:r>
              <w:rPr>
                <w:rFonts w:ascii="宋体" w:hAnsi="宋体" w:cs="宋体" w:eastAsia="宋体" w:hint="default"/>
                <w:sz w:val="20"/>
                <w:szCs w:val="20"/>
              </w:rPr>
              <w:t>项目实施出现募集资金结余的金额及原</w:t>
            </w:r>
            <w:r>
              <w:rPr>
                <w:rFonts w:ascii="宋体" w:hAnsi="宋体" w:cs="宋体" w:eastAsia="宋体" w:hint="default"/>
                <w:w w:val="99"/>
                <w:sz w:val="20"/>
                <w:szCs w:val="20"/>
              </w:rPr>
              <w:t> </w:t>
            </w:r>
            <w:r>
              <w:rPr>
                <w:rFonts w:ascii="宋体" w:hAnsi="宋体" w:cs="宋体" w:eastAsia="宋体" w:hint="default"/>
                <w:sz w:val="20"/>
                <w:szCs w:val="20"/>
              </w:rPr>
              <w:t>因</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1688"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52" w:right="0"/>
              <w:jc w:val="left"/>
              <w:rPr>
                <w:rFonts w:ascii="宋体" w:hAnsi="宋体" w:cs="宋体" w:eastAsia="宋体" w:hint="default"/>
                <w:sz w:val="20"/>
                <w:szCs w:val="20"/>
              </w:rPr>
            </w:pPr>
            <w:r>
              <w:rPr>
                <w:rFonts w:ascii="宋体" w:hAnsi="宋体" w:cs="宋体" w:eastAsia="宋体" w:hint="default"/>
                <w:sz w:val="20"/>
                <w:szCs w:val="20"/>
              </w:rPr>
              <w:t>尚未使用的募集资金用途及去向</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日，承诺偿还银行贷款用途和用于天津翰吉斯物流园的募集资金已全部使用完毕。根据变更后的募集资</w:t>
            </w:r>
          </w:p>
          <w:p>
            <w:pPr>
              <w:pStyle w:val="TableParagraph"/>
              <w:spacing w:line="336" w:lineRule="auto" w:before="115"/>
              <w:ind w:left="52" w:right="84"/>
              <w:jc w:val="left"/>
              <w:rPr>
                <w:rFonts w:ascii="宋体" w:hAnsi="宋体" w:cs="宋体" w:eastAsia="宋体" w:hint="default"/>
                <w:sz w:val="20"/>
                <w:szCs w:val="20"/>
              </w:rPr>
            </w:pPr>
            <w:r>
              <w:rPr>
                <w:rFonts w:ascii="宋体" w:hAnsi="宋体" w:cs="宋体" w:eastAsia="宋体" w:hint="default"/>
                <w:sz w:val="20"/>
                <w:szCs w:val="20"/>
              </w:rPr>
              <w:t>金使用计划，计划使用于广西海吉星物流园和深圳海吉星</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号楼项目的尚未使用的募集资金，将继续用于该两个募投项目建</w:t>
            </w:r>
            <w:r>
              <w:rPr>
                <w:rFonts w:ascii="宋体" w:hAnsi="宋体" w:cs="宋体" w:eastAsia="宋体" w:hint="default"/>
                <w:w w:val="99"/>
                <w:sz w:val="20"/>
                <w:szCs w:val="20"/>
              </w:rPr>
              <w:t> </w:t>
            </w:r>
            <w:r>
              <w:rPr>
                <w:rFonts w:ascii="宋体" w:hAnsi="宋体" w:cs="宋体" w:eastAsia="宋体" w:hint="default"/>
                <w:sz w:val="20"/>
                <w:szCs w:val="20"/>
              </w:rPr>
              <w:t>设。</w:t>
            </w:r>
          </w:p>
          <w:p>
            <w:pPr>
              <w:pStyle w:val="TableParagraph"/>
              <w:spacing w:line="240" w:lineRule="auto" w:before="88"/>
              <w:ind w:left="52" w:right="0"/>
              <w:jc w:val="left"/>
              <w:rPr>
                <w:rFonts w:ascii="宋体" w:hAnsi="宋体" w:cs="宋体" w:eastAsia="宋体" w:hint="default"/>
                <w:sz w:val="20"/>
                <w:szCs w:val="20"/>
              </w:rPr>
            </w:pPr>
            <w:r>
              <w:rPr>
                <w:rFonts w:ascii="宋体" w:hAnsi="宋体" w:cs="宋体" w:eastAsia="宋体" w:hint="default"/>
                <w:sz w:val="20"/>
                <w:szCs w:val="20"/>
              </w:rPr>
              <w:t>暂未使用的闲置募集资金，在不影响募投项目建设的前提下，公司将在董事会授权的额度和期限内购买银行保本理财产品。</w:t>
            </w:r>
          </w:p>
        </w:tc>
      </w:tr>
      <w:tr>
        <w:trPr>
          <w:trHeight w:val="869"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
              <w:ind w:left="52" w:right="52"/>
              <w:jc w:val="left"/>
              <w:rPr>
                <w:rFonts w:ascii="宋体" w:hAnsi="宋体" w:cs="宋体" w:eastAsia="宋体" w:hint="default"/>
                <w:sz w:val="20"/>
                <w:szCs w:val="20"/>
              </w:rPr>
            </w:pPr>
            <w:r>
              <w:rPr>
                <w:rFonts w:ascii="宋体" w:hAnsi="宋体" w:cs="宋体" w:eastAsia="宋体" w:hint="default"/>
                <w:sz w:val="20"/>
                <w:szCs w:val="20"/>
              </w:rPr>
              <w:t>募集资金使用及披露中存在的问题或其</w:t>
            </w:r>
            <w:r>
              <w:rPr>
                <w:rFonts w:ascii="宋体" w:hAnsi="宋体" w:cs="宋体" w:eastAsia="宋体" w:hint="default"/>
                <w:w w:val="99"/>
                <w:sz w:val="20"/>
                <w:szCs w:val="20"/>
              </w:rPr>
              <w:t> </w:t>
            </w:r>
            <w:r>
              <w:rPr>
                <w:rFonts w:ascii="宋体" w:hAnsi="宋体" w:cs="宋体" w:eastAsia="宋体" w:hint="default"/>
                <w:sz w:val="20"/>
                <w:szCs w:val="20"/>
              </w:rPr>
              <w:t>他情况</w:t>
            </w:r>
          </w:p>
        </w:tc>
        <w:tc>
          <w:tcPr>
            <w:tcW w:w="10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before="93"/>
        <w:ind w:left="360"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r>
        <w:rPr>
          <w:rFonts w:ascii="宋体" w:hAnsi="宋体" w:cs="宋体" w:eastAsia="宋体" w:hint="default"/>
          <w:sz w:val="20"/>
          <w:szCs w:val="20"/>
        </w:rPr>
        <w:t>、上表中</w:t>
      </w:r>
      <w:r>
        <w:rPr>
          <w:rFonts w:ascii="Times New Roman" w:hAnsi="Times New Roman" w:cs="Times New Roman" w:eastAsia="Times New Roman" w:hint="default"/>
          <w:sz w:val="20"/>
          <w:szCs w:val="20"/>
        </w:rPr>
        <w:t>“</w:t>
      </w:r>
      <w:r>
        <w:rPr>
          <w:rFonts w:ascii="宋体" w:hAnsi="宋体" w:cs="宋体" w:eastAsia="宋体" w:hint="default"/>
          <w:sz w:val="20"/>
          <w:szCs w:val="20"/>
        </w:rPr>
        <w:t>募集资金承诺投资总额</w:t>
      </w:r>
      <w:r>
        <w:rPr>
          <w:rFonts w:ascii="Times New Roman" w:hAnsi="Times New Roman" w:cs="Times New Roman" w:eastAsia="Times New Roman" w:hint="default"/>
          <w:sz w:val="20"/>
          <w:szCs w:val="20"/>
        </w:rPr>
        <w:t>”</w:t>
      </w:r>
      <w:r>
        <w:rPr>
          <w:rFonts w:ascii="宋体" w:hAnsi="宋体" w:cs="宋体" w:eastAsia="宋体" w:hint="default"/>
          <w:sz w:val="20"/>
          <w:szCs w:val="20"/>
        </w:rPr>
        <w:t>系：公司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年非公开发行股票所获得的募集资金净额共计</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167,067.13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万元，原承诺①用于偿还银行贷款</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p>
      <w:pPr>
        <w:spacing w:before="81"/>
        <w:ind w:left="360" w:right="0" w:firstLine="0"/>
        <w:jc w:val="left"/>
        <w:rPr>
          <w:rFonts w:ascii="宋体" w:hAnsi="宋体" w:cs="宋体" w:eastAsia="宋体" w:hint="default"/>
          <w:sz w:val="20"/>
          <w:szCs w:val="20"/>
        </w:rPr>
      </w:pPr>
      <w:r>
        <w:rPr>
          <w:rFonts w:ascii="宋体" w:hAnsi="宋体" w:cs="宋体" w:eastAsia="宋体" w:hint="default"/>
          <w:sz w:val="20"/>
          <w:szCs w:val="20"/>
        </w:rPr>
        <w:t>②投资于天津翰吉斯国际农产品物流园项目</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77,067.13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万元；③投资于广西海吉星农产品国际物流中心项目</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40,000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p>
      <w:pPr>
        <w:spacing w:before="126"/>
        <w:ind w:left="761" w:right="0" w:firstLine="0"/>
        <w:jc w:val="left"/>
        <w:rPr>
          <w:rFonts w:ascii="宋体" w:hAnsi="宋体" w:cs="宋体" w:eastAsia="宋体" w:hint="default"/>
          <w:sz w:val="20"/>
          <w:szCs w:val="20"/>
        </w:rPr>
      </w:pPr>
      <w:r>
        <w:rPr>
          <w:rFonts w:ascii="宋体" w:hAnsi="宋体" w:cs="宋体" w:eastAsia="宋体" w:hint="default"/>
          <w:sz w:val="20"/>
          <w:szCs w:val="20"/>
        </w:rPr>
        <w:t>上表中</w:t>
      </w:r>
      <w:r>
        <w:rPr>
          <w:rFonts w:ascii="Times New Roman" w:hAnsi="Times New Roman" w:cs="Times New Roman" w:eastAsia="Times New Roman" w:hint="default"/>
          <w:sz w:val="20"/>
          <w:szCs w:val="20"/>
        </w:rPr>
        <w:t>“</w:t>
      </w:r>
      <w:r>
        <w:rPr>
          <w:rFonts w:ascii="宋体" w:hAnsi="宋体" w:cs="宋体" w:eastAsia="宋体" w:hint="default"/>
          <w:sz w:val="20"/>
          <w:szCs w:val="20"/>
        </w:rPr>
        <w:t>调整后投资总额</w:t>
      </w:r>
      <w:r>
        <w:rPr>
          <w:rFonts w:ascii="Times New Roman" w:hAnsi="Times New Roman" w:cs="Times New Roman" w:eastAsia="Times New Roman" w:hint="default"/>
          <w:sz w:val="20"/>
          <w:szCs w:val="20"/>
        </w:rPr>
        <w:t>”</w:t>
      </w:r>
      <w:r>
        <w:rPr>
          <w:rFonts w:ascii="宋体" w:hAnsi="宋体" w:cs="宋体" w:eastAsia="宋体" w:hint="default"/>
          <w:sz w:val="20"/>
          <w:szCs w:val="20"/>
        </w:rPr>
        <w:t>系：经公司</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年第六次临时股东大会审议通过，同意将</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3,000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万元原计划投资于广西海吉星物流园部分募集资金及</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7,000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万元募集</w:t>
      </w:r>
    </w:p>
    <w:p>
      <w:pPr>
        <w:spacing w:before="80"/>
        <w:ind w:left="360" w:right="0" w:firstLine="0"/>
        <w:jc w:val="left"/>
        <w:rPr>
          <w:rFonts w:ascii="宋体" w:hAnsi="宋体" w:cs="宋体" w:eastAsia="宋体" w:hint="default"/>
          <w:sz w:val="20"/>
          <w:szCs w:val="20"/>
        </w:rPr>
      </w:pPr>
      <w:r>
        <w:rPr>
          <w:rFonts w:ascii="宋体" w:hAnsi="宋体" w:cs="宋体" w:eastAsia="宋体" w:hint="default"/>
          <w:sz w:val="20"/>
          <w:szCs w:val="20"/>
        </w:rPr>
        <w:t>资金所获利息及购买银行保本理财产品所获理财收益，共计</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亿元变更投向至公司旗下深圳海吉星国际农产品物流园</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号楼项目。</w:t>
      </w:r>
    </w:p>
    <w:p>
      <w:pPr>
        <w:spacing w:before="126"/>
        <w:ind w:left="763" w:right="0" w:firstLine="0"/>
        <w:jc w:val="left"/>
        <w:rPr>
          <w:rFonts w:ascii="宋体" w:hAnsi="宋体" w:cs="宋体" w:eastAsia="宋体" w:hint="default"/>
          <w:sz w:val="20"/>
          <w:szCs w:val="20"/>
        </w:rPr>
      </w:pPr>
      <w:r>
        <w:rPr>
          <w:rFonts w:ascii="宋体" w:hAnsi="宋体" w:cs="宋体" w:eastAsia="宋体" w:hint="default"/>
          <w:w w:val="99"/>
          <w:sz w:val="20"/>
          <w:szCs w:val="20"/>
        </w:rPr>
        <w:t>即调整后的投资</w:t>
      </w:r>
      <w:r>
        <w:rPr>
          <w:rFonts w:ascii="宋体" w:hAnsi="宋体" w:cs="宋体" w:eastAsia="宋体" w:hint="default"/>
          <w:spacing w:val="2"/>
          <w:w w:val="99"/>
          <w:sz w:val="20"/>
          <w:szCs w:val="20"/>
        </w:rPr>
        <w:t>总</w:t>
      </w:r>
      <w:r>
        <w:rPr>
          <w:rFonts w:ascii="宋体" w:hAnsi="宋体" w:cs="宋体" w:eastAsia="宋体" w:hint="default"/>
          <w:w w:val="99"/>
          <w:sz w:val="20"/>
          <w:szCs w:val="20"/>
        </w:rPr>
        <w:t>额为</w:t>
      </w:r>
      <w:r>
        <w:rPr>
          <w:rFonts w:ascii="宋体" w:hAnsi="宋体" w:cs="宋体" w:eastAsia="宋体" w:hint="default"/>
          <w:spacing w:val="-48"/>
          <w:sz w:val="20"/>
          <w:szCs w:val="20"/>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20"/>
          <w:sz w:val="18"/>
          <w:szCs w:val="18"/>
        </w:rPr>
        <w:t>元</w:t>
      </w:r>
      <w:r>
        <w:rPr>
          <w:rFonts w:ascii="宋体" w:hAnsi="宋体" w:cs="宋体" w:eastAsia="宋体" w:hint="default"/>
          <w:w w:val="99"/>
          <w:sz w:val="20"/>
          <w:szCs w:val="20"/>
        </w:rPr>
        <w:t>（包含</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z w:val="20"/>
          <w:szCs w:val="20"/>
        </w:rPr>
        <w:t> </w:t>
      </w:r>
      <w:r>
        <w:rPr>
          <w:rFonts w:ascii="宋体" w:hAnsi="宋体" w:cs="宋体" w:eastAsia="宋体" w:hint="default"/>
          <w:w w:val="99"/>
          <w:sz w:val="20"/>
          <w:szCs w:val="20"/>
        </w:rPr>
        <w:t>万元募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资金</w:t>
      </w:r>
      <w:r>
        <w:rPr>
          <w:rFonts w:ascii="宋体" w:hAnsi="宋体" w:cs="宋体" w:eastAsia="宋体" w:hint="default"/>
          <w:spacing w:val="2"/>
          <w:w w:val="99"/>
          <w:sz w:val="20"/>
          <w:szCs w:val="20"/>
        </w:rPr>
        <w:t>所</w:t>
      </w:r>
      <w:r>
        <w:rPr>
          <w:rFonts w:ascii="宋体" w:hAnsi="宋体" w:cs="宋体" w:eastAsia="宋体" w:hint="default"/>
          <w:w w:val="99"/>
          <w:sz w:val="20"/>
          <w:szCs w:val="20"/>
        </w:rPr>
        <w:t>获利</w:t>
      </w:r>
      <w:r>
        <w:rPr>
          <w:rFonts w:ascii="宋体" w:hAnsi="宋体" w:cs="宋体" w:eastAsia="宋体" w:hint="default"/>
          <w:spacing w:val="2"/>
          <w:w w:val="99"/>
          <w:sz w:val="20"/>
          <w:szCs w:val="20"/>
        </w:rPr>
        <w:t>息</w:t>
      </w:r>
      <w:r>
        <w:rPr>
          <w:rFonts w:ascii="宋体" w:hAnsi="宋体" w:cs="宋体" w:eastAsia="宋体" w:hint="default"/>
          <w:w w:val="99"/>
          <w:sz w:val="20"/>
          <w:szCs w:val="20"/>
        </w:rPr>
        <w:t>及</w:t>
      </w:r>
      <w:r>
        <w:rPr>
          <w:rFonts w:ascii="宋体" w:hAnsi="宋体" w:cs="宋体" w:eastAsia="宋体" w:hint="default"/>
          <w:spacing w:val="2"/>
          <w:w w:val="99"/>
          <w:sz w:val="20"/>
          <w:szCs w:val="20"/>
        </w:rPr>
        <w:t>购</w:t>
      </w:r>
      <w:r>
        <w:rPr>
          <w:rFonts w:ascii="宋体" w:hAnsi="宋体" w:cs="宋体" w:eastAsia="宋体" w:hint="default"/>
          <w:w w:val="99"/>
          <w:sz w:val="20"/>
          <w:szCs w:val="20"/>
        </w:rPr>
        <w:t>买银行</w:t>
      </w:r>
      <w:r>
        <w:rPr>
          <w:rFonts w:ascii="宋体" w:hAnsi="宋体" w:cs="宋体" w:eastAsia="宋体" w:hint="default"/>
          <w:spacing w:val="2"/>
          <w:w w:val="99"/>
          <w:sz w:val="20"/>
          <w:szCs w:val="20"/>
        </w:rPr>
        <w:t>保</w:t>
      </w:r>
      <w:r>
        <w:rPr>
          <w:rFonts w:ascii="宋体" w:hAnsi="宋体" w:cs="宋体" w:eastAsia="宋体" w:hint="default"/>
          <w:w w:val="99"/>
          <w:sz w:val="20"/>
          <w:szCs w:val="20"/>
        </w:rPr>
        <w:t>本理</w:t>
      </w:r>
      <w:r>
        <w:rPr>
          <w:rFonts w:ascii="宋体" w:hAnsi="宋体" w:cs="宋体" w:eastAsia="宋体" w:hint="default"/>
          <w:spacing w:val="2"/>
          <w:w w:val="99"/>
          <w:sz w:val="20"/>
          <w:szCs w:val="20"/>
        </w:rPr>
        <w:t>财</w:t>
      </w:r>
      <w:r>
        <w:rPr>
          <w:rFonts w:ascii="宋体" w:hAnsi="宋体" w:cs="宋体" w:eastAsia="宋体" w:hint="default"/>
          <w:w w:val="99"/>
          <w:sz w:val="20"/>
          <w:szCs w:val="20"/>
        </w:rPr>
        <w:t>产品</w:t>
      </w:r>
      <w:r>
        <w:rPr>
          <w:rFonts w:ascii="宋体" w:hAnsi="宋体" w:cs="宋体" w:eastAsia="宋体" w:hint="default"/>
          <w:spacing w:val="2"/>
          <w:w w:val="99"/>
          <w:sz w:val="20"/>
          <w:szCs w:val="20"/>
        </w:rPr>
        <w:t>所</w:t>
      </w:r>
      <w:r>
        <w:rPr>
          <w:rFonts w:ascii="宋体" w:hAnsi="宋体" w:cs="宋体" w:eastAsia="宋体" w:hint="default"/>
          <w:w w:val="99"/>
          <w:sz w:val="20"/>
          <w:szCs w:val="20"/>
        </w:rPr>
        <w:t>获</w:t>
      </w:r>
      <w:r>
        <w:rPr>
          <w:rFonts w:ascii="宋体" w:hAnsi="宋体" w:cs="宋体" w:eastAsia="宋体" w:hint="default"/>
          <w:spacing w:val="2"/>
          <w:w w:val="99"/>
          <w:sz w:val="20"/>
          <w:szCs w:val="20"/>
        </w:rPr>
        <w:t>理</w:t>
      </w:r>
      <w:r>
        <w:rPr>
          <w:rFonts w:ascii="宋体" w:hAnsi="宋体" w:cs="宋体" w:eastAsia="宋体" w:hint="default"/>
          <w:w w:val="99"/>
          <w:sz w:val="20"/>
          <w:szCs w:val="20"/>
        </w:rPr>
        <w:t>财收</w:t>
      </w:r>
      <w:r>
        <w:rPr>
          <w:rFonts w:ascii="宋体" w:hAnsi="宋体" w:cs="宋体" w:eastAsia="宋体" w:hint="default"/>
          <w:spacing w:val="2"/>
          <w:w w:val="99"/>
          <w:sz w:val="20"/>
          <w:szCs w:val="20"/>
        </w:rPr>
        <w:t>益</w:t>
      </w:r>
      <w:r>
        <w:rPr>
          <w:rFonts w:ascii="宋体" w:hAnsi="宋体" w:cs="宋体" w:eastAsia="宋体" w:hint="default"/>
          <w:spacing w:val="-99"/>
          <w:w w:val="99"/>
          <w:sz w:val="20"/>
          <w:szCs w:val="20"/>
        </w:rPr>
        <w:t>）</w:t>
      </w:r>
      <w:r>
        <w:rPr>
          <w:rFonts w:ascii="宋体" w:hAnsi="宋体" w:cs="宋体" w:eastAsia="宋体" w:hint="default"/>
          <w:spacing w:val="-17"/>
          <w:w w:val="99"/>
          <w:sz w:val="20"/>
          <w:szCs w:val="20"/>
        </w:rPr>
        <w:t>，</w:t>
      </w:r>
      <w:r>
        <w:rPr>
          <w:rFonts w:ascii="宋体" w:hAnsi="宋体" w:cs="宋体" w:eastAsia="宋体" w:hint="default"/>
          <w:w w:val="99"/>
          <w:sz w:val="20"/>
          <w:szCs w:val="20"/>
        </w:rPr>
        <w:t>①</w:t>
      </w:r>
      <w:r>
        <w:rPr>
          <w:rFonts w:ascii="宋体" w:hAnsi="宋体" w:cs="宋体" w:eastAsia="宋体" w:hint="default"/>
          <w:spacing w:val="2"/>
          <w:w w:val="99"/>
          <w:sz w:val="20"/>
          <w:szCs w:val="20"/>
        </w:rPr>
        <w:t>用</w:t>
      </w:r>
      <w:r>
        <w:rPr>
          <w:rFonts w:ascii="宋体" w:hAnsi="宋体" w:cs="宋体" w:eastAsia="宋体" w:hint="default"/>
          <w:w w:val="99"/>
          <w:sz w:val="20"/>
          <w:szCs w:val="20"/>
        </w:rPr>
        <w:t>于偿</w:t>
      </w:r>
      <w:r>
        <w:rPr>
          <w:rFonts w:ascii="宋体" w:hAnsi="宋体" w:cs="宋体" w:eastAsia="宋体" w:hint="default"/>
          <w:spacing w:val="2"/>
          <w:w w:val="99"/>
          <w:sz w:val="20"/>
          <w:szCs w:val="20"/>
        </w:rPr>
        <w:t>还</w:t>
      </w:r>
      <w:r>
        <w:rPr>
          <w:rFonts w:ascii="宋体" w:hAnsi="宋体" w:cs="宋体" w:eastAsia="宋体" w:hint="default"/>
          <w:w w:val="99"/>
          <w:sz w:val="20"/>
          <w:szCs w:val="20"/>
        </w:rPr>
        <w:t>银</w:t>
      </w:r>
      <w:r>
        <w:rPr>
          <w:rFonts w:ascii="宋体" w:hAnsi="宋体" w:cs="宋体" w:eastAsia="宋体" w:hint="default"/>
          <w:spacing w:val="2"/>
          <w:w w:val="99"/>
          <w:sz w:val="20"/>
          <w:szCs w:val="20"/>
        </w:rPr>
        <w:t>行</w:t>
      </w:r>
      <w:r>
        <w:rPr>
          <w:rFonts w:ascii="宋体" w:hAnsi="宋体" w:cs="宋体" w:eastAsia="宋体" w:hint="default"/>
          <w:w w:val="99"/>
          <w:sz w:val="20"/>
          <w:szCs w:val="20"/>
        </w:rPr>
        <w:t>贷款</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50</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万</w:t>
      </w:r>
      <w:r>
        <w:rPr>
          <w:rFonts w:ascii="宋体" w:hAnsi="宋体" w:cs="宋体" w:eastAsia="宋体" w:hint="default"/>
          <w:spacing w:val="-17"/>
          <w:w w:val="99"/>
          <w:sz w:val="20"/>
          <w:szCs w:val="20"/>
        </w:rPr>
        <w:t>元</w:t>
      </w:r>
      <w:r>
        <w:rPr>
          <w:rFonts w:ascii="宋体" w:hAnsi="宋体" w:cs="宋体" w:eastAsia="宋体" w:hint="default"/>
          <w:w w:val="99"/>
          <w:sz w:val="20"/>
          <w:szCs w:val="20"/>
        </w:rPr>
        <w:t>（已使用</w:t>
      </w:r>
      <w:r>
        <w:rPr>
          <w:rFonts w:ascii="宋体" w:hAnsi="宋体" w:cs="宋体" w:eastAsia="宋体" w:hint="default"/>
          <w:sz w:val="20"/>
          <w:szCs w:val="20"/>
        </w:rPr>
      </w:r>
    </w:p>
    <w:p>
      <w:pPr>
        <w:spacing w:before="80"/>
        <w:ind w:left="360" w:right="0" w:firstLine="0"/>
        <w:jc w:val="left"/>
        <w:rPr>
          <w:rFonts w:ascii="宋体" w:hAnsi="宋体" w:cs="宋体" w:eastAsia="宋体" w:hint="default"/>
          <w:sz w:val="20"/>
          <w:szCs w:val="20"/>
        </w:rPr>
      </w:pPr>
      <w:r>
        <w:rPr>
          <w:rFonts w:ascii="宋体" w:hAnsi="宋体" w:cs="宋体" w:eastAsia="宋体" w:hint="default"/>
          <w:w w:val="99"/>
          <w:sz w:val="20"/>
          <w:szCs w:val="20"/>
        </w:rPr>
        <w:t>完毕</w:t>
      </w:r>
      <w:r>
        <w:rPr>
          <w:rFonts w:ascii="宋体" w:hAnsi="宋体" w:cs="宋体" w:eastAsia="宋体" w:hint="default"/>
          <w:spacing w:val="-99"/>
          <w:w w:val="99"/>
          <w:sz w:val="20"/>
          <w:szCs w:val="20"/>
        </w:rPr>
        <w:t>）</w:t>
      </w:r>
      <w:r>
        <w:rPr>
          <w:rFonts w:ascii="宋体" w:hAnsi="宋体" w:cs="宋体" w:eastAsia="宋体" w:hint="default"/>
          <w:w w:val="99"/>
          <w:sz w:val="20"/>
          <w:szCs w:val="20"/>
        </w:rPr>
        <w:t>；②</w:t>
      </w:r>
      <w:r>
        <w:rPr>
          <w:rFonts w:ascii="宋体" w:hAnsi="宋体" w:cs="宋体" w:eastAsia="宋体" w:hint="default"/>
          <w:spacing w:val="2"/>
          <w:w w:val="99"/>
          <w:sz w:val="20"/>
          <w:szCs w:val="20"/>
        </w:rPr>
        <w:t>投</w:t>
      </w:r>
      <w:r>
        <w:rPr>
          <w:rFonts w:ascii="宋体" w:hAnsi="宋体" w:cs="宋体" w:eastAsia="宋体" w:hint="default"/>
          <w:w w:val="99"/>
          <w:sz w:val="20"/>
          <w:szCs w:val="20"/>
        </w:rPr>
        <w:t>资于</w:t>
      </w:r>
      <w:r>
        <w:rPr>
          <w:rFonts w:ascii="宋体" w:hAnsi="宋体" w:cs="宋体" w:eastAsia="宋体" w:hint="default"/>
          <w:spacing w:val="2"/>
          <w:w w:val="99"/>
          <w:sz w:val="20"/>
          <w:szCs w:val="20"/>
        </w:rPr>
        <w:t>天</w:t>
      </w:r>
      <w:r>
        <w:rPr>
          <w:rFonts w:ascii="宋体" w:hAnsi="宋体" w:cs="宋体" w:eastAsia="宋体" w:hint="default"/>
          <w:w w:val="99"/>
          <w:sz w:val="20"/>
          <w:szCs w:val="20"/>
        </w:rPr>
        <w:t>津翰</w:t>
      </w:r>
      <w:r>
        <w:rPr>
          <w:rFonts w:ascii="宋体" w:hAnsi="宋体" w:cs="宋体" w:eastAsia="宋体" w:hint="default"/>
          <w:spacing w:val="2"/>
          <w:w w:val="99"/>
          <w:sz w:val="20"/>
          <w:szCs w:val="20"/>
        </w:rPr>
        <w:t>吉</w:t>
      </w:r>
      <w:r>
        <w:rPr>
          <w:rFonts w:ascii="宋体" w:hAnsi="宋体" w:cs="宋体" w:eastAsia="宋体" w:hint="default"/>
          <w:w w:val="99"/>
          <w:sz w:val="20"/>
          <w:szCs w:val="20"/>
        </w:rPr>
        <w:t>斯物流园</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77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067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2"/>
          <w:w w:val="99"/>
          <w:sz w:val="20"/>
          <w:szCs w:val="20"/>
        </w:rPr>
        <w:t>1</w:t>
      </w:r>
      <w:r>
        <w:rPr>
          <w:rFonts w:ascii="Times New Roman" w:hAnsi="Times New Roman" w:cs="Times New Roman" w:eastAsia="Times New Roman" w:hint="default"/>
          <w:w w:val="99"/>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w w:val="99"/>
          <w:sz w:val="20"/>
          <w:szCs w:val="20"/>
        </w:rPr>
        <w:t>万元（已使用</w:t>
      </w:r>
      <w:r>
        <w:rPr>
          <w:rFonts w:ascii="宋体" w:hAnsi="宋体" w:cs="宋体" w:eastAsia="宋体" w:hint="default"/>
          <w:spacing w:val="2"/>
          <w:w w:val="99"/>
          <w:sz w:val="20"/>
          <w:szCs w:val="20"/>
        </w:rPr>
        <w:t>完</w:t>
      </w:r>
      <w:r>
        <w:rPr>
          <w:rFonts w:ascii="宋体" w:hAnsi="宋体" w:cs="宋体" w:eastAsia="宋体" w:hint="default"/>
          <w:w w:val="99"/>
          <w:sz w:val="20"/>
          <w:szCs w:val="20"/>
        </w:rPr>
        <w:t>毕</w:t>
      </w:r>
      <w:r>
        <w:rPr>
          <w:rFonts w:ascii="宋体" w:hAnsi="宋体" w:cs="宋体" w:eastAsia="宋体" w:hint="default"/>
          <w:spacing w:val="-99"/>
          <w:w w:val="99"/>
          <w:sz w:val="20"/>
          <w:szCs w:val="20"/>
        </w:rPr>
        <w:t>）</w:t>
      </w:r>
      <w:r>
        <w:rPr>
          <w:rFonts w:ascii="宋体" w:hAnsi="宋体" w:cs="宋体" w:eastAsia="宋体" w:hint="default"/>
          <w:w w:val="99"/>
          <w:sz w:val="20"/>
          <w:szCs w:val="20"/>
        </w:rPr>
        <w:t>；③</w:t>
      </w:r>
      <w:r>
        <w:rPr>
          <w:rFonts w:ascii="宋体" w:hAnsi="宋体" w:cs="宋体" w:eastAsia="宋体" w:hint="default"/>
          <w:spacing w:val="2"/>
          <w:w w:val="99"/>
          <w:sz w:val="20"/>
          <w:szCs w:val="20"/>
        </w:rPr>
        <w:t>投</w:t>
      </w:r>
      <w:r>
        <w:rPr>
          <w:rFonts w:ascii="宋体" w:hAnsi="宋体" w:cs="宋体" w:eastAsia="宋体" w:hint="default"/>
          <w:w w:val="99"/>
          <w:sz w:val="20"/>
          <w:szCs w:val="20"/>
        </w:rPr>
        <w:t>资于</w:t>
      </w:r>
      <w:r>
        <w:rPr>
          <w:rFonts w:ascii="宋体" w:hAnsi="宋体" w:cs="宋体" w:eastAsia="宋体" w:hint="default"/>
          <w:spacing w:val="2"/>
          <w:w w:val="99"/>
          <w:sz w:val="20"/>
          <w:szCs w:val="20"/>
        </w:rPr>
        <w:t>广</w:t>
      </w:r>
      <w:r>
        <w:rPr>
          <w:rFonts w:ascii="宋体" w:hAnsi="宋体" w:cs="宋体" w:eastAsia="宋体" w:hint="default"/>
          <w:w w:val="99"/>
          <w:sz w:val="20"/>
          <w:szCs w:val="20"/>
        </w:rPr>
        <w:t>西海吉</w:t>
      </w:r>
      <w:r>
        <w:rPr>
          <w:rFonts w:ascii="宋体" w:hAnsi="宋体" w:cs="宋体" w:eastAsia="宋体" w:hint="default"/>
          <w:spacing w:val="3"/>
          <w:w w:val="99"/>
          <w:sz w:val="20"/>
          <w:szCs w:val="20"/>
        </w:rPr>
        <w:t>星</w:t>
      </w:r>
      <w:r>
        <w:rPr>
          <w:rFonts w:ascii="宋体" w:hAnsi="宋体" w:cs="宋体" w:eastAsia="宋体" w:hint="default"/>
          <w:w w:val="99"/>
          <w:sz w:val="20"/>
          <w:szCs w:val="20"/>
        </w:rPr>
        <w:t>物流园</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37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万元；④投</w:t>
      </w:r>
      <w:r>
        <w:rPr>
          <w:rFonts w:ascii="宋体" w:hAnsi="宋体" w:cs="宋体" w:eastAsia="宋体" w:hint="default"/>
          <w:spacing w:val="2"/>
          <w:w w:val="99"/>
          <w:sz w:val="20"/>
          <w:szCs w:val="20"/>
        </w:rPr>
        <w:t>资</w:t>
      </w:r>
      <w:r>
        <w:rPr>
          <w:rFonts w:ascii="宋体" w:hAnsi="宋体" w:cs="宋体" w:eastAsia="宋体" w:hint="default"/>
          <w:w w:val="99"/>
          <w:sz w:val="20"/>
          <w:szCs w:val="20"/>
        </w:rPr>
        <w:t>于深</w:t>
      </w:r>
      <w:r>
        <w:rPr>
          <w:rFonts w:ascii="宋体" w:hAnsi="宋体" w:cs="宋体" w:eastAsia="宋体" w:hint="default"/>
          <w:spacing w:val="2"/>
          <w:w w:val="99"/>
          <w:sz w:val="20"/>
          <w:szCs w:val="20"/>
        </w:rPr>
        <w:t>圳</w:t>
      </w:r>
      <w:r>
        <w:rPr>
          <w:rFonts w:ascii="宋体" w:hAnsi="宋体" w:cs="宋体" w:eastAsia="宋体" w:hint="default"/>
          <w:w w:val="99"/>
          <w:sz w:val="20"/>
          <w:szCs w:val="20"/>
        </w:rPr>
        <w:t>海吉星</w:t>
      </w:r>
      <w:r>
        <w:rPr>
          <w:rFonts w:ascii="宋体" w:hAnsi="宋体" w:cs="宋体" w:eastAsia="宋体" w:hint="default"/>
          <w:spacing w:val="-50"/>
          <w:sz w:val="20"/>
          <w:szCs w:val="20"/>
        </w:rPr>
        <w:t> </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2"/>
          <w:w w:val="99"/>
          <w:sz w:val="20"/>
          <w:szCs w:val="20"/>
        </w:rPr>
        <w:t>号</w:t>
      </w:r>
      <w:r>
        <w:rPr>
          <w:rFonts w:ascii="宋体" w:hAnsi="宋体" w:cs="宋体" w:eastAsia="宋体" w:hint="default"/>
          <w:w w:val="99"/>
          <w:sz w:val="20"/>
          <w:szCs w:val="20"/>
        </w:rPr>
        <w:t>楼项目</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10</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万元。</w:t>
      </w:r>
      <w:r>
        <w:rPr>
          <w:rFonts w:ascii="宋体" w:hAnsi="宋体" w:cs="宋体" w:eastAsia="宋体" w:hint="default"/>
          <w:sz w:val="20"/>
          <w:szCs w:val="20"/>
        </w:rPr>
      </w:r>
    </w:p>
    <w:p>
      <w:pPr>
        <w:spacing w:before="124"/>
        <w:ind w:left="761"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、广西海吉星物流园水果交易区已于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月开业运营，运营状况良好；蔬菜交易区已于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月开业运营，运营状况良好；冻品交易区已于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2016</w:t>
      </w:r>
    </w:p>
    <w:p>
      <w:pPr>
        <w:spacing w:before="80"/>
        <w:ind w:left="360" w:right="0" w:firstLine="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月开业运营，运营状况良好；干货交易区等其他功能区仍处于筹建或在建状态。</w:t>
      </w:r>
    </w:p>
    <w:p>
      <w:pPr>
        <w:spacing w:before="158"/>
        <w:ind w:left="761" w:right="0" w:firstLine="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3</w:t>
      </w:r>
      <w:r>
        <w:rPr>
          <w:rFonts w:ascii="宋体" w:hAnsi="宋体" w:cs="宋体" w:eastAsia="宋体" w:hint="default"/>
          <w:w w:val="99"/>
          <w:sz w:val="20"/>
          <w:szCs w:val="20"/>
        </w:rPr>
        <w:t>、天津翰</w:t>
      </w:r>
      <w:r>
        <w:rPr>
          <w:rFonts w:ascii="宋体" w:hAnsi="宋体" w:cs="宋体" w:eastAsia="宋体" w:hint="default"/>
          <w:spacing w:val="2"/>
          <w:w w:val="99"/>
          <w:sz w:val="20"/>
          <w:szCs w:val="20"/>
        </w:rPr>
        <w:t>吉</w:t>
      </w:r>
      <w:r>
        <w:rPr>
          <w:rFonts w:ascii="宋体" w:hAnsi="宋体" w:cs="宋体" w:eastAsia="宋体" w:hint="default"/>
          <w:w w:val="99"/>
          <w:sz w:val="20"/>
          <w:szCs w:val="20"/>
        </w:rPr>
        <w:t>斯项</w:t>
      </w:r>
      <w:r>
        <w:rPr>
          <w:rFonts w:ascii="宋体" w:hAnsi="宋体" w:cs="宋体" w:eastAsia="宋体" w:hint="default"/>
          <w:spacing w:val="2"/>
          <w:w w:val="99"/>
          <w:sz w:val="20"/>
          <w:szCs w:val="20"/>
        </w:rPr>
        <w:t>目</w:t>
      </w:r>
      <w:r>
        <w:rPr>
          <w:rFonts w:ascii="宋体" w:hAnsi="宋体" w:cs="宋体" w:eastAsia="宋体" w:hint="default"/>
          <w:w w:val="99"/>
          <w:sz w:val="20"/>
          <w:szCs w:val="20"/>
        </w:rPr>
        <w:t>建设</w:t>
      </w:r>
      <w:r>
        <w:rPr>
          <w:rFonts w:ascii="宋体" w:hAnsi="宋体" w:cs="宋体" w:eastAsia="宋体" w:hint="default"/>
          <w:spacing w:val="2"/>
          <w:w w:val="99"/>
          <w:sz w:val="20"/>
          <w:szCs w:val="20"/>
        </w:rPr>
        <w:t>合</w:t>
      </w:r>
      <w:r>
        <w:rPr>
          <w:rFonts w:ascii="宋体" w:hAnsi="宋体" w:cs="宋体" w:eastAsia="宋体" w:hint="default"/>
          <w:w w:val="99"/>
          <w:sz w:val="20"/>
          <w:szCs w:val="20"/>
        </w:rPr>
        <w:t>计使用</w:t>
      </w:r>
      <w:r>
        <w:rPr>
          <w:rFonts w:ascii="宋体" w:hAnsi="宋体" w:cs="宋体" w:eastAsia="宋体" w:hint="default"/>
          <w:spacing w:val="2"/>
          <w:w w:val="99"/>
          <w:sz w:val="20"/>
          <w:szCs w:val="20"/>
        </w:rPr>
        <w:t>募</w:t>
      </w:r>
      <w:r>
        <w:rPr>
          <w:rFonts w:ascii="宋体" w:hAnsi="宋体" w:cs="宋体" w:eastAsia="宋体" w:hint="default"/>
          <w:w w:val="99"/>
          <w:sz w:val="20"/>
          <w:szCs w:val="20"/>
        </w:rPr>
        <w:t>集资</w:t>
      </w:r>
      <w:r>
        <w:rPr>
          <w:rFonts w:ascii="宋体" w:hAnsi="宋体" w:cs="宋体" w:eastAsia="宋体" w:hint="default"/>
          <w:spacing w:val="2"/>
          <w:w w:val="99"/>
          <w:sz w:val="20"/>
          <w:szCs w:val="20"/>
        </w:rPr>
        <w:t>金</w:t>
      </w:r>
      <w:r>
        <w:rPr>
          <w:rFonts w:ascii="宋体" w:hAnsi="宋体" w:cs="宋体" w:eastAsia="宋体" w:hint="default"/>
          <w:w w:val="99"/>
          <w:sz w:val="20"/>
          <w:szCs w:val="20"/>
        </w:rPr>
        <w:t>金额</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77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6"/>
          <w:w w:val="99"/>
          <w:sz w:val="20"/>
          <w:szCs w:val="20"/>
        </w:rPr>
        <w:t>1</w:t>
      </w:r>
      <w:r>
        <w:rPr>
          <w:rFonts w:ascii="Times New Roman" w:hAnsi="Times New Roman" w:cs="Times New Roman" w:eastAsia="Times New Roman" w:hint="default"/>
          <w:spacing w:val="1"/>
          <w:w w:val="99"/>
          <w:sz w:val="20"/>
          <w:szCs w:val="20"/>
        </w:rPr>
        <w:t>10</w:t>
      </w:r>
      <w:r>
        <w:rPr>
          <w:rFonts w:ascii="Times New Roman" w:hAnsi="Times New Roman" w:cs="Times New Roman" w:eastAsia="Times New Roman" w:hint="default"/>
          <w:spacing w:val="-2"/>
          <w:w w:val="99"/>
          <w:sz w:val="20"/>
          <w:szCs w:val="20"/>
        </w:rPr>
        <w:t>.</w:t>
      </w:r>
      <w:r>
        <w:rPr>
          <w:rFonts w:ascii="Times New Roman" w:hAnsi="Times New Roman" w:cs="Times New Roman" w:eastAsia="Times New Roman" w:hint="default"/>
          <w:spacing w:val="1"/>
          <w:w w:val="99"/>
          <w:sz w:val="20"/>
          <w:szCs w:val="20"/>
        </w:rPr>
        <w:t>8</w:t>
      </w:r>
      <w:r>
        <w:rPr>
          <w:rFonts w:ascii="Times New Roman" w:hAnsi="Times New Roman" w:cs="Times New Roman" w:eastAsia="Times New Roman" w:hint="default"/>
          <w:w w:val="99"/>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万元（包含</w:t>
      </w:r>
      <w:r>
        <w:rPr>
          <w:rFonts w:ascii="宋体" w:hAnsi="宋体" w:cs="宋体" w:eastAsia="宋体" w:hint="default"/>
          <w:spacing w:val="2"/>
          <w:w w:val="99"/>
          <w:sz w:val="20"/>
          <w:szCs w:val="20"/>
        </w:rPr>
        <w:t>项</w:t>
      </w:r>
      <w:r>
        <w:rPr>
          <w:rFonts w:ascii="宋体" w:hAnsi="宋体" w:cs="宋体" w:eastAsia="宋体" w:hint="default"/>
          <w:w w:val="99"/>
          <w:sz w:val="20"/>
          <w:szCs w:val="20"/>
        </w:rPr>
        <w:t>目建</w:t>
      </w:r>
      <w:r>
        <w:rPr>
          <w:rFonts w:ascii="宋体" w:hAnsi="宋体" w:cs="宋体" w:eastAsia="宋体" w:hint="default"/>
          <w:spacing w:val="2"/>
          <w:w w:val="99"/>
          <w:sz w:val="20"/>
          <w:szCs w:val="20"/>
        </w:rPr>
        <w:t>设</w:t>
      </w:r>
      <w:r>
        <w:rPr>
          <w:rFonts w:ascii="宋体" w:hAnsi="宋体" w:cs="宋体" w:eastAsia="宋体" w:hint="default"/>
          <w:w w:val="99"/>
          <w:sz w:val="20"/>
          <w:szCs w:val="20"/>
        </w:rPr>
        <w:t>使</w:t>
      </w:r>
      <w:r>
        <w:rPr>
          <w:rFonts w:ascii="宋体" w:hAnsi="宋体" w:cs="宋体" w:eastAsia="宋体" w:hint="default"/>
          <w:spacing w:val="2"/>
          <w:w w:val="99"/>
          <w:sz w:val="20"/>
          <w:szCs w:val="20"/>
        </w:rPr>
        <w:t>用</w:t>
      </w:r>
      <w:r>
        <w:rPr>
          <w:rFonts w:ascii="宋体" w:hAnsi="宋体" w:cs="宋体" w:eastAsia="宋体" w:hint="default"/>
          <w:w w:val="99"/>
          <w:sz w:val="20"/>
          <w:szCs w:val="20"/>
        </w:rPr>
        <w:t>的</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99"/>
          <w:sz w:val="20"/>
          <w:szCs w:val="20"/>
        </w:rPr>
        <w:t>43</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7</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万募投账户结余</w:t>
      </w:r>
      <w:r>
        <w:rPr>
          <w:rFonts w:ascii="宋体" w:hAnsi="宋体" w:cs="宋体" w:eastAsia="宋体" w:hint="default"/>
          <w:spacing w:val="2"/>
          <w:w w:val="99"/>
          <w:sz w:val="20"/>
          <w:szCs w:val="20"/>
        </w:rPr>
        <w:t>利</w:t>
      </w:r>
      <w:r>
        <w:rPr>
          <w:rFonts w:ascii="宋体" w:hAnsi="宋体" w:cs="宋体" w:eastAsia="宋体" w:hint="default"/>
          <w:w w:val="99"/>
          <w:sz w:val="20"/>
          <w:szCs w:val="20"/>
        </w:rPr>
        <w:t>息</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另募</w:t>
      </w:r>
      <w:r>
        <w:rPr>
          <w:rFonts w:ascii="宋体" w:hAnsi="宋体" w:cs="宋体" w:eastAsia="宋体" w:hint="default"/>
          <w:spacing w:val="2"/>
          <w:w w:val="99"/>
          <w:sz w:val="20"/>
          <w:szCs w:val="20"/>
        </w:rPr>
        <w:t>集</w:t>
      </w:r>
      <w:r>
        <w:rPr>
          <w:rFonts w:ascii="宋体" w:hAnsi="宋体" w:cs="宋体" w:eastAsia="宋体" w:hint="default"/>
          <w:w w:val="99"/>
          <w:sz w:val="20"/>
          <w:szCs w:val="20"/>
        </w:rPr>
        <w:t>资金</w:t>
      </w:r>
      <w:r>
        <w:rPr>
          <w:rFonts w:ascii="宋体" w:hAnsi="宋体" w:cs="宋体" w:eastAsia="宋体" w:hint="default"/>
          <w:spacing w:val="2"/>
          <w:w w:val="99"/>
          <w:sz w:val="20"/>
          <w:szCs w:val="20"/>
        </w:rPr>
        <w:t>使</w:t>
      </w:r>
      <w:r>
        <w:rPr>
          <w:rFonts w:ascii="宋体" w:hAnsi="宋体" w:cs="宋体" w:eastAsia="宋体" w:hint="default"/>
          <w:w w:val="99"/>
          <w:sz w:val="20"/>
          <w:szCs w:val="20"/>
        </w:rPr>
        <w:t>用过</w:t>
      </w:r>
      <w:r>
        <w:rPr>
          <w:rFonts w:ascii="宋体" w:hAnsi="宋体" w:cs="宋体" w:eastAsia="宋体" w:hint="default"/>
          <w:spacing w:val="2"/>
          <w:w w:val="99"/>
          <w:sz w:val="20"/>
          <w:szCs w:val="20"/>
        </w:rPr>
        <w:t>程</w:t>
      </w:r>
      <w:r>
        <w:rPr>
          <w:rFonts w:ascii="宋体" w:hAnsi="宋体" w:cs="宋体" w:eastAsia="宋体" w:hint="default"/>
          <w:w w:val="99"/>
          <w:sz w:val="20"/>
          <w:szCs w:val="20"/>
        </w:rPr>
        <w:t>中，天</w:t>
      </w:r>
      <w:r>
        <w:rPr>
          <w:rFonts w:ascii="宋体" w:hAnsi="宋体" w:cs="宋体" w:eastAsia="宋体" w:hint="default"/>
          <w:spacing w:val="2"/>
          <w:w w:val="99"/>
          <w:sz w:val="20"/>
          <w:szCs w:val="20"/>
        </w:rPr>
        <w:t>津</w:t>
      </w:r>
      <w:r>
        <w:rPr>
          <w:rFonts w:ascii="宋体" w:hAnsi="宋体" w:cs="宋体" w:eastAsia="宋体" w:hint="default"/>
          <w:w w:val="99"/>
          <w:sz w:val="20"/>
          <w:szCs w:val="20"/>
        </w:rPr>
        <w:t>海吉</w:t>
      </w:r>
      <w:r>
        <w:rPr>
          <w:rFonts w:ascii="宋体" w:hAnsi="宋体" w:cs="宋体" w:eastAsia="宋体" w:hint="default"/>
          <w:spacing w:val="2"/>
          <w:w w:val="99"/>
          <w:sz w:val="20"/>
          <w:szCs w:val="20"/>
        </w:rPr>
        <w:t>星</w:t>
      </w:r>
      <w:r>
        <w:rPr>
          <w:rFonts w:ascii="宋体" w:hAnsi="宋体" w:cs="宋体" w:eastAsia="宋体" w:hint="default"/>
          <w:w w:val="99"/>
          <w:sz w:val="20"/>
          <w:szCs w:val="20"/>
        </w:rPr>
        <w:t>使用</w:t>
      </w:r>
      <w:r>
        <w:rPr>
          <w:rFonts w:ascii="宋体" w:hAnsi="宋体" w:cs="宋体" w:eastAsia="宋体" w:hint="default"/>
          <w:sz w:val="20"/>
          <w:szCs w:val="20"/>
        </w:rPr>
      </w:r>
    </w:p>
    <w:p>
      <w:pPr>
        <w:spacing w:line="345" w:lineRule="auto" w:before="124"/>
        <w:ind w:left="360" w:right="282" w:firstLine="0"/>
        <w:jc w:val="left"/>
        <w:rPr>
          <w:rFonts w:ascii="宋体" w:hAnsi="宋体" w:cs="宋体" w:eastAsia="宋体" w:hint="default"/>
          <w:sz w:val="20"/>
          <w:szCs w:val="20"/>
        </w:rPr>
      </w:pPr>
      <w:r>
        <w:rPr>
          <w:rFonts w:ascii="宋体" w:hAnsi="宋体" w:cs="宋体" w:eastAsia="宋体" w:hint="default"/>
          <w:sz w:val="20"/>
          <w:szCs w:val="20"/>
        </w:rPr>
        <w:t>募集资金利息支付银行手续费</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1.73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万元。天津翰吉斯物流园蔬菜交易区已于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月启动运营，冷库运营状况良好，水果交易区、冻品交易区及粮油交易区</w:t>
      </w:r>
      <w:r>
        <w:rPr>
          <w:rFonts w:ascii="宋体" w:hAnsi="宋体" w:cs="宋体" w:eastAsia="宋体" w:hint="default"/>
          <w:w w:val="99"/>
          <w:sz w:val="20"/>
          <w:szCs w:val="20"/>
        </w:rPr>
        <w:t> </w:t>
      </w:r>
      <w:r>
        <w:rPr>
          <w:rFonts w:ascii="宋体" w:hAnsi="宋体" w:cs="宋体" w:eastAsia="宋体" w:hint="default"/>
          <w:sz w:val="20"/>
          <w:szCs w:val="20"/>
        </w:rPr>
        <w:t>等其他功能区正在招商，部分区域试运营。</w:t>
      </w:r>
    </w:p>
    <w:p>
      <w:pPr>
        <w:spacing w:after="0" w:line="345" w:lineRule="auto"/>
        <w:jc w:val="left"/>
        <w:rPr>
          <w:rFonts w:ascii="宋体" w:hAnsi="宋体" w:cs="宋体" w:eastAsia="宋体" w:hint="default"/>
          <w:sz w:val="20"/>
          <w:szCs w:val="20"/>
        </w:rPr>
        <w:sectPr>
          <w:pgSz w:w="16840" w:h="11910" w:orient="landscape"/>
          <w:pgMar w:header="867" w:footer="1265" w:top="1060" w:bottom="1460" w:left="1080" w:right="1060"/>
        </w:sectPr>
      </w:pPr>
    </w:p>
    <w:p>
      <w:pPr>
        <w:pStyle w:val="Heading6"/>
        <w:spacing w:line="331" w:lineRule="exact"/>
        <w:ind w:left="920" w:right="3027"/>
        <w:jc w:val="left"/>
        <w:rPr>
          <w:b w:val="0"/>
          <w:bCs w:val="0"/>
        </w:rPr>
      </w:pPr>
      <w:r>
        <w:rPr/>
        <w:pict>
          <v:group style="position:absolute;margin-left:70.559998pt;margin-top:2.202064pt;width:700.95pt;height:.1pt;mso-position-horizontal-relative:page;mso-position-vertical-relative:paragraph;z-index:-1638112" coordorigin="1411,44" coordsize="14019,2">
            <v:shape style="position:absolute;left:1411;top:44;width:14019;height:2" coordorigin="1411,44" coordsize="14019,0" path="m1411,44l15430,44e" filled="false" stroked="true" strokeweight=".72pt" strokecolor="#000000">
              <v:path arrowok="t"/>
            </v:shape>
            <w10:wrap type="none"/>
          </v:group>
        </w:pict>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Microsoft JhengHei" w:hAnsi="Microsoft JhengHei" w:cs="Microsoft JhengHei" w:eastAsia="Microsoft JhengHei" w:hint="default"/>
          <w:b/>
          <w:bCs/>
          <w:sz w:val="6"/>
          <w:szCs w:val="6"/>
        </w:rPr>
      </w:pPr>
    </w:p>
    <w:p>
      <w:pPr>
        <w:spacing w:after="0" w:line="240" w:lineRule="auto"/>
        <w:rPr>
          <w:rFonts w:ascii="Microsoft JhengHei" w:hAnsi="Microsoft JhengHei" w:cs="Microsoft JhengHei" w:eastAsia="Microsoft JhengHei" w:hint="default"/>
          <w:sz w:val="6"/>
          <w:szCs w:val="6"/>
        </w:rPr>
        <w:sectPr>
          <w:footerReference w:type="default" r:id="rId15"/>
          <w:pgSz w:w="16840" w:h="11910" w:orient="landscape"/>
          <w:pgMar w:footer="1265" w:header="867" w:top="1060" w:bottom="1460" w:left="520" w:right="460"/>
          <w:pgNumType w:start="30"/>
        </w:sectPr>
      </w:pPr>
    </w:p>
    <w:p>
      <w:pPr>
        <w:spacing w:before="44"/>
        <w:ind w:left="9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4"/>
        <w:rPr>
          <w:rFonts w:ascii="宋体" w:hAnsi="宋体" w:cs="宋体" w:eastAsia="宋体" w:hint="default"/>
          <w:sz w:val="27"/>
          <w:szCs w:val="27"/>
        </w:rPr>
      </w:pPr>
      <w:r>
        <w:rPr/>
        <w:br w:type="column"/>
      </w:r>
      <w:r>
        <w:rPr>
          <w:rFonts w:ascii="宋体"/>
          <w:sz w:val="27"/>
        </w:rPr>
      </w:r>
    </w:p>
    <w:p>
      <w:pPr>
        <w:tabs>
          <w:tab w:pos="7986" w:val="left" w:leader="none"/>
        </w:tabs>
        <w:spacing w:before="0"/>
        <w:ind w:left="920" w:right="0" w:firstLine="0"/>
        <w:jc w:val="left"/>
        <w:rPr>
          <w:rFonts w:ascii="宋体" w:hAnsi="宋体" w:cs="宋体" w:eastAsia="宋体" w:hint="default"/>
          <w:sz w:val="22"/>
          <w:szCs w:val="22"/>
        </w:rPr>
      </w:pPr>
      <w:r>
        <w:rPr>
          <w:rFonts w:ascii="Microsoft JhengHei" w:hAnsi="Microsoft JhengHei" w:cs="Microsoft JhengHei" w:eastAsia="Microsoft JhengHei" w:hint="default"/>
          <w:b/>
          <w:bCs/>
          <w:sz w:val="22"/>
          <w:szCs w:val="22"/>
        </w:rPr>
        <w:t>变更募集资金投资项目情况表</w:t>
        <w:tab/>
      </w:r>
      <w:r>
        <w:rPr>
          <w:rFonts w:ascii="宋体" w:hAnsi="宋体" w:cs="宋体" w:eastAsia="宋体" w:hint="default"/>
          <w:sz w:val="22"/>
          <w:szCs w:val="22"/>
        </w:rPr>
        <w:t>单位：万元</w:t>
      </w:r>
    </w:p>
    <w:p>
      <w:pPr>
        <w:spacing w:after="0"/>
        <w:jc w:val="left"/>
        <w:rPr>
          <w:rFonts w:ascii="宋体" w:hAnsi="宋体" w:cs="宋体" w:eastAsia="宋体" w:hint="default"/>
          <w:sz w:val="22"/>
          <w:szCs w:val="22"/>
        </w:rPr>
        <w:sectPr>
          <w:type w:val="continuous"/>
          <w:pgSz w:w="16840" w:h="11910" w:orient="landscape"/>
          <w:pgMar w:top="1100" w:bottom="1460" w:left="520" w:right="460"/>
          <w:cols w:num="2" w:equalWidth="0">
            <w:col w:w="2301" w:space="3064"/>
            <w:col w:w="1049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04" w:firstLine="0"/>
        <w:jc w:val="right"/>
        <w:rPr>
          <w:rFonts w:ascii="宋体" w:hAnsi="宋体" w:cs="宋体" w:eastAsia="宋体" w:hint="default"/>
          <w:sz w:val="18"/>
          <w:szCs w:val="18"/>
        </w:rPr>
      </w:pPr>
      <w:r>
        <w:rPr/>
        <w:pict>
          <v:shape style="position:absolute;margin-left:31.200001pt;margin-top:-196.418289pt;width:779.8pt;height:273.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5"/>
                    <w:gridCol w:w="1985"/>
                    <w:gridCol w:w="1018"/>
                    <w:gridCol w:w="785"/>
                    <w:gridCol w:w="785"/>
                    <w:gridCol w:w="1092"/>
                    <w:gridCol w:w="970"/>
                    <w:gridCol w:w="809"/>
                    <w:gridCol w:w="970"/>
                    <w:gridCol w:w="3622"/>
                  </w:tblGrid>
                  <w:tr>
                    <w:trPr>
                      <w:trHeight w:val="203" w:hRule="exact"/>
                    </w:trPr>
                    <w:tc>
                      <w:tcPr>
                        <w:tcW w:w="3545" w:type="dxa"/>
                        <w:vMerge w:val="restart"/>
                        <w:tcBorders>
                          <w:top w:val="single" w:sz="4" w:space="0" w:color="000000"/>
                          <w:left w:val="single" w:sz="4" w:space="0" w:color="000000"/>
                          <w:right w:val="single" w:sz="4" w:space="0" w:color="000000"/>
                        </w:tcBorders>
                        <w:shd w:val="clear" w:color="auto" w:fill="DCDCDC"/>
                      </w:tcPr>
                      <w:p>
                        <w:pPr/>
                      </w:p>
                    </w:tc>
                    <w:tc>
                      <w:tcPr>
                        <w:tcW w:w="1985" w:type="dxa"/>
                        <w:vMerge w:val="restart"/>
                        <w:tcBorders>
                          <w:top w:val="single" w:sz="4" w:space="0" w:color="000000"/>
                          <w:left w:val="single" w:sz="4" w:space="0" w:color="000000"/>
                          <w:right w:val="single" w:sz="4" w:space="0" w:color="000000"/>
                        </w:tcBorders>
                        <w:shd w:val="clear" w:color="auto" w:fill="DCDCDC"/>
                      </w:tcPr>
                      <w:p>
                        <w:pPr/>
                      </w:p>
                    </w:tc>
                    <w:tc>
                      <w:tcPr>
                        <w:tcW w:w="1018"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变更后项目</w:t>
                        </w:r>
                      </w:p>
                      <w:p>
                        <w:pPr>
                          <w:pStyle w:val="TableParagraph"/>
                          <w:spacing w:line="232" w:lineRule="exact" w:before="24"/>
                          <w:ind w:left="55" w:right="50"/>
                          <w:jc w:val="center"/>
                          <w:rPr>
                            <w:rFonts w:ascii="宋体" w:hAnsi="宋体" w:cs="宋体" w:eastAsia="宋体" w:hint="default"/>
                            <w:sz w:val="18"/>
                            <w:szCs w:val="18"/>
                          </w:rPr>
                        </w:pPr>
                        <w:r>
                          <w:rPr>
                            <w:rFonts w:ascii="宋体" w:hAnsi="宋体" w:cs="宋体" w:eastAsia="宋体" w:hint="default"/>
                            <w:sz w:val="18"/>
                            <w:szCs w:val="18"/>
                          </w:rPr>
                          <w:t>拟投入募集 资金总额</w:t>
                        </w:r>
                      </w:p>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85"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93"/>
                          <w:ind w:left="26" w:right="27"/>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785"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ind w:left="28" w:right="24"/>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sz w:val="18"/>
                          </w:rPr>
                          <w:t>(2)</w:t>
                        </w:r>
                      </w:p>
                    </w:tc>
                    <w:tc>
                      <w:tcPr>
                        <w:tcW w:w="1092"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auto" w:before="103"/>
                          <w:ind w:left="23"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(3)=(2)/(1)</w:t>
                        </w:r>
                      </w:p>
                    </w:tc>
                    <w:tc>
                      <w:tcPr>
                        <w:tcW w:w="970"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93"/>
                          <w:ind w:left="28" w:right="2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0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22" w:type="dxa"/>
                        <w:vMerge w:val="restart"/>
                        <w:tcBorders>
                          <w:top w:val="single" w:sz="4" w:space="0" w:color="000000"/>
                          <w:left w:val="single" w:sz="4" w:space="0" w:color="000000"/>
                          <w:right w:val="single" w:sz="4" w:space="0" w:color="000000"/>
                        </w:tcBorders>
                        <w:shd w:val="clear" w:color="auto" w:fill="DCDCDC"/>
                      </w:tcPr>
                      <w:p>
                        <w:pPr/>
                      </w:p>
                    </w:tc>
                  </w:tr>
                  <w:tr>
                    <w:trPr>
                      <w:trHeight w:val="118" w:hRule="exact"/>
                    </w:trPr>
                    <w:tc>
                      <w:tcPr>
                        <w:tcW w:w="3545" w:type="dxa"/>
                        <w:vMerge/>
                        <w:tcBorders>
                          <w:left w:val="single" w:sz="4" w:space="0" w:color="000000"/>
                          <w:bottom w:val="nil" w:sz="6" w:space="0" w:color="auto"/>
                          <w:right w:val="single" w:sz="4" w:space="0" w:color="000000"/>
                        </w:tcBorders>
                        <w:shd w:val="clear" w:color="auto" w:fill="DCDCDC"/>
                      </w:tcPr>
                      <w:p>
                        <w:pPr/>
                      </w:p>
                    </w:tc>
                    <w:tc>
                      <w:tcPr>
                        <w:tcW w:w="1985" w:type="dxa"/>
                        <w:vMerge/>
                        <w:tcBorders>
                          <w:left w:val="single" w:sz="4" w:space="0" w:color="000000"/>
                          <w:bottom w:val="nil" w:sz="6" w:space="0" w:color="auto"/>
                          <w:right w:val="single" w:sz="4" w:space="0" w:color="000000"/>
                        </w:tcBorders>
                        <w:shd w:val="clear" w:color="auto" w:fill="DCDCDC"/>
                      </w:tcPr>
                      <w:p>
                        <w:pPr/>
                      </w:p>
                    </w:tc>
                    <w:tc>
                      <w:tcPr>
                        <w:tcW w:w="1018" w:type="dxa"/>
                        <w:vMerge/>
                        <w:tcBorders>
                          <w:left w:val="single" w:sz="4" w:space="0" w:color="000000"/>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809"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40" w:right="36"/>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970"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208" w:right="29"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3622" w:type="dxa"/>
                        <w:vMerge/>
                        <w:tcBorders>
                          <w:left w:val="single" w:sz="4" w:space="0" w:color="000000"/>
                          <w:bottom w:val="nil" w:sz="6" w:space="0" w:color="auto"/>
                          <w:right w:val="single" w:sz="4" w:space="0" w:color="000000"/>
                        </w:tcBorders>
                        <w:shd w:val="clear" w:color="auto" w:fill="DCDCDC"/>
                      </w:tcPr>
                      <w:p>
                        <w:pPr/>
                      </w:p>
                    </w:tc>
                  </w:tr>
                  <w:tr>
                    <w:trPr>
                      <w:trHeight w:val="314" w:hRule="exact"/>
                    </w:trPr>
                    <w:tc>
                      <w:tcPr>
                        <w:tcW w:w="35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9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018" w:type="dxa"/>
                        <w:vMerge/>
                        <w:tcBorders>
                          <w:left w:val="single" w:sz="4" w:space="0" w:color="000000"/>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809" w:type="dxa"/>
                        <w:vMerge/>
                        <w:tcBorders>
                          <w:left w:val="single" w:sz="4" w:space="0" w:color="000000"/>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36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变更后的项目可行性是否发生重大变化</w:t>
                        </w:r>
                      </w:p>
                    </w:tc>
                  </w:tr>
                  <w:tr>
                    <w:trPr>
                      <w:trHeight w:val="115" w:hRule="exact"/>
                    </w:trPr>
                    <w:tc>
                      <w:tcPr>
                        <w:tcW w:w="3545" w:type="dxa"/>
                        <w:vMerge w:val="restart"/>
                        <w:tcBorders>
                          <w:top w:val="nil" w:sz="6" w:space="0" w:color="auto"/>
                          <w:left w:val="single" w:sz="4" w:space="0" w:color="000000"/>
                          <w:right w:val="single" w:sz="4" w:space="0" w:color="000000"/>
                        </w:tcBorders>
                        <w:shd w:val="clear" w:color="auto" w:fill="DCDCDC"/>
                      </w:tcPr>
                      <w:p>
                        <w:pPr/>
                      </w:p>
                    </w:tc>
                    <w:tc>
                      <w:tcPr>
                        <w:tcW w:w="1985" w:type="dxa"/>
                        <w:vMerge w:val="restart"/>
                        <w:tcBorders>
                          <w:top w:val="nil" w:sz="6" w:space="0" w:color="auto"/>
                          <w:left w:val="single" w:sz="4" w:space="0" w:color="000000"/>
                          <w:right w:val="single" w:sz="4" w:space="0" w:color="000000"/>
                        </w:tcBorders>
                        <w:shd w:val="clear" w:color="auto" w:fill="DCDCDC"/>
                      </w:tcPr>
                      <w:p>
                        <w:pPr/>
                      </w:p>
                    </w:tc>
                    <w:tc>
                      <w:tcPr>
                        <w:tcW w:w="1018" w:type="dxa"/>
                        <w:vMerge/>
                        <w:tcBorders>
                          <w:left w:val="single" w:sz="4" w:space="0" w:color="000000"/>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970" w:type="dxa"/>
                        <w:vMerge/>
                        <w:tcBorders>
                          <w:left w:val="single" w:sz="4" w:space="0" w:color="000000"/>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c>
                      <w:tcPr>
                        <w:tcW w:w="970" w:type="dxa"/>
                        <w:vMerge/>
                        <w:tcBorders>
                          <w:left w:val="single" w:sz="4" w:space="0" w:color="000000"/>
                          <w:bottom w:val="nil" w:sz="6" w:space="0" w:color="auto"/>
                          <w:right w:val="single" w:sz="4" w:space="0" w:color="000000"/>
                        </w:tcBorders>
                        <w:shd w:val="clear" w:color="auto" w:fill="DCDCDC"/>
                      </w:tcPr>
                      <w:p>
                        <w:pPr/>
                      </w:p>
                    </w:tc>
                    <w:tc>
                      <w:tcPr>
                        <w:tcW w:w="3622" w:type="dxa"/>
                        <w:vMerge w:val="restart"/>
                        <w:tcBorders>
                          <w:top w:val="nil" w:sz="6" w:space="0" w:color="auto"/>
                          <w:left w:val="single" w:sz="4" w:space="0" w:color="000000"/>
                          <w:right w:val="single" w:sz="4" w:space="0" w:color="000000"/>
                        </w:tcBorders>
                        <w:shd w:val="clear" w:color="auto" w:fill="DCDCDC"/>
                      </w:tcPr>
                      <w:p>
                        <w:pPr/>
                      </w:p>
                    </w:tc>
                  </w:tr>
                  <w:tr>
                    <w:trPr>
                      <w:trHeight w:val="114" w:hRule="exact"/>
                    </w:trPr>
                    <w:tc>
                      <w:tcPr>
                        <w:tcW w:w="3545"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018" w:type="dxa"/>
                        <w:vMerge/>
                        <w:tcBorders>
                          <w:left w:val="single" w:sz="4" w:space="0" w:color="000000"/>
                          <w:right w:val="single" w:sz="4" w:space="0" w:color="000000"/>
                        </w:tcBorders>
                        <w:shd w:val="clear" w:color="auto" w:fill="DCDCDC"/>
                      </w:tcPr>
                      <w:p>
                        <w:pPr/>
                      </w:p>
                    </w:tc>
                    <w:tc>
                      <w:tcPr>
                        <w:tcW w:w="785" w:type="dxa"/>
                        <w:vMerge/>
                        <w:tcBorders>
                          <w:left w:val="single" w:sz="4" w:space="0" w:color="000000"/>
                          <w:bottom w:val="nil" w:sz="6" w:space="0" w:color="auto"/>
                          <w:right w:val="single" w:sz="4" w:space="0" w:color="000000"/>
                        </w:tcBorders>
                        <w:shd w:val="clear" w:color="auto" w:fill="DCDCDC"/>
                      </w:tcPr>
                      <w:p>
                        <w:pPr/>
                      </w:p>
                    </w:tc>
                    <w:tc>
                      <w:tcPr>
                        <w:tcW w:w="785"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bottom w:val="single" w:sz="6" w:space="0" w:color="FFFFFF"/>
                          <w:right w:val="single" w:sz="4" w:space="0" w:color="000000"/>
                        </w:tcBorders>
                        <w:shd w:val="clear" w:color="auto" w:fill="DCDCDC"/>
                      </w:tcPr>
                      <w:p>
                        <w:pPr/>
                      </w:p>
                    </w:tc>
                    <w:tc>
                      <w:tcPr>
                        <w:tcW w:w="970" w:type="dxa"/>
                        <w:vMerge/>
                        <w:tcBorders>
                          <w:left w:val="single" w:sz="4" w:space="0" w:color="000000"/>
                          <w:bottom w:val="single" w:sz="6" w:space="0" w:color="FFFFFF"/>
                          <w:right w:val="single" w:sz="4" w:space="0" w:color="000000"/>
                        </w:tcBorders>
                        <w:shd w:val="clear" w:color="auto" w:fill="DCDCDC"/>
                      </w:tcPr>
                      <w:p>
                        <w:pPr/>
                      </w:p>
                    </w:tc>
                    <w:tc>
                      <w:tcPr>
                        <w:tcW w:w="809" w:type="dxa"/>
                        <w:vMerge w:val="restart"/>
                        <w:tcBorders>
                          <w:top w:val="nil" w:sz="6" w:space="0" w:color="auto"/>
                          <w:left w:val="single" w:sz="4" w:space="0" w:color="000000"/>
                          <w:right w:val="single" w:sz="4" w:space="0" w:color="000000"/>
                        </w:tcBorders>
                        <w:shd w:val="clear" w:color="auto" w:fill="DCDCDC"/>
                      </w:tcPr>
                      <w:p>
                        <w:pPr/>
                      </w:p>
                    </w:tc>
                    <w:tc>
                      <w:tcPr>
                        <w:tcW w:w="970" w:type="dxa"/>
                        <w:vMerge w:val="restart"/>
                        <w:tcBorders>
                          <w:top w:val="nil" w:sz="6" w:space="0" w:color="auto"/>
                          <w:left w:val="single" w:sz="4" w:space="0" w:color="000000"/>
                          <w:right w:val="single" w:sz="4" w:space="0" w:color="000000"/>
                        </w:tcBorders>
                        <w:shd w:val="clear" w:color="auto" w:fill="DCDCDC"/>
                      </w:tcPr>
                      <w:p>
                        <w:pPr/>
                      </w:p>
                    </w:tc>
                    <w:tc>
                      <w:tcPr>
                        <w:tcW w:w="3622" w:type="dxa"/>
                        <w:vMerge/>
                        <w:tcBorders>
                          <w:left w:val="single" w:sz="4" w:space="0" w:color="000000"/>
                          <w:right w:val="single" w:sz="4" w:space="0" w:color="000000"/>
                        </w:tcBorders>
                        <w:shd w:val="clear" w:color="auto" w:fill="DCDCDC"/>
                      </w:tcPr>
                      <w:p>
                        <w:pPr/>
                      </w:p>
                    </w:tc>
                  </w:tr>
                  <w:tr>
                    <w:trPr>
                      <w:trHeight w:val="101" w:hRule="exact"/>
                    </w:trPr>
                    <w:tc>
                      <w:tcPr>
                        <w:tcW w:w="3545" w:type="dxa"/>
                        <w:vMerge/>
                        <w:tcBorders>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018" w:type="dxa"/>
                        <w:vMerge/>
                        <w:tcBorders>
                          <w:left w:val="single" w:sz="4" w:space="0" w:color="000000"/>
                          <w:bottom w:val="single" w:sz="4" w:space="0" w:color="000000"/>
                          <w:right w:val="single" w:sz="4" w:space="0" w:color="000000"/>
                        </w:tcBorders>
                        <w:shd w:val="clear" w:color="auto" w:fill="DCDCDC"/>
                      </w:tcPr>
                      <w:p>
                        <w:pPr/>
                      </w:p>
                    </w:tc>
                    <w:tc>
                      <w:tcPr>
                        <w:tcW w:w="785" w:type="dxa"/>
                        <w:tcBorders>
                          <w:top w:val="nil" w:sz="6" w:space="0" w:color="auto"/>
                          <w:left w:val="single" w:sz="4" w:space="0" w:color="000000"/>
                          <w:bottom w:val="single" w:sz="4" w:space="0" w:color="000000"/>
                          <w:right w:val="single" w:sz="4" w:space="0" w:color="000000"/>
                        </w:tcBorders>
                        <w:shd w:val="clear" w:color="auto" w:fill="DCDCDC"/>
                      </w:tcPr>
                      <w:p>
                        <w:pPr/>
                      </w:p>
                    </w:tc>
                    <w:tc>
                      <w:tcPr>
                        <w:tcW w:w="785"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single" w:sz="6" w:space="0" w:color="FFFFFF"/>
                          <w:left w:val="single" w:sz="4" w:space="0" w:color="000000"/>
                          <w:bottom w:val="single" w:sz="4" w:space="0" w:color="000000"/>
                          <w:right w:val="single" w:sz="4" w:space="0" w:color="000000"/>
                        </w:tcBorders>
                        <w:shd w:val="clear" w:color="auto" w:fill="DCDCDC"/>
                      </w:tcPr>
                      <w:p>
                        <w:pPr/>
                      </w:p>
                    </w:tc>
                    <w:tc>
                      <w:tcPr>
                        <w:tcW w:w="970" w:type="dxa"/>
                        <w:tcBorders>
                          <w:top w:val="single" w:sz="6" w:space="0" w:color="FFFFFF"/>
                          <w:left w:val="single" w:sz="4" w:space="0" w:color="000000"/>
                          <w:bottom w:val="single" w:sz="4" w:space="0" w:color="000000"/>
                          <w:right w:val="single" w:sz="4" w:space="0" w:color="000000"/>
                        </w:tcBorders>
                        <w:shd w:val="clear" w:color="auto" w:fill="DCDCDC"/>
                      </w:tcPr>
                      <w:p>
                        <w:pPr/>
                      </w:p>
                    </w:tc>
                    <w:tc>
                      <w:tcPr>
                        <w:tcW w:w="809" w:type="dxa"/>
                        <w:vMerge/>
                        <w:tcBorders>
                          <w:left w:val="single" w:sz="4" w:space="0" w:color="000000"/>
                          <w:bottom w:val="single" w:sz="4" w:space="0" w:color="000000"/>
                          <w:right w:val="single" w:sz="4" w:space="0" w:color="000000"/>
                        </w:tcBorders>
                        <w:shd w:val="clear" w:color="auto" w:fill="DCDCDC"/>
                      </w:tcPr>
                      <w:p>
                        <w:pPr/>
                      </w:p>
                    </w:tc>
                    <w:tc>
                      <w:tcPr>
                        <w:tcW w:w="970" w:type="dxa"/>
                        <w:vMerge/>
                        <w:tcBorders>
                          <w:left w:val="single" w:sz="4" w:space="0" w:color="000000"/>
                          <w:bottom w:val="single" w:sz="4" w:space="0" w:color="000000"/>
                          <w:right w:val="single" w:sz="4" w:space="0" w:color="000000"/>
                        </w:tcBorders>
                        <w:shd w:val="clear" w:color="auto" w:fill="DCDCDC"/>
                      </w:tcPr>
                      <w:p>
                        <w:pPr/>
                      </w:p>
                    </w:tc>
                    <w:tc>
                      <w:tcPr>
                        <w:tcW w:w="3622" w:type="dxa"/>
                        <w:vMerge/>
                        <w:tcBorders>
                          <w:left w:val="single" w:sz="4" w:space="0" w:color="000000"/>
                          <w:bottom w:val="single" w:sz="4" w:space="0" w:color="000000"/>
                          <w:right w:val="single" w:sz="4" w:space="0" w:color="000000"/>
                        </w:tcBorders>
                        <w:shd w:val="clear" w:color="auto" w:fill="DCDCDC"/>
                      </w:tcPr>
                      <w:p>
                        <w:pPr/>
                      </w:p>
                    </w:tc>
                  </w:tr>
                  <w:tr>
                    <w:trPr>
                      <w:trHeight w:val="248" w:hRule="exact"/>
                    </w:trPr>
                    <w:tc>
                      <w:tcPr>
                        <w:tcW w:w="35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vMerge w:val="restart"/>
                        <w:tcBorders>
                          <w:top w:val="single" w:sz="4" w:space="0" w:color="000000"/>
                          <w:left w:val="single" w:sz="10" w:space="0" w:color="DCDCDC"/>
                          <w:right w:val="single" w:sz="4" w:space="0" w:color="000000"/>
                        </w:tcBorders>
                      </w:tcPr>
                      <w:p>
                        <w:pPr>
                          <w:pStyle w:val="TableParagraph"/>
                          <w:spacing w:line="234" w:lineRule="exact" w:before="157"/>
                          <w:ind w:left="16" w:right="149"/>
                          <w:jc w:val="left"/>
                          <w:rPr>
                            <w:rFonts w:ascii="宋体" w:hAnsi="宋体" w:cs="宋体" w:eastAsia="宋体" w:hint="default"/>
                            <w:sz w:val="18"/>
                            <w:szCs w:val="18"/>
                          </w:rPr>
                        </w:pPr>
                        <w:r>
                          <w:rPr>
                            <w:rFonts w:ascii="宋体" w:hAnsi="宋体" w:cs="宋体" w:eastAsia="宋体" w:hint="default"/>
                            <w:sz w:val="18"/>
                            <w:szCs w:val="18"/>
                          </w:rPr>
                          <w:t>广西海吉星农产品国际 物流中心项目</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10,000.00</w:t>
                        </w:r>
                      </w:p>
                    </w:tc>
                    <w:tc>
                      <w:tcPr>
                        <w:tcW w:w="785" w:type="dxa"/>
                        <w:vMerge w:val="restart"/>
                        <w:tcBorders>
                          <w:top w:val="single" w:sz="46" w:space="0" w:color="DCDCDC"/>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785" w:type="dxa"/>
                        <w:vMerge w:val="restart"/>
                        <w:tcBorders>
                          <w:top w:val="single" w:sz="5" w:space="0" w:color="DCDCDC"/>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092" w:type="dxa"/>
                        <w:vMerge w:val="restart"/>
                        <w:tcBorders>
                          <w:top w:val="single" w:sz="52" w:space="0" w:color="DCDCDC"/>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70" w:type="dxa"/>
                        <w:vMerge w:val="restart"/>
                        <w:tcBorders>
                          <w:top w:val="single" w:sz="46" w:space="0" w:color="DCDCDC"/>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62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5" w:hRule="exact"/>
                    </w:trPr>
                    <w:tc>
                      <w:tcPr>
                        <w:tcW w:w="35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号楼项目</w:t>
                        </w:r>
                      </w:p>
                    </w:tc>
                    <w:tc>
                      <w:tcPr>
                        <w:tcW w:w="1985" w:type="dxa"/>
                        <w:vMerge/>
                        <w:tcBorders>
                          <w:left w:val="single" w:sz="10" w:space="0" w:color="DCDCDC"/>
                          <w:right w:val="single" w:sz="4" w:space="0" w:color="000000"/>
                        </w:tcBorders>
                      </w:tcPr>
                      <w:p>
                        <w:pPr/>
                      </w:p>
                    </w:tc>
                    <w:tc>
                      <w:tcPr>
                        <w:tcW w:w="1018"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3622" w:type="dxa"/>
                        <w:vMerge/>
                        <w:tcBorders>
                          <w:left w:val="single" w:sz="4" w:space="0" w:color="000000"/>
                          <w:right w:val="single" w:sz="4" w:space="0" w:color="000000"/>
                        </w:tcBorders>
                      </w:tcPr>
                      <w:p>
                        <w:pPr/>
                      </w:p>
                    </w:tc>
                  </w:tr>
                  <w:tr>
                    <w:trPr>
                      <w:trHeight w:val="223" w:hRule="exact"/>
                    </w:trPr>
                    <w:tc>
                      <w:tcPr>
                        <w:tcW w:w="354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vMerge/>
                        <w:tcBorders>
                          <w:left w:val="single" w:sz="10" w:space="0" w:color="DCDCDC"/>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3622" w:type="dxa"/>
                        <w:vMerge/>
                        <w:tcBorders>
                          <w:left w:val="single" w:sz="4" w:space="0" w:color="000000"/>
                          <w:bottom w:val="single" w:sz="4" w:space="0" w:color="000000"/>
                          <w:right w:val="single" w:sz="4" w:space="0" w:color="000000"/>
                        </w:tcBorders>
                      </w:tcPr>
                      <w:p>
                        <w:pPr/>
                      </w:p>
                    </w:tc>
                  </w:tr>
                  <w:tr>
                    <w:trPr>
                      <w:trHeight w:val="130" w:hRule="exact"/>
                    </w:trPr>
                    <w:tc>
                      <w:tcPr>
                        <w:tcW w:w="35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vMerge w:val="restart"/>
                        <w:tcBorders>
                          <w:top w:val="single" w:sz="4" w:space="0" w:color="000000"/>
                          <w:left w:val="single" w:sz="13" w:space="0" w:color="DCDCDC"/>
                          <w:right w:val="single" w:sz="4" w:space="0" w:color="000000"/>
                        </w:tcBorders>
                      </w:tcPr>
                      <w:p>
                        <w:pPr>
                          <w:pStyle w:val="TableParagraph"/>
                          <w:spacing w:line="240" w:lineRule="auto" w:before="133"/>
                          <w:ind w:right="8"/>
                          <w:jc w:val="center"/>
                          <w:rPr>
                            <w:rFonts w:ascii="宋体" w:hAnsi="宋体" w:cs="宋体" w:eastAsia="宋体" w:hint="default"/>
                            <w:sz w:val="18"/>
                            <w:szCs w:val="18"/>
                          </w:rPr>
                        </w:pPr>
                        <w:r>
                          <w:rPr>
                            <w:rFonts w:ascii="宋体"/>
                            <w:sz w:val="18"/>
                          </w:rPr>
                          <w:t>-</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10,000.00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w:t>
                        </w:r>
                      </w:p>
                    </w:tc>
                    <w:tc>
                      <w:tcPr>
                        <w:tcW w:w="809"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w:t>
                        </w:r>
                      </w:p>
                    </w:tc>
                    <w:tc>
                      <w:tcPr>
                        <w:tcW w:w="3622" w:type="dxa"/>
                        <w:vMerge w:val="restart"/>
                        <w:tcBorders>
                          <w:top w:val="single" w:sz="4" w:space="0" w:color="000000"/>
                          <w:left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w:t>
                        </w:r>
                      </w:p>
                    </w:tc>
                  </w:tr>
                  <w:tr>
                    <w:trPr>
                      <w:trHeight w:val="444" w:hRule="exact"/>
                    </w:trPr>
                    <w:tc>
                      <w:tcPr>
                        <w:tcW w:w="354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vMerge/>
                        <w:tcBorders>
                          <w:left w:val="single" w:sz="13" w:space="0" w:color="DCDCDC"/>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3622" w:type="dxa"/>
                        <w:vMerge/>
                        <w:tcBorders>
                          <w:left w:val="single" w:sz="4" w:space="0" w:color="000000"/>
                          <w:bottom w:val="single" w:sz="4" w:space="0" w:color="000000"/>
                          <w:right w:val="single" w:sz="4" w:space="0" w:color="000000"/>
                        </w:tcBorders>
                      </w:tcPr>
                      <w:p>
                        <w:pPr/>
                      </w:p>
                    </w:tc>
                  </w:tr>
                  <w:tr>
                    <w:trPr>
                      <w:trHeight w:val="967" w:hRule="exact"/>
                    </w:trPr>
                    <w:tc>
                      <w:tcPr>
                        <w:tcW w:w="55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050" w:type="dxa"/>
                        <w:gridSpan w:val="8"/>
                        <w:vMerge w:val="restart"/>
                        <w:tcBorders>
                          <w:top w:val="single" w:sz="4" w:space="0" w:color="000000"/>
                          <w:left w:val="single" w:sz="9" w:space="0" w:color="DCDCDC"/>
                          <w:right w:val="single" w:sz="4" w:space="0" w:color="000000"/>
                        </w:tcBorders>
                      </w:tcPr>
                      <w:p>
                        <w:pPr>
                          <w:pStyle w:val="TableParagraph"/>
                          <w:spacing w:line="367" w:lineRule="auto" w:before="116"/>
                          <w:ind w:left="17" w:right="19"/>
                          <w:jc w:val="both"/>
                          <w:rPr>
                            <w:rFonts w:ascii="宋体" w:hAnsi="宋体" w:cs="宋体" w:eastAsia="宋体" w:hint="default"/>
                            <w:sz w:val="18"/>
                            <w:szCs w:val="18"/>
                          </w:rPr>
                        </w:pPr>
                        <w:r>
                          <w:rPr>
                            <w:rFonts w:ascii="宋体" w:hAnsi="宋体" w:cs="宋体" w:eastAsia="宋体" w:hint="default"/>
                            <w:spacing w:val="-2"/>
                            <w:sz w:val="18"/>
                            <w:szCs w:val="18"/>
                          </w:rPr>
                          <w:t>公司非公开发行股票募集资金所获得的利息收入和投资银行保本理财产品产生的收益暂未明确使用计划；同时，广西海吉星募投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项目实际推进过程中，工程建设进度及募集资金使用计划有所延后，为了进一步提高募集资金效率和效益，经公司第八届董事会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第十八次会议及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年第六次临时股东大会审议通过，同意将共计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万元募集资金所获利息及购买银行保本理财产品所获</w:t>
                        </w:r>
                      </w:p>
                      <w:p>
                        <w:pPr>
                          <w:pStyle w:val="TableParagraph"/>
                          <w:spacing w:line="240" w:lineRule="auto" w:before="5"/>
                          <w:ind w:left="17" w:right="0"/>
                          <w:jc w:val="both"/>
                          <w:rPr>
                            <w:rFonts w:ascii="宋体" w:hAnsi="宋体" w:cs="宋体" w:eastAsia="宋体" w:hint="default"/>
                            <w:sz w:val="18"/>
                            <w:szCs w:val="18"/>
                          </w:rPr>
                        </w:pPr>
                        <w:r>
                          <w:rPr>
                            <w:rFonts w:ascii="宋体" w:hAnsi="宋体" w:cs="宋体" w:eastAsia="宋体" w:hint="default"/>
                            <w:spacing w:val="-4"/>
                            <w:sz w:val="18"/>
                            <w:szCs w:val="18"/>
                          </w:rPr>
                          <w:t>理财收益，以及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万元原计划投资于广西海吉星农产品国际物流中心项目部分募集资金，即将上述暂未使用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亿元募集资金</w:t>
                        </w:r>
                      </w:p>
                      <w:p>
                        <w:pPr>
                          <w:pStyle w:val="TableParagraph"/>
                          <w:spacing w:line="240" w:lineRule="auto" w:before="111"/>
                          <w:ind w:left="17" w:right="0"/>
                          <w:jc w:val="both"/>
                          <w:rPr>
                            <w:rFonts w:ascii="宋体" w:hAnsi="宋体" w:cs="宋体" w:eastAsia="宋体" w:hint="default"/>
                            <w:sz w:val="18"/>
                            <w:szCs w:val="18"/>
                          </w:rPr>
                        </w:pPr>
                        <w:r>
                          <w:rPr>
                            <w:rFonts w:ascii="宋体" w:hAnsi="宋体" w:cs="宋体" w:eastAsia="宋体" w:hint="default"/>
                            <w:sz w:val="18"/>
                            <w:szCs w:val="18"/>
                          </w:rPr>
                          <w:t>变更投向至公司旗下深圳海吉星国际农产品物流园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3"/>
                            <w:sz w:val="18"/>
                            <w:szCs w:val="18"/>
                          </w:rPr>
                          <w:t>项</w:t>
                        </w:r>
                        <w:r>
                          <w:rPr>
                            <w:rFonts w:ascii="宋体" w:hAnsi="宋体" w:cs="宋体" w:eastAsia="宋体" w:hint="default"/>
                            <w:sz w:val="18"/>
                            <w:szCs w:val="18"/>
                          </w:rPr>
                          <w:t>目</w:t>
                        </w:r>
                        <w:r>
                          <w:rPr>
                            <w:rFonts w:ascii="宋体" w:hAnsi="宋体" w:cs="宋体" w:eastAsia="宋体" w:hint="default"/>
                            <w:spacing w:val="-135"/>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44"/>
                            <w:sz w:val="18"/>
                            <w:szCs w:val="18"/>
                          </w:rPr>
                          <w:t>在</w:t>
                        </w:r>
                        <w:r>
                          <w:rPr>
                            <w:rFonts w:ascii="宋体" w:hAnsi="宋体" w:cs="宋体" w:eastAsia="宋体" w:hint="default"/>
                            <w:sz w:val="18"/>
                            <w:szCs w:val="18"/>
                          </w:rPr>
                          <w:t>《证</w:t>
                        </w:r>
                        <w:r>
                          <w:rPr>
                            <w:rFonts w:ascii="宋体" w:hAnsi="宋体" w:cs="宋体" w:eastAsia="宋体" w:hint="default"/>
                            <w:spacing w:val="-3"/>
                            <w:sz w:val="18"/>
                            <w:szCs w:val="18"/>
                          </w:rPr>
                          <w:t>券</w:t>
                        </w:r>
                        <w:r>
                          <w:rPr>
                            <w:rFonts w:ascii="宋体" w:hAnsi="宋体" w:cs="宋体" w:eastAsia="宋体" w:hint="default"/>
                            <w:sz w:val="18"/>
                            <w:szCs w:val="18"/>
                          </w:rPr>
                          <w:t>时报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108"/>
                          <w:ind w:left="17"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《证券日报》及巨潮资讯网</w:t>
                        </w:r>
                        <w:r>
                          <w:rPr>
                            <w:rFonts w:ascii="宋体" w:hAnsi="宋体" w:cs="宋体" w:eastAsia="宋体" w:hint="default"/>
                            <w:spacing w:val="2"/>
                            <w:sz w:val="18"/>
                            <w:szCs w:val="18"/>
                          </w:rPr>
                          <w:t>上</w:t>
                        </w:r>
                        <w:r>
                          <w:rPr>
                            <w:rFonts w:ascii="宋体" w:hAnsi="宋体" w:cs="宋体" w:eastAsia="宋体" w:hint="default"/>
                            <w:sz w:val="18"/>
                            <w:szCs w:val="18"/>
                          </w:rPr>
                          <w:t>的公告）</w:t>
                        </w:r>
                      </w:p>
                    </w:tc>
                  </w:tr>
                  <w:tr>
                    <w:trPr>
                      <w:trHeight w:val="314" w:hRule="exact"/>
                    </w:trPr>
                    <w:tc>
                      <w:tcPr>
                        <w:tcW w:w="55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变更原因、决策程序及信息披露情况说明（分具体项目）</w:t>
                        </w:r>
                      </w:p>
                    </w:tc>
                    <w:tc>
                      <w:tcPr>
                        <w:tcW w:w="10050" w:type="dxa"/>
                        <w:gridSpan w:val="8"/>
                        <w:vMerge/>
                        <w:tcBorders>
                          <w:left w:val="single" w:sz="9" w:space="0" w:color="DCDCDC"/>
                          <w:right w:val="single" w:sz="4" w:space="0" w:color="000000"/>
                        </w:tcBorders>
                      </w:tcPr>
                      <w:p>
                        <w:pPr/>
                      </w:p>
                    </w:tc>
                  </w:tr>
                  <w:tr>
                    <w:trPr>
                      <w:trHeight w:val="968" w:hRule="exact"/>
                    </w:trPr>
                    <w:tc>
                      <w:tcPr>
                        <w:tcW w:w="55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050" w:type="dxa"/>
                        <w:gridSpan w:val="8"/>
                        <w:vMerge/>
                        <w:tcBorders>
                          <w:left w:val="single" w:sz="9" w:space="0" w:color="DCDCDC"/>
                          <w:bottom w:val="single" w:sz="4" w:space="0" w:color="000000"/>
                          <w:right w:val="single" w:sz="4" w:space="0" w:color="000000"/>
                        </w:tcBorders>
                      </w:tcPr>
                      <w:p>
                        <w:pPr/>
                      </w:p>
                    </w:tc>
                  </w:tr>
                  <w:tr>
                    <w:trPr>
                      <w:trHeight w:val="427" w:hRule="exact"/>
                    </w:trPr>
                    <w:tc>
                      <w:tcPr>
                        <w:tcW w:w="553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10050" w:type="dxa"/>
                        <w:gridSpan w:val="8"/>
                        <w:tcBorders>
                          <w:top w:val="single" w:sz="4" w:space="0" w:color="000000"/>
                          <w:left w:val="single" w:sz="12" w:space="0" w:color="DCDCDC"/>
                          <w:bottom w:val="single" w:sz="4" w:space="0" w:color="000000"/>
                          <w:right w:val="single" w:sz="4" w:space="0" w:color="000000"/>
                        </w:tcBorders>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0" w:hRule="exact"/>
                    </w:trPr>
                    <w:tc>
                      <w:tcPr>
                        <w:tcW w:w="553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10050" w:type="dxa"/>
                        <w:gridSpan w:val="8"/>
                        <w:tcBorders>
                          <w:top w:val="single" w:sz="4" w:space="0" w:color="000000"/>
                          <w:left w:val="single" w:sz="12" w:space="0" w:color="DCDCDC"/>
                          <w:bottom w:val="single" w:sz="4" w:space="0" w:color="000000"/>
                          <w:right w:val="single" w:sz="4" w:space="0" w:color="000000"/>
                        </w:tcBorders>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393" w:lineRule="auto" w:before="37"/>
        <w:ind w:left="920" w:right="3027" w:firstLine="0"/>
        <w:jc w:val="left"/>
        <w:rPr>
          <w:rFonts w:ascii="宋体" w:hAnsi="宋体" w:cs="宋体" w:eastAsia="宋体" w:hint="default"/>
          <w:sz w:val="20"/>
          <w:szCs w:val="20"/>
        </w:rPr>
      </w:pPr>
      <w:r>
        <w:rPr>
          <w:rFonts w:ascii="宋体" w:hAnsi="宋体" w:cs="宋体" w:eastAsia="宋体" w:hint="default"/>
          <w:sz w:val="20"/>
          <w:szCs w:val="20"/>
        </w:rPr>
        <w:t>截至本报告披露日，公司募集资金投资项目未对外转让或置换。</w:t>
      </w:r>
      <w:r>
        <w:rPr>
          <w:rFonts w:ascii="宋体" w:hAnsi="宋体" w:cs="宋体" w:eastAsia="宋体" w:hint="default"/>
          <w:w w:val="99"/>
          <w:sz w:val="20"/>
          <w:szCs w:val="20"/>
        </w:rPr>
        <w:t> </w:t>
      </w:r>
      <w:r>
        <w:rPr>
          <w:rFonts w:ascii="宋体" w:hAnsi="宋体" w:cs="宋体" w:eastAsia="宋体" w:hint="default"/>
          <w:sz w:val="20"/>
          <w:szCs w:val="20"/>
        </w:rPr>
        <w:t>注：关于募集资金存放和使用详细情况详见与本报告同日刊登在巨潮资讯网的《董事会关于</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年度募集资金存放与使用专项报告》。</w:t>
      </w:r>
    </w:p>
    <w:p>
      <w:pPr>
        <w:spacing w:after="0" w:line="393" w:lineRule="auto"/>
        <w:jc w:val="left"/>
        <w:rPr>
          <w:rFonts w:ascii="宋体" w:hAnsi="宋体" w:cs="宋体" w:eastAsia="宋体" w:hint="default"/>
          <w:sz w:val="20"/>
          <w:szCs w:val="20"/>
        </w:rPr>
        <w:sectPr>
          <w:type w:val="continuous"/>
          <w:pgSz w:w="16840" w:h="11910" w:orient="landscape"/>
          <w:pgMar w:top="1100" w:bottom="1460" w:left="52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67" w:lineRule="exact"/>
        <w:ind w:right="1115"/>
        <w:jc w:val="left"/>
        <w:rPr>
          <w:b w:val="0"/>
          <w:bCs w:val="0"/>
        </w:rPr>
      </w:pPr>
      <w:r>
        <w:rPr/>
        <w:t>六、重大资产和股权出售</w:t>
      </w:r>
      <w:r>
        <w:rPr>
          <w:b w:val="0"/>
          <w:bCs w:val="0"/>
        </w:rPr>
      </w:r>
    </w:p>
    <w:p>
      <w:pPr>
        <w:pStyle w:val="Heading6"/>
        <w:spacing w:line="240" w:lineRule="auto" w:before="210"/>
        <w:ind w:left="212" w:right="111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Microsoft JhengHei" w:hAnsi="Microsoft JhengHei" w:cs="Microsoft JhengHei" w:eastAsia="Microsoft JhengHei" w:hint="default"/>
          <w:b/>
          <w:bCs/>
          <w:sz w:val="18"/>
          <w:szCs w:val="18"/>
        </w:rPr>
      </w:pPr>
    </w:p>
    <w:p>
      <w:pPr>
        <w:spacing w:line="4008"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9"/>
          <w:sz w:val="20"/>
          <w:szCs w:val="20"/>
        </w:rPr>
        <w:pict>
          <v:shape style="width:481.55pt;height:200.45pt;mso-position-horizontal-relative:char;mso-position-vertical-relative:line" type="#_x0000_t202" filled="false" stroked="true" strokeweight=".47998pt" strokecolor="#000000">
            <w10:anchorlock/>
            <v:textbox inset="0,0,0,0">
              <w:txbxContent>
                <w:p>
                  <w:pPr>
                    <w:spacing w:line="340" w:lineRule="auto" w:before="136"/>
                    <w:ind w:left="523" w:right="96"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关于控股子公司南昌公司公开挂牌转让结算大楼及药检大楼资产的事项</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pacing w:val="-30"/>
                      <w:sz w:val="21"/>
                      <w:szCs w:val="21"/>
                    </w:rPr>
                  </w:r>
                  <w:r>
                    <w:rPr>
                      <w:rFonts w:ascii="宋体" w:hAnsi="宋体" w:cs="宋体" w:eastAsia="宋体" w:hint="default"/>
                      <w:spacing w:val="-3"/>
                      <w:sz w:val="21"/>
                      <w:szCs w:val="21"/>
                    </w:rPr>
                    <w:t>经公司第八届董事会第七次会议审议通过，同意控股子公司南昌公司以南昌市场内“结算大楼”与</w:t>
                  </w:r>
                </w:p>
                <w:p>
                  <w:pPr>
                    <w:pStyle w:val="BodyText"/>
                    <w:spacing w:line="357" w:lineRule="auto" w:before="45"/>
                    <w:ind w:left="103" w:right="98"/>
                    <w:jc w:val="both"/>
                    <w:rPr>
                      <w:rFonts w:ascii="Times New Roman" w:hAnsi="Times New Roman" w:cs="Times New Roman" w:eastAsia="Times New Roman" w:hint="default"/>
                    </w:rPr>
                  </w:pPr>
                  <w:r>
                    <w:rPr>
                      <w:spacing w:val="-3"/>
                    </w:rPr>
                    <w:t>“药检大楼”作为标的资产（含分摊的土地使用权），委托具有证券、期货从业资质的评估机构进行资</w:t>
                  </w:r>
                  <w:r>
                    <w:rPr>
                      <w:spacing w:val="-23"/>
                    </w:rPr>
                    <w:t> </w:t>
                  </w:r>
                  <w:r>
                    <w:rPr>
                      <w:spacing w:val="-23"/>
                    </w:rPr>
                  </w:r>
                  <w:r>
                    <w:rPr>
                      <w:spacing w:val="-3"/>
                    </w:rPr>
                    <w:t>产评估，以不低于资产评估值作为挂牌底价委托深圳联合产权交易所分别公开挂牌转让。于评估基准日</w:t>
                  </w:r>
                  <w:r>
                    <w:rPr>
                      <w:spacing w:val="-19"/>
                    </w:rPr>
                    <w:t> </w:t>
                  </w:r>
                  <w:r>
                    <w:rPr>
                      <w:spacing w:val="-19"/>
                    </w:rPr>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6"/>
                    </w:rPr>
                    <w:t>日，结算大楼的评估值为</w:t>
                  </w:r>
                  <w:r>
                    <w:rPr>
                      <w:spacing w:val="-47"/>
                    </w:rPr>
                    <w:t> </w:t>
                  </w:r>
                  <w:r>
                    <w:rPr>
                      <w:rFonts w:ascii="Times New Roman" w:hAnsi="Times New Roman" w:cs="Times New Roman" w:eastAsia="Times New Roman" w:hint="default"/>
                    </w:rPr>
                    <w:t>2,284.31</w:t>
                  </w:r>
                  <w:r>
                    <w:rPr>
                      <w:rFonts w:ascii="Times New Roman" w:hAnsi="Times New Roman" w:cs="Times New Roman" w:eastAsia="Times New Roman" w:hint="default"/>
                      <w:spacing w:val="5"/>
                    </w:rPr>
                    <w:t> </w:t>
                  </w:r>
                  <w:r>
                    <w:rPr>
                      <w:spacing w:val="-6"/>
                    </w:rPr>
                    <w:t>万元，药检大楼的评估价值为</w:t>
                  </w:r>
                  <w:r>
                    <w:rPr>
                      <w:spacing w:val="-48"/>
                    </w:rPr>
                    <w:t> </w:t>
                  </w:r>
                  <w:r>
                    <w:rPr>
                      <w:rFonts w:ascii="Times New Roman" w:hAnsi="Times New Roman" w:cs="Times New Roman" w:eastAsia="Times New Roman" w:hint="default"/>
                    </w:rPr>
                    <w:t>2,641.4</w:t>
                  </w:r>
                  <w:r>
                    <w:rPr>
                      <w:rFonts w:ascii="Times New Roman" w:hAnsi="Times New Roman" w:cs="Times New Roman" w:eastAsia="Times New Roman" w:hint="default"/>
                      <w:spacing w:val="3"/>
                    </w:rPr>
                    <w:t> </w:t>
                  </w:r>
                  <w:r>
                    <w:rPr>
                      <w:spacing w:val="-11"/>
                    </w:rPr>
                    <w:t>万元。截至</w:t>
                  </w:r>
                  <w:r>
                    <w:rPr>
                      <w:spacing w:val="-48"/>
                    </w:rPr>
                    <w:t> </w:t>
                  </w:r>
                  <w:r>
                    <w:rPr>
                      <w:rFonts w:ascii="Times New Roman" w:hAnsi="Times New Roman" w:cs="Times New Roman" w:eastAsia="Times New Roman" w:hint="default"/>
                    </w:rPr>
                    <w:t>2018</w:t>
                  </w:r>
                </w:p>
                <w:p>
                  <w:pPr>
                    <w:pStyle w:val="BodyText"/>
                    <w:spacing w:line="240" w:lineRule="auto" w:before="3"/>
                    <w:ind w:left="103" w:right="0"/>
                    <w:jc w:val="both"/>
                  </w:pP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日，结算大楼与药检大楼评估报告已到期，上述资产未启动公开挂牌程序，如公司继续转让</w:t>
                  </w:r>
                </w:p>
                <w:p>
                  <w:pPr>
                    <w:pStyle w:val="BodyText"/>
                    <w:spacing w:line="240" w:lineRule="auto" w:before="117"/>
                    <w:ind w:left="103" w:right="0"/>
                    <w:jc w:val="both"/>
                    <w:rPr>
                      <w:rFonts w:ascii="Times New Roman" w:hAnsi="Times New Roman" w:cs="Times New Roman" w:eastAsia="Times New Roman" w:hint="default"/>
                    </w:rPr>
                  </w:pPr>
                  <w:r>
                    <w:rPr/>
                    <w:t>上述资产，公司将根据有关规定另行履行相关程序和信息披露义务。（相关情况详见公司于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r>
                </w:p>
                <w:p>
                  <w:pPr>
                    <w:pStyle w:val="BodyText"/>
                    <w:spacing w:line="240" w:lineRule="auto" w:before="119"/>
                    <w:ind w:left="103" w:right="0"/>
                    <w:jc w:val="both"/>
                  </w:pP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日在《证券时报》、《中国证券报》、《上海证券报》、《证券日报》和巨潮资讯网上刊登的公</w:t>
                  </w:r>
                </w:p>
                <w:p>
                  <w:pPr>
                    <w:pStyle w:val="BodyText"/>
                    <w:spacing w:line="240" w:lineRule="auto" w:before="115"/>
                    <w:ind w:left="103" w:right="0"/>
                    <w:jc w:val="both"/>
                  </w:pPr>
                  <w:r>
                    <w:rPr/>
                    <w:t>告及</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日和</w:t>
                  </w:r>
                  <w:r>
                    <w:rPr>
                      <w:spacing w:val="-55"/>
                    </w:rPr>
                    <w:t> </w:t>
                  </w:r>
                  <w:r>
                    <w:rPr>
                      <w:rFonts w:ascii="Times New Roman" w:hAnsi="Times New Roman" w:cs="Times New Roman" w:eastAsia="Times New Roman" w:hint="default"/>
                    </w:rPr>
                    <w:t>8 </w:t>
                  </w:r>
                  <w:r>
                    <w:rPr/>
                    <w:t>月</w:t>
                  </w:r>
                  <w:r>
                    <w:rPr>
                      <w:spacing w:val="-52"/>
                    </w:rPr>
                    <w:t> </w:t>
                  </w:r>
                  <w:r>
                    <w:rPr>
                      <w:rFonts w:ascii="Times New Roman" w:hAnsi="Times New Roman" w:cs="Times New Roman" w:eastAsia="Times New Roman" w:hint="default"/>
                    </w:rPr>
                    <w:t>31 </w:t>
                  </w:r>
                  <w:r>
                    <w:rPr/>
                    <w:t>日在巨潮资讯网上刊登的公告）</w:t>
                  </w:r>
                </w:p>
              </w:txbxContent>
            </v:textbox>
          </v:shape>
        </w:pict>
      </w:r>
      <w:r>
        <w:rPr>
          <w:rFonts w:ascii="Microsoft JhengHei" w:hAnsi="Microsoft JhengHei" w:cs="Microsoft JhengHei" w:eastAsia="Microsoft JhengHei" w:hint="default"/>
          <w:position w:val="-79"/>
          <w:sz w:val="20"/>
          <w:szCs w:val="20"/>
        </w:rPr>
      </w:r>
    </w:p>
    <w:p>
      <w:pPr>
        <w:spacing w:line="240" w:lineRule="auto" w:before="13"/>
        <w:rPr>
          <w:rFonts w:ascii="Microsoft JhengHei" w:hAnsi="Microsoft JhengHei" w:cs="Microsoft JhengHei" w:eastAsia="Microsoft JhengHei" w:hint="default"/>
          <w:b/>
          <w:bCs/>
          <w:sz w:val="27"/>
          <w:szCs w:val="27"/>
        </w:rPr>
      </w:pPr>
    </w:p>
    <w:p>
      <w:pPr>
        <w:pStyle w:val="Heading6"/>
        <w:spacing w:line="335" w:lineRule="exact"/>
        <w:ind w:left="212" w:right="0"/>
        <w:jc w:val="both"/>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Microsoft JhengHei" w:hAnsi="Microsoft JhengHei" w:cs="Microsoft JhengHei" w:eastAsia="Microsoft JhengHei" w:hint="default"/>
          <w:b/>
          <w:bCs/>
          <w:sz w:val="26"/>
          <w:szCs w:val="26"/>
        </w:rPr>
      </w:pPr>
    </w:p>
    <w:p>
      <w:pPr>
        <w:spacing w:line="340" w:lineRule="auto" w:before="0"/>
        <w:ind w:left="633" w:right="1347" w:firstLine="2"/>
        <w:jc w:val="left"/>
        <w:rPr>
          <w:rFonts w:ascii="宋体" w:hAnsi="宋体" w:cs="宋体" w:eastAsia="宋体" w:hint="default"/>
          <w:sz w:val="21"/>
          <w:szCs w:val="21"/>
        </w:rPr>
      </w:pPr>
      <w:r>
        <w:rPr/>
        <w:pict>
          <v:group style="position:absolute;margin-left:51pt;margin-top:-7.555556pt;width:482.05pt;height:346.25pt;mso-position-horizontal-relative:page;mso-position-vertical-relative:paragraph;z-index:-1638040" coordorigin="1020,-151" coordsize="9641,6925">
            <v:group style="position:absolute;left:1030;top:-142;width:9622;height:2" coordorigin="1030,-142" coordsize="9622,2">
              <v:shape style="position:absolute;left:1030;top:-142;width:9622;height:2" coordorigin="1030,-142" coordsize="9622,0" path="m1030,-142l10651,-142e" filled="false" stroked="true" strokeweight=".48001pt" strokecolor="#000000">
                <v:path arrowok="t"/>
              </v:shape>
            </v:group>
            <v:group style="position:absolute;left:1025;top:-146;width:2;height:6916" coordorigin="1025,-146" coordsize="2,6916">
              <v:shape style="position:absolute;left:1025;top:-146;width:2;height:6916" coordorigin="1025,-146" coordsize="0,6916" path="m1025,-146l1025,6769e" filled="false" stroked="true" strokeweight=".48pt" strokecolor="#000000">
                <v:path arrowok="t"/>
              </v:shape>
            </v:group>
            <v:group style="position:absolute;left:1030;top:6764;width:9622;height:2" coordorigin="1030,6764" coordsize="9622,2">
              <v:shape style="position:absolute;left:1030;top:6764;width:9622;height:2" coordorigin="1030,6764" coordsize="9622,0" path="m1030,6764l10651,6764e" filled="false" stroked="true" strokeweight=".47998pt" strokecolor="#000000">
                <v:path arrowok="t"/>
              </v:shape>
            </v:group>
            <v:group style="position:absolute;left:10656;top:-146;width:2;height:6916" coordorigin="10656,-146" coordsize="2,6916">
              <v:shape style="position:absolute;left:10656;top:-146;width:2;height:6916" coordorigin="10656,-146" coordsize="0,6916" path="m10656,-146l10656,6769e" filled="false" stroked="true" strokeweight=".47998pt" strokecolor="#000000">
                <v:path arrowok="t"/>
              </v:shape>
            </v:group>
            <w10:wrap type="none"/>
          </v:group>
        </w:pic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）关于拟公开挂牌转让中农网 </w:t>
      </w:r>
      <w:r>
        <w:rPr>
          <w:rFonts w:ascii="Times New Roman" w:hAnsi="Times New Roman" w:cs="Times New Roman" w:eastAsia="Times New Roman" w:hint="default"/>
          <w:b/>
          <w:bCs/>
          <w:sz w:val="21"/>
          <w:szCs w:val="21"/>
        </w:rPr>
        <w:t>8.36%</w:t>
      </w:r>
      <w:r>
        <w:rPr>
          <w:rFonts w:ascii="Microsoft JhengHei" w:hAnsi="Microsoft JhengHei" w:cs="Microsoft JhengHei" w:eastAsia="Microsoft JhengHei" w:hint="default"/>
          <w:b/>
          <w:bCs/>
          <w:sz w:val="21"/>
          <w:szCs w:val="21"/>
        </w:rPr>
        <w:t>股权暨重大资产出售的事项</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公司拟通过深圳联合产权交易所公开挂牌转让公司持有的中农网</w:t>
      </w:r>
      <w:r>
        <w:rPr>
          <w:rFonts w:ascii="宋体" w:hAnsi="宋体" w:cs="宋体" w:eastAsia="宋体" w:hint="default"/>
          <w:spacing w:val="28"/>
          <w:sz w:val="21"/>
          <w:szCs w:val="21"/>
        </w:rPr>
        <w:t> </w:t>
      </w:r>
      <w:r>
        <w:rPr>
          <w:rFonts w:ascii="Times New Roman" w:hAnsi="Times New Roman" w:cs="Times New Roman" w:eastAsia="Times New Roman" w:hint="default"/>
          <w:spacing w:val="-2"/>
          <w:sz w:val="21"/>
          <w:szCs w:val="21"/>
        </w:rPr>
        <w:t>8.36%</w:t>
      </w:r>
      <w:r>
        <w:rPr>
          <w:rFonts w:ascii="宋体" w:hAnsi="宋体" w:cs="宋体" w:eastAsia="宋体" w:hint="default"/>
          <w:spacing w:val="-2"/>
          <w:sz w:val="21"/>
          <w:szCs w:val="21"/>
        </w:rPr>
        <w:t>的股权。鉴于该等股权所对</w:t>
      </w:r>
    </w:p>
    <w:p>
      <w:pPr>
        <w:pStyle w:val="BodyText"/>
        <w:spacing w:line="345" w:lineRule="auto" w:before="19"/>
        <w:ind w:left="212" w:right="1354"/>
        <w:jc w:val="both"/>
      </w:pPr>
      <w:r>
        <w:rPr>
          <w:spacing w:val="-3"/>
        </w:rPr>
        <w:t>应的中农网营业收入规模触发《上市公司重大资产重组管理办法》规定的重大资产重组相关标准，公司</w:t>
      </w:r>
      <w:r>
        <w:rPr>
          <w:spacing w:val="-22"/>
        </w:rPr>
        <w:t> </w:t>
      </w:r>
      <w:r>
        <w:rPr>
          <w:spacing w:val="-22"/>
        </w:rPr>
      </w:r>
      <w:r>
        <w:rPr>
          <w:spacing w:val="-3"/>
        </w:rPr>
        <w:t>严格按照重大资产重组及国有资产监管规定履行相关义务和程序。</w:t>
      </w:r>
      <w:r>
        <w:rPr>
          <w:rFonts w:ascii="Times New Roman" w:hAnsi="Times New Roman" w:cs="Times New Roman" w:eastAsia="Times New Roman" w:hint="default"/>
          <w:spacing w:val="-3"/>
        </w:rPr>
        <w:t>2017 </w:t>
      </w:r>
      <w:r>
        <w:rPr/>
        <w:t>年 </w:t>
      </w:r>
      <w:r>
        <w:rPr>
          <w:rFonts w:ascii="Times New Roman" w:hAnsi="Times New Roman" w:cs="Times New Roman" w:eastAsia="Times New Roman" w:hint="default"/>
        </w:rPr>
        <w:t>6 </w:t>
      </w:r>
      <w:r>
        <w:rPr>
          <w:spacing w:val="-6"/>
        </w:rPr>
        <w:t>月，卓尔方与公司和公司全</w:t>
      </w:r>
      <w:r>
        <w:rPr>
          <w:spacing w:val="-85"/>
        </w:rPr>
        <w:t> </w:t>
      </w:r>
      <w:r>
        <w:rPr>
          <w:spacing w:val="-85"/>
        </w:rPr>
      </w:r>
      <w:r>
        <w:rPr/>
        <w:t>资子公司海吉星投资公司签署了框架协议。卓尔云商供应链</w:t>
      </w:r>
      <w:r>
        <w:rPr>
          <w:rFonts w:ascii="Times New Roman" w:hAnsi="Times New Roman" w:cs="Times New Roman" w:eastAsia="Times New Roman" w:hint="default"/>
        </w:rPr>
        <w:t>(</w:t>
      </w:r>
      <w:r>
        <w:rPr/>
        <w:t>武汉</w:t>
      </w:r>
      <w:r>
        <w:rPr>
          <w:rFonts w:ascii="Times New Roman" w:hAnsi="Times New Roman" w:cs="Times New Roman" w:eastAsia="Times New Roman" w:hint="default"/>
        </w:rPr>
        <w:t>)</w:t>
      </w:r>
      <w:r>
        <w:rPr/>
        <w:t>有限公司拟以现金约</w:t>
      </w:r>
      <w:r>
        <w:rPr>
          <w:spacing w:val="-57"/>
        </w:rPr>
        <w:t> </w:t>
      </w:r>
      <w:r>
        <w:rPr>
          <w:rFonts w:ascii="Times New Roman" w:hAnsi="Times New Roman" w:cs="Times New Roman" w:eastAsia="Times New Roman" w:hint="default"/>
        </w:rPr>
        <w:t>3.07</w:t>
      </w:r>
      <w:r>
        <w:rPr>
          <w:rFonts w:ascii="Times New Roman" w:hAnsi="Times New Roman" w:cs="Times New Roman" w:eastAsia="Times New Roman" w:hint="default"/>
          <w:spacing w:val="-8"/>
        </w:rPr>
        <w:t> </w:t>
      </w:r>
      <w:r>
        <w:rPr>
          <w:spacing w:val="-4"/>
        </w:rPr>
        <w:t>亿元（中农</w:t>
      </w:r>
    </w:p>
    <w:p>
      <w:pPr>
        <w:pStyle w:val="BodyText"/>
        <w:spacing w:line="336" w:lineRule="auto" w:before="18"/>
        <w:ind w:left="212" w:right="1356"/>
        <w:jc w:val="both"/>
      </w:pPr>
      <w:r>
        <w:rPr/>
        <w:t>网注册资本为</w:t>
      </w:r>
      <w:r>
        <w:rPr>
          <w:spacing w:val="-46"/>
        </w:rPr>
        <w:t> </w:t>
      </w:r>
      <w:r>
        <w:rPr>
          <w:rFonts w:ascii="Times New Roman" w:hAnsi="Times New Roman" w:cs="Times New Roman" w:eastAsia="Times New Roman" w:hint="default"/>
        </w:rPr>
        <w:t>50,900</w:t>
      </w:r>
      <w:r>
        <w:rPr>
          <w:rFonts w:ascii="Times New Roman" w:hAnsi="Times New Roman" w:cs="Times New Roman" w:eastAsia="Times New Roman" w:hint="default"/>
          <w:spacing w:val="6"/>
        </w:rPr>
        <w:t> </w:t>
      </w:r>
      <w:r>
        <w:rPr/>
        <w:t>万元，该对价系每</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元注册资本对应</w:t>
      </w:r>
      <w:r>
        <w:rPr>
          <w:spacing w:val="-46"/>
        </w:rPr>
        <w:t> </w:t>
      </w:r>
      <w:r>
        <w:rPr>
          <w:rFonts w:ascii="Times New Roman" w:hAnsi="Times New Roman" w:cs="Times New Roman" w:eastAsia="Times New Roman" w:hint="default"/>
        </w:rPr>
        <w:t>7.22</w:t>
      </w:r>
      <w:r>
        <w:rPr>
          <w:rFonts w:ascii="Times New Roman" w:hAnsi="Times New Roman" w:cs="Times New Roman" w:eastAsia="Times New Roman" w:hint="default"/>
          <w:spacing w:val="6"/>
        </w:rPr>
        <w:t> </w:t>
      </w:r>
      <w:r>
        <w:rPr/>
        <w:t>元）的价格参与中农网</w:t>
      </w:r>
      <w:r>
        <w:rPr>
          <w:spacing w:val="-2"/>
        </w:rPr>
        <w:t> </w:t>
      </w:r>
      <w:r>
        <w:rPr>
          <w:rFonts w:ascii="Times New Roman" w:hAnsi="Times New Roman" w:cs="Times New Roman" w:eastAsia="Times New Roman" w:hint="default"/>
        </w:rPr>
        <w:t>8.36%</w:t>
      </w:r>
      <w:r>
        <w:rPr/>
        <w:t>的股权公</w:t>
      </w:r>
      <w:r>
        <w:rPr>
          <w:w w:val="100"/>
        </w:rPr>
        <w:t> </w:t>
      </w:r>
      <w:r>
        <w:rPr/>
        <w:t>开挂牌竞价程序。</w:t>
      </w:r>
    </w:p>
    <w:p>
      <w:pPr>
        <w:pStyle w:val="BodyText"/>
        <w:spacing w:line="240" w:lineRule="auto" w:before="92"/>
        <w:ind w:left="633" w:right="111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日，公司第八届董事会第二十次会议审议通过了与本次重大资产出售有关的议案。</w:t>
      </w:r>
    </w:p>
    <w:p>
      <w:pPr>
        <w:pStyle w:val="BodyText"/>
        <w:spacing w:line="345" w:lineRule="auto" w:before="117"/>
        <w:ind w:left="212" w:right="1316"/>
        <w:jc w:val="both"/>
      </w:pPr>
      <w:r>
        <w:rPr/>
        <w:t>根据深圳市鹏信资产评估土地房地产估价有限公司以</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5"/>
        </w:rPr>
        <w:t>日为评估基准日出具的《深圳市农</w:t>
      </w:r>
      <w:r>
        <w:rPr>
          <w:spacing w:val="-100"/>
        </w:rPr>
        <w:t> </w:t>
      </w:r>
      <w:r>
        <w:rPr>
          <w:spacing w:val="-100"/>
        </w:rPr>
      </w:r>
      <w:r>
        <w:rPr>
          <w:spacing w:val="-2"/>
        </w:rPr>
        <w:t>产品股份有限公司拟进行股权转让所涉及的深圳市中农网有限公司股东全部权益价值资产评估报告》，</w:t>
      </w:r>
      <w:r>
        <w:rPr>
          <w:spacing w:val="-24"/>
        </w:rPr>
        <w:t> </w:t>
      </w:r>
      <w:r>
        <w:rPr>
          <w:spacing w:val="-24"/>
        </w:rPr>
      </w:r>
      <w:r>
        <w:rPr>
          <w:spacing w:val="-3"/>
        </w:rPr>
        <w:t>截至评估基准日，中农网的股东全部权益价值评估值为 </w:t>
      </w:r>
      <w:r>
        <w:rPr>
          <w:rFonts w:ascii="Times New Roman" w:hAnsi="Times New Roman" w:cs="Times New Roman" w:eastAsia="Times New Roman" w:hint="default"/>
        </w:rPr>
        <w:t>148,000.00</w:t>
      </w:r>
      <w:r>
        <w:rPr>
          <w:rFonts w:ascii="Times New Roman" w:hAnsi="Times New Roman" w:cs="Times New Roman" w:eastAsia="Times New Roman" w:hint="default"/>
          <w:spacing w:val="22"/>
        </w:rPr>
        <w:t> </w:t>
      </w:r>
      <w:r>
        <w:rPr>
          <w:spacing w:val="-3"/>
        </w:rPr>
        <w:t>万元；即标的资产所对应的评估值为</w:t>
      </w:r>
    </w:p>
    <w:p>
      <w:pPr>
        <w:pStyle w:val="BodyText"/>
        <w:spacing w:line="348" w:lineRule="auto" w:before="15"/>
        <w:ind w:left="212" w:right="1354"/>
        <w:jc w:val="both"/>
      </w:pPr>
      <w:r>
        <w:rPr>
          <w:rFonts w:ascii="Times New Roman" w:hAnsi="Times New Roman" w:cs="Times New Roman" w:eastAsia="Times New Roman" w:hint="default"/>
        </w:rPr>
        <w:t>12,372.80</w:t>
      </w:r>
      <w:r>
        <w:rPr>
          <w:rFonts w:ascii="Times New Roman" w:hAnsi="Times New Roman" w:cs="Times New Roman" w:eastAsia="Times New Roman" w:hint="default"/>
          <w:spacing w:val="-4"/>
        </w:rPr>
        <w:t> </w:t>
      </w:r>
      <w:r>
        <w:rPr/>
        <w:t>万元。公司以上述评估结果为基础，以</w:t>
      </w:r>
      <w:r>
        <w:rPr>
          <w:spacing w:val="-55"/>
        </w:rPr>
        <w:t> </w:t>
      </w:r>
      <w:r>
        <w:rPr>
          <w:rFonts w:ascii="Times New Roman" w:hAnsi="Times New Roman" w:cs="Times New Roman" w:eastAsia="Times New Roman" w:hint="default"/>
        </w:rPr>
        <w:t>30,700</w:t>
      </w:r>
      <w:r>
        <w:rPr>
          <w:rFonts w:ascii="Times New Roman" w:hAnsi="Times New Roman" w:cs="Times New Roman" w:eastAsia="Times New Roman" w:hint="default"/>
          <w:spacing w:val="-2"/>
        </w:rPr>
        <w:t> </w:t>
      </w:r>
      <w:r>
        <w:rPr/>
        <w:t>万元为挂牌底价在深圳联交所公开挂牌转让标</w:t>
      </w:r>
      <w:r>
        <w:rPr>
          <w:w w:val="100"/>
        </w:rPr>
        <w:t> </w:t>
      </w:r>
      <w:r>
        <w:rPr>
          <w:spacing w:val="-3"/>
        </w:rPr>
        <w:t>的资产。经深圳联合产权交易所履行公开挂牌征集投资者等相关程序后，上述标的征集到一名意向受让</w:t>
      </w:r>
      <w:r>
        <w:rPr>
          <w:spacing w:val="-18"/>
        </w:rPr>
        <w:t> </w:t>
      </w:r>
      <w:r>
        <w:rPr>
          <w:spacing w:val="-18"/>
        </w:rPr>
      </w:r>
      <w:r>
        <w:rPr/>
        <w:t>方即卓尔云商供应链</w:t>
      </w:r>
      <w:r>
        <w:rPr>
          <w:rFonts w:ascii="Times New Roman" w:hAnsi="Times New Roman" w:cs="Times New Roman" w:eastAsia="Times New Roman" w:hint="default"/>
        </w:rPr>
        <w:t>(</w:t>
      </w:r>
      <w:r>
        <w:rPr/>
        <w:t>武汉</w:t>
      </w:r>
      <w:r>
        <w:rPr>
          <w:rFonts w:ascii="Times New Roman" w:hAnsi="Times New Roman" w:cs="Times New Roman" w:eastAsia="Times New Roman" w:hint="default"/>
        </w:rPr>
        <w:t>)</w:t>
      </w:r>
      <w:r>
        <w:rPr/>
        <w:t>有限公司。</w:t>
      </w:r>
    </w:p>
    <w:p>
      <w:pPr>
        <w:pStyle w:val="BodyText"/>
        <w:spacing w:line="240" w:lineRule="auto" w:before="51"/>
        <w:ind w:left="633" w:right="1115"/>
        <w:jc w:val="left"/>
        <w:rPr>
          <w:rFonts w:ascii="Times New Roman" w:hAnsi="Times New Roman" w:cs="Times New Roman" w:eastAsia="Times New Roman" w:hint="default"/>
        </w:rPr>
      </w:pPr>
      <w:r>
        <w:rPr/>
        <w:t>（本事项的历史进展情况详见公司于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9"/>
        </w:rPr>
        <w:t>日、</w:t>
      </w:r>
      <w:r>
        <w:rPr>
          <w:rFonts w:ascii="Times New Roman" w:hAnsi="Times New Roman" w:cs="Times New Roman" w:eastAsia="Times New Roman" w:hint="default"/>
          <w:spacing w:val="-9"/>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9"/>
        </w:rPr>
        <w:t>日、</w:t>
      </w:r>
      <w:r>
        <w:rPr>
          <w:rFonts w:ascii="Times New Roman" w:hAnsi="Times New Roman" w:cs="Times New Roman" w:eastAsia="Times New Roman" w:hint="default"/>
          <w:spacing w:val="-9"/>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9"/>
        </w:rPr>
        <w:t>日、</w:t>
      </w:r>
      <w:r>
        <w:rPr>
          <w:rFonts w:ascii="Times New Roman" w:hAnsi="Times New Roman" w:cs="Times New Roman" w:eastAsia="Times New Roman" w:hint="default"/>
          <w:spacing w:val="-9"/>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9"/>
        </w:rPr>
        <w:t>日、</w:t>
      </w:r>
      <w:r>
        <w:rPr>
          <w:rFonts w:ascii="Times New Roman" w:hAnsi="Times New Roman" w:cs="Times New Roman" w:eastAsia="Times New Roman" w:hint="default"/>
          <w:spacing w:val="-9"/>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26</w:t>
      </w:r>
    </w:p>
    <w:p>
      <w:pPr>
        <w:pStyle w:val="BodyText"/>
        <w:spacing w:line="240" w:lineRule="auto" w:before="119"/>
        <w:ind w:left="212" w:right="0"/>
        <w:jc w:val="both"/>
      </w:pPr>
      <w:r>
        <w:rPr/>
        <w:t>日、</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p>
    <w:p>
      <w:pPr>
        <w:spacing w:after="0" w:line="240" w:lineRule="auto"/>
        <w:jc w:val="both"/>
        <w:sectPr>
          <w:headerReference w:type="default" r:id="rId16"/>
          <w:footerReference w:type="default" r:id="rId17"/>
          <w:pgSz w:w="11910" w:h="16840"/>
          <w:pgMar w:header="877" w:footer="1265" w:top="1100" w:bottom="1460" w:left="920" w:right="0"/>
          <w:pgNumType w:start="31"/>
        </w:sectPr>
      </w:pPr>
    </w:p>
    <w:p>
      <w:pPr>
        <w:spacing w:line="240" w:lineRule="auto" w:before="13"/>
        <w:rPr>
          <w:rFonts w:ascii="宋体" w:hAnsi="宋体" w:cs="宋体" w:eastAsia="宋体" w:hint="default"/>
          <w:sz w:val="19"/>
          <w:szCs w:val="19"/>
        </w:rPr>
      </w:pPr>
      <w:r>
        <w:rPr/>
        <w:pict>
          <v:group style="position:absolute;margin-left:51pt;margin-top:71.759979pt;width:482.05pt;height:683.65pt;mso-position-horizontal-relative:page;mso-position-vertical-relative:page;z-index:-1638016" coordorigin="1020,1435" coordsize="9641,13673">
            <v:group style="position:absolute;left:1030;top:1445;width:9622;height:2" coordorigin="1030,1445" coordsize="9622,2">
              <v:shape style="position:absolute;left:1030;top:1445;width:9622;height:2" coordorigin="1030,1445" coordsize="9622,0" path="m1030,1445l10651,1445e" filled="false" stroked="true" strokeweight=".48pt" strokecolor="#000000">
                <v:path arrowok="t"/>
              </v:shape>
            </v:group>
            <v:group style="position:absolute;left:1025;top:1440;width:2;height:13664" coordorigin="1025,1440" coordsize="2,13664">
              <v:shape style="position:absolute;left:1025;top:1440;width:2;height:13664" coordorigin="1025,1440" coordsize="0,13664" path="m1025,1440l1025,15103e" filled="false" stroked="true" strokeweight=".48pt" strokecolor="#000000">
                <v:path arrowok="t"/>
              </v:shape>
            </v:group>
            <v:group style="position:absolute;left:1030;top:15098;width:9622;height:2" coordorigin="1030,15098" coordsize="9622,2">
              <v:shape style="position:absolute;left:1030;top:15098;width:9622;height:2" coordorigin="1030,15098" coordsize="9622,0" path="m1030,15098l10651,15098e" filled="false" stroked="true" strokeweight=".48004pt" strokecolor="#000000">
                <v:path arrowok="t"/>
              </v:shape>
            </v:group>
            <v:group style="position:absolute;left:10656;top:1440;width:2;height:13664" coordorigin="10656,1440" coordsize="2,13664">
              <v:shape style="position:absolute;left:10656;top:1440;width:2;height:13664" coordorigin="10656,1440" coordsize="0,13664" path="m10656,1440l10656,15103e" filled="false" stroked="true" strokeweight=".47998pt" strokecolor="#000000">
                <v:path arrowok="t"/>
              </v:shape>
            </v:group>
            <w10:wrap type="none"/>
          </v:group>
        </w:pict>
      </w:r>
    </w:p>
    <w:p>
      <w:pPr>
        <w:pStyle w:val="BodyText"/>
        <w:spacing w:line="240" w:lineRule="auto"/>
        <w:ind w:left="212" w:right="0"/>
        <w:jc w:val="both"/>
      </w:pP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p>
    <w:p>
      <w:pPr>
        <w:pStyle w:val="BodyText"/>
        <w:spacing w:line="240" w:lineRule="auto" w:before="117"/>
        <w:ind w:left="212" w:right="0"/>
        <w:jc w:val="both"/>
      </w:pP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p>
    <w:p>
      <w:pPr>
        <w:pStyle w:val="BodyText"/>
        <w:spacing w:line="240" w:lineRule="auto" w:before="119"/>
        <w:ind w:left="212" w:right="0"/>
        <w:jc w:val="both"/>
        <w:rPr>
          <w:rFonts w:ascii="Times New Roman" w:hAnsi="Times New Roman" w:cs="Times New Roman" w:eastAsia="Times New Roman" w:hint="default"/>
        </w:rPr>
      </w:pP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8</w:t>
      </w:r>
    </w:p>
    <w:p>
      <w:pPr>
        <w:pStyle w:val="BodyText"/>
        <w:spacing w:line="240" w:lineRule="auto" w:before="117"/>
        <w:ind w:left="212" w:right="0"/>
        <w:jc w:val="both"/>
        <w:rPr>
          <w:rFonts w:ascii="Times New Roman" w:hAnsi="Times New Roman" w:cs="Times New Roman" w:eastAsia="Times New Roman" w:hint="default"/>
        </w:rPr>
      </w:pP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12</w:t>
      </w:r>
    </w:p>
    <w:p>
      <w:pPr>
        <w:pStyle w:val="BodyText"/>
        <w:spacing w:line="240" w:lineRule="auto" w:before="117"/>
        <w:ind w:left="212" w:right="0"/>
        <w:jc w:val="both"/>
      </w:pP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日和</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日刊登在《证券时报》、《中国证券报》、</w:t>
      </w:r>
    </w:p>
    <w:p>
      <w:pPr>
        <w:pStyle w:val="BodyText"/>
        <w:spacing w:line="388" w:lineRule="auto" w:before="117"/>
        <w:ind w:left="633" w:right="1115" w:hanging="421"/>
        <w:jc w:val="left"/>
      </w:pPr>
      <w:r>
        <w:rPr/>
        <w:t>《上海证券报》、《证券日报》及巨潮资讯网的公告）</w:t>
      </w:r>
      <w:r>
        <w:rPr>
          <w:w w:val="100"/>
        </w:rPr>
        <w:t> </w:t>
      </w:r>
      <w:r>
        <w:rPr>
          <w:spacing w:val="-3"/>
        </w:rPr>
        <w:t>根据重大资产重组相关规定，截至本报告披露日，中农网加期审计工作已基本完成，公司备考合并</w:t>
      </w:r>
    </w:p>
    <w:p>
      <w:pPr>
        <w:pStyle w:val="BodyText"/>
        <w:spacing w:line="357" w:lineRule="auto" w:before="6"/>
        <w:ind w:left="212" w:right="1316"/>
        <w:jc w:val="both"/>
      </w:pPr>
      <w:r>
        <w:rPr>
          <w:spacing w:val="-3"/>
        </w:rPr>
        <w:t>财务报告及审阅报告已定稿，律师和独立财务顾问正在就尽职调查情况履行各自机构的内核程序。后续</w:t>
      </w:r>
      <w:r>
        <w:rPr>
          <w:spacing w:val="-21"/>
        </w:rPr>
        <w:t> </w:t>
      </w:r>
      <w:r>
        <w:rPr>
          <w:spacing w:val="-21"/>
        </w:rPr>
      </w:r>
      <w:r>
        <w:rPr>
          <w:spacing w:val="2"/>
        </w:rPr>
        <w:t>公司将另行召开董事会审议本次重大资产出售的最终方案及重组报告书等相关议案之后提交公司股东</w:t>
      </w:r>
      <w:r>
        <w:rPr>
          <w:spacing w:val="-39"/>
        </w:rPr>
        <w:t> </w:t>
      </w:r>
      <w:r>
        <w:rPr>
          <w:spacing w:val="-39"/>
        </w:rPr>
      </w:r>
      <w:r>
        <w:rPr>
          <w:spacing w:val="-2"/>
        </w:rPr>
        <w:t>大会审议。本次重大资产出售事项所涉及的公司董事会、股东大会决策是否能获得通过存在不确定性。</w:t>
      </w:r>
    </w:p>
    <w:p>
      <w:pPr>
        <w:pStyle w:val="Heading6"/>
        <w:spacing w:line="329" w:lineRule="exact"/>
        <w:ind w:left="635" w:right="1115"/>
        <w:jc w:val="left"/>
        <w:rPr>
          <w:b w:val="0"/>
          <w:bCs w:val="0"/>
        </w:rPr>
      </w:pPr>
      <w:r>
        <w:rPr/>
        <w:t>（</w:t>
      </w:r>
      <w:r>
        <w:rPr>
          <w:rFonts w:ascii="Times New Roman" w:hAnsi="Times New Roman" w:cs="Times New Roman" w:eastAsia="Times New Roman" w:hint="default"/>
        </w:rPr>
        <w:t>2</w:t>
      </w:r>
      <w:r>
        <w:rPr/>
        <w:t>）关于控股子公司天津海吉星公开挂牌转让其下属三家全资子公司</w:t>
      </w:r>
      <w:r>
        <w:rPr>
          <w:rFonts w:ascii="Times New Roman" w:hAnsi="Times New Roman" w:cs="Times New Roman" w:eastAsia="Times New Roman" w:hint="default"/>
        </w:rPr>
        <w:t>100%</w:t>
      </w:r>
      <w:r>
        <w:rPr/>
        <w:t>股权的事项</w:t>
      </w:r>
      <w:r>
        <w:rPr>
          <w:b w:val="0"/>
          <w:bCs w:val="0"/>
        </w:rPr>
      </w:r>
    </w:p>
    <w:p>
      <w:pPr>
        <w:pStyle w:val="BodyText"/>
        <w:spacing w:line="345" w:lineRule="auto" w:before="109"/>
        <w:ind w:left="212" w:right="1351" w:firstLine="420"/>
        <w:jc w:val="both"/>
      </w:pPr>
      <w:r>
        <w:rPr>
          <w:spacing w:val="-3"/>
        </w:rPr>
        <w:t>经公司第八届董事会第十四次会议及</w:t>
      </w:r>
      <w:r>
        <w:rPr>
          <w:rFonts w:ascii="Times New Roman" w:hAnsi="Times New Roman" w:cs="Times New Roman" w:eastAsia="Times New Roman" w:hint="default"/>
          <w:spacing w:val="-3"/>
        </w:rPr>
        <w:t>2018</w:t>
      </w:r>
      <w:r>
        <w:rPr>
          <w:spacing w:val="-3"/>
        </w:rPr>
        <w:t>年第五次临时股东大会审议通过，同意公司控股子公司天</w:t>
      </w:r>
      <w:r>
        <w:rPr>
          <w:w w:val="100"/>
        </w:rPr>
        <w:t> </w:t>
      </w:r>
      <w:r>
        <w:rPr/>
        <w:t>津海吉星以“股权转让</w:t>
      </w:r>
      <w:r>
        <w:rPr>
          <w:rFonts w:ascii="Times New Roman" w:hAnsi="Times New Roman" w:cs="Times New Roman" w:eastAsia="Times New Roman" w:hint="default"/>
        </w:rPr>
        <w:t>+</w:t>
      </w:r>
      <w:r>
        <w:rPr/>
        <w:t>代偿债务”的方式整体公开挂牌转让其持有的天津海吉星农产品电子商务有限</w:t>
      </w:r>
      <w:r>
        <w:rPr>
          <w:spacing w:val="-49"/>
        </w:rPr>
        <w:t> </w:t>
      </w:r>
      <w:r>
        <w:rPr>
          <w:spacing w:val="-49"/>
        </w:rPr>
      </w:r>
      <w:r>
        <w:rPr/>
        <w:t>公司、天津海吉星中央大厨房物流配送有限公司及天津海吉星冷链仓储有限公司三家全资子公司</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3"/>
        </w:rPr>
        <w:t>股权，并严格按照国有产权变动相关规定，聘请具有证券、期货从业资质的审计机构和评估机构对上述</w:t>
      </w:r>
      <w:r>
        <w:rPr>
          <w:spacing w:val="-25"/>
        </w:rPr>
        <w:t> </w:t>
      </w:r>
      <w:r>
        <w:rPr>
          <w:spacing w:val="-25"/>
        </w:rPr>
      </w:r>
      <w:r>
        <w:rPr>
          <w:spacing w:val="-3"/>
        </w:rPr>
        <w:t>三家子公司进行清产核资专项审计及资产评估，以不低于评估价值作为挂牌底价委托深圳联合产权交易</w:t>
      </w:r>
      <w:r>
        <w:rPr>
          <w:spacing w:val="-18"/>
        </w:rPr>
        <w:t> </w:t>
      </w:r>
      <w:r>
        <w:rPr>
          <w:spacing w:val="-18"/>
        </w:rPr>
      </w:r>
      <w:r>
        <w:rPr>
          <w:spacing w:val="-3"/>
        </w:rPr>
        <w:t>所履行公开挂牌转让程序，并要求受让方代上述三家子公司向天津海吉星偿还全部债务。天津海吉星按</w:t>
      </w:r>
      <w:r>
        <w:rPr>
          <w:spacing w:val="-19"/>
        </w:rPr>
        <w:t> </w:t>
      </w:r>
      <w:r>
        <w:rPr>
          <w:spacing w:val="-19"/>
        </w:rPr>
      </w:r>
      <w:r>
        <w:rPr>
          <w:spacing w:val="-3"/>
        </w:rPr>
        <w:t>照国有产权变动相关规定，聘请具有证券、期货从业资质的审计机构和评估机构对上述三家子公司进行</w:t>
      </w:r>
      <w:r>
        <w:rPr>
          <w:spacing w:val="-18"/>
        </w:rPr>
        <w:t> </w:t>
      </w:r>
      <w:r>
        <w:rPr>
          <w:spacing w:val="-18"/>
        </w:rPr>
      </w:r>
      <w:r>
        <w:rPr/>
        <w:t>清产核资专项审计及资产评估（评估基准日为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日委托深圳联合产权</w:t>
      </w:r>
      <w:r>
        <w:rPr>
          <w:spacing w:val="-40"/>
        </w:rPr>
        <w:t> </w:t>
      </w:r>
      <w:r>
        <w:rPr>
          <w:spacing w:val="-40"/>
        </w:rPr>
      </w:r>
      <w:r>
        <w:rPr/>
        <w:t>交易所履行公开挂牌转让程序，挂牌价格为</w:t>
      </w:r>
      <w:r>
        <w:rPr>
          <w:rFonts w:ascii="Times New Roman" w:hAnsi="Times New Roman" w:cs="Times New Roman" w:eastAsia="Times New Roman" w:hint="default"/>
        </w:rPr>
        <w:t>18,180.636605</w:t>
      </w:r>
      <w:r>
        <w:rPr/>
        <w:t>万元；其中，上述三家子公司</w:t>
      </w:r>
      <w:r>
        <w:rPr>
          <w:rFonts w:ascii="Times New Roman" w:hAnsi="Times New Roman" w:cs="Times New Roman" w:eastAsia="Times New Roman" w:hint="default"/>
        </w:rPr>
        <w:t>100%</w:t>
      </w:r>
      <w:r>
        <w:rPr/>
        <w:t>股权整体</w:t>
      </w:r>
      <w:r>
        <w:rPr>
          <w:spacing w:val="-6"/>
        </w:rPr>
        <w:t> </w:t>
      </w:r>
      <w:r>
        <w:rPr>
          <w:spacing w:val="-6"/>
        </w:rPr>
      </w:r>
      <w:r>
        <w:rPr/>
        <w:t>挂牌价格为</w:t>
      </w:r>
      <w:r>
        <w:rPr>
          <w:rFonts w:ascii="Times New Roman" w:hAnsi="Times New Roman" w:cs="Times New Roman" w:eastAsia="Times New Roman" w:hint="default"/>
        </w:rPr>
        <w:t>11,216.82</w:t>
      </w:r>
      <w:r>
        <w:rPr/>
        <w:t>万元，债权金额为</w:t>
      </w:r>
      <w:r>
        <w:rPr>
          <w:rFonts w:ascii="Times New Roman" w:hAnsi="Times New Roman" w:cs="Times New Roman" w:eastAsia="Times New Roman" w:hint="default"/>
        </w:rPr>
        <w:t>6,963.816605</w:t>
      </w:r>
      <w:r>
        <w:rPr/>
        <w:t>万元。</w:t>
      </w:r>
    </w:p>
    <w:p>
      <w:pPr>
        <w:pStyle w:val="BodyText"/>
        <w:spacing w:line="340" w:lineRule="auto" w:before="15"/>
        <w:ind w:left="212" w:right="1352" w:firstLine="420"/>
        <w:jc w:val="both"/>
      </w:pPr>
      <w:r>
        <w:rPr>
          <w:spacing w:val="-3"/>
        </w:rPr>
        <w:t>经深圳联合产权交易所履行公开挂牌征集投资者等相关程序后，深圳市万科物流投资有限公司被确</w:t>
      </w:r>
      <w:r>
        <w:rPr>
          <w:w w:val="100"/>
        </w:rPr>
        <w:t> </w:t>
      </w:r>
      <w:r>
        <w:rPr/>
        <w:t>认为该项目的受让方（与公司不存在关联关系），成交金额为</w:t>
      </w:r>
      <w:r>
        <w:rPr>
          <w:rFonts w:ascii="Times New Roman" w:hAnsi="Times New Roman" w:cs="Times New Roman" w:eastAsia="Times New Roman" w:hint="default"/>
        </w:rPr>
        <w:t>18,180.636605</w:t>
      </w:r>
      <w:r>
        <w:rPr/>
        <w:t>万元，其中，</w:t>
      </w:r>
      <w:r>
        <w:rPr>
          <w:rFonts w:ascii="Times New Roman" w:hAnsi="Times New Roman" w:cs="Times New Roman" w:eastAsia="Times New Roman" w:hint="default"/>
        </w:rPr>
        <w:t>6,963.816605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3"/>
        </w:rPr>
        <w:t>万元为债权转让款。</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5</w:t>
      </w:r>
      <w:r>
        <w:rPr>
          <w:spacing w:val="-3"/>
        </w:rPr>
        <w:t>日，天津海吉星与万科物流公司共同签订了《股权转让及债务代偿协议</w:t>
      </w:r>
      <w:r>
        <w:rPr>
          <w:spacing w:val="-14"/>
        </w:rPr>
        <w:t> </w:t>
      </w:r>
      <w:r>
        <w:rPr>
          <w:spacing w:val="-14"/>
        </w:rPr>
      </w:r>
      <w:r>
        <w:rPr>
          <w:spacing w:val="-2"/>
        </w:rPr>
        <w:t>书》。截至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日，天津海吉星已收到万科物流公司支付的三家子公司</w:t>
      </w:r>
      <w:r>
        <w:rPr>
          <w:rFonts w:ascii="Times New Roman" w:hAnsi="Times New Roman" w:cs="Times New Roman" w:eastAsia="Times New Roman" w:hint="default"/>
          <w:spacing w:val="-2"/>
        </w:rPr>
        <w:t>100%</w:t>
      </w:r>
      <w:r>
        <w:rPr>
          <w:spacing w:val="-2"/>
        </w:rPr>
        <w:t>股权转让款及债权</w:t>
      </w:r>
      <w:r>
        <w:rPr>
          <w:spacing w:val="-15"/>
        </w:rPr>
        <w:t> </w:t>
      </w:r>
      <w:r>
        <w:rPr>
          <w:spacing w:val="-15"/>
        </w:rPr>
      </w:r>
      <w:r>
        <w:rPr/>
        <w:t>转让款共计</w:t>
      </w:r>
      <w:r>
        <w:rPr>
          <w:rFonts w:ascii="Times New Roman" w:hAnsi="Times New Roman" w:cs="Times New Roman" w:eastAsia="Times New Roman" w:hint="default"/>
        </w:rPr>
        <w:t>18,180.636605</w:t>
      </w:r>
      <w:r>
        <w:rPr/>
        <w:t>万元。本事项相关款项已按约定结清。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日，上述三家子公司已完</w:t>
      </w:r>
      <w:r>
        <w:rPr>
          <w:spacing w:val="-42"/>
        </w:rPr>
        <w:t> </w:t>
      </w:r>
      <w:r>
        <w:rPr>
          <w:spacing w:val="-42"/>
        </w:rPr>
      </w:r>
      <w:r>
        <w:rPr>
          <w:spacing w:val="-3"/>
        </w:rPr>
        <w:t>成相关工商变更手续，天津海吉星不再持有上述三家子公司股权。本事项对公司</w:t>
      </w:r>
      <w:r>
        <w:rPr>
          <w:rFonts w:ascii="Times New Roman" w:hAnsi="Times New Roman" w:cs="Times New Roman" w:eastAsia="Times New Roman" w:hint="default"/>
          <w:spacing w:val="-3"/>
        </w:rPr>
        <w:t>2018</w:t>
      </w:r>
      <w:r>
        <w:rPr>
          <w:spacing w:val="-3"/>
        </w:rPr>
        <w:t>年度利润总额影响</w:t>
      </w:r>
      <w:r>
        <w:rPr>
          <w:spacing w:val="-14"/>
        </w:rPr>
        <w:t> </w:t>
      </w:r>
      <w:r>
        <w:rPr>
          <w:spacing w:val="-14"/>
        </w:rPr>
      </w:r>
      <w:r>
        <w:rPr/>
        <w:t>为人民币</w:t>
      </w:r>
      <w:r>
        <w:rPr>
          <w:rFonts w:ascii="Times New Roman" w:hAnsi="Times New Roman" w:cs="Times New Roman" w:eastAsia="Times New Roman" w:hint="default"/>
        </w:rPr>
        <w:t>9,585.16</w:t>
      </w:r>
      <w:r>
        <w:rPr/>
        <w:t>万元。</w:t>
      </w:r>
    </w:p>
    <w:p>
      <w:pPr>
        <w:pStyle w:val="BodyText"/>
        <w:spacing w:line="336" w:lineRule="auto" w:before="58"/>
        <w:ind w:left="212" w:right="1370" w:firstLine="420"/>
        <w:jc w:val="both"/>
      </w:pPr>
      <w:r>
        <w:rPr/>
        <w:t>（相关情况详见公司于</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6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7 </w:t>
      </w:r>
      <w:r>
        <w:rPr/>
        <w:t>日、</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日和</w:t>
      </w:r>
      <w:r>
        <w:rPr>
          <w:spacing w:val="-55"/>
        </w:rPr>
        <w:t> </w:t>
      </w:r>
      <w:r>
        <w:rPr>
          <w:rFonts w:ascii="Times New Roman" w:hAnsi="Times New Roman" w:cs="Times New Roman" w:eastAsia="Times New Roman" w:hint="default"/>
        </w:rPr>
        <w:t>9 </w:t>
      </w:r>
      <w:r>
        <w:rPr/>
        <w:t>月</w:t>
      </w:r>
      <w:r>
        <w:rPr>
          <w:spacing w:val="-52"/>
        </w:rPr>
        <w:t> </w:t>
      </w:r>
      <w:r>
        <w:rPr>
          <w:rFonts w:ascii="Times New Roman" w:hAnsi="Times New Roman" w:cs="Times New Roman" w:eastAsia="Times New Roman" w:hint="default"/>
        </w:rPr>
        <w:t>27 </w:t>
      </w:r>
      <w:r>
        <w:rPr/>
        <w:t>日在《证券时</w:t>
      </w:r>
      <w:r>
        <w:rPr>
          <w:w w:val="100"/>
        </w:rPr>
        <w:t> </w:t>
      </w:r>
      <w:r>
        <w:rPr/>
        <w:t>报》、《中国证券报》、《上海证券报》、《证券日报》和巨潮资讯网上刊登的公告）</w:t>
      </w:r>
    </w:p>
    <w:p>
      <w:pPr>
        <w:spacing w:line="338" w:lineRule="auto" w:before="23"/>
        <w:ind w:left="633" w:right="111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）关于全资子公司果菜公司公开挂牌转让益民公司 </w:t>
      </w:r>
      <w:r>
        <w:rPr>
          <w:rFonts w:ascii="Times New Roman" w:hAnsi="Times New Roman" w:cs="Times New Roman" w:eastAsia="Times New Roman" w:hint="default"/>
          <w:b/>
          <w:bCs/>
          <w:sz w:val="21"/>
          <w:szCs w:val="21"/>
        </w:rPr>
        <w:t>40%</w:t>
      </w:r>
      <w:r>
        <w:rPr>
          <w:rFonts w:ascii="Microsoft JhengHei" w:hAnsi="Microsoft JhengHei" w:cs="Microsoft JhengHei" w:eastAsia="Microsoft JhengHei" w:hint="default"/>
          <w:b/>
          <w:bCs/>
          <w:sz w:val="21"/>
          <w:szCs w:val="21"/>
        </w:rPr>
        <w:t>股权的事项</w:t>
      </w:r>
      <w:r>
        <w:rPr>
          <w:rFonts w:ascii="Microsoft JhengHei" w:hAnsi="Microsoft JhengHei" w:cs="Microsoft JhengHei" w:eastAsia="Microsoft JhengHei" w:hint="default"/>
          <w:b/>
          <w:bCs/>
          <w:spacing w:val="-35"/>
          <w:sz w:val="21"/>
          <w:szCs w:val="21"/>
        </w:rPr>
        <w:t> </w:t>
      </w:r>
      <w:r>
        <w:rPr>
          <w:rFonts w:ascii="宋体" w:hAnsi="宋体" w:cs="宋体" w:eastAsia="宋体" w:hint="default"/>
          <w:spacing w:val="-3"/>
          <w:sz w:val="21"/>
          <w:szCs w:val="21"/>
        </w:rPr>
        <w:t>经公司第八届董事会第三次会议及第五次会议审议通过，同意全资子公司深圳市果菜贸易有限公司</w:t>
      </w:r>
    </w:p>
    <w:p>
      <w:pPr>
        <w:pStyle w:val="BodyText"/>
        <w:spacing w:line="240" w:lineRule="auto" w:before="49"/>
        <w:ind w:left="212" w:right="0"/>
        <w:jc w:val="both"/>
      </w:pPr>
      <w:r>
        <w:rPr/>
        <w:t>联合其全资子公司深圳市深港通果菜运输有限公司将合计持有的深圳市益民食品联合有限公司  </w:t>
      </w:r>
      <w:r>
        <w:rPr>
          <w:rFonts w:ascii="Times New Roman" w:hAnsi="Times New Roman" w:cs="Times New Roman" w:eastAsia="Times New Roman" w:hint="default"/>
        </w:rPr>
        <w:t>40%</w:t>
      </w:r>
      <w:r>
        <w:rPr/>
        <w:t>股</w:t>
      </w:r>
    </w:p>
    <w:p>
      <w:pPr>
        <w:spacing w:after="0" w:line="240" w:lineRule="auto"/>
        <w:jc w:val="both"/>
        <w:sectPr>
          <w:pgSz w:w="11910" w:h="16840"/>
          <w:pgMar w:header="877" w:footer="1265" w:top="1100" w:bottom="1460" w:left="920" w:right="0"/>
        </w:sectPr>
      </w:pPr>
    </w:p>
    <w:p>
      <w:pPr>
        <w:spacing w:line="240" w:lineRule="auto" w:before="13"/>
        <w:rPr>
          <w:rFonts w:ascii="宋体" w:hAnsi="宋体" w:cs="宋体" w:eastAsia="宋体" w:hint="default"/>
          <w:sz w:val="19"/>
          <w:szCs w:val="19"/>
        </w:rPr>
      </w:pPr>
      <w:r>
        <w:rPr/>
        <w:pict>
          <v:group style="position:absolute;margin-left:51pt;margin-top:71.759979pt;width:482.05pt;height:687.6pt;mso-position-horizontal-relative:page;mso-position-vertical-relative:page;z-index:-1637992" coordorigin="1020,1435" coordsize="9641,13752">
            <v:group style="position:absolute;left:1030;top:1445;width:9622;height:2" coordorigin="1030,1445" coordsize="9622,2">
              <v:shape style="position:absolute;left:1030;top:1445;width:9622;height:2" coordorigin="1030,1445" coordsize="9622,0" path="m1030,1445l10651,1445e" filled="false" stroked="true" strokeweight=".48pt" strokecolor="#000000">
                <v:path arrowok="t"/>
              </v:shape>
            </v:group>
            <v:group style="position:absolute;left:1025;top:1440;width:2;height:13743" coordorigin="1025,1440" coordsize="2,13743">
              <v:shape style="position:absolute;left:1025;top:1440;width:2;height:13743" coordorigin="1025,1440" coordsize="0,13743" path="m1025,1440l1025,15182e" filled="false" stroked="true" strokeweight=".48pt" strokecolor="#000000">
                <v:path arrowok="t"/>
              </v:shape>
            </v:group>
            <v:group style="position:absolute;left:1030;top:15178;width:9622;height:2" coordorigin="1030,15178" coordsize="9622,2">
              <v:shape style="position:absolute;left:1030;top:15178;width:9622;height:2" coordorigin="1030,15178" coordsize="9622,0" path="m1030,15178l10651,15178e" filled="false" stroked="true" strokeweight=".47998pt" strokecolor="#000000">
                <v:path arrowok="t"/>
              </v:shape>
            </v:group>
            <v:group style="position:absolute;left:10656;top:1440;width:2;height:13743" coordorigin="10656,1440" coordsize="2,13743">
              <v:shape style="position:absolute;left:10656;top:1440;width:2;height:13743" coordorigin="10656,1440" coordsize="0,13743" path="m10656,1440l10656,15182e" filled="false" stroked="true" strokeweight=".47998pt" strokecolor="#000000">
                <v:path arrowok="t"/>
              </v:shape>
            </v:group>
            <w10:wrap type="none"/>
          </v:group>
        </w:pict>
      </w:r>
    </w:p>
    <w:p>
      <w:pPr>
        <w:pStyle w:val="BodyText"/>
        <w:spacing w:line="357" w:lineRule="auto"/>
        <w:ind w:left="212" w:right="1248"/>
        <w:jc w:val="both"/>
      </w:pPr>
      <w:r>
        <w:rPr>
          <w:spacing w:val="-3"/>
        </w:rPr>
        <w:t>权连同对益民公司的全部债权委托深圳联合产权交易所公开挂牌征集求购方。公司严格按照国有产权变</w:t>
      </w:r>
      <w:r>
        <w:rPr>
          <w:spacing w:val="-18"/>
        </w:rPr>
        <w:t> </w:t>
      </w:r>
      <w:r>
        <w:rPr>
          <w:spacing w:val="-18"/>
        </w:rPr>
      </w:r>
      <w:r>
        <w:rPr>
          <w:spacing w:val="-3"/>
        </w:rPr>
        <w:t>动相关规定，聘请具有证券、期货从业资质的审计机构和评估机构，履行清产核资专项审计及资产评估</w:t>
      </w:r>
      <w:r>
        <w:rPr>
          <w:spacing w:val="-21"/>
        </w:rPr>
        <w:t> </w:t>
      </w:r>
      <w:r>
        <w:rPr>
          <w:spacing w:val="-21"/>
        </w:rPr>
      </w:r>
      <w:r>
        <w:rPr>
          <w:spacing w:val="-3"/>
        </w:rPr>
        <w:t>相关工作，并委托深圳联合产权交易所履行公开挂牌征集投资者等相关程序后，最终，深圳市盈信国富</w:t>
      </w:r>
      <w:r>
        <w:rPr>
          <w:spacing w:val="-19"/>
        </w:rPr>
        <w:t> </w:t>
      </w:r>
      <w:r>
        <w:rPr>
          <w:spacing w:val="-19"/>
        </w:rPr>
      </w:r>
      <w:r>
        <w:rPr>
          <w:spacing w:val="-4"/>
        </w:rPr>
        <w:t>资产管理有限公司被确认为该项目的受让方（与公司不存在关联关系），成交金额为 </w:t>
      </w:r>
      <w:r>
        <w:rPr>
          <w:rFonts w:ascii="Times New Roman" w:hAnsi="Times New Roman" w:cs="Times New Roman" w:eastAsia="Times New Roman" w:hint="default"/>
        </w:rPr>
        <w:t>5,260</w:t>
      </w:r>
      <w:r>
        <w:rPr>
          <w:rFonts w:ascii="Times New Roman" w:hAnsi="Times New Roman" w:cs="Times New Roman" w:eastAsia="Times New Roman" w:hint="default"/>
          <w:spacing w:val="33"/>
        </w:rPr>
        <w:t> </w:t>
      </w:r>
      <w:r>
        <w:rPr>
          <w:spacing w:val="-6"/>
        </w:rPr>
        <w:t>万元，其中，</w:t>
      </w:r>
    </w:p>
    <w:p>
      <w:pPr>
        <w:pStyle w:val="BodyText"/>
        <w:spacing w:line="240" w:lineRule="auto" w:before="3"/>
        <w:ind w:left="212" w:right="0"/>
        <w:jc w:val="both"/>
      </w:pPr>
      <w:r>
        <w:rPr>
          <w:rFonts w:ascii="Times New Roman" w:hAnsi="Times New Roman" w:cs="Times New Roman" w:eastAsia="Times New Roman" w:hint="default"/>
          <w:spacing w:val="-1"/>
        </w:rPr>
        <w:t>3,277.532505</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spacing w:val="-2"/>
        </w:rPr>
        <w:t>万元为债权转让款。果菜公司、深港通公司与盈信国富公司共同签订了《股权及债权转让</w:t>
      </w:r>
    </w:p>
    <w:p>
      <w:pPr>
        <w:pStyle w:val="BodyText"/>
        <w:spacing w:line="240" w:lineRule="auto" w:before="117"/>
        <w:ind w:left="212" w:right="0"/>
        <w:jc w:val="both"/>
      </w:pPr>
      <w:r>
        <w:rPr/>
        <w:t>协议书》，根据协议约定，本次交易成交总价款采取分期付款方式支付，</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日，盈信国富</w:t>
      </w:r>
    </w:p>
    <w:p>
      <w:pPr>
        <w:pStyle w:val="BodyText"/>
        <w:spacing w:line="240" w:lineRule="auto" w:before="117"/>
        <w:ind w:left="212" w:right="0"/>
        <w:jc w:val="both"/>
      </w:pPr>
      <w:r>
        <w:rPr/>
        <w:t>公司支付了本次交易的首期款项</w:t>
      </w:r>
      <w:r>
        <w:rPr>
          <w:spacing w:val="-50"/>
        </w:rPr>
        <w:t> </w:t>
      </w:r>
      <w:r>
        <w:rPr>
          <w:rFonts w:ascii="Times New Roman" w:hAnsi="Times New Roman" w:cs="Times New Roman" w:eastAsia="Times New Roman" w:hint="default"/>
        </w:rPr>
        <w:t>2,128</w:t>
      </w:r>
      <w:r>
        <w:rPr>
          <w:rFonts w:ascii="Times New Roman" w:hAnsi="Times New Roman" w:cs="Times New Roman" w:eastAsia="Times New Roman" w:hint="default"/>
          <w:spacing w:val="2"/>
        </w:rPr>
        <w:t> </w:t>
      </w:r>
      <w:r>
        <w:rPr/>
        <w:t>万元。鉴于果菜公司与益民公司的债务关系已转移至盈信国富公</w:t>
      </w:r>
    </w:p>
    <w:p>
      <w:pPr>
        <w:pStyle w:val="BodyText"/>
        <w:spacing w:line="240" w:lineRule="auto" w:before="117"/>
        <w:ind w:left="212" w:right="0"/>
        <w:jc w:val="both"/>
      </w:pPr>
      <w:r>
        <w:rPr/>
        <w:t>司，果菜公司已于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年转回原对益民公司历史债务计提的坏账准备</w:t>
      </w:r>
      <w:r>
        <w:rPr>
          <w:spacing w:val="-54"/>
        </w:rPr>
        <w:t> </w:t>
      </w:r>
      <w:r>
        <w:rPr>
          <w:rFonts w:ascii="Times New Roman" w:hAnsi="Times New Roman" w:cs="Times New Roman" w:eastAsia="Times New Roman" w:hint="default"/>
        </w:rPr>
        <w:t>1,780.12</w:t>
      </w:r>
      <w:r>
        <w:rPr>
          <w:rFonts w:ascii="Times New Roman" w:hAnsi="Times New Roman" w:cs="Times New Roman" w:eastAsia="Times New Roman" w:hint="default"/>
          <w:spacing w:val="-2"/>
        </w:rPr>
        <w:t> </w:t>
      </w:r>
      <w:r>
        <w:rPr/>
        <w:t>万元。</w:t>
      </w:r>
    </w:p>
    <w:p>
      <w:pPr>
        <w:pStyle w:val="BodyText"/>
        <w:spacing w:line="240" w:lineRule="auto" w:before="161"/>
        <w:ind w:left="633" w:right="111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3"/>
        </w:rPr>
        <w:t>日，果菜公司收到盈信国富公司支付本事项的剩余款项</w:t>
      </w:r>
      <w:r>
        <w:rPr>
          <w:spacing w:val="-48"/>
        </w:rPr>
        <w:t> </w:t>
      </w:r>
      <w:r>
        <w:rPr>
          <w:rFonts w:ascii="Times New Roman" w:hAnsi="Times New Roman" w:cs="Times New Roman" w:eastAsia="Times New Roman" w:hint="default"/>
        </w:rPr>
        <w:t>3,132</w:t>
      </w:r>
      <w:r>
        <w:rPr>
          <w:rFonts w:ascii="Times New Roman" w:hAnsi="Times New Roman" w:cs="Times New Roman" w:eastAsia="Times New Roman" w:hint="default"/>
          <w:spacing w:val="4"/>
        </w:rPr>
        <w:t> </w:t>
      </w:r>
      <w:r>
        <w:rPr/>
        <w:t>万元及根据协议约定</w:t>
      </w:r>
    </w:p>
    <w:p>
      <w:pPr>
        <w:pStyle w:val="BodyText"/>
        <w:spacing w:line="240" w:lineRule="auto" w:before="117"/>
        <w:ind w:left="212" w:right="0"/>
        <w:jc w:val="both"/>
      </w:pPr>
      <w:r>
        <w:rPr/>
        <w:t>应支付的利息</w:t>
      </w:r>
      <w:r>
        <w:rPr>
          <w:spacing w:val="-53"/>
        </w:rPr>
        <w:t> </w:t>
      </w:r>
      <w:r>
        <w:rPr>
          <w:rFonts w:ascii="Times New Roman" w:hAnsi="Times New Roman" w:cs="Times New Roman" w:eastAsia="Times New Roman" w:hint="default"/>
        </w:rPr>
        <w:t>134.7282</w:t>
      </w:r>
      <w:r>
        <w:rPr>
          <w:rFonts w:ascii="Times New Roman" w:hAnsi="Times New Roman" w:cs="Times New Roman" w:eastAsia="Times New Roman" w:hint="default"/>
          <w:spacing w:val="-4"/>
        </w:rPr>
        <w:t> </w:t>
      </w:r>
      <w:r>
        <w:rPr/>
        <w:t>万元，本事项相关款项已按约定结清。本事项对公司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年度利润总额影响为</w:t>
      </w:r>
    </w:p>
    <w:p>
      <w:pPr>
        <w:pStyle w:val="BodyText"/>
        <w:spacing w:line="336" w:lineRule="auto" w:before="117"/>
        <w:ind w:left="212" w:right="1354"/>
        <w:jc w:val="both"/>
      </w:pPr>
      <w:r>
        <w:rPr/>
        <w:t>人民币 </w:t>
      </w:r>
      <w:r>
        <w:rPr>
          <w:rFonts w:ascii="Times New Roman" w:hAnsi="Times New Roman" w:cs="Times New Roman" w:eastAsia="Times New Roman" w:hint="default"/>
        </w:rPr>
        <w:t>914.46 </w:t>
      </w:r>
      <w:r>
        <w:rPr>
          <w:spacing w:val="-4"/>
        </w:rPr>
        <w:t>万元。截至本报告披露日，益民公司已完成相关工商变更手续，果菜公司及深港通公司不</w:t>
      </w:r>
      <w:r>
        <w:rPr>
          <w:spacing w:val="-102"/>
        </w:rPr>
        <w:t> </w:t>
      </w:r>
      <w:r>
        <w:rPr>
          <w:spacing w:val="-102"/>
        </w:rPr>
      </w:r>
      <w:r>
        <w:rPr/>
        <w:t>再持有益民公司股权。</w:t>
      </w:r>
    </w:p>
    <w:p>
      <w:pPr>
        <w:pStyle w:val="BodyText"/>
        <w:spacing w:line="240" w:lineRule="auto" w:before="92"/>
        <w:ind w:left="633" w:right="1115"/>
        <w:jc w:val="left"/>
        <w:rPr>
          <w:rFonts w:ascii="Times New Roman" w:hAnsi="Times New Roman" w:cs="Times New Roman" w:eastAsia="Times New Roman" w:hint="default"/>
        </w:rPr>
      </w:pPr>
      <w:r>
        <w:rPr/>
        <w:t>（相关情况详见公司于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3"/>
        </w:rPr>
        <w:t>日、</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22</w:t>
      </w:r>
    </w:p>
    <w:p>
      <w:pPr>
        <w:pStyle w:val="BodyText"/>
        <w:spacing w:line="240" w:lineRule="auto" w:before="117"/>
        <w:ind w:left="212" w:right="0"/>
        <w:jc w:val="both"/>
      </w:pPr>
      <w:r>
        <w:rPr>
          <w:spacing w:val="-3"/>
        </w:rPr>
        <w:t>日、</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日和</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5"/>
        </w:rPr>
        <w:t>日在《证券时报》、《中国证券报》、《上海证券报》、《证</w:t>
      </w:r>
    </w:p>
    <w:p>
      <w:pPr>
        <w:pStyle w:val="BodyText"/>
        <w:spacing w:line="240" w:lineRule="auto" w:before="117"/>
        <w:ind w:left="212" w:right="0"/>
        <w:jc w:val="both"/>
      </w:pPr>
      <w:r>
        <w:rPr/>
        <w:t>券日报》和巨潮资讯网上刊登的公告及</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日和</w:t>
      </w:r>
      <w:r>
        <w:rPr>
          <w:spacing w:val="-55"/>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31 </w:t>
      </w:r>
      <w:r>
        <w:rPr/>
        <w:t>日在巨潮资讯网上刊登的公告）</w:t>
      </w:r>
    </w:p>
    <w:p>
      <w:pPr>
        <w:spacing w:line="340" w:lineRule="auto" w:before="89"/>
        <w:ind w:left="633" w:right="111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）关于公开挂牌转让控股子公司云南东盟公司 </w:t>
      </w:r>
      <w:r>
        <w:rPr>
          <w:rFonts w:ascii="Times New Roman" w:hAnsi="Times New Roman" w:cs="Times New Roman" w:eastAsia="Times New Roman" w:hint="default"/>
          <w:b/>
          <w:bCs/>
          <w:sz w:val="21"/>
          <w:szCs w:val="21"/>
        </w:rPr>
        <w:t>60%</w:t>
      </w:r>
      <w:r>
        <w:rPr>
          <w:rFonts w:ascii="Microsoft JhengHei" w:hAnsi="Microsoft JhengHei" w:cs="Microsoft JhengHei" w:eastAsia="Microsoft JhengHei" w:hint="default"/>
          <w:b/>
          <w:bCs/>
          <w:sz w:val="21"/>
          <w:szCs w:val="21"/>
        </w:rPr>
        <w:t>股权的事项</w:t>
      </w:r>
      <w:r>
        <w:rPr>
          <w:rFonts w:ascii="Microsoft JhengHei" w:hAnsi="Microsoft JhengHei" w:cs="Microsoft JhengHei" w:eastAsia="Microsoft JhengHei" w:hint="default"/>
          <w:b/>
          <w:bCs/>
          <w:spacing w:val="-37"/>
          <w:sz w:val="21"/>
          <w:szCs w:val="21"/>
        </w:rPr>
        <w:t> </w:t>
      </w:r>
      <w:r>
        <w:rPr>
          <w:rFonts w:ascii="宋体" w:hAnsi="宋体" w:cs="宋体" w:eastAsia="宋体" w:hint="default"/>
          <w:spacing w:val="-2"/>
          <w:sz w:val="21"/>
          <w:szCs w:val="21"/>
        </w:rPr>
        <w:t>经公司第八届董事会第六次会议审议通过，同意公司以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股权转让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代偿债务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的方式公开挂牌转让</w:t>
      </w:r>
    </w:p>
    <w:p>
      <w:pPr>
        <w:pStyle w:val="BodyText"/>
        <w:spacing w:line="343" w:lineRule="auto" w:before="19"/>
        <w:ind w:left="212" w:right="1354"/>
        <w:jc w:val="both"/>
      </w:pPr>
      <w:r>
        <w:rPr/>
        <w:t>公司持有云南东盟国际农产品物流有限公司</w:t>
      </w:r>
      <w:r>
        <w:rPr>
          <w:spacing w:val="-23"/>
        </w:rPr>
        <w:t> </w:t>
      </w:r>
      <w:r>
        <w:rPr>
          <w:rFonts w:ascii="Times New Roman" w:hAnsi="Times New Roman" w:cs="Times New Roman" w:eastAsia="Times New Roman" w:hint="default"/>
          <w:spacing w:val="-4"/>
        </w:rPr>
        <w:t>60%</w:t>
      </w:r>
      <w:r>
        <w:rPr>
          <w:spacing w:val="-4"/>
        </w:rPr>
        <w:t>股权，并严格按照国有产权变动相关规定，聘请具有证</w:t>
      </w:r>
      <w:r>
        <w:rPr>
          <w:spacing w:val="-93"/>
        </w:rPr>
        <w:t> </w:t>
      </w:r>
      <w:r>
        <w:rPr>
          <w:spacing w:val="-93"/>
        </w:rPr>
      </w:r>
      <w:r>
        <w:rPr>
          <w:spacing w:val="-3"/>
        </w:rPr>
        <w:t>券、期货从业资质的审计机构和评估机构，履行清产核资专项审计及资产评估相关工作，以不低于评估</w:t>
      </w:r>
      <w:r>
        <w:rPr>
          <w:spacing w:val="-21"/>
        </w:rPr>
        <w:t> </w:t>
      </w:r>
      <w:r>
        <w:rPr>
          <w:spacing w:val="-21"/>
        </w:rPr>
      </w:r>
      <w:r>
        <w:rPr/>
        <w:t>价值作为挂牌底价委托深圳联合产权交易所公开挂牌转让云南东盟公司</w:t>
      </w:r>
      <w:r>
        <w:rPr>
          <w:spacing w:val="-36"/>
        </w:rPr>
        <w:t> </w:t>
      </w:r>
      <w:r>
        <w:rPr>
          <w:rFonts w:ascii="Times New Roman" w:hAnsi="Times New Roman" w:cs="Times New Roman" w:eastAsia="Times New Roman" w:hint="default"/>
          <w:spacing w:val="-6"/>
        </w:rPr>
        <w:t>60%</w:t>
      </w:r>
      <w:r>
        <w:rPr>
          <w:spacing w:val="-6"/>
        </w:rPr>
        <w:t>股权。云南东盟公司股东全</w:t>
      </w:r>
      <w:r>
        <w:rPr>
          <w:spacing w:val="-98"/>
        </w:rPr>
        <w:t> </w:t>
      </w:r>
      <w:r>
        <w:rPr>
          <w:spacing w:val="-98"/>
        </w:rPr>
      </w:r>
      <w:r>
        <w:rPr/>
        <w:t>部权益于评估基准日</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日的评估值为</w:t>
      </w:r>
      <w:r>
        <w:rPr>
          <w:spacing w:val="-55"/>
        </w:rPr>
        <w:t> </w:t>
      </w:r>
      <w:r>
        <w:rPr>
          <w:rFonts w:ascii="Times New Roman" w:hAnsi="Times New Roman" w:cs="Times New Roman" w:eastAsia="Times New Roman" w:hint="default"/>
        </w:rPr>
        <w:t>13,498.28 </w:t>
      </w:r>
      <w:r>
        <w:rPr/>
        <w:t>万元，即云南东盟公司</w:t>
      </w:r>
      <w:r>
        <w:rPr>
          <w:spacing w:val="-53"/>
        </w:rPr>
        <w:t> </w:t>
      </w:r>
      <w:r>
        <w:rPr>
          <w:rFonts w:ascii="Times New Roman" w:hAnsi="Times New Roman" w:cs="Times New Roman" w:eastAsia="Times New Roman" w:hint="default"/>
        </w:rPr>
        <w:t>60%</w:t>
      </w:r>
      <w:r>
        <w:rPr/>
        <w:t>股权对应评估</w:t>
      </w:r>
    </w:p>
    <w:p>
      <w:pPr>
        <w:pStyle w:val="BodyText"/>
        <w:spacing w:line="240" w:lineRule="auto" w:before="17"/>
        <w:ind w:left="212" w:right="0"/>
        <w:jc w:val="both"/>
      </w:pPr>
      <w:r>
        <w:rPr/>
        <w:t>值为</w:t>
      </w:r>
      <w:r>
        <w:rPr>
          <w:spacing w:val="-49"/>
        </w:rPr>
        <w:t> </w:t>
      </w:r>
      <w:r>
        <w:rPr>
          <w:rFonts w:ascii="Times New Roman" w:hAnsi="Times New Roman" w:cs="Times New Roman" w:eastAsia="Times New Roman" w:hint="default"/>
        </w:rPr>
        <w:t>8,098.968</w:t>
      </w:r>
      <w:r>
        <w:rPr>
          <w:rFonts w:ascii="Times New Roman" w:hAnsi="Times New Roman" w:cs="Times New Roman" w:eastAsia="Times New Roman" w:hint="default"/>
          <w:spacing w:val="-1"/>
        </w:rPr>
        <w:t> </w:t>
      </w:r>
      <w:r>
        <w:rPr>
          <w:spacing w:val="-3"/>
        </w:rPr>
        <w:t>万元。公司委托深圳联交所履行公开挂牌程序，截至</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日即挂牌信息披露</w:t>
      </w:r>
    </w:p>
    <w:p>
      <w:pPr>
        <w:pStyle w:val="BodyText"/>
        <w:spacing w:line="345" w:lineRule="auto" w:before="120"/>
        <w:ind w:left="212" w:right="1249"/>
        <w:jc w:val="both"/>
      </w:pPr>
      <w:r>
        <w:rPr>
          <w:spacing w:val="-3"/>
        </w:rPr>
        <w:t>期满时，未征集到意向受让方。截至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3"/>
        </w:rPr>
        <w:t>日，云南东盟公司评估报告已到期，如公司继续转</w:t>
      </w:r>
      <w:r>
        <w:rPr>
          <w:spacing w:val="-85"/>
        </w:rPr>
        <w:t> </w:t>
      </w:r>
      <w:r>
        <w:rPr>
          <w:spacing w:val="-85"/>
        </w:rPr>
      </w:r>
      <w:r>
        <w:rPr>
          <w:spacing w:val="-3"/>
        </w:rPr>
        <w:t>让云南东盟公司股权，公司将根据有关规定另行履行相关程序和信息披露义务。（相关情况详见公司于</w:t>
      </w:r>
      <w:r>
        <w:rPr>
          <w:spacing w:val="-17"/>
        </w:rPr>
        <w:t> </w:t>
      </w:r>
      <w:r>
        <w:rPr>
          <w:spacing w:val="-17"/>
        </w:rPr>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9 </w:t>
      </w:r>
      <w:r>
        <w:rPr/>
        <w:t>月</w:t>
      </w:r>
      <w:r>
        <w:rPr>
          <w:spacing w:val="-49"/>
        </w:rPr>
        <w:t> </w:t>
      </w:r>
      <w:r>
        <w:rPr>
          <w:rFonts w:ascii="Times New Roman" w:hAnsi="Times New Roman" w:cs="Times New Roman" w:eastAsia="Times New Roman" w:hint="default"/>
        </w:rPr>
        <w:t>27 </w:t>
      </w:r>
      <w:r>
        <w:rPr>
          <w:spacing w:val="-5"/>
        </w:rPr>
        <w:t>日、</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日和</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7"/>
        </w:rPr>
        <w:t>日在《证券时报》、《中国证券报》、《上海证券报》、</w:t>
      </w:r>
    </w:p>
    <w:p>
      <w:pPr>
        <w:pStyle w:val="BodyText"/>
        <w:spacing w:line="240" w:lineRule="auto" w:before="12"/>
        <w:ind w:left="212" w:right="0"/>
        <w:jc w:val="both"/>
      </w:pPr>
      <w:r>
        <w:rPr/>
        <w:t>《证券日报》和巨潮资讯网上刊登的公告）</w:t>
      </w:r>
    </w:p>
    <w:p>
      <w:pPr>
        <w:pStyle w:val="Heading6"/>
        <w:spacing w:line="240" w:lineRule="auto" w:before="107"/>
        <w:ind w:left="635" w:right="1115"/>
        <w:jc w:val="left"/>
        <w:rPr>
          <w:b w:val="0"/>
          <w:bCs w:val="0"/>
        </w:rPr>
      </w:pPr>
      <w:r>
        <w:rPr/>
        <w:t>（</w:t>
      </w:r>
      <w:r>
        <w:rPr>
          <w:rFonts w:ascii="Times New Roman" w:hAnsi="Times New Roman" w:cs="Times New Roman" w:eastAsia="Times New Roman" w:hint="default"/>
        </w:rPr>
        <w:t>5</w:t>
      </w:r>
      <w:r>
        <w:rPr/>
        <w:t>）关于公开挂牌转让全资子公司吉农公司</w:t>
      </w:r>
      <w:r>
        <w:rPr>
          <w:spacing w:val="19"/>
        </w:rPr>
        <w:t> </w:t>
      </w:r>
      <w:r>
        <w:rPr>
          <w:rFonts w:ascii="Times New Roman" w:hAnsi="Times New Roman" w:cs="Times New Roman" w:eastAsia="Times New Roman" w:hint="default"/>
        </w:rPr>
        <w:t>100%</w:t>
      </w:r>
      <w:r>
        <w:rPr/>
        <w:t>股权的事项</w:t>
      </w:r>
      <w:r>
        <w:rPr>
          <w:b w:val="0"/>
          <w:bCs w:val="0"/>
        </w:rPr>
      </w:r>
    </w:p>
    <w:p>
      <w:pPr>
        <w:pStyle w:val="BodyText"/>
        <w:spacing w:line="340" w:lineRule="auto" w:before="152"/>
        <w:ind w:left="212" w:right="1115" w:firstLine="420"/>
        <w:jc w:val="left"/>
      </w:pPr>
      <w:r>
        <w:rPr/>
        <w:t>经公司第八届董事会第四次会议及</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年第四次临时股东大会审议通过，同意公司通过公开挂牌</w:t>
      </w:r>
      <w:r>
        <w:rPr>
          <w:w w:val="100"/>
        </w:rPr>
        <w:t> </w:t>
      </w:r>
      <w:r>
        <w:rPr/>
        <w:t>方式转让上海吉农创业投资有限公司</w:t>
      </w:r>
      <w:r>
        <w:rPr>
          <w:spacing w:val="-54"/>
        </w:rPr>
        <w:t> </w:t>
      </w:r>
      <w:r>
        <w:rPr>
          <w:rFonts w:ascii="Times New Roman" w:hAnsi="Times New Roman" w:cs="Times New Roman" w:eastAsia="Times New Roman" w:hint="default"/>
        </w:rPr>
        <w:t>100%</w:t>
      </w:r>
      <w:r>
        <w:rPr/>
        <w:t>股权，并严格按照国有产权变动相关规定，聘请具有证券、</w:t>
      </w:r>
      <w:r>
        <w:rPr>
          <w:w w:val="100"/>
        </w:rPr>
        <w:t> </w:t>
      </w:r>
      <w:r>
        <w:rPr>
          <w:spacing w:val="-3"/>
        </w:rPr>
        <w:t>期货从业资质的审计机构和评估机构，履行清产核资专项审计及资产评估相关工作，以不低于评估价值</w:t>
      </w:r>
      <w:r>
        <w:rPr>
          <w:spacing w:val="-19"/>
        </w:rPr>
        <w:t> </w:t>
      </w:r>
      <w:r>
        <w:rPr>
          <w:spacing w:val="-19"/>
        </w:rPr>
      </w:r>
      <w:r>
        <w:rPr/>
        <w:t>作为挂牌底价委托深圳联合产权交易所公开挂牌转让吉农公司</w:t>
      </w:r>
      <w:r>
        <w:rPr>
          <w:spacing w:val="-54"/>
        </w:rPr>
        <w:t> </w:t>
      </w:r>
      <w:r>
        <w:rPr>
          <w:rFonts w:ascii="Times New Roman" w:hAnsi="Times New Roman" w:cs="Times New Roman" w:eastAsia="Times New Roman" w:hint="default"/>
        </w:rPr>
        <w:t>100%</w:t>
      </w:r>
      <w:r>
        <w:rPr/>
        <w:t>股权。吉农公司股东全部权益于评</w:t>
      </w:r>
      <w:r>
        <w:rPr>
          <w:w w:val="100"/>
        </w:rPr>
        <w:t> </w:t>
      </w:r>
      <w:r>
        <w:rPr/>
        <w:t>估基准日</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日的评估值为</w:t>
      </w:r>
      <w:r>
        <w:rPr>
          <w:spacing w:val="-45"/>
        </w:rPr>
        <w:t> </w:t>
      </w:r>
      <w:r>
        <w:rPr>
          <w:rFonts w:ascii="Times New Roman" w:hAnsi="Times New Roman" w:cs="Times New Roman" w:eastAsia="Times New Roman" w:hint="default"/>
        </w:rPr>
        <w:t>21,562.23</w:t>
      </w:r>
      <w:r>
        <w:rPr>
          <w:rFonts w:ascii="Times New Roman" w:hAnsi="Times New Roman" w:cs="Times New Roman" w:eastAsia="Times New Roman" w:hint="default"/>
          <w:spacing w:val="3"/>
        </w:rPr>
        <w:t> </w:t>
      </w:r>
      <w:r>
        <w:rPr>
          <w:spacing w:val="-4"/>
        </w:rPr>
        <w:t>万元。因挂牌信息披露期满时，未征集到意向受让方，</w:t>
      </w:r>
      <w:r>
        <w:rPr>
          <w:spacing w:val="-102"/>
        </w:rPr>
        <w:t> </w:t>
      </w:r>
      <w:r>
        <w:rPr>
          <w:spacing w:val="-102"/>
        </w:rPr>
      </w:r>
      <w:r>
        <w:rPr/>
        <w:t>经公司第八届董事会第八次会议及 </w:t>
      </w:r>
      <w:r>
        <w:rPr>
          <w:rFonts w:ascii="Times New Roman" w:hAnsi="Times New Roman" w:cs="Times New Roman" w:eastAsia="Times New Roman" w:hint="default"/>
        </w:rPr>
        <w:t>2017 </w:t>
      </w:r>
      <w:r>
        <w:rPr>
          <w:spacing w:val="-4"/>
        </w:rPr>
        <w:t>年第五次临时股东大会审议通过，同意调整吉农公司</w:t>
      </w:r>
      <w:r>
        <w:rPr>
          <w:spacing w:val="-78"/>
        </w:rPr>
        <w:t> </w:t>
      </w:r>
      <w:r>
        <w:rPr>
          <w:rFonts w:ascii="Times New Roman" w:hAnsi="Times New Roman" w:cs="Times New Roman" w:eastAsia="Times New Roman" w:hint="default"/>
        </w:rPr>
        <w:t>100%</w:t>
      </w:r>
      <w:r>
        <w:rPr/>
        <w:t>股权</w:t>
      </w:r>
    </w:p>
    <w:p>
      <w:pPr>
        <w:spacing w:after="0" w:line="340" w:lineRule="auto"/>
        <w:jc w:val="left"/>
        <w:sectPr>
          <w:pgSz w:w="11910" w:h="16840"/>
          <w:pgMar w:header="877" w:footer="1265" w:top="1100" w:bottom="1460" w:left="920" w:right="0"/>
        </w:sectPr>
      </w:pPr>
    </w:p>
    <w:p>
      <w:pPr>
        <w:spacing w:line="240" w:lineRule="auto" w:before="4"/>
        <w:rPr>
          <w:rFonts w:ascii="Times New Roman" w:hAnsi="Times New Roman" w:cs="Times New Roman" w:eastAsia="Times New Roman" w:hint="default"/>
          <w:sz w:val="28"/>
          <w:szCs w:val="28"/>
        </w:rPr>
      </w:pPr>
    </w:p>
    <w:p>
      <w:pPr>
        <w:spacing w:line="2093"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pict>
          <v:shape style="width:481.55pt;height:104.7pt;mso-position-horizontal-relative:char;mso-position-vertical-relative:line" type="#_x0000_t202" filled="false" stroked="true" strokeweight=".47998pt" strokecolor="#000000">
            <w10:anchorlock/>
            <v:textbox inset="0,0,0,0">
              <w:txbxContent>
                <w:p>
                  <w:pPr>
                    <w:pStyle w:val="BodyText"/>
                    <w:spacing w:line="257" w:lineRule="exact" w:before="0"/>
                    <w:ind w:left="103" w:right="0"/>
                    <w:jc w:val="both"/>
                  </w:pPr>
                  <w:r>
                    <w:rPr/>
                    <w:t>挂牌底价至</w:t>
                  </w:r>
                  <w:r>
                    <w:rPr>
                      <w:spacing w:val="-52"/>
                    </w:rPr>
                    <w:t> </w:t>
                  </w:r>
                  <w:r>
                    <w:rPr>
                      <w:rFonts w:ascii="Times New Roman" w:hAnsi="Times New Roman" w:cs="Times New Roman" w:eastAsia="Times New Roman" w:hint="default"/>
                    </w:rPr>
                    <w:t>19,500</w:t>
                  </w:r>
                  <w:r>
                    <w:rPr>
                      <w:rFonts w:ascii="Times New Roman" w:hAnsi="Times New Roman" w:cs="Times New Roman" w:eastAsia="Times New Roman" w:hint="default"/>
                      <w:spacing w:val="-3"/>
                    </w:rPr>
                    <w:t> </w:t>
                  </w:r>
                  <w:r>
                    <w:rPr/>
                    <w:t>万元，并委托深圳联合产权交易所再次公开挂牌转让。截至</w:t>
                  </w:r>
                  <w:r>
                    <w:rPr>
                      <w:spacing w:val="-53"/>
                    </w:rPr>
                    <w:t> </w:t>
                  </w:r>
                  <w:r>
                    <w:rPr>
                      <w:rFonts w:ascii="Times New Roman" w:hAnsi="Times New Roman" w:cs="Times New Roman" w:eastAsia="Times New Roman" w:hint="default"/>
                    </w:rPr>
                    <w:t>2017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日再次</w:t>
                  </w:r>
                </w:p>
                <w:p>
                  <w:pPr>
                    <w:pStyle w:val="BodyText"/>
                    <w:spacing w:line="343" w:lineRule="auto" w:before="117"/>
                    <w:ind w:left="103" w:right="98"/>
                    <w:jc w:val="both"/>
                  </w:pPr>
                  <w:r>
                    <w:rPr>
                      <w:spacing w:val="-3"/>
                    </w:rPr>
                    <w:t>挂牌信息披露期满时，上述标的未征集到意向受让方。截至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3"/>
                    </w:rPr>
                    <w:t>日，吉农公司评估报告已到</w:t>
                  </w:r>
                  <w:r>
                    <w:rPr>
                      <w:spacing w:val="-98"/>
                    </w:rPr>
                    <w:t> </w:t>
                  </w:r>
                  <w:r>
                    <w:rPr>
                      <w:spacing w:val="-98"/>
                    </w:rPr>
                  </w:r>
                  <w:r>
                    <w:rPr>
                      <w:spacing w:val="-3"/>
                    </w:rPr>
                    <w:t>期，如公司继续转让吉农公司股权，公司将根据有关规定另行履行相关程序和信息披露义务。（相关情</w:t>
                  </w:r>
                  <w:r>
                    <w:rPr>
                      <w:spacing w:val="-18"/>
                    </w:rPr>
                    <w:t> </w:t>
                  </w:r>
                  <w:r>
                    <w:rPr>
                      <w:spacing w:val="-18"/>
                    </w:rPr>
                  </w:r>
                  <w:r>
                    <w:rPr/>
                    <w:t>况详见公司于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日和</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w:t>
                  </w:r>
                  <w:r>
                    <w:rPr>
                      <w:w w:val="100"/>
                    </w:rPr>
                    <w:t> </w:t>
                  </w:r>
                  <w:r>
                    <w:rPr/>
                    <w:t>在《证券时报》、《中国证券报》、《上海证券报》、《证券日报》和巨潮资讯网上刊登的公告）</w:t>
                  </w:r>
                </w:p>
              </w:txbxContent>
            </v:textbox>
          </v:shape>
        </w:pict>
      </w:r>
      <w:r>
        <w:rPr>
          <w:rFonts w:ascii="Times New Roman" w:hAnsi="Times New Roman" w:cs="Times New Roman" w:eastAsia="Times New Roman" w:hint="default"/>
          <w:position w:val="-41"/>
          <w:sz w:val="20"/>
          <w:szCs w:val="20"/>
        </w:rPr>
      </w:r>
    </w:p>
    <w:p>
      <w:pPr>
        <w:spacing w:after="0" w:line="2093" w:lineRule="exact"/>
        <w:rPr>
          <w:rFonts w:ascii="Times New Roman" w:hAnsi="Times New Roman" w:cs="Times New Roman" w:eastAsia="Times New Roman" w:hint="default"/>
          <w:sz w:val="20"/>
          <w:szCs w:val="20"/>
        </w:rPr>
        <w:sectPr>
          <w:pgSz w:w="11910" w:h="16840"/>
          <w:pgMar w:header="877" w:footer="1265" w:top="1100" w:bottom="1460" w:left="920" w:right="0"/>
        </w:sectPr>
      </w:pPr>
    </w:p>
    <w:p>
      <w:pPr>
        <w:pStyle w:val="Heading4"/>
        <w:spacing w:line="367" w:lineRule="exact"/>
        <w:ind w:left="140" w:right="134"/>
        <w:jc w:val="left"/>
        <w:rPr>
          <w:b w:val="0"/>
          <w:bCs w:val="0"/>
        </w:rPr>
      </w:pPr>
      <w:r>
        <w:rPr/>
        <w:pict>
          <v:group style="position:absolute;margin-left:70.559998pt;margin-top:2.202064pt;width:700.95pt;height:.1pt;mso-position-horizontal-relative:page;mso-position-vertical-relative:paragraph;z-index:-1637944" coordorigin="1411,44" coordsize="14019,2">
            <v:shape style="position:absolute;left:1411;top:44;width:14019;height:2" coordorigin="1411,44" coordsize="14019,0" path="m1411,44l15430,44e" filled="false" stroked="true" strokeweight=".72pt" strokecolor="#000000">
              <v:path arrowok="t"/>
            </v:shape>
            <w10:wrap type="none"/>
          </v:group>
        </w:pict>
      </w:r>
      <w:r>
        <w:rPr/>
        <w:t>七、主要控股参股公司分析</w:t>
      </w:r>
      <w:r>
        <w:rPr>
          <w:b w:val="0"/>
          <w:bCs w:val="0"/>
        </w:rPr>
      </w:r>
    </w:p>
    <w:p>
      <w:pPr>
        <w:pStyle w:val="Heading6"/>
        <w:spacing w:line="240" w:lineRule="auto" w:before="212"/>
        <w:ind w:left="140" w:right="134"/>
        <w:jc w:val="left"/>
        <w:rPr>
          <w:b w:val="0"/>
          <w:bCs w:val="0"/>
        </w:rPr>
      </w:pPr>
      <w:r>
        <w:rPr/>
        <w:t>（一）农产品批发市场业务主要子公司和参股公司情况</w:t>
      </w:r>
      <w:r>
        <w:rPr>
          <w:b w:val="0"/>
          <w:bCs w:val="0"/>
        </w:rPr>
      </w:r>
    </w:p>
    <w:p>
      <w:pPr>
        <w:spacing w:line="240" w:lineRule="auto" w:before="3"/>
        <w:rPr>
          <w:rFonts w:ascii="Microsoft JhengHei" w:hAnsi="Microsoft JhengHei" w:cs="Microsoft JhengHei" w:eastAsia="Microsoft JhengHei" w:hint="default"/>
          <w:b/>
          <w:bCs/>
          <w:sz w:val="6"/>
          <w:szCs w:val="6"/>
        </w:rPr>
      </w:pPr>
    </w:p>
    <w:p>
      <w:pPr>
        <w:spacing w:before="44"/>
        <w:ind w:left="0" w:right="13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818"/>
        <w:gridCol w:w="850"/>
        <w:gridCol w:w="850"/>
        <w:gridCol w:w="852"/>
        <w:gridCol w:w="718"/>
        <w:gridCol w:w="989"/>
        <w:gridCol w:w="994"/>
        <w:gridCol w:w="984"/>
        <w:gridCol w:w="998"/>
        <w:gridCol w:w="1020"/>
        <w:gridCol w:w="878"/>
      </w:tblGrid>
      <w:tr>
        <w:trPr>
          <w:trHeight w:val="557"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权益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8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0" w:right="17" w:hanging="19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年度营 业收入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1" w:right="19" w:hanging="19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年度营 业利润</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07" w:right="17" w:hanging="28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年度净 利润</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14" w:right="17"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 利润</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增长率</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72" w:right="48"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 利润贡献</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371,278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90,438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39,937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17,242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9" w:right="0"/>
              <w:jc w:val="left"/>
              <w:rPr>
                <w:rFonts w:ascii="Times New Roman" w:hAnsi="Times New Roman" w:cs="Times New Roman" w:eastAsia="Times New Roman" w:hint="default"/>
                <w:sz w:val="18"/>
                <w:szCs w:val="18"/>
              </w:rPr>
            </w:pPr>
            <w:r>
              <w:rPr>
                <w:rFonts w:ascii="Times New Roman"/>
                <w:sz w:val="18"/>
              </w:rPr>
              <w:t>17,025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19,668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-13.44%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6"/>
              <w:jc w:val="right"/>
              <w:rPr>
                <w:rFonts w:ascii="Times New Roman" w:hAnsi="Times New Roman" w:cs="Times New Roman" w:eastAsia="Times New Roman" w:hint="default"/>
                <w:sz w:val="18"/>
                <w:szCs w:val="18"/>
              </w:rPr>
            </w:pPr>
            <w:r>
              <w:rPr>
                <w:rFonts w:ascii="Times New Roman"/>
                <w:spacing w:val="-1"/>
                <w:sz w:val="18"/>
              </w:rPr>
              <w:t>17,025</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合肥周谷堆农产品批发市场股份有限公司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非并表</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44.68%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294,732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2" w:right="0"/>
              <w:jc w:val="left"/>
              <w:rPr>
                <w:rFonts w:ascii="Times New Roman" w:hAnsi="Times New Roman" w:cs="Times New Roman" w:eastAsia="Times New Roman" w:hint="default"/>
                <w:sz w:val="18"/>
                <w:szCs w:val="18"/>
              </w:rPr>
            </w:pPr>
            <w:r>
              <w:rPr>
                <w:rFonts w:ascii="Times New Roman"/>
                <w:sz w:val="18"/>
              </w:rPr>
              <w:t>116,066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55,622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23,437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7" w:right="0"/>
              <w:jc w:val="left"/>
              <w:rPr>
                <w:rFonts w:ascii="Times New Roman" w:hAnsi="Times New Roman" w:cs="Times New Roman" w:eastAsia="Times New Roman" w:hint="default"/>
                <w:sz w:val="18"/>
                <w:szCs w:val="18"/>
              </w:rPr>
            </w:pPr>
            <w:r>
              <w:rPr>
                <w:rFonts w:ascii="Times New Roman"/>
                <w:sz w:val="18"/>
              </w:rPr>
              <w:t>17,287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15,712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10.02%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9"/>
              <w:jc w:val="right"/>
              <w:rPr>
                <w:rFonts w:ascii="Times New Roman" w:hAnsi="Times New Roman" w:cs="Times New Roman" w:eastAsia="Times New Roman" w:hint="default"/>
                <w:sz w:val="18"/>
                <w:szCs w:val="18"/>
              </w:rPr>
            </w:pPr>
            <w:r>
              <w:rPr>
                <w:rFonts w:ascii="Times New Roman"/>
                <w:sz w:val="18"/>
              </w:rPr>
              <w:t>7,724</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62.80%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18"/>
                <w:szCs w:val="18"/>
              </w:rPr>
            </w:pPr>
            <w:r>
              <w:rPr>
                <w:rFonts w:ascii="Times New Roman"/>
                <w:sz w:val="18"/>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77,583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5" w:right="0"/>
              <w:jc w:val="left"/>
              <w:rPr>
                <w:rFonts w:ascii="Times New Roman" w:hAnsi="Times New Roman" w:cs="Times New Roman" w:eastAsia="Times New Roman" w:hint="default"/>
                <w:sz w:val="18"/>
                <w:szCs w:val="18"/>
              </w:rPr>
            </w:pPr>
            <w:r>
              <w:rPr>
                <w:rFonts w:ascii="Times New Roman"/>
                <w:sz w:val="18"/>
              </w:rPr>
              <w:t>66,031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17,344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8,695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3" w:right="0"/>
              <w:jc w:val="left"/>
              <w:rPr>
                <w:rFonts w:ascii="Times New Roman" w:hAnsi="Times New Roman" w:cs="Times New Roman" w:eastAsia="Times New Roman" w:hint="default"/>
                <w:sz w:val="18"/>
                <w:szCs w:val="18"/>
              </w:rPr>
            </w:pPr>
            <w:r>
              <w:rPr>
                <w:rFonts w:ascii="Times New Roman"/>
                <w:sz w:val="18"/>
              </w:rPr>
              <w:t>6,535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6,560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-0.38%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0"/>
              <w:jc w:val="right"/>
              <w:rPr>
                <w:rFonts w:ascii="Times New Roman" w:hAnsi="Times New Roman" w:cs="Times New Roman" w:eastAsia="Times New Roman" w:hint="default"/>
                <w:sz w:val="18"/>
                <w:szCs w:val="18"/>
              </w:rPr>
            </w:pPr>
            <w:r>
              <w:rPr>
                <w:rFonts w:ascii="Times New Roman"/>
                <w:sz w:val="18"/>
              </w:rPr>
              <w:t>4,104</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59,424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38,226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8,725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6,573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5,047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30.24%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0"/>
              <w:jc w:val="right"/>
              <w:rPr>
                <w:rFonts w:ascii="Times New Roman" w:hAnsi="Times New Roman" w:cs="Times New Roman" w:eastAsia="Times New Roman" w:hint="default"/>
                <w:sz w:val="18"/>
                <w:szCs w:val="18"/>
              </w:rPr>
            </w:pPr>
            <w:r>
              <w:rPr>
                <w:rFonts w:ascii="Times New Roman"/>
                <w:sz w:val="18"/>
              </w:rPr>
              <w:t>3,352</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89,056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37,434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10,739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7,463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4,008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5,842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-31.39%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0"/>
              <w:jc w:val="right"/>
              <w:rPr>
                <w:rFonts w:ascii="Times New Roman" w:hAnsi="Times New Roman" w:cs="Times New Roman" w:eastAsia="Times New Roman" w:hint="default"/>
                <w:sz w:val="18"/>
                <w:szCs w:val="18"/>
              </w:rPr>
            </w:pPr>
            <w:r>
              <w:rPr>
                <w:rFonts w:ascii="Times New Roman"/>
                <w:sz w:val="18"/>
              </w:rPr>
              <w:t>2,605</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广西海吉星农产品国际物流有限公司（注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47,000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71,749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37,049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11,354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2,133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2,251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-2,831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179.51%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0"/>
              <w:jc w:val="right"/>
              <w:rPr>
                <w:rFonts w:ascii="Times New Roman" w:hAnsi="Times New Roman" w:cs="Times New Roman" w:eastAsia="Times New Roman" w:hint="default"/>
                <w:sz w:val="18"/>
                <w:szCs w:val="18"/>
              </w:rPr>
            </w:pPr>
            <w:r>
              <w:rPr>
                <w:rFonts w:ascii="Times New Roman"/>
                <w:sz w:val="18"/>
              </w:rPr>
              <w:t>2,251</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72.99%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14,808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29,678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Times New Roman" w:hAnsi="Times New Roman" w:cs="Times New Roman" w:eastAsia="Times New Roman" w:hint="default"/>
                <w:sz w:val="18"/>
                <w:szCs w:val="18"/>
              </w:rPr>
            </w:pPr>
            <w:r>
              <w:rPr>
                <w:rFonts w:ascii="Times New Roman"/>
                <w:sz w:val="18"/>
              </w:rPr>
              <w:t>25,925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10,341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3,588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3" w:right="0"/>
              <w:jc w:val="left"/>
              <w:rPr>
                <w:rFonts w:ascii="Times New Roman" w:hAnsi="Times New Roman" w:cs="Times New Roman" w:eastAsia="Times New Roman" w:hint="default"/>
                <w:sz w:val="18"/>
                <w:szCs w:val="18"/>
              </w:rPr>
            </w:pPr>
            <w:r>
              <w:rPr>
                <w:rFonts w:ascii="Times New Roman"/>
                <w:sz w:val="18"/>
              </w:rPr>
              <w:t>2,607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2,589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0.70%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z w:val="18"/>
              </w:rPr>
              <w:t>1,903</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50.98%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132,522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Times New Roman" w:hAnsi="Times New Roman" w:cs="Times New Roman" w:eastAsia="Times New Roman" w:hint="default"/>
                <w:sz w:val="18"/>
                <w:szCs w:val="18"/>
              </w:rPr>
            </w:pPr>
            <w:r>
              <w:rPr>
                <w:rFonts w:ascii="Times New Roman"/>
                <w:sz w:val="18"/>
              </w:rPr>
              <w:t>37,612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18,613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5,380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3" w:right="0"/>
              <w:jc w:val="left"/>
              <w:rPr>
                <w:rFonts w:ascii="Times New Roman" w:hAnsi="Times New Roman" w:cs="Times New Roman" w:eastAsia="Times New Roman" w:hint="default"/>
                <w:sz w:val="18"/>
                <w:szCs w:val="18"/>
              </w:rPr>
            </w:pPr>
            <w:r>
              <w:rPr>
                <w:rFonts w:ascii="Times New Roman"/>
                <w:sz w:val="18"/>
              </w:rPr>
              <w:t>3,913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6,125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-36.11%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z w:val="18"/>
              </w:rPr>
              <w:t>1,995</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58,682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41,178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14,264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2,931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2,084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1,026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103.12%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0"/>
              <w:jc w:val="right"/>
              <w:rPr>
                <w:rFonts w:ascii="Times New Roman" w:hAnsi="Times New Roman" w:cs="Times New Roman" w:eastAsia="Times New Roman" w:hint="default"/>
                <w:sz w:val="18"/>
                <w:szCs w:val="18"/>
              </w:rPr>
            </w:pPr>
            <w:r>
              <w:rPr>
                <w:rFonts w:ascii="Times New Roman"/>
                <w:sz w:val="18"/>
              </w:rPr>
              <w:t>1,063</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惠州海吉星农产品国际物流有限公司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24,294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13,301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7,444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2,786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2,064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2,263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-8.79%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0"/>
              <w:jc w:val="right"/>
              <w:rPr>
                <w:rFonts w:ascii="Times New Roman" w:hAnsi="Times New Roman" w:cs="Times New Roman" w:eastAsia="Times New Roman" w:hint="default"/>
                <w:sz w:val="18"/>
                <w:szCs w:val="18"/>
              </w:rPr>
            </w:pPr>
            <w:r>
              <w:rPr>
                <w:rFonts w:ascii="Times New Roman"/>
                <w:sz w:val="18"/>
              </w:rPr>
              <w:t>1,053</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深圳市布吉海鲜市场有限公司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12,544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8,421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1,024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1,368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1,315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1,515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-13.20%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673</w:t>
            </w:r>
          </w:p>
        </w:tc>
      </w:tr>
      <w:tr>
        <w:trPr>
          <w:trHeight w:val="557"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02"/>
              <w:jc w:val="left"/>
              <w:rPr>
                <w:rFonts w:ascii="宋体" w:hAnsi="宋体" w:cs="宋体" w:eastAsia="宋体" w:hint="default"/>
                <w:sz w:val="18"/>
                <w:szCs w:val="18"/>
              </w:rPr>
            </w:pPr>
            <w:r>
              <w:rPr>
                <w:rFonts w:ascii="宋体" w:hAnsi="宋体" w:cs="宋体" w:eastAsia="宋体" w:hint="default"/>
                <w:sz w:val="18"/>
                <w:szCs w:val="18"/>
              </w:rPr>
              <w:t>其中：北京大红门京深海鲜批发市场有限公司（非并表，布 吉海鲜公司持股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42.00%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27,641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14,572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1,386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1,699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-18.42%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582</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蚌埠海吉星农产品物流有限公司（非并表</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64,501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Times New Roman" w:hAnsi="Times New Roman" w:cs="Times New Roman" w:eastAsia="Times New Roman" w:hint="default"/>
                <w:sz w:val="18"/>
                <w:szCs w:val="18"/>
              </w:rPr>
            </w:pPr>
            <w:r>
              <w:rPr>
                <w:rFonts w:ascii="Times New Roman"/>
                <w:sz w:val="18"/>
              </w:rPr>
              <w:t>20,963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5,103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402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0" w:right="0"/>
              <w:jc w:val="left"/>
              <w:rPr>
                <w:rFonts w:ascii="Times New Roman" w:hAnsi="Times New Roman" w:cs="Times New Roman" w:eastAsia="Times New Roman" w:hint="default"/>
                <w:sz w:val="18"/>
                <w:szCs w:val="18"/>
              </w:rPr>
            </w:pPr>
            <w:r>
              <w:rPr>
                <w:rFonts w:ascii="Times New Roman"/>
                <w:sz w:val="18"/>
              </w:rPr>
              <w:t>171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Times New Roman" w:hAnsi="Times New Roman" w:cs="Times New Roman" w:eastAsia="Times New Roman" w:hint="default"/>
                <w:sz w:val="18"/>
                <w:szCs w:val="18"/>
              </w:rPr>
            </w:pPr>
            <w:r>
              <w:rPr>
                <w:rFonts w:ascii="Times New Roman"/>
                <w:sz w:val="18"/>
              </w:rPr>
              <w:t>1,443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-88.15%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77</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2,332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18,254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2,351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4,706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sz w:val="18"/>
              </w:rPr>
              <w:t>574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98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485.71%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293</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7,143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12,711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10,584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4,751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1,222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sz w:val="18"/>
              </w:rPr>
              <w:t>823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684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477</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34,613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16,883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6,126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314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0" w:right="0"/>
              <w:jc w:val="left"/>
              <w:rPr>
                <w:rFonts w:ascii="Times New Roman" w:hAnsi="Times New Roman" w:cs="Times New Roman" w:eastAsia="Times New Roman" w:hint="default"/>
                <w:sz w:val="18"/>
                <w:szCs w:val="18"/>
              </w:rPr>
            </w:pPr>
            <w:r>
              <w:rPr>
                <w:rFonts w:ascii="Times New Roman"/>
                <w:sz w:val="18"/>
              </w:rPr>
              <w:t>258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3125.00%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132</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23,925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Times New Roman" w:hAnsi="Times New Roman" w:cs="Times New Roman" w:eastAsia="Times New Roman" w:hint="default"/>
                <w:sz w:val="18"/>
                <w:szCs w:val="18"/>
              </w:rPr>
            </w:pPr>
            <w:r>
              <w:rPr>
                <w:rFonts w:ascii="Times New Roman"/>
                <w:sz w:val="18"/>
              </w:rPr>
              <w:t>18,169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2,313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-565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21" w:right="0"/>
              <w:jc w:val="left"/>
              <w:rPr>
                <w:rFonts w:ascii="Times New Roman" w:hAnsi="Times New Roman" w:cs="Times New Roman" w:eastAsia="Times New Roman" w:hint="default"/>
                <w:sz w:val="18"/>
                <w:szCs w:val="18"/>
              </w:rPr>
            </w:pPr>
            <w:r>
              <w:rPr>
                <w:rFonts w:ascii="Times New Roman"/>
                <w:sz w:val="18"/>
              </w:rPr>
              <w:t>-563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657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-185.67%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68"/>
              <w:jc w:val="right"/>
              <w:rPr>
                <w:rFonts w:ascii="Times New Roman" w:hAnsi="Times New Roman" w:cs="Times New Roman" w:eastAsia="Times New Roman" w:hint="default"/>
                <w:sz w:val="18"/>
                <w:szCs w:val="18"/>
              </w:rPr>
            </w:pPr>
            <w:r>
              <w:rPr>
                <w:rFonts w:ascii="Times New Roman"/>
                <w:spacing w:val="-1"/>
                <w:sz w:val="18"/>
              </w:rPr>
              <w:t>-310</w:t>
            </w:r>
          </w:p>
        </w:tc>
      </w:tr>
      <w:tr>
        <w:trPr>
          <w:trHeight w:val="325"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30,216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7,683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-1,161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4" w:right="0"/>
              <w:jc w:val="left"/>
              <w:rPr>
                <w:rFonts w:ascii="Times New Roman" w:hAnsi="Times New Roman" w:cs="Times New Roman" w:eastAsia="Times New Roman" w:hint="default"/>
                <w:sz w:val="18"/>
                <w:szCs w:val="18"/>
              </w:rPr>
            </w:pPr>
            <w:r>
              <w:rPr>
                <w:rFonts w:ascii="Times New Roman"/>
                <w:sz w:val="18"/>
              </w:rPr>
              <w:t>-1,161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-1,544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24.81%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1"/>
              <w:jc w:val="right"/>
              <w:rPr>
                <w:rFonts w:ascii="Times New Roman" w:hAnsi="Times New Roman" w:cs="Times New Roman" w:eastAsia="Times New Roman" w:hint="default"/>
                <w:sz w:val="18"/>
                <w:szCs w:val="18"/>
              </w:rPr>
            </w:pPr>
            <w:r>
              <w:rPr>
                <w:rFonts w:ascii="Times New Roman"/>
                <w:sz w:val="18"/>
              </w:rPr>
              <w:t>-1,103</w:t>
            </w:r>
          </w:p>
        </w:tc>
      </w:tr>
      <w:tr>
        <w:trPr>
          <w:trHeight w:val="324" w:hRule="exact"/>
        </w:trPr>
        <w:tc>
          <w:tcPr>
            <w:tcW w:w="10070" w:type="dxa"/>
            <w:gridSpan w:val="7"/>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4"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8"/>
              <w:ind w:left="227" w:right="0"/>
              <w:jc w:val="left"/>
              <w:rPr>
                <w:rFonts w:ascii="Times New Roman" w:hAnsi="Times New Roman" w:cs="Times New Roman" w:eastAsia="Times New Roman" w:hint="default"/>
                <w:sz w:val="18"/>
                <w:szCs w:val="18"/>
              </w:rPr>
            </w:pPr>
            <w:r>
              <w:rPr>
                <w:rFonts w:ascii="Times New Roman"/>
                <w:sz w:val="18"/>
              </w:rPr>
              <w:t>65,764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64,862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1.39%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6"/>
              <w:jc w:val="right"/>
              <w:rPr>
                <w:rFonts w:ascii="Times New Roman" w:hAnsi="Times New Roman" w:cs="Times New Roman" w:eastAsia="Times New Roman" w:hint="default"/>
                <w:sz w:val="18"/>
                <w:szCs w:val="18"/>
              </w:rPr>
            </w:pPr>
            <w:r>
              <w:rPr>
                <w:rFonts w:ascii="Times New Roman"/>
                <w:sz w:val="18"/>
              </w:rPr>
              <w:t>43,314</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岳阳海吉星国际农产品物流发展有限公司（注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77,656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Times New Roman" w:hAnsi="Times New Roman" w:cs="Times New Roman" w:eastAsia="Times New Roman" w:hint="default"/>
                <w:sz w:val="18"/>
                <w:szCs w:val="18"/>
              </w:rPr>
            </w:pPr>
            <w:r>
              <w:rPr>
                <w:rFonts w:ascii="Times New Roman"/>
                <w:sz w:val="18"/>
              </w:rPr>
              <w:t>15,488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11,891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5,164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18"/>
                <w:szCs w:val="18"/>
              </w:rPr>
            </w:pPr>
            <w:r>
              <w:rPr>
                <w:rFonts w:ascii="Times New Roman"/>
                <w:sz w:val="18"/>
              </w:rPr>
              <w:t>3,962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204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1842.16%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0"/>
              <w:jc w:val="right"/>
              <w:rPr>
                <w:rFonts w:ascii="Times New Roman" w:hAnsi="Times New Roman" w:cs="Times New Roman" w:eastAsia="Times New Roman" w:hint="default"/>
                <w:sz w:val="18"/>
                <w:szCs w:val="18"/>
              </w:rPr>
            </w:pPr>
            <w:r>
              <w:rPr>
                <w:rFonts w:ascii="Times New Roman"/>
                <w:sz w:val="18"/>
              </w:rPr>
              <w:t>1,726</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16,470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21,334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8" w:right="0"/>
              <w:jc w:val="left"/>
              <w:rPr>
                <w:rFonts w:ascii="Times New Roman" w:hAnsi="Times New Roman" w:cs="Times New Roman" w:eastAsia="Times New Roman" w:hint="default"/>
                <w:sz w:val="18"/>
                <w:szCs w:val="18"/>
              </w:rPr>
            </w:pPr>
            <w:r>
              <w:rPr>
                <w:rFonts w:ascii="Times New Roman"/>
                <w:sz w:val="18"/>
              </w:rPr>
              <w:t>4,785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430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-2,034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Times New Roman" w:hAnsi="Times New Roman" w:cs="Times New Roman" w:eastAsia="Times New Roman" w:hint="default"/>
                <w:sz w:val="18"/>
                <w:szCs w:val="18"/>
              </w:rPr>
            </w:pPr>
            <w:r>
              <w:rPr>
                <w:rFonts w:ascii="Times New Roman"/>
                <w:sz w:val="18"/>
              </w:rPr>
              <w:t>-1,811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-1,604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-12.91%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1"/>
              <w:jc w:val="right"/>
              <w:rPr>
                <w:rFonts w:ascii="Times New Roman" w:hAnsi="Times New Roman" w:cs="Times New Roman" w:eastAsia="Times New Roman" w:hint="default"/>
                <w:sz w:val="18"/>
                <w:szCs w:val="18"/>
              </w:rPr>
            </w:pPr>
            <w:r>
              <w:rPr>
                <w:rFonts w:ascii="Times New Roman"/>
                <w:sz w:val="18"/>
              </w:rPr>
              <w:t>-1,005</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武汉城市圈海吉星农产品物流有限公司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非并表</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104,937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8" w:right="0"/>
              <w:jc w:val="left"/>
              <w:rPr>
                <w:rFonts w:ascii="Times New Roman" w:hAnsi="Times New Roman" w:cs="Times New Roman" w:eastAsia="Times New Roman" w:hint="default"/>
                <w:sz w:val="18"/>
                <w:szCs w:val="18"/>
              </w:rPr>
            </w:pPr>
            <w:r>
              <w:rPr>
                <w:rFonts w:ascii="Times New Roman"/>
                <w:sz w:val="18"/>
              </w:rPr>
              <w:t>8,810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155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-9,598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4" w:right="0"/>
              <w:jc w:val="left"/>
              <w:rPr>
                <w:rFonts w:ascii="Times New Roman" w:hAnsi="Times New Roman" w:cs="Times New Roman" w:eastAsia="Times New Roman" w:hint="default"/>
                <w:sz w:val="18"/>
                <w:szCs w:val="18"/>
              </w:rPr>
            </w:pPr>
            <w:r>
              <w:rPr>
                <w:rFonts w:ascii="Times New Roman"/>
                <w:sz w:val="18"/>
              </w:rPr>
              <w:t>-9,903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-8,534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-16.04%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1"/>
              <w:jc w:val="right"/>
              <w:rPr>
                <w:rFonts w:ascii="Times New Roman" w:hAnsi="Times New Roman" w:cs="Times New Roman" w:eastAsia="Times New Roman" w:hint="default"/>
                <w:sz w:val="18"/>
                <w:szCs w:val="18"/>
              </w:rPr>
            </w:pPr>
            <w:r>
              <w:rPr>
                <w:rFonts w:ascii="Times New Roman"/>
                <w:sz w:val="18"/>
              </w:rPr>
              <w:t>-4,060</w:t>
            </w:r>
          </w:p>
        </w:tc>
      </w:tr>
    </w:tbl>
    <w:p>
      <w:pPr>
        <w:spacing w:after="0" w:line="240" w:lineRule="auto"/>
        <w:jc w:val="right"/>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867" w:footer="1265" w:top="1060" w:bottom="1500" w:left="1300" w:right="1300"/>
          <w:pgNumType w:start="35"/>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818"/>
        <w:gridCol w:w="850"/>
        <w:gridCol w:w="850"/>
        <w:gridCol w:w="852"/>
        <w:gridCol w:w="718"/>
        <w:gridCol w:w="989"/>
        <w:gridCol w:w="994"/>
        <w:gridCol w:w="984"/>
        <w:gridCol w:w="998"/>
        <w:gridCol w:w="1020"/>
        <w:gridCol w:w="878"/>
      </w:tblGrid>
      <w:tr>
        <w:trPr>
          <w:trHeight w:val="339" w:hRule="exact"/>
        </w:trPr>
        <w:tc>
          <w:tcPr>
            <w:tcW w:w="4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138"/>
              <w:jc w:val="right"/>
              <w:rPr>
                <w:rFonts w:ascii="Times New Roman" w:hAnsi="Times New Roman" w:cs="Times New Roman" w:eastAsia="Times New Roman" w:hint="default"/>
                <w:sz w:val="18"/>
                <w:szCs w:val="18"/>
              </w:rPr>
            </w:pPr>
            <w:r>
              <w:rPr>
                <w:rFonts w:ascii="Times New Roman"/>
                <w:sz w:val="18"/>
              </w:rPr>
              <w:t>78.20%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30,000</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90,618</w:t>
            </w:r>
          </w:p>
        </w:tc>
        <w:tc>
          <w:tcPr>
            <w:tcW w:w="7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519</w:t>
            </w:r>
          </w:p>
        </w:tc>
        <w:tc>
          <w:tcPr>
            <w:tcW w:w="9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348"/>
              <w:jc w:val="right"/>
              <w:rPr>
                <w:rFonts w:ascii="Times New Roman" w:hAnsi="Times New Roman" w:cs="Times New Roman" w:eastAsia="Times New Roman" w:hint="default"/>
                <w:sz w:val="18"/>
                <w:szCs w:val="18"/>
              </w:rPr>
            </w:pPr>
            <w:r>
              <w:rPr>
                <w:rFonts w:ascii="Times New Roman"/>
                <w:sz w:val="18"/>
              </w:rPr>
              <w:t>854</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-5,355</w:t>
            </w:r>
          </w:p>
        </w:tc>
        <w:tc>
          <w:tcPr>
            <w:tcW w:w="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-5,355</w:t>
            </w: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-3,943</w:t>
            </w:r>
          </w:p>
        </w:tc>
        <w:tc>
          <w:tcPr>
            <w:tcW w:w="10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-35.81%</w:t>
            </w:r>
          </w:p>
        </w:tc>
        <w:tc>
          <w:tcPr>
            <w:tcW w:w="8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8"/>
              <w:ind w:right="200"/>
              <w:jc w:val="right"/>
              <w:rPr>
                <w:rFonts w:ascii="Times New Roman" w:hAnsi="Times New Roman" w:cs="Times New Roman" w:eastAsia="Times New Roman" w:hint="default"/>
                <w:sz w:val="18"/>
                <w:szCs w:val="18"/>
              </w:rPr>
            </w:pPr>
            <w:r>
              <w:rPr>
                <w:rFonts w:ascii="Times New Roman"/>
                <w:sz w:val="18"/>
              </w:rPr>
              <w:t>-4,188</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8"/>
              <w:jc w:val="right"/>
              <w:rPr>
                <w:rFonts w:ascii="Times New Roman" w:hAnsi="Times New Roman" w:cs="Times New Roman" w:eastAsia="Times New Roman" w:hint="default"/>
                <w:sz w:val="18"/>
                <w:szCs w:val="18"/>
              </w:rPr>
            </w:pPr>
            <w:r>
              <w:rPr>
                <w:rFonts w:ascii="Times New Roman"/>
                <w:sz w:val="18"/>
              </w:rPr>
              <w:t>86.16%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107,067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173,206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96,769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2"/>
              <w:jc w:val="right"/>
              <w:rPr>
                <w:rFonts w:ascii="Times New Roman" w:hAnsi="Times New Roman" w:cs="Times New Roman" w:eastAsia="Times New Roman" w:hint="default"/>
                <w:sz w:val="18"/>
                <w:szCs w:val="18"/>
              </w:rPr>
            </w:pPr>
            <w:r>
              <w:rPr>
                <w:rFonts w:ascii="Times New Roman"/>
                <w:sz w:val="18"/>
              </w:rPr>
              <w:t>1,731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-593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-11,935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95.23%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68"/>
              <w:jc w:val="right"/>
              <w:rPr>
                <w:rFonts w:ascii="Times New Roman" w:hAnsi="Times New Roman" w:cs="Times New Roman" w:eastAsia="Times New Roman" w:hint="default"/>
                <w:sz w:val="18"/>
                <w:szCs w:val="18"/>
              </w:rPr>
            </w:pPr>
            <w:r>
              <w:rPr>
                <w:rFonts w:ascii="Times New Roman"/>
                <w:spacing w:val="-1"/>
                <w:sz w:val="18"/>
              </w:rPr>
              <w:t>-491</w:t>
            </w:r>
          </w:p>
        </w:tc>
      </w:tr>
      <w:tr>
        <w:trPr>
          <w:trHeight w:val="324" w:hRule="exact"/>
        </w:trPr>
        <w:tc>
          <w:tcPr>
            <w:tcW w:w="10070" w:type="dxa"/>
            <w:gridSpan w:val="7"/>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4"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8"/>
              <w:ind w:right="11"/>
              <w:jc w:val="center"/>
              <w:rPr>
                <w:rFonts w:ascii="Times New Roman" w:hAnsi="Times New Roman" w:cs="Times New Roman" w:eastAsia="Times New Roman" w:hint="default"/>
                <w:sz w:val="18"/>
                <w:szCs w:val="18"/>
              </w:rPr>
            </w:pPr>
            <w:r>
              <w:rPr>
                <w:rFonts w:ascii="Times New Roman"/>
                <w:sz w:val="18"/>
              </w:rPr>
              <w:t>-13,677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-25,812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47.01%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0"/>
              <w:jc w:val="right"/>
              <w:rPr>
                <w:rFonts w:ascii="Times New Roman" w:hAnsi="Times New Roman" w:cs="Times New Roman" w:eastAsia="Times New Roman" w:hint="default"/>
                <w:sz w:val="18"/>
                <w:szCs w:val="18"/>
              </w:rPr>
            </w:pPr>
            <w:r>
              <w:rPr>
                <w:rFonts w:ascii="Times New Roman"/>
                <w:sz w:val="18"/>
              </w:rPr>
              <w:t>-8,018</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安庆海吉星农产品物流园有限公司（注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8"/>
              <w:jc w:val="right"/>
              <w:rPr>
                <w:rFonts w:ascii="Times New Roman" w:hAnsi="Times New Roman" w:cs="Times New Roman" w:eastAsia="Times New Roman" w:hint="default"/>
                <w:sz w:val="18"/>
                <w:szCs w:val="18"/>
              </w:rPr>
            </w:pPr>
            <w:r>
              <w:rPr>
                <w:rFonts w:ascii="Times New Roman"/>
                <w:sz w:val="18"/>
              </w:rPr>
              <w:t>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23,843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8,484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-882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-882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-361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-144.32%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68"/>
              <w:jc w:val="right"/>
              <w:rPr>
                <w:rFonts w:ascii="Times New Roman" w:hAnsi="Times New Roman" w:cs="Times New Roman" w:eastAsia="Times New Roman" w:hint="default"/>
                <w:sz w:val="18"/>
                <w:szCs w:val="18"/>
              </w:rPr>
            </w:pPr>
            <w:r>
              <w:rPr>
                <w:rFonts w:ascii="Times New Roman"/>
                <w:spacing w:val="-1"/>
                <w:sz w:val="18"/>
              </w:rPr>
              <w:t>-706</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深圳市中农水产股份有限公司（非并表）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8"/>
              <w:jc w:val="right"/>
              <w:rPr>
                <w:rFonts w:ascii="Times New Roman" w:hAnsi="Times New Roman" w:cs="Times New Roman" w:eastAsia="Times New Roman" w:hint="default"/>
                <w:sz w:val="18"/>
                <w:szCs w:val="18"/>
              </w:rPr>
            </w:pPr>
            <w:r>
              <w:rPr>
                <w:rFonts w:ascii="Times New Roman"/>
                <w:sz w:val="18"/>
              </w:rPr>
              <w:t>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40,334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6,342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2"/>
              <w:jc w:val="right"/>
              <w:rPr>
                <w:rFonts w:ascii="Times New Roman" w:hAnsi="Times New Roman" w:cs="Times New Roman" w:eastAsia="Times New Roman" w:hint="default"/>
                <w:sz w:val="18"/>
                <w:szCs w:val="18"/>
              </w:rPr>
            </w:pPr>
            <w:r>
              <w:rPr>
                <w:rFonts w:ascii="Times New Roman"/>
                <w:sz w:val="18"/>
              </w:rPr>
              <w:t>2,831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-4,557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-4,570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-4,325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-5.66%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68"/>
              <w:jc w:val="right"/>
              <w:rPr>
                <w:rFonts w:ascii="Times New Roman" w:hAnsi="Times New Roman" w:cs="Times New Roman" w:eastAsia="Times New Roman" w:hint="default"/>
                <w:sz w:val="18"/>
                <w:szCs w:val="18"/>
              </w:rPr>
            </w:pPr>
            <w:r>
              <w:rPr>
                <w:rFonts w:ascii="Times New Roman"/>
                <w:spacing w:val="-1"/>
                <w:sz w:val="18"/>
              </w:rPr>
              <w:t>-931</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8"/>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110,850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-30,407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-7,208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-7,870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-7,877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0.09%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1"/>
              <w:jc w:val="right"/>
              <w:rPr>
                <w:rFonts w:ascii="Times New Roman" w:hAnsi="Times New Roman" w:cs="Times New Roman" w:eastAsia="Times New Roman" w:hint="default"/>
                <w:sz w:val="18"/>
                <w:szCs w:val="18"/>
              </w:rPr>
            </w:pPr>
            <w:r>
              <w:rPr>
                <w:rFonts w:ascii="Times New Roman"/>
                <w:sz w:val="18"/>
              </w:rPr>
              <w:t>-4,014</w:t>
            </w:r>
          </w:p>
        </w:tc>
      </w:tr>
      <w:tr>
        <w:trPr>
          <w:trHeight w:val="324" w:hRule="exact"/>
        </w:trPr>
        <w:tc>
          <w:tcPr>
            <w:tcW w:w="10070" w:type="dxa"/>
            <w:gridSpan w:val="7"/>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4"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8"/>
              <w:ind w:right="11"/>
              <w:jc w:val="center"/>
              <w:rPr>
                <w:rFonts w:ascii="Times New Roman" w:hAnsi="Times New Roman" w:cs="Times New Roman" w:eastAsia="Times New Roman" w:hint="default"/>
                <w:sz w:val="18"/>
                <w:szCs w:val="18"/>
              </w:rPr>
            </w:pPr>
            <w:r>
              <w:rPr>
                <w:rFonts w:ascii="Times New Roman"/>
                <w:sz w:val="18"/>
              </w:rPr>
              <w:t>-13,322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-12,563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-6.04%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1"/>
              <w:jc w:val="right"/>
              <w:rPr>
                <w:rFonts w:ascii="Times New Roman" w:hAnsi="Times New Roman" w:cs="Times New Roman" w:eastAsia="Times New Roman" w:hint="default"/>
                <w:sz w:val="18"/>
                <w:szCs w:val="18"/>
              </w:rPr>
            </w:pPr>
            <w:r>
              <w:rPr>
                <w:rFonts w:ascii="Times New Roman"/>
                <w:sz w:val="18"/>
              </w:rPr>
              <w:t>-5,651</w:t>
            </w:r>
          </w:p>
        </w:tc>
      </w:tr>
      <w:tr>
        <w:trPr>
          <w:trHeight w:val="324" w:hRule="exact"/>
        </w:trPr>
        <w:tc>
          <w:tcPr>
            <w:tcW w:w="10070" w:type="dxa"/>
            <w:gridSpan w:val="7"/>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84"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48"/>
              <w:ind w:right="9"/>
              <w:jc w:val="center"/>
              <w:rPr>
                <w:rFonts w:ascii="Times New Roman" w:hAnsi="Times New Roman" w:cs="Times New Roman" w:eastAsia="Times New Roman" w:hint="default"/>
                <w:sz w:val="18"/>
                <w:szCs w:val="18"/>
              </w:rPr>
            </w:pPr>
            <w:r>
              <w:rPr>
                <w:rFonts w:ascii="Times New Roman"/>
                <w:sz w:val="18"/>
              </w:rPr>
              <w:t>38,765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26,487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46.35%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6"/>
              <w:jc w:val="right"/>
              <w:rPr>
                <w:rFonts w:ascii="Times New Roman" w:hAnsi="Times New Roman" w:cs="Times New Roman" w:eastAsia="Times New Roman" w:hint="default"/>
                <w:sz w:val="18"/>
                <w:szCs w:val="18"/>
              </w:rPr>
            </w:pPr>
            <w:r>
              <w:rPr>
                <w:rFonts w:ascii="Times New Roman"/>
                <w:spacing w:val="-1"/>
                <w:sz w:val="18"/>
              </w:rPr>
              <w:t>29,645</w:t>
            </w:r>
          </w:p>
        </w:tc>
      </w:tr>
    </w:tbl>
    <w:p>
      <w:pPr>
        <w:spacing w:before="8"/>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、报告期，成都公司净利润同比增加，主要系市场经营性收入同比增加；</w:t>
      </w:r>
    </w:p>
    <w:p>
      <w:pPr>
        <w:spacing w:before="22"/>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、报告期，广西新柳邕公司净利润同比减少，主要系上年同期实现商铺销售利润所致；</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、报告期，广西海吉星同比扭亏为盈，主要系本年经营性收入同比增加、实现商业合作项目利润、对联营企业投资收益增加及招商费用同比减少；</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、报告期，长沙公司净利润同比减少，主要系上年同期实现处置绿色金典股权转让收益；</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、报告期，南昌公司净利润同比增加，主要系本年经营性收入同比增加及对联营企业南昌冷链公司投资收益同比增加；</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、报告期，蚌埠海吉星净利润同比减少，主要系商铺销售同比减少；</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、报告期，西安公司净利润同比增加，主要系进场商户增加，市场经营性收入增加；</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、报告期，九江公司同比由盈转亏，主要系上年同期实现商铺销售收入而本年无所致；</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、报告期，岳阳海吉星净利润同比增加，主要系本年实现商铺销售利润所致；</w:t>
      </w:r>
    </w:p>
    <w:p>
      <w:pPr>
        <w:spacing w:before="25"/>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、报告期，天津海吉星同比亏损减少，主要系本年实现下属三家子公司股权转让收益；</w:t>
      </w:r>
    </w:p>
    <w:p>
      <w:pPr>
        <w:spacing w:before="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、报告期，安庆海吉星同比增亏，主要系税金及附加、销售费用增加。</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67" w:footer="1265" w:top="1060" w:bottom="1460" w:left="1300" w:right="1320"/>
        </w:sectPr>
      </w:pPr>
    </w:p>
    <w:p>
      <w:pPr>
        <w:pStyle w:val="Heading6"/>
        <w:spacing w:line="335" w:lineRule="exact"/>
        <w:ind w:left="140" w:right="0"/>
        <w:jc w:val="left"/>
        <w:rPr>
          <w:b w:val="0"/>
          <w:bCs w:val="0"/>
        </w:rPr>
      </w:pPr>
      <w:r>
        <w:rPr>
          <w:spacing w:val="-1"/>
        </w:rPr>
        <w:t>（二）其他业务主要子公司和参股公司情况</w:t>
      </w:r>
      <w:r>
        <w:rPr>
          <w:b w:val="0"/>
          <w:bCs w:val="0"/>
          <w:spacing w:val="-1"/>
        </w:rPr>
      </w:r>
    </w:p>
    <w:p>
      <w:pPr>
        <w:spacing w:line="240" w:lineRule="auto" w:before="2"/>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100" w:bottom="1460" w:left="1300" w:right="1320"/>
          <w:cols w:num="2" w:equalWidth="0">
            <w:col w:w="4149" w:space="8912"/>
            <w:col w:w="1159"/>
          </w:cols>
        </w:sectPr>
      </w:pPr>
    </w:p>
    <w:p>
      <w:pPr>
        <w:spacing w:line="240" w:lineRule="auto" w:before="5"/>
        <w:rPr>
          <w:rFonts w:ascii="宋体" w:hAnsi="宋体" w:cs="宋体" w:eastAsia="宋体" w:hint="default"/>
          <w:sz w:val="5"/>
          <w:szCs w:val="5"/>
        </w:rPr>
      </w:pPr>
      <w:r>
        <w:rPr/>
        <w:pict>
          <v:group style="position:absolute;margin-left:298.850006pt;margin-top:491.735992pt;width:49.2pt;height:15.5pt;mso-position-horizontal-relative:page;mso-position-vertical-relative:page;z-index:-1637920" coordorigin="5977,9835" coordsize="984,310">
            <v:group style="position:absolute;left:5989;top:9847;width:2;height:286" coordorigin="5989,9847" coordsize="2,286">
              <v:shape style="position:absolute;left:5989;top:9847;width:2;height:286" coordorigin="5989,9847" coordsize="0,286" path="m5989,9847l5989,10132e" filled="false" stroked="true" strokeweight="1.2pt" strokecolor="#ffffff">
                <v:path arrowok="t"/>
              </v:shape>
            </v:group>
            <v:group style="position:absolute;left:6001;top:9847;width:960;height:286" coordorigin="6001,9847" coordsize="960,286">
              <v:shape style="position:absolute;left:6001;top:9847;width:960;height:286" coordorigin="6001,9847" coordsize="960,286" path="m6001,10132l6961,10132,6961,9847,6001,9847,6001,10132xe" filled="true" fillcolor="#ffffff" stroked="false">
                <v:path arrowok="t"/>
                <v:fill type="solid"/>
              </v:shape>
            </v:group>
            <w10:wrap type="none"/>
          </v:group>
        </w:pict>
      </w:r>
    </w:p>
    <w:tbl>
      <w:tblPr>
        <w:tblW w:w="0" w:type="auto"/>
        <w:jc w:val="left"/>
        <w:tblInd w:w="140" w:type="dxa"/>
        <w:tblLayout w:type="fixed"/>
        <w:tblCellMar>
          <w:top w:w="0" w:type="dxa"/>
          <w:left w:w="0" w:type="dxa"/>
          <w:bottom w:w="0" w:type="dxa"/>
          <w:right w:w="0" w:type="dxa"/>
        </w:tblCellMar>
        <w:tblLook w:val="01E0"/>
      </w:tblPr>
      <w:tblGrid>
        <w:gridCol w:w="4527"/>
        <w:gridCol w:w="1018"/>
        <w:gridCol w:w="989"/>
        <w:gridCol w:w="866"/>
        <w:gridCol w:w="830"/>
        <w:gridCol w:w="989"/>
        <w:gridCol w:w="991"/>
        <w:gridCol w:w="850"/>
        <w:gridCol w:w="991"/>
        <w:gridCol w:w="848"/>
        <w:gridCol w:w="1051"/>
      </w:tblGrid>
      <w:tr>
        <w:trPr>
          <w:trHeight w:val="557" w:hRule="exact"/>
        </w:trPr>
        <w:tc>
          <w:tcPr>
            <w:tcW w:w="4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24"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37"/>
              <w:jc w:val="right"/>
              <w:rPr>
                <w:rFonts w:ascii="宋体" w:hAnsi="宋体" w:cs="宋体" w:eastAsia="宋体" w:hint="default"/>
                <w:sz w:val="18"/>
                <w:szCs w:val="18"/>
              </w:rPr>
            </w:pPr>
            <w:r>
              <w:rPr>
                <w:rFonts w:ascii="宋体" w:hAnsi="宋体" w:cs="宋体" w:eastAsia="宋体" w:hint="default"/>
                <w:sz w:val="18"/>
                <w:szCs w:val="18"/>
              </w:rPr>
              <w:t>净资产</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8" w:right="20" w:hanging="19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年度营 业收入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0" w:right="17" w:hanging="19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年度营 业利润</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46" w:right="36"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09" w:right="19"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年度净 利润</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增长率</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9" w:right="43"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 润贡献</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深圳市果菜贸易有限公司（注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9"/>
              <w:jc w:val="right"/>
              <w:rPr>
                <w:rFonts w:ascii="Times New Roman" w:hAnsi="Times New Roman" w:cs="Times New Roman" w:eastAsia="Times New Roman" w:hint="default"/>
                <w:sz w:val="18"/>
                <w:szCs w:val="18"/>
              </w:rPr>
            </w:pPr>
            <w:r>
              <w:rPr>
                <w:rFonts w:ascii="Times New Roman"/>
                <w:spacing w:val="-1"/>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13,000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45,873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0"/>
              <w:jc w:val="right"/>
              <w:rPr>
                <w:rFonts w:ascii="Times New Roman" w:hAnsi="Times New Roman" w:cs="Times New Roman" w:eastAsia="Times New Roman" w:hint="default"/>
                <w:sz w:val="18"/>
                <w:szCs w:val="18"/>
              </w:rPr>
            </w:pPr>
            <w:r>
              <w:rPr>
                <w:rFonts w:ascii="Times New Roman"/>
                <w:spacing w:val="-1"/>
                <w:sz w:val="18"/>
              </w:rPr>
              <w:t>27,008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16,928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1,432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2,240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-36.07%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1,432</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深圳市集贸市场有限公司（非并表）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2"/>
              <w:jc w:val="right"/>
              <w:rPr>
                <w:rFonts w:ascii="Times New Roman" w:hAnsi="Times New Roman" w:cs="Times New Roman" w:eastAsia="Times New Roman" w:hint="default"/>
                <w:sz w:val="18"/>
                <w:szCs w:val="18"/>
              </w:rPr>
            </w:pPr>
            <w:r>
              <w:rPr>
                <w:rFonts w:ascii="Times New Roman"/>
                <w:sz w:val="18"/>
              </w:rPr>
              <w:t>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3,123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7,712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8" w:right="0"/>
              <w:jc w:val="left"/>
              <w:rPr>
                <w:rFonts w:ascii="Times New Roman" w:hAnsi="Times New Roman" w:cs="Times New Roman" w:eastAsia="Times New Roman" w:hint="default"/>
                <w:sz w:val="18"/>
                <w:szCs w:val="18"/>
              </w:rPr>
            </w:pPr>
            <w:r>
              <w:rPr>
                <w:rFonts w:ascii="Times New Roman"/>
                <w:sz w:val="18"/>
              </w:rPr>
              <w:t>5,050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3,737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1,211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890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854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4"/>
              <w:jc w:val="right"/>
              <w:rPr>
                <w:rFonts w:ascii="Times New Roman" w:hAnsi="Times New Roman" w:cs="Times New Roman" w:eastAsia="Times New Roman" w:hint="default"/>
                <w:sz w:val="18"/>
                <w:szCs w:val="18"/>
              </w:rPr>
            </w:pPr>
            <w:r>
              <w:rPr>
                <w:rFonts w:ascii="Times New Roman"/>
                <w:sz w:val="18"/>
              </w:rPr>
              <w:t>4.22%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445</w:t>
            </w:r>
          </w:p>
        </w:tc>
      </w:tr>
      <w:tr>
        <w:trPr>
          <w:trHeight w:val="322"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深圳市农产品小额贷款有限公司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2"/>
              <w:jc w:val="right"/>
              <w:rPr>
                <w:rFonts w:ascii="Times New Roman" w:hAnsi="Times New Roman" w:cs="Times New Roman" w:eastAsia="Times New Roman" w:hint="default"/>
                <w:sz w:val="18"/>
                <w:szCs w:val="18"/>
              </w:rPr>
            </w:pPr>
            <w:r>
              <w:rPr>
                <w:rFonts w:ascii="Times New Roman"/>
                <w:sz w:val="18"/>
              </w:rPr>
              <w:t>75.00%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24,303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0"/>
              <w:jc w:val="right"/>
              <w:rPr>
                <w:rFonts w:ascii="Times New Roman" w:hAnsi="Times New Roman" w:cs="Times New Roman" w:eastAsia="Times New Roman" w:hint="default"/>
                <w:sz w:val="18"/>
                <w:szCs w:val="18"/>
              </w:rPr>
            </w:pPr>
            <w:r>
              <w:rPr>
                <w:rFonts w:ascii="Times New Roman"/>
                <w:spacing w:val="-1"/>
                <w:sz w:val="18"/>
              </w:rPr>
              <w:t>12,398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4,303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1,243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18"/>
                <w:szCs w:val="18"/>
              </w:rPr>
            </w:pPr>
            <w:r>
              <w:rPr>
                <w:rFonts w:ascii="Times New Roman"/>
                <w:sz w:val="18"/>
              </w:rPr>
              <w:t>932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18"/>
                <w:szCs w:val="18"/>
              </w:rPr>
            </w:pPr>
            <w:r>
              <w:rPr>
                <w:rFonts w:ascii="Times New Roman"/>
                <w:sz w:val="18"/>
              </w:rPr>
              <w:t>1,160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z w:val="18"/>
              </w:rPr>
              <w:t>-19.66%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699</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深圳市农产品融资担保有限公司（非并表</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2"/>
              <w:jc w:val="right"/>
              <w:rPr>
                <w:rFonts w:ascii="Times New Roman" w:hAnsi="Times New Roman" w:cs="Times New Roman" w:eastAsia="Times New Roman" w:hint="default"/>
                <w:sz w:val="18"/>
                <w:szCs w:val="18"/>
              </w:rPr>
            </w:pPr>
            <w:r>
              <w:rPr>
                <w:rFonts w:ascii="Times New Roman"/>
                <w:sz w:val="18"/>
              </w:rPr>
              <w:t>40.00%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12,500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21,167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0"/>
              <w:jc w:val="right"/>
              <w:rPr>
                <w:rFonts w:ascii="Times New Roman" w:hAnsi="Times New Roman" w:cs="Times New Roman" w:eastAsia="Times New Roman" w:hint="default"/>
                <w:sz w:val="18"/>
                <w:szCs w:val="18"/>
              </w:rPr>
            </w:pPr>
            <w:r>
              <w:rPr>
                <w:rFonts w:ascii="Times New Roman"/>
                <w:spacing w:val="-1"/>
                <w:sz w:val="18"/>
              </w:rPr>
              <w:t>16,252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-320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381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1,685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-77.39%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153</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深圳市中农网有限公司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非并表</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2"/>
              <w:jc w:val="right"/>
              <w:rPr>
                <w:rFonts w:ascii="Times New Roman" w:hAnsi="Times New Roman" w:cs="Times New Roman" w:eastAsia="Times New Roman" w:hint="default"/>
                <w:sz w:val="18"/>
                <w:szCs w:val="18"/>
              </w:rPr>
            </w:pPr>
            <w:r>
              <w:rPr>
                <w:rFonts w:ascii="Times New Roman"/>
                <w:sz w:val="18"/>
              </w:rPr>
              <w:t>39.29%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50,900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1,156,313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5"/>
              <w:jc w:val="right"/>
              <w:rPr>
                <w:rFonts w:ascii="Times New Roman" w:hAnsi="Times New Roman" w:cs="Times New Roman" w:eastAsia="Times New Roman" w:hint="default"/>
                <w:sz w:val="18"/>
                <w:szCs w:val="18"/>
              </w:rPr>
            </w:pPr>
            <w:r>
              <w:rPr>
                <w:rFonts w:ascii="Times New Roman"/>
                <w:spacing w:val="-1"/>
                <w:sz w:val="18"/>
              </w:rPr>
              <w:t>101,778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3,497,344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6,846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5,582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10,462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-46.65%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1,670</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深圳凯吉星农产品检测科技中心有限公</w:t>
            </w:r>
            <w:r>
              <w:rPr>
                <w:rFonts w:ascii="宋体" w:hAnsi="宋体" w:cs="宋体" w:eastAsia="宋体" w:hint="default"/>
                <w:spacing w:val="-82"/>
                <w:sz w:val="18"/>
                <w:szCs w:val="18"/>
              </w:rPr>
              <w:t>司</w:t>
            </w:r>
            <w:r>
              <w:rPr>
                <w:rFonts w:ascii="宋体" w:hAnsi="宋体" w:cs="宋体" w:eastAsia="宋体" w:hint="default"/>
                <w:sz w:val="18"/>
                <w:szCs w:val="18"/>
              </w:rPr>
              <w:t>（非并表</w:t>
            </w:r>
            <w:r>
              <w:rPr>
                <w:rFonts w:ascii="宋体" w:hAnsi="宋体" w:cs="宋体" w:eastAsia="宋体" w:hint="default"/>
                <w:spacing w:val="-173"/>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2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36.05%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6,404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8" w:right="0"/>
              <w:jc w:val="left"/>
              <w:rPr>
                <w:rFonts w:ascii="Times New Roman" w:hAnsi="Times New Roman" w:cs="Times New Roman" w:eastAsia="Times New Roman" w:hint="default"/>
                <w:sz w:val="18"/>
                <w:szCs w:val="18"/>
              </w:rPr>
            </w:pPr>
            <w:r>
              <w:rPr>
                <w:rFonts w:ascii="Times New Roman"/>
                <w:sz w:val="18"/>
              </w:rPr>
              <w:t>4,400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6,918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609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419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8"/>
              <w:jc w:val="right"/>
              <w:rPr>
                <w:rFonts w:ascii="Times New Roman" w:hAnsi="Times New Roman" w:cs="Times New Roman" w:eastAsia="Times New Roman" w:hint="default"/>
                <w:sz w:val="18"/>
                <w:szCs w:val="18"/>
              </w:rPr>
            </w:pPr>
            <w:r>
              <w:rPr>
                <w:rFonts w:ascii="Times New Roman"/>
                <w:sz w:val="18"/>
              </w:rPr>
              <w:t>45.35%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220</w:t>
            </w:r>
          </w:p>
        </w:tc>
      </w:tr>
    </w:tbl>
    <w:p>
      <w:pPr>
        <w:spacing w:after="0" w:line="240" w:lineRule="auto"/>
        <w:jc w:val="center"/>
        <w:rPr>
          <w:rFonts w:ascii="Times New Roman" w:hAnsi="Times New Roman" w:cs="Times New Roman" w:eastAsia="Times New Roman" w:hint="default"/>
          <w:sz w:val="18"/>
          <w:szCs w:val="18"/>
        </w:rPr>
        <w:sectPr>
          <w:type w:val="continuous"/>
          <w:pgSz w:w="16840" w:h="11910" w:orient="landscape"/>
          <w:pgMar w:top="1100" w:bottom="1460" w:left="1300" w:right="1320"/>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27"/>
        <w:gridCol w:w="1018"/>
        <w:gridCol w:w="989"/>
        <w:gridCol w:w="866"/>
        <w:gridCol w:w="830"/>
        <w:gridCol w:w="989"/>
        <w:gridCol w:w="991"/>
        <w:gridCol w:w="850"/>
        <w:gridCol w:w="991"/>
        <w:gridCol w:w="848"/>
        <w:gridCol w:w="1051"/>
      </w:tblGrid>
      <w:tr>
        <w:trPr>
          <w:trHeight w:val="573" w:hRule="exact"/>
        </w:trPr>
        <w:tc>
          <w:tcPr>
            <w:tcW w:w="45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1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5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3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8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18" w:right="20" w:hanging="19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年度营 业收入</w:t>
            </w:r>
          </w:p>
        </w:tc>
        <w:tc>
          <w:tcPr>
            <w:tcW w:w="9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0" w:right="17" w:hanging="19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年度营 业利润</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46" w:right="36"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9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09" w:right="19"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年度净 利润</w:t>
            </w:r>
          </w:p>
        </w:tc>
        <w:tc>
          <w:tcPr>
            <w:tcW w:w="8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增长率</w:t>
            </w:r>
          </w:p>
        </w:tc>
        <w:tc>
          <w:tcPr>
            <w:tcW w:w="105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49" w:right="43"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 润贡献</w:t>
            </w:r>
          </w:p>
        </w:tc>
      </w:tr>
      <w:tr>
        <w:trPr>
          <w:trHeight w:val="322"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广西北投星联国际供应链管理有限公司（非并表）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47.00%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2" w:right="0"/>
              <w:jc w:val="left"/>
              <w:rPr>
                <w:rFonts w:ascii="Times New Roman" w:hAnsi="Times New Roman" w:cs="Times New Roman" w:eastAsia="Times New Roman" w:hint="default"/>
                <w:sz w:val="18"/>
                <w:szCs w:val="18"/>
              </w:rPr>
            </w:pPr>
            <w:r>
              <w:rPr>
                <w:rFonts w:ascii="Times New Roman"/>
                <w:sz w:val="18"/>
              </w:rPr>
              <w:t>15,295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9,721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24,629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128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126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1.59%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60</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深圳市星联国际供应链管理有限公司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5" w:right="0"/>
              <w:jc w:val="left"/>
              <w:rPr>
                <w:rFonts w:ascii="Times New Roman" w:hAnsi="Times New Roman" w:cs="Times New Roman" w:eastAsia="Times New Roman" w:hint="default"/>
                <w:sz w:val="18"/>
                <w:szCs w:val="18"/>
              </w:rPr>
            </w:pPr>
            <w:r>
              <w:rPr>
                <w:rFonts w:ascii="Times New Roman"/>
                <w:sz w:val="18"/>
              </w:rPr>
              <w:t>1,619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1,478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102.20%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深圳市深粮控股股份有限公司（非并表</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8.23%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115,254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6" w:right="0"/>
              <w:jc w:val="left"/>
              <w:rPr>
                <w:rFonts w:ascii="Times New Roman" w:hAnsi="Times New Roman" w:cs="Times New Roman" w:eastAsia="Times New Roman" w:hint="default"/>
                <w:sz w:val="18"/>
                <w:szCs w:val="18"/>
              </w:rPr>
            </w:pPr>
            <w:r>
              <w:rPr>
                <w:rFonts w:ascii="Times New Roman"/>
                <w:sz w:val="18"/>
              </w:rPr>
              <w:t>646,895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433,760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1,075,878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2"/>
              <w:jc w:val="right"/>
              <w:rPr>
                <w:rFonts w:ascii="Times New Roman" w:hAnsi="Times New Roman" w:cs="Times New Roman" w:eastAsia="Times New Roman" w:hint="default"/>
                <w:sz w:val="18"/>
                <w:szCs w:val="18"/>
              </w:rPr>
            </w:pPr>
            <w:r>
              <w:rPr>
                <w:rFonts w:ascii="Times New Roman"/>
                <w:spacing w:val="-1"/>
                <w:sz w:val="18"/>
              </w:rPr>
              <w:t>34,122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32,086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-6,125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623.85%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-1,278</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深圳市大白菜科技有限公司（注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5" w:right="0"/>
              <w:jc w:val="left"/>
              <w:rPr>
                <w:rFonts w:ascii="Times New Roman" w:hAnsi="Times New Roman" w:cs="Times New Roman" w:eastAsia="Times New Roman" w:hint="default"/>
                <w:sz w:val="18"/>
                <w:szCs w:val="18"/>
              </w:rPr>
            </w:pPr>
            <w:r>
              <w:rPr>
                <w:rFonts w:ascii="Times New Roman"/>
                <w:sz w:val="18"/>
              </w:rPr>
              <w:t>1,781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1,431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12,084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23"/>
              <w:jc w:val="right"/>
              <w:rPr>
                <w:rFonts w:ascii="Times New Roman" w:hAnsi="Times New Roman" w:cs="Times New Roman" w:eastAsia="Times New Roman" w:hint="default"/>
                <w:sz w:val="18"/>
                <w:szCs w:val="18"/>
              </w:rPr>
            </w:pPr>
            <w:r>
              <w:rPr>
                <w:rFonts w:ascii="Times New Roman"/>
                <w:spacing w:val="-1"/>
                <w:sz w:val="18"/>
              </w:rPr>
              <w:t>-700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-1,316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46.81%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-700</w:t>
            </w:r>
          </w:p>
        </w:tc>
      </w:tr>
      <w:tr>
        <w:trPr>
          <w:trHeight w:val="322"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深圳前海农产品交易所股份有限公司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20,000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2" w:right="0"/>
              <w:jc w:val="left"/>
              <w:rPr>
                <w:rFonts w:ascii="Times New Roman" w:hAnsi="Times New Roman" w:cs="Times New Roman" w:eastAsia="Times New Roman" w:hint="default"/>
                <w:sz w:val="18"/>
                <w:szCs w:val="18"/>
              </w:rPr>
            </w:pPr>
            <w:r>
              <w:rPr>
                <w:rFonts w:ascii="Times New Roman"/>
                <w:sz w:val="18"/>
              </w:rPr>
              <w:t>10,429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4,362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2,374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4"/>
              <w:jc w:val="right"/>
              <w:rPr>
                <w:rFonts w:ascii="Times New Roman" w:hAnsi="Times New Roman" w:cs="Times New Roman" w:eastAsia="Times New Roman" w:hint="default"/>
                <w:sz w:val="18"/>
                <w:szCs w:val="18"/>
              </w:rPr>
            </w:pPr>
            <w:r>
              <w:rPr>
                <w:rFonts w:ascii="Times New Roman"/>
                <w:sz w:val="18"/>
              </w:rPr>
              <w:t>-3,397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-4,009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-3,715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-7.91%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-3,446</w:t>
            </w:r>
          </w:p>
        </w:tc>
      </w:tr>
      <w:tr>
        <w:trPr>
          <w:trHeight w:val="324" w:hRule="exact"/>
        </w:trPr>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深圳市海吉星国际食品产业发展有限公司（注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51.00%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5" w:right="0"/>
              <w:jc w:val="left"/>
              <w:rPr>
                <w:rFonts w:ascii="Times New Roman" w:hAnsi="Times New Roman" w:cs="Times New Roman" w:eastAsia="Times New Roman" w:hint="default"/>
                <w:sz w:val="18"/>
                <w:szCs w:val="18"/>
              </w:rPr>
            </w:pPr>
            <w:r>
              <w:rPr>
                <w:rFonts w:ascii="Times New Roman"/>
                <w:sz w:val="18"/>
              </w:rPr>
              <w:t>5,549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3,883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4"/>
              <w:jc w:val="right"/>
              <w:rPr>
                <w:rFonts w:ascii="Times New Roman" w:hAnsi="Times New Roman" w:cs="Times New Roman" w:eastAsia="Times New Roman" w:hint="default"/>
                <w:sz w:val="18"/>
                <w:szCs w:val="18"/>
              </w:rPr>
            </w:pPr>
            <w:r>
              <w:rPr>
                <w:rFonts w:ascii="Times New Roman"/>
                <w:sz w:val="18"/>
              </w:rPr>
              <w:t>-3,510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-3,512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-1,402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-150.50%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-1,791</w:t>
            </w:r>
          </w:p>
        </w:tc>
      </w:tr>
    </w:tbl>
    <w:p>
      <w:pPr>
        <w:spacing w:before="8"/>
        <w:ind w:left="10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、报告期，果菜公司净利润同比减少，主要系上年同期转让益民公司股权事项转回历史对应收款项已计提资产减值损失所致；</w:t>
      </w:r>
    </w:p>
    <w:p>
      <w:pPr>
        <w:spacing w:before="24"/>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、报告期，担保公司净利润同比减少，主要系经营收入减少及按贷款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级分类计提贷款减值准备同比增加所致；</w:t>
      </w:r>
    </w:p>
    <w:p>
      <w:pPr>
        <w:spacing w:before="24"/>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、报告期，中农网净利润同比减少，主要系上年同期中农网原参股公司广西糖网食糖批发市场有限责任公司纳入合并报表范围产</w:t>
      </w:r>
      <w:r>
        <w:rPr>
          <w:rFonts w:ascii="宋体" w:hAnsi="宋体" w:cs="宋体" w:eastAsia="宋体" w:hint="default"/>
          <w:spacing w:val="2"/>
          <w:sz w:val="18"/>
          <w:szCs w:val="18"/>
        </w:rPr>
        <w:t> </w:t>
      </w:r>
      <w:r>
        <w:rPr>
          <w:rFonts w:ascii="宋体" w:hAnsi="宋体" w:cs="宋体" w:eastAsia="宋体" w:hint="default"/>
          <w:sz w:val="18"/>
          <w:szCs w:val="18"/>
        </w:rPr>
        <w:t>生一次性损益影响所致；</w:t>
      </w:r>
    </w:p>
    <w:p>
      <w:pPr>
        <w:spacing w:before="24"/>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、报告期，凯吉星检测净利润同比增加，主要系本年业务和收入增加所致；</w:t>
      </w:r>
    </w:p>
    <w:p>
      <w:pPr>
        <w:spacing w:before="24"/>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、报告期，深粮控股完成重大资产重组事项，根据重组完成前后情况分段计算对公司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年净利润贡献；</w:t>
      </w:r>
    </w:p>
    <w:p>
      <w:pPr>
        <w:spacing w:before="24"/>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、报告期，大白菜科技公司报告期同比减亏，主要系销售费用同比减少；</w:t>
      </w:r>
    </w:p>
    <w:p>
      <w:pPr>
        <w:spacing w:before="24"/>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、报告期，国际食品同比增亏，主要系报告期对其参股公司绿膳谷公司的股权投资、历史租金和其他应收款项计提减值准备所致。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4"/>
        <w:spacing w:line="240" w:lineRule="auto"/>
        <w:ind w:left="100" w:right="0"/>
        <w:jc w:val="left"/>
        <w:rPr>
          <w:b w:val="0"/>
          <w:bCs w:val="0"/>
        </w:rPr>
      </w:pPr>
      <w:r>
        <w:rPr/>
        <w:t>八、公司控制的结构化主体情况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1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1265" w:top="1060" w:bottom="1460" w:left="1340" w:right="1320"/>
        </w:sectPr>
      </w:pPr>
    </w:p>
    <w:p>
      <w:pPr>
        <w:spacing w:line="240" w:lineRule="auto" w:before="7"/>
        <w:rPr>
          <w:rFonts w:ascii="宋体" w:hAnsi="宋体" w:cs="宋体" w:eastAsia="宋体" w:hint="default"/>
          <w:sz w:val="19"/>
          <w:szCs w:val="19"/>
        </w:rPr>
      </w:pPr>
    </w:p>
    <w:p>
      <w:pPr>
        <w:pStyle w:val="Heading4"/>
        <w:spacing w:line="367" w:lineRule="exact"/>
        <w:ind w:left="152" w:right="0"/>
        <w:jc w:val="both"/>
        <w:rPr>
          <w:b w:val="0"/>
          <w:bCs w:val="0"/>
        </w:rPr>
      </w:pPr>
      <w:r>
        <w:rPr/>
        <w:t>九、公司未来发展的展望</w:t>
      </w:r>
      <w:r>
        <w:rPr>
          <w:b w:val="0"/>
          <w:bCs w:val="0"/>
        </w:rPr>
      </w:r>
    </w:p>
    <w:p>
      <w:pPr>
        <w:spacing w:line="336" w:lineRule="auto" w:before="210"/>
        <w:ind w:left="573" w:right="0" w:firstLine="16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（一）农产品流通行业政策环境和导向</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批发市场作为农产品流通的主渠道发挥着重要作用，是农业社会化服务体系的重要组成部分，它将农</w:t>
      </w:r>
    </w:p>
    <w:p>
      <w:pPr>
        <w:pStyle w:val="BodyText"/>
        <w:spacing w:line="355" w:lineRule="auto" w:before="51"/>
        <w:ind w:left="152" w:right="1126"/>
        <w:jc w:val="both"/>
      </w:pPr>
      <w:r>
        <w:rPr>
          <w:spacing w:val="-2"/>
        </w:rPr>
        <w:t>村千家万户的小生产与城市大市场相连接，实现产销对接。农产品批发市场通过市场价格和需求信息的引</w:t>
      </w:r>
      <w:r>
        <w:rPr>
          <w:spacing w:val="-44"/>
        </w:rPr>
        <w:t> </w:t>
      </w:r>
      <w:r>
        <w:rPr>
          <w:spacing w:val="-44"/>
        </w:rPr>
      </w:r>
      <w:r>
        <w:rPr>
          <w:spacing w:val="-2"/>
        </w:rPr>
        <w:t>导，提高农产品供给的有效性；通过产销对接，引导农产品有序流通；通过食品安全管理，加强产地优质</w:t>
      </w:r>
      <w:r>
        <w:rPr>
          <w:spacing w:val="-43"/>
        </w:rPr>
        <w:t> </w:t>
      </w:r>
      <w:r>
        <w:rPr>
          <w:spacing w:val="-43"/>
        </w:rPr>
      </w:r>
      <w:r>
        <w:rPr>
          <w:spacing w:val="-2"/>
        </w:rPr>
        <w:t>农产品供给。新的时代下，人民群众对美好生活的向往对农产品批发市场提升服务能力，保障食品安全等</w:t>
      </w:r>
      <w:r>
        <w:rPr>
          <w:spacing w:val="-44"/>
        </w:rPr>
        <w:t> </w:t>
      </w:r>
      <w:r>
        <w:rPr>
          <w:spacing w:val="-44"/>
        </w:rPr>
      </w:r>
      <w:r>
        <w:rPr/>
        <w:t>方面提出了新的要求。</w:t>
      </w:r>
    </w:p>
    <w:p>
      <w:pPr>
        <w:pStyle w:val="BodyText"/>
        <w:spacing w:line="355" w:lineRule="auto" w:before="76"/>
        <w:ind w:left="152" w:right="0" w:firstLine="420"/>
        <w:jc w:val="left"/>
      </w:pPr>
      <w:r>
        <w:rPr>
          <w:rFonts w:ascii="宋体" w:hAnsi="宋体" w:cs="宋体" w:eastAsia="宋体" w:hint="default"/>
        </w:rPr>
        <w:t>2018</w:t>
      </w:r>
      <w:r>
        <w:rPr>
          <w:rFonts w:ascii="宋体" w:hAnsi="宋体" w:cs="宋体" w:eastAsia="宋体" w:hint="default"/>
          <w:spacing w:val="-31"/>
        </w:rPr>
        <w:t> </w:t>
      </w:r>
      <w:r>
        <w:rPr>
          <w:spacing w:val="-4"/>
        </w:rPr>
        <w:t>年是贯彻党的十九大精神、实施乡村振兴战略的开局之年。党的十九大报告提出，“实施乡村振</w:t>
      </w:r>
      <w:r>
        <w:rPr>
          <w:w w:val="100"/>
        </w:rPr>
        <w:t> </w:t>
      </w:r>
      <w:r>
        <w:rPr>
          <w:spacing w:val="-2"/>
        </w:rPr>
        <w:t>兴战略”，“要坚持农业农村优先发展”，“建立健全城乡融合发展体制机制和政策体系，加快推进农业</w:t>
      </w:r>
      <w:r>
        <w:rPr>
          <w:spacing w:val="-44"/>
        </w:rPr>
        <w:t> </w:t>
      </w:r>
      <w:r>
        <w:rPr>
          <w:spacing w:val="-44"/>
        </w:rPr>
      </w:r>
      <w:r>
        <w:rPr>
          <w:spacing w:val="-2"/>
        </w:rPr>
        <w:t>农村现代化”，“构建现代农业产业体系、生产体系、经营体系，完善农业支持保护制度，发展多种形式</w:t>
      </w:r>
      <w:r>
        <w:rPr>
          <w:spacing w:val="-42"/>
        </w:rPr>
        <w:t> </w:t>
      </w:r>
      <w:r>
        <w:rPr>
          <w:spacing w:val="-42"/>
        </w:rPr>
      </w:r>
      <w:r>
        <w:rPr>
          <w:spacing w:val="-5"/>
        </w:rPr>
        <w:t>适度规模经营，培育新型农业经营主体，健全农业社会化服务体系”，“促进农村一二三产业融合发展”。 </w:t>
      </w:r>
      <w:r>
        <w:rPr>
          <w:spacing w:val="-5"/>
        </w:rPr>
      </w:r>
      <w:r>
        <w:rPr/>
        <w:t>乡村振兴，产业兴旺是重点。</w:t>
      </w:r>
    </w:p>
    <w:p>
      <w:pPr>
        <w:pStyle w:val="BodyText"/>
        <w:spacing w:line="355" w:lineRule="auto" w:before="75"/>
        <w:ind w:left="152" w:right="1126" w:firstLine="420"/>
        <w:jc w:val="both"/>
      </w:pPr>
      <w:r>
        <w:rPr>
          <w:rFonts w:ascii="宋体" w:hAnsi="宋体" w:cs="宋体" w:eastAsia="宋体" w:hint="default"/>
        </w:rPr>
        <w:t>2018</w:t>
      </w:r>
      <w:r>
        <w:rPr>
          <w:rFonts w:ascii="宋体" w:hAnsi="宋体" w:cs="宋体" w:eastAsia="宋体" w:hint="default"/>
          <w:spacing w:val="-43"/>
        </w:rPr>
        <w:t> </w:t>
      </w:r>
      <w:r>
        <w:rPr/>
        <w:t>年</w:t>
      </w:r>
      <w:r>
        <w:rPr>
          <w:spacing w:val="-40"/>
        </w:rPr>
        <w:t> </w:t>
      </w:r>
      <w:r>
        <w:rPr>
          <w:rFonts w:ascii="宋体" w:hAnsi="宋体" w:cs="宋体" w:eastAsia="宋体" w:hint="default"/>
        </w:rPr>
        <w:t>2</w:t>
      </w:r>
      <w:r>
        <w:rPr>
          <w:rFonts w:ascii="宋体" w:hAnsi="宋体" w:cs="宋体" w:eastAsia="宋体" w:hint="default"/>
          <w:spacing w:val="-43"/>
        </w:rPr>
        <w:t> </w:t>
      </w:r>
      <w:r>
        <w:rPr/>
        <w:t>月</w:t>
      </w:r>
      <w:r>
        <w:rPr>
          <w:spacing w:val="-40"/>
        </w:rPr>
        <w:t> </w:t>
      </w:r>
      <w:r>
        <w:rPr>
          <w:rFonts w:ascii="宋体" w:hAnsi="宋体" w:cs="宋体" w:eastAsia="宋体" w:hint="default"/>
        </w:rPr>
        <w:t>4</w:t>
      </w:r>
      <w:r>
        <w:rPr>
          <w:rFonts w:ascii="宋体" w:hAnsi="宋体" w:cs="宋体" w:eastAsia="宋体" w:hint="default"/>
          <w:spacing w:val="-43"/>
        </w:rPr>
        <w:t> </w:t>
      </w:r>
      <w:r>
        <w:rPr>
          <w:spacing w:val="-4"/>
        </w:rPr>
        <w:t>日，中共中央、国务院发布《关于实施乡村振兴战略的意见》，其中提出：“实施乡村</w:t>
      </w:r>
      <w:r>
        <w:rPr>
          <w:w w:val="100"/>
        </w:rPr>
        <w:t> </w:t>
      </w:r>
      <w:r>
        <w:rPr>
          <w:spacing w:val="-2"/>
        </w:rPr>
        <w:t>振兴战略，是党的十九大作出的重大决策部署，是决胜全面建成小康社会、全面建设社会主义现代化国家</w:t>
      </w:r>
      <w:r>
        <w:rPr>
          <w:spacing w:val="-44"/>
        </w:rPr>
        <w:t> </w:t>
      </w:r>
      <w:r>
        <w:rPr>
          <w:spacing w:val="-44"/>
        </w:rPr>
      </w:r>
      <w:r>
        <w:rPr>
          <w:spacing w:val="-2"/>
        </w:rPr>
        <w:t>的重大历史任务”，“必须坚持质量兴农、绿色兴农，以农业供给侧结构性改革为主线，加快构建现代农</w:t>
      </w:r>
      <w:r>
        <w:rPr>
          <w:spacing w:val="-43"/>
        </w:rPr>
        <w:t> </w:t>
      </w:r>
      <w:r>
        <w:rPr>
          <w:spacing w:val="-43"/>
        </w:rPr>
      </w:r>
      <w:r>
        <w:rPr>
          <w:spacing w:val="-2"/>
        </w:rPr>
        <w:t>业产业体系、生产体系、经营体系”，“质量兴农战略”，“构建农村一二三产业融合发展体系”，“提</w:t>
      </w:r>
      <w:r>
        <w:rPr>
          <w:spacing w:val="-47"/>
        </w:rPr>
        <w:t> </w:t>
      </w:r>
      <w:r>
        <w:rPr>
          <w:spacing w:val="-47"/>
        </w:rPr>
      </w:r>
      <w:r>
        <w:rPr/>
        <w:t>高金融服务乡村振兴能力和水平。”</w:t>
      </w:r>
    </w:p>
    <w:p>
      <w:pPr>
        <w:pStyle w:val="BodyText"/>
        <w:spacing w:line="357" w:lineRule="auto" w:before="75"/>
        <w:ind w:left="152" w:right="1126" w:firstLine="420"/>
        <w:jc w:val="both"/>
      </w:pP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t>月</w:t>
      </w:r>
      <w:r>
        <w:rPr>
          <w:spacing w:val="-48"/>
        </w:rPr>
        <w:t> </w:t>
      </w:r>
      <w:r>
        <w:rPr>
          <w:rFonts w:ascii="宋体" w:hAnsi="宋体" w:cs="宋体" w:eastAsia="宋体" w:hint="default"/>
        </w:rPr>
        <w:t>13</w:t>
      </w:r>
      <w:r>
        <w:rPr>
          <w:rFonts w:ascii="宋体" w:hAnsi="宋体" w:cs="宋体" w:eastAsia="宋体" w:hint="default"/>
          <w:spacing w:val="-48"/>
        </w:rPr>
        <w:t> </w:t>
      </w:r>
      <w:r>
        <w:rPr/>
        <w:t>日，农业部发布《关于大力实施乡村振兴战略加快推进农业转型升级的意见》，其中</w:t>
      </w:r>
      <w:r>
        <w:rPr>
          <w:w w:val="100"/>
        </w:rPr>
        <w:t> </w:t>
      </w:r>
      <w:r>
        <w:rPr>
          <w:spacing w:val="-2"/>
        </w:rPr>
        <w:t>提出：“大力推进农业标准化，加强农产品质量安全执法监管，实施品牌提升行动”，“实施农产品加工</w:t>
      </w:r>
      <w:r>
        <w:rPr>
          <w:spacing w:val="-46"/>
        </w:rPr>
        <w:t> </w:t>
      </w:r>
      <w:r>
        <w:rPr>
          <w:spacing w:val="-46"/>
        </w:rPr>
      </w:r>
      <w:r>
        <w:rPr>
          <w:spacing w:val="-2"/>
        </w:rPr>
        <w:t>业提升行动，推进农村一二三产业融合发展，建设一批农产品精深加工示范基地”，“加强国家级农产品</w:t>
      </w:r>
      <w:r>
        <w:rPr>
          <w:spacing w:val="-43"/>
        </w:rPr>
        <w:t> </w:t>
      </w:r>
      <w:r>
        <w:rPr>
          <w:spacing w:val="-43"/>
        </w:rPr>
      </w:r>
      <w:r>
        <w:rPr>
          <w:spacing w:val="-2"/>
        </w:rPr>
        <w:t>市场体系建设，与特优区建设相结合，坚持更高标准、更具特色，成熟一个认定一个，继续认定一批专业</w:t>
      </w:r>
      <w:r>
        <w:rPr>
          <w:spacing w:val="-43"/>
        </w:rPr>
        <w:t> </w:t>
      </w:r>
      <w:r>
        <w:rPr>
          <w:spacing w:val="-43"/>
        </w:rPr>
      </w:r>
      <w:r>
        <w:rPr>
          <w:spacing w:val="-2"/>
        </w:rPr>
        <w:t>市场”，“加强市场流通条件建设，重点支持合作社等新型经营主体建设田头预冷、烘干、分拣包装、净</w:t>
      </w:r>
      <w:r>
        <w:rPr>
          <w:spacing w:val="-44"/>
        </w:rPr>
        <w:t> </w:t>
      </w:r>
      <w:r>
        <w:rPr>
          <w:spacing w:val="-44"/>
        </w:rPr>
      </w:r>
      <w:r>
        <w:rPr>
          <w:spacing w:val="-2"/>
        </w:rPr>
        <w:t>化、物流、冷链等设施设备，加快拍卖、电子结算等新交易方式推广应用”，“推进农业信息化建设。强</w:t>
      </w:r>
      <w:r>
        <w:rPr>
          <w:spacing w:val="-45"/>
        </w:rPr>
        <w:t> </w:t>
      </w:r>
      <w:r>
        <w:rPr>
          <w:spacing w:val="-45"/>
        </w:rPr>
      </w:r>
      <w:r>
        <w:rPr>
          <w:spacing w:val="-2"/>
        </w:rPr>
        <w:t>化农业大数据应用，构建农业农村数据资源体系，建好用好重要农产品市场信息平台等，加快推进全球农</w:t>
      </w:r>
      <w:r>
        <w:rPr>
          <w:spacing w:val="-42"/>
        </w:rPr>
        <w:t> </w:t>
      </w:r>
      <w:r>
        <w:rPr>
          <w:spacing w:val="-42"/>
        </w:rPr>
      </w:r>
      <w:r>
        <w:rPr/>
        <w:t>业数据调查分析系统。”</w:t>
      </w:r>
    </w:p>
    <w:p>
      <w:pPr>
        <w:pStyle w:val="BodyText"/>
        <w:spacing w:line="355" w:lineRule="auto" w:before="73"/>
        <w:ind w:left="152" w:right="1105" w:firstLine="420"/>
        <w:jc w:val="both"/>
      </w:pPr>
      <w:r>
        <w:rPr>
          <w:rFonts w:ascii="宋体" w:hAnsi="宋体" w:cs="宋体" w:eastAsia="宋体" w:hint="default"/>
        </w:rPr>
        <w:t>2018</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39"/>
        </w:rPr>
        <w:t> </w:t>
      </w:r>
      <w:r>
        <w:rPr>
          <w:rFonts w:ascii="宋体" w:hAnsi="宋体" w:cs="宋体" w:eastAsia="宋体" w:hint="default"/>
        </w:rPr>
        <w:t>3</w:t>
      </w:r>
      <w:r>
        <w:rPr>
          <w:rFonts w:ascii="宋体" w:hAnsi="宋体" w:cs="宋体" w:eastAsia="宋体" w:hint="default"/>
          <w:spacing w:val="-42"/>
        </w:rPr>
        <w:t> </w:t>
      </w:r>
      <w:r>
        <w:rPr/>
        <w:t>日，农业农村部、财政部发布《</w:t>
      </w:r>
      <w:r>
        <w:rPr>
          <w:rFonts w:ascii="宋体" w:hAnsi="宋体" w:cs="宋体" w:eastAsia="宋体" w:hint="default"/>
        </w:rPr>
        <w:t>2018</w:t>
      </w:r>
      <w:r>
        <w:rPr>
          <w:rFonts w:ascii="宋体" w:hAnsi="宋体" w:cs="宋体" w:eastAsia="宋体" w:hint="default"/>
          <w:spacing w:val="-41"/>
        </w:rPr>
        <w:t> </w:t>
      </w:r>
      <w:r>
        <w:rPr/>
        <w:t>年财政重点强农惠农政策》，其中提出：“2018</w:t>
      </w:r>
      <w:r>
        <w:rPr>
          <w:w w:val="100"/>
        </w:rPr>
        <w:t> </w:t>
      </w:r>
      <w:r>
        <w:rPr>
          <w:spacing w:val="-2"/>
        </w:rPr>
        <w:t>年中央财政继续加大支农投入，强化项目统筹整合”，“启动绿色优质农产品示范，通过标准化绿色化生</w:t>
      </w:r>
      <w:r>
        <w:rPr>
          <w:spacing w:val="-45"/>
        </w:rPr>
        <w:t> </w:t>
      </w:r>
      <w:r>
        <w:rPr>
          <w:spacing w:val="-45"/>
        </w:rPr>
      </w:r>
      <w:r>
        <w:rPr>
          <w:spacing w:val="-2"/>
        </w:rPr>
        <w:t>产、全程化质量监管、全产业链经营、产业融合发展，做大做优做强优势特色产业，培育打造一批有影响</w:t>
      </w:r>
      <w:r>
        <w:rPr>
          <w:spacing w:val="-43"/>
        </w:rPr>
        <w:t> </w:t>
      </w:r>
      <w:r>
        <w:rPr>
          <w:spacing w:val="-43"/>
        </w:rPr>
      </w:r>
      <w:r>
        <w:rPr>
          <w:spacing w:val="-3"/>
        </w:rPr>
        <w:t>力的区域公用品牌、企业品牌和产品品牌”，“加强农产品产地加工、包装、营销等，延伸产业链，提升</w:t>
      </w:r>
      <w:r>
        <w:rPr>
          <w:spacing w:val="-5"/>
        </w:rPr>
        <w:t> </w:t>
      </w:r>
      <w:r>
        <w:rPr>
          <w:spacing w:val="-5"/>
        </w:rPr>
      </w:r>
      <w:r>
        <w:rPr>
          <w:spacing w:val="-2"/>
        </w:rPr>
        <w:t>价值链，拓展农业多功能性，发展休闲农业、智慧农业、农业文化产业，支持农业产业化，培育新产业、</w:t>
      </w:r>
      <w:r>
        <w:rPr>
          <w:spacing w:val="-21"/>
        </w:rPr>
        <w:t> </w:t>
      </w:r>
      <w:r>
        <w:rPr>
          <w:spacing w:val="-21"/>
        </w:rPr>
      </w:r>
      <w:r>
        <w:rPr/>
        <w:t>新业态、新模式”。</w:t>
      </w:r>
    </w:p>
    <w:p>
      <w:pPr>
        <w:pStyle w:val="BodyText"/>
        <w:spacing w:line="355" w:lineRule="auto" w:before="75"/>
        <w:ind w:left="152" w:right="1126" w:firstLine="420"/>
        <w:jc w:val="both"/>
      </w:pP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11</w:t>
      </w:r>
      <w:r>
        <w:rPr>
          <w:rFonts w:ascii="宋体" w:hAnsi="宋体" w:cs="宋体" w:eastAsia="宋体" w:hint="default"/>
          <w:spacing w:val="-48"/>
        </w:rPr>
        <w:t> </w:t>
      </w:r>
      <w:r>
        <w:rPr/>
        <w:t>日，农业农村部、中国邮政储蓄银行发布《关于加强农业产业化领域金融合作，助推</w:t>
      </w:r>
      <w:r>
        <w:rPr>
          <w:w w:val="100"/>
        </w:rPr>
        <w:t> </w:t>
      </w:r>
      <w:r>
        <w:rPr>
          <w:spacing w:val="-2"/>
        </w:rPr>
        <w:t>实施乡村振兴战略的意见》，其中提出：“支持龙头企业发展生产基地、精深加工、市场营销，加强农业</w:t>
      </w:r>
    </w:p>
    <w:p>
      <w:pPr>
        <w:spacing w:after="0" w:line="355" w:lineRule="auto"/>
        <w:jc w:val="both"/>
        <w:sectPr>
          <w:headerReference w:type="default" r:id="rId20"/>
          <w:footerReference w:type="default" r:id="rId21"/>
          <w:pgSz w:w="11910" w:h="16840"/>
          <w:pgMar w:header="877" w:footer="1265" w:top="1100" w:bottom="1460" w:left="980" w:right="0"/>
          <w:pgNumType w:start="38"/>
        </w:sectPr>
      </w:pPr>
    </w:p>
    <w:p>
      <w:pPr>
        <w:spacing w:line="240" w:lineRule="auto" w:before="1"/>
        <w:rPr>
          <w:rFonts w:ascii="宋体" w:hAnsi="宋体" w:cs="宋体" w:eastAsia="宋体" w:hint="default"/>
          <w:sz w:val="19"/>
          <w:szCs w:val="19"/>
        </w:rPr>
      </w:pPr>
    </w:p>
    <w:p>
      <w:pPr>
        <w:pStyle w:val="BodyText"/>
        <w:spacing w:line="393" w:lineRule="auto"/>
        <w:ind w:left="573" w:right="1123" w:hanging="421"/>
        <w:jc w:val="left"/>
      </w:pPr>
      <w:r>
        <w:rPr/>
        <w:t>全产业链开发经营；拓展农业多种功能，发展“互联网</w:t>
      </w:r>
      <w:r>
        <w:rPr>
          <w:rFonts w:ascii="宋体" w:hAnsi="宋体" w:cs="宋体" w:eastAsia="宋体" w:hint="default"/>
        </w:rPr>
        <w:t>+</w:t>
      </w:r>
      <w:r>
        <w:rPr/>
        <w:t>农业”、物联网农业、休闲农业等新兴业态。”</w:t>
      </w:r>
      <w:r>
        <w:rPr>
          <w:w w:val="100"/>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24</w:t>
      </w:r>
      <w:r>
        <w:rPr>
          <w:rFonts w:ascii="宋体" w:hAnsi="宋体" w:cs="宋体" w:eastAsia="宋体" w:hint="default"/>
          <w:spacing w:val="-48"/>
        </w:rPr>
        <w:t> </w:t>
      </w:r>
      <w:r>
        <w:rPr/>
        <w:t>日，商务部发布《关于推进农商互联助力乡村振兴的通知》，其中提出包括构建长期</w:t>
      </w:r>
    </w:p>
    <w:p>
      <w:pPr>
        <w:pStyle w:val="BodyText"/>
        <w:spacing w:line="355" w:lineRule="auto" w:before="0"/>
        <w:ind w:left="152" w:right="1126"/>
        <w:jc w:val="both"/>
      </w:pPr>
      <w:r>
        <w:rPr>
          <w:spacing w:val="-2"/>
        </w:rPr>
        <w:t>稳定产销衔接机制、发展新型农业经营主体、培育打造农产品品牌、打造全产业链条标准体系、扶持贫困</w:t>
      </w:r>
      <w:r>
        <w:rPr>
          <w:spacing w:val="-50"/>
        </w:rPr>
        <w:t> </w:t>
      </w:r>
      <w:r>
        <w:rPr>
          <w:spacing w:val="-50"/>
        </w:rPr>
      </w:r>
      <w:r>
        <w:rPr>
          <w:spacing w:val="-2"/>
        </w:rPr>
        <w:t>地区农产品产销对接、加强农产品流通基础设施建设等六大重点任务。其中，特别提到支持农产品流通企</w:t>
      </w:r>
      <w:r>
        <w:rPr>
          <w:spacing w:val="-44"/>
        </w:rPr>
        <w:t> </w:t>
      </w:r>
      <w:r>
        <w:rPr>
          <w:spacing w:val="-44"/>
        </w:rPr>
      </w:r>
      <w:r>
        <w:rPr/>
        <w:t>业或新型农业经营主体向生产或销售环节延伸产业链条，实现产加销全产业链一体化经营。</w:t>
      </w:r>
    </w:p>
    <w:p>
      <w:pPr>
        <w:pStyle w:val="BodyText"/>
        <w:spacing w:line="357" w:lineRule="auto" w:before="73"/>
        <w:ind w:left="152" w:right="0" w:firstLine="420"/>
        <w:jc w:val="left"/>
      </w:pP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5</w:t>
      </w:r>
      <w:r>
        <w:rPr>
          <w:rFonts w:ascii="宋体" w:hAnsi="宋体" w:cs="宋体" w:eastAsia="宋体" w:hint="default"/>
          <w:spacing w:val="-45"/>
        </w:rPr>
        <w:t> </w:t>
      </w:r>
      <w:r>
        <w:rPr/>
        <w:t>月</w:t>
      </w:r>
      <w:r>
        <w:rPr>
          <w:spacing w:val="-42"/>
        </w:rPr>
        <w:t> </w:t>
      </w:r>
      <w:r>
        <w:rPr>
          <w:rFonts w:ascii="宋体" w:hAnsi="宋体" w:cs="宋体" w:eastAsia="宋体" w:hint="default"/>
        </w:rPr>
        <w:t>28</w:t>
      </w:r>
      <w:r>
        <w:rPr>
          <w:rFonts w:ascii="宋体" w:hAnsi="宋体" w:cs="宋体" w:eastAsia="宋体" w:hint="default"/>
          <w:spacing w:val="-45"/>
        </w:rPr>
        <w:t> </w:t>
      </w:r>
      <w:r>
        <w:rPr>
          <w:spacing w:val="-9"/>
        </w:rPr>
        <w:t>日，商务部发布《关于开展</w:t>
      </w:r>
      <w:r>
        <w:rPr>
          <w:spacing w:val="-45"/>
        </w:rPr>
        <w:t> </w:t>
      </w:r>
      <w:r>
        <w:rPr>
          <w:rFonts w:ascii="宋体" w:hAnsi="宋体" w:cs="宋体" w:eastAsia="宋体" w:hint="default"/>
        </w:rPr>
        <w:t>2018</w:t>
      </w:r>
      <w:r>
        <w:rPr>
          <w:rFonts w:ascii="宋体" w:hAnsi="宋体" w:cs="宋体" w:eastAsia="宋体" w:hint="default"/>
          <w:spacing w:val="-45"/>
        </w:rPr>
        <w:t> </w:t>
      </w:r>
      <w:r>
        <w:rPr>
          <w:spacing w:val="-6"/>
        </w:rPr>
        <w:t>年流通领域现代供应链体系建设的通知》，其中提出：</w:t>
      </w:r>
      <w:r>
        <w:rPr>
          <w:w w:val="100"/>
        </w:rPr>
        <w:t> </w:t>
      </w:r>
      <w:r>
        <w:rPr/>
        <w:t>“重点围绕农产品、快消品等行业领域，加快推进现代供应链体系建设”，“鼓励农产品批发市场拓展产</w:t>
      </w:r>
      <w:r>
        <w:rPr>
          <w:w w:val="100"/>
        </w:rPr>
        <w:t> </w:t>
      </w:r>
      <w:r>
        <w:rPr/>
        <w:t>销对接、安全检测、加工包装、统仓统配、溯源查询等功能，加快线上线下融合发展。”</w:t>
      </w:r>
    </w:p>
    <w:p>
      <w:pPr>
        <w:pStyle w:val="BodyText"/>
        <w:spacing w:line="355" w:lineRule="auto" w:before="73"/>
        <w:ind w:left="152" w:right="0" w:firstLine="420"/>
        <w:jc w:val="left"/>
      </w:pPr>
      <w:r>
        <w:rPr>
          <w:rFonts w:ascii="宋体" w:hAnsi="宋体" w:cs="宋体" w:eastAsia="宋体" w:hint="default"/>
        </w:rPr>
        <w:t>2018</w:t>
      </w:r>
      <w:r>
        <w:rPr>
          <w:rFonts w:ascii="宋体" w:hAnsi="宋体" w:cs="宋体" w:eastAsia="宋体" w:hint="default"/>
          <w:spacing w:val="-42"/>
        </w:rPr>
        <w:t> </w:t>
      </w:r>
      <w:r>
        <w:rPr/>
        <w:t>年</w:t>
      </w:r>
      <w:r>
        <w:rPr>
          <w:spacing w:val="-40"/>
        </w:rPr>
        <w:t> </w:t>
      </w:r>
      <w:r>
        <w:rPr>
          <w:rFonts w:ascii="宋体" w:hAnsi="宋体" w:cs="宋体" w:eastAsia="宋体" w:hint="default"/>
        </w:rPr>
        <w:t>8</w:t>
      </w:r>
      <w:r>
        <w:rPr>
          <w:rFonts w:ascii="宋体" w:hAnsi="宋体" w:cs="宋体" w:eastAsia="宋体" w:hint="default"/>
          <w:spacing w:val="-42"/>
        </w:rPr>
        <w:t> </w:t>
      </w:r>
      <w:r>
        <w:rPr/>
        <w:t>月</w:t>
      </w:r>
      <w:r>
        <w:rPr>
          <w:spacing w:val="-40"/>
        </w:rPr>
        <w:t> </w:t>
      </w:r>
      <w:r>
        <w:rPr>
          <w:rFonts w:ascii="宋体" w:hAnsi="宋体" w:cs="宋体" w:eastAsia="宋体" w:hint="default"/>
        </w:rPr>
        <w:t>19</w:t>
      </w:r>
      <w:r>
        <w:rPr>
          <w:rFonts w:ascii="宋体" w:hAnsi="宋体" w:cs="宋体" w:eastAsia="宋体" w:hint="default"/>
          <w:spacing w:val="-42"/>
        </w:rPr>
        <w:t> </w:t>
      </w:r>
      <w:r>
        <w:rPr>
          <w:spacing w:val="-4"/>
        </w:rPr>
        <w:t>日，中共中央、国务院发布《关于打赢脱贫攻坚战三年行动的指导意见》，其中提出：</w:t>
      </w:r>
      <w:r>
        <w:rPr>
          <w:w w:val="100"/>
        </w:rPr>
        <w:t> </w:t>
      </w:r>
      <w:r>
        <w:rPr>
          <w:spacing w:val="-2"/>
        </w:rPr>
        <w:t>“加大产业扶贫力度”，“多渠道拓宽农产品营销渠道，推动批发市场、电商企业、大型超市等市场主体</w:t>
      </w:r>
      <w:r>
        <w:rPr>
          <w:spacing w:val="-43"/>
        </w:rPr>
        <w:t> </w:t>
      </w:r>
      <w:r>
        <w:rPr>
          <w:spacing w:val="-43"/>
        </w:rPr>
      </w:r>
      <w:r>
        <w:rPr>
          <w:spacing w:val="-2"/>
        </w:rPr>
        <w:t>与贫困村建立长期稳定的产销关系”，“加大金融扶贫支持力度”，“鼓励上市公司、证券公司等市场主</w:t>
      </w:r>
      <w:r>
        <w:rPr>
          <w:spacing w:val="-46"/>
        </w:rPr>
        <w:t> </w:t>
      </w:r>
      <w:r>
        <w:rPr>
          <w:spacing w:val="-46"/>
        </w:rPr>
      </w:r>
      <w:r>
        <w:rPr/>
        <w:t>体依法依规设立或参与市场化运作的贫困地区产业投资基金和扶贫公益基金。”</w:t>
      </w:r>
    </w:p>
    <w:p>
      <w:pPr>
        <w:pStyle w:val="BodyText"/>
        <w:spacing w:line="357" w:lineRule="auto" w:before="75"/>
        <w:ind w:left="152" w:right="1126" w:firstLine="420"/>
        <w:jc w:val="both"/>
      </w:pP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日，商务部发布《关于做好农产品产销对接工作的通知》，其中提出：“充分发挥骨</w:t>
      </w:r>
      <w:r>
        <w:rPr>
          <w:w w:val="100"/>
        </w:rPr>
        <w:t> </w:t>
      </w:r>
      <w:r>
        <w:rPr>
          <w:spacing w:val="-2"/>
        </w:rPr>
        <w:t>干农产品批发市场、农产品流通企业和公益性农产品示范市场的优势和功能，在产销信息搜集发布、产销</w:t>
      </w:r>
      <w:r>
        <w:rPr>
          <w:spacing w:val="-43"/>
        </w:rPr>
        <w:t> </w:t>
      </w:r>
      <w:r>
        <w:rPr>
          <w:spacing w:val="-43"/>
        </w:rPr>
      </w:r>
      <w:r>
        <w:rPr>
          <w:spacing w:val="-2"/>
        </w:rPr>
        <w:t>对接合作、精准扶贫等方面发挥示范带动作用。”，“加强农产品产后商品化处理设施建设，重点加强农</w:t>
      </w:r>
      <w:r>
        <w:rPr>
          <w:spacing w:val="-43"/>
        </w:rPr>
        <w:t> </w:t>
      </w:r>
      <w:r>
        <w:rPr>
          <w:spacing w:val="-43"/>
        </w:rPr>
      </w:r>
      <w:r>
        <w:rPr>
          <w:spacing w:val="-2"/>
        </w:rPr>
        <w:t>产品冷链设施建设”，“加强农产品流通标准的制修订和推广应用，培育打造农产品区域公共品牌、合作</w:t>
      </w:r>
      <w:r>
        <w:rPr>
          <w:spacing w:val="-44"/>
        </w:rPr>
        <w:t> </w:t>
      </w:r>
      <w:r>
        <w:rPr>
          <w:spacing w:val="-44"/>
        </w:rPr>
      </w:r>
      <w:r>
        <w:rPr/>
        <w:t>社农产品品牌、贫困户农产品品牌，提升小生产与大市场对接水平”。</w:t>
      </w:r>
    </w:p>
    <w:p>
      <w:pPr>
        <w:pStyle w:val="Heading5"/>
        <w:spacing w:line="355" w:lineRule="auto" w:before="71"/>
        <w:ind w:right="1128"/>
        <w:jc w:val="both"/>
      </w:pPr>
      <w:r>
        <w:rPr>
          <w:rFonts w:ascii="宋体" w:hAnsi="宋体" w:cs="宋体" w:eastAsia="宋体" w:hint="default"/>
          <w:w w:val="100"/>
        </w:rPr>
        <w:t>2018</w:t>
      </w:r>
      <w:r>
        <w:rPr>
          <w:rFonts w:ascii="宋体" w:hAnsi="宋体" w:cs="宋体" w:eastAsia="宋体" w:hint="default"/>
          <w:spacing w:val="-55"/>
          <w:w w:val="100"/>
        </w:rPr>
        <w:t> </w:t>
      </w:r>
      <w:r>
        <w:rPr>
          <w:w w:val="100"/>
        </w:rPr>
        <w:t>年</w:t>
      </w:r>
      <w:r>
        <w:rPr>
          <w:spacing w:val="-55"/>
          <w:w w:val="100"/>
        </w:rPr>
        <w:t> </w:t>
      </w:r>
      <w:r>
        <w:rPr>
          <w:rFonts w:ascii="宋体" w:hAnsi="宋体" w:cs="宋体" w:eastAsia="宋体" w:hint="default"/>
          <w:w w:val="100"/>
        </w:rPr>
        <w:t>9</w:t>
      </w:r>
      <w:r>
        <w:rPr>
          <w:rFonts w:ascii="宋体" w:hAnsi="宋体" w:cs="宋体" w:eastAsia="宋体" w:hint="default"/>
          <w:spacing w:val="-58"/>
          <w:w w:val="100"/>
        </w:rPr>
        <w:t> </w:t>
      </w:r>
      <w:r>
        <w:rPr>
          <w:w w:val="100"/>
        </w:rPr>
        <w:t>月</w:t>
      </w:r>
      <w:r>
        <w:rPr>
          <w:spacing w:val="-55"/>
          <w:w w:val="100"/>
        </w:rPr>
        <w:t> </w:t>
      </w:r>
      <w:r>
        <w:rPr>
          <w:rFonts w:ascii="宋体" w:hAnsi="宋体" w:cs="宋体" w:eastAsia="宋体" w:hint="default"/>
          <w:w w:val="100"/>
        </w:rPr>
        <w:t>26</w:t>
      </w:r>
      <w:r>
        <w:rPr>
          <w:rFonts w:ascii="宋体" w:hAnsi="宋体" w:cs="宋体" w:eastAsia="宋体" w:hint="default"/>
          <w:spacing w:val="-58"/>
          <w:w w:val="100"/>
        </w:rPr>
        <w:t> </w:t>
      </w:r>
      <w:r>
        <w:rPr>
          <w:spacing w:val="-2"/>
          <w:w w:val="100"/>
        </w:rPr>
        <w:t>日，中共中央、国务院印发了《乡村振兴战略规划（</w:t>
      </w:r>
      <w:r>
        <w:rPr>
          <w:rFonts w:ascii="宋体" w:hAnsi="宋体" w:cs="宋体" w:eastAsia="宋体" w:hint="default"/>
          <w:spacing w:val="-2"/>
          <w:w w:val="100"/>
        </w:rPr>
        <w:t>2018</w:t>
      </w:r>
      <w:r>
        <w:rPr>
          <w:spacing w:val="-2"/>
          <w:w w:val="100"/>
        </w:rPr>
        <w:t>－</w:t>
      </w:r>
      <w:r>
        <w:rPr>
          <w:rFonts w:ascii="宋体" w:hAnsi="宋体" w:cs="宋体" w:eastAsia="宋体" w:hint="default"/>
          <w:spacing w:val="-2"/>
          <w:w w:val="100"/>
        </w:rPr>
        <w:t>2022</w:t>
      </w:r>
      <w:r>
        <w:rPr>
          <w:rFonts w:ascii="宋体" w:hAnsi="宋体" w:cs="宋体" w:eastAsia="宋体" w:hint="default"/>
          <w:spacing w:val="-55"/>
          <w:w w:val="100"/>
        </w:rPr>
        <w:t> </w:t>
      </w:r>
      <w:r>
        <w:rPr>
          <w:spacing w:val="-30"/>
          <w:w w:val="100"/>
        </w:rPr>
        <w:t>年）》，提出要加</w:t>
      </w:r>
      <w:r>
        <w:rPr>
          <w:spacing w:val="-3"/>
          <w:w w:val="100"/>
        </w:rPr>
        <w:t> </w:t>
      </w:r>
      <w:r>
        <w:rPr>
          <w:spacing w:val="-2"/>
        </w:rPr>
        <w:t>快农业转型升级、完善农业支持保护制度、推动农村产业深度融合、完善紧密型利益联结机制、加大</w:t>
      </w:r>
      <w:r>
        <w:rPr>
          <w:spacing w:val="-68"/>
        </w:rPr>
        <w:t> </w:t>
      </w:r>
      <w:r>
        <w:rPr>
          <w:spacing w:val="-68"/>
        </w:rPr>
      </w:r>
      <w:r>
        <w:rPr/>
        <w:t>金融支农力度等具体规划举措。</w:t>
      </w:r>
    </w:p>
    <w:p>
      <w:pPr>
        <w:pStyle w:val="Heading5"/>
        <w:spacing w:line="355" w:lineRule="auto"/>
        <w:ind w:right="1015"/>
        <w:jc w:val="left"/>
      </w:pP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11</w:t>
      </w:r>
      <w:r>
        <w:rPr>
          <w:rFonts w:ascii="宋体" w:hAnsi="宋体" w:cs="宋体" w:eastAsia="宋体" w:hint="default"/>
          <w:spacing w:val="-65"/>
        </w:rPr>
        <w:t> </w:t>
      </w:r>
      <w:r>
        <w:rPr/>
        <w:t>日，国务院办公厅《关于印发完善促进消费体制机制实施方案（</w:t>
      </w:r>
      <w:r>
        <w:rPr>
          <w:rFonts w:ascii="宋体" w:hAnsi="宋体" w:cs="宋体" w:eastAsia="宋体" w:hint="default"/>
        </w:rPr>
        <w:t>2018</w:t>
      </w:r>
      <w:r>
        <w:rPr/>
        <w:t>—</w:t>
      </w:r>
      <w:r>
        <w:rPr>
          <w:rFonts w:ascii="宋体" w:hAnsi="宋体" w:cs="宋体" w:eastAsia="宋体" w:hint="default"/>
        </w:rPr>
        <w:t>2020</w:t>
      </w:r>
      <w:r>
        <w:rPr>
          <w:rFonts w:ascii="宋体" w:hAnsi="宋体" w:cs="宋体" w:eastAsia="宋体" w:hint="default"/>
          <w:spacing w:val="-63"/>
        </w:rPr>
        <w:t> </w:t>
      </w:r>
      <w:r>
        <w:rPr/>
        <w:t>年）</w:t>
      </w:r>
      <w:r>
        <w:rPr>
          <w:w w:val="100"/>
        </w:rPr>
        <w:t> </w:t>
      </w:r>
      <w:r>
        <w:rPr>
          <w:spacing w:val="-2"/>
          <w:w w:val="100"/>
        </w:rPr>
        <w:t>的通知》，其中提出：“加强重要产品质量追溯体系建设，提高重要产品生产管理信息化、标准化、</w:t>
      </w:r>
      <w:r>
        <w:rPr>
          <w:spacing w:val="-101"/>
          <w:w w:val="100"/>
        </w:rPr>
        <w:t> </w:t>
      </w:r>
      <w:r>
        <w:rPr>
          <w:spacing w:val="-101"/>
          <w:w w:val="100"/>
        </w:rPr>
      </w:r>
      <w:r>
        <w:rPr/>
        <w:t>集约化水平，健全追溯大数据应用机制，逐步形成全国追溯数据统一共享交换机制，初步实现部门、</w:t>
      </w:r>
      <w:r>
        <w:rPr>
          <w:w w:val="100"/>
        </w:rPr>
        <w:t> </w:t>
      </w:r>
      <w:r>
        <w:rPr>
          <w:spacing w:val="-5"/>
        </w:rPr>
        <w:t>地区和企业追溯体系互通共享”，“深入实施‘同线同标同质’工程，将内外销产品“同线同标同质”</w:t>
      </w:r>
      <w:r>
        <w:rPr>
          <w:spacing w:val="-46"/>
        </w:rPr>
        <w:t> </w:t>
      </w:r>
      <w:r>
        <w:rPr>
          <w:spacing w:val="-46"/>
        </w:rPr>
      </w:r>
      <w:r>
        <w:rPr/>
        <w:t>工程实施范围逐步由食品农产品领域向消费品等其他领域拓展”。</w:t>
      </w:r>
    </w:p>
    <w:p>
      <w:pPr>
        <w:pStyle w:val="Heading5"/>
        <w:spacing w:line="355" w:lineRule="auto"/>
        <w:ind w:right="1127"/>
        <w:jc w:val="both"/>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28</w:t>
      </w:r>
      <w:r>
        <w:rPr>
          <w:rFonts w:ascii="宋体" w:hAnsi="宋体" w:cs="宋体" w:eastAsia="宋体" w:hint="default"/>
          <w:spacing w:val="-58"/>
        </w:rPr>
        <w:t> </w:t>
      </w:r>
      <w:r>
        <w:rPr>
          <w:w w:val="100"/>
        </w:rPr>
        <w:t>至</w:t>
      </w:r>
      <w:r>
        <w:rPr>
          <w:spacing w:val="-55"/>
        </w:rPr>
        <w:t> </w:t>
      </w:r>
      <w:r>
        <w:rPr>
          <w:rFonts w:ascii="宋体" w:hAnsi="宋体" w:cs="宋体" w:eastAsia="宋体" w:hint="default"/>
          <w:w w:val="100"/>
        </w:rPr>
        <w:t>29</w:t>
      </w:r>
      <w:r>
        <w:rPr>
          <w:rFonts w:ascii="宋体" w:hAnsi="宋体" w:cs="宋体" w:eastAsia="宋体" w:hint="default"/>
          <w:spacing w:val="-58"/>
        </w:rPr>
        <w:t> </w:t>
      </w:r>
      <w:r>
        <w:rPr>
          <w:spacing w:val="-3"/>
          <w:w w:val="100"/>
        </w:rPr>
        <w:t>日</w:t>
      </w:r>
      <w:r>
        <w:rPr>
          <w:spacing w:val="-31"/>
          <w:w w:val="100"/>
        </w:rPr>
        <w:t>，</w:t>
      </w:r>
      <w:r>
        <w:rPr>
          <w:w w:val="100"/>
        </w:rPr>
        <w:t>中</w:t>
      </w:r>
      <w:r>
        <w:rPr>
          <w:spacing w:val="-3"/>
          <w:w w:val="100"/>
        </w:rPr>
        <w:t>央</w:t>
      </w:r>
      <w:r>
        <w:rPr>
          <w:w w:val="100"/>
        </w:rPr>
        <w:t>经济</w:t>
      </w:r>
      <w:r>
        <w:rPr>
          <w:spacing w:val="-3"/>
          <w:w w:val="100"/>
        </w:rPr>
        <w:t>工</w:t>
      </w:r>
      <w:r>
        <w:rPr>
          <w:w w:val="100"/>
        </w:rPr>
        <w:t>作会</w:t>
      </w:r>
      <w:r>
        <w:rPr>
          <w:spacing w:val="-3"/>
          <w:w w:val="100"/>
        </w:rPr>
        <w:t>议</w:t>
      </w:r>
      <w:r>
        <w:rPr>
          <w:w w:val="100"/>
        </w:rPr>
        <w:t>提</w:t>
      </w:r>
      <w:r>
        <w:rPr>
          <w:spacing w:val="-3"/>
          <w:w w:val="100"/>
        </w:rPr>
        <w:t>出</w:t>
      </w:r>
      <w:r>
        <w:rPr>
          <w:spacing w:val="-142"/>
          <w:w w:val="100"/>
        </w:rPr>
        <w:t>，</w:t>
      </w:r>
      <w:r>
        <w:rPr>
          <w:w w:val="100"/>
        </w:rPr>
        <w:t>“</w:t>
      </w:r>
      <w:r>
        <w:rPr>
          <w:spacing w:val="-3"/>
          <w:w w:val="100"/>
        </w:rPr>
        <w:t>扎</w:t>
      </w:r>
      <w:r>
        <w:rPr>
          <w:w w:val="100"/>
        </w:rPr>
        <w:t>实推</w:t>
      </w:r>
      <w:r>
        <w:rPr>
          <w:spacing w:val="-3"/>
          <w:w w:val="100"/>
        </w:rPr>
        <w:t>进</w:t>
      </w:r>
      <w:r>
        <w:rPr>
          <w:w w:val="100"/>
        </w:rPr>
        <w:t>乡村</w:t>
      </w:r>
      <w:r>
        <w:rPr>
          <w:spacing w:val="-3"/>
          <w:w w:val="100"/>
        </w:rPr>
        <w:t>振</w:t>
      </w:r>
      <w:r>
        <w:rPr>
          <w:w w:val="100"/>
        </w:rPr>
        <w:t>兴</w:t>
      </w:r>
      <w:r>
        <w:rPr>
          <w:spacing w:val="-3"/>
          <w:w w:val="100"/>
        </w:rPr>
        <w:t>战</w:t>
      </w:r>
      <w:r>
        <w:rPr>
          <w:w w:val="100"/>
        </w:rPr>
        <w:t>略</w:t>
      </w:r>
      <w:r>
        <w:rPr>
          <w:spacing w:val="-111"/>
          <w:w w:val="100"/>
        </w:rPr>
        <w:t>”</w:t>
      </w:r>
      <w:r>
        <w:rPr>
          <w:spacing w:val="-142"/>
          <w:w w:val="100"/>
        </w:rPr>
        <w:t>，</w:t>
      </w:r>
      <w:r>
        <w:rPr>
          <w:spacing w:val="-3"/>
          <w:w w:val="100"/>
        </w:rPr>
        <w:t>“</w:t>
      </w:r>
      <w:r>
        <w:rPr>
          <w:w w:val="100"/>
        </w:rPr>
        <w:t>要坚</w:t>
      </w:r>
      <w:r>
        <w:rPr>
          <w:spacing w:val="-3"/>
          <w:w w:val="100"/>
        </w:rPr>
        <w:t>持</w:t>
      </w:r>
      <w:r>
        <w:rPr>
          <w:w w:val="100"/>
        </w:rPr>
        <w:t>农业</w:t>
      </w:r>
      <w:r>
        <w:rPr>
          <w:spacing w:val="-3"/>
          <w:w w:val="100"/>
        </w:rPr>
        <w:t>农</w:t>
      </w:r>
      <w:r>
        <w:rPr>
          <w:w w:val="100"/>
        </w:rPr>
        <w:t>村</w:t>
      </w:r>
      <w:r>
        <w:rPr>
          <w:w w:val="100"/>
        </w:rPr>
        <w:t> </w:t>
      </w:r>
      <w:r>
        <w:rPr>
          <w:spacing w:val="2"/>
          <w:w w:val="100"/>
        </w:rPr>
        <w:t>优</w:t>
      </w:r>
      <w:r>
        <w:rPr>
          <w:w w:val="100"/>
        </w:rPr>
        <w:t>先发</w:t>
      </w:r>
      <w:r>
        <w:rPr>
          <w:spacing w:val="2"/>
          <w:w w:val="100"/>
        </w:rPr>
        <w:t>展</w:t>
      </w:r>
      <w:r>
        <w:rPr>
          <w:w w:val="100"/>
        </w:rPr>
        <w:t>，着</w:t>
      </w:r>
      <w:r>
        <w:rPr>
          <w:spacing w:val="2"/>
          <w:w w:val="100"/>
        </w:rPr>
        <w:t>力</w:t>
      </w:r>
      <w:r>
        <w:rPr>
          <w:w w:val="100"/>
        </w:rPr>
        <w:t>增加</w:t>
      </w:r>
      <w:r>
        <w:rPr>
          <w:spacing w:val="2"/>
          <w:w w:val="100"/>
        </w:rPr>
        <w:t>优</w:t>
      </w:r>
      <w:r>
        <w:rPr>
          <w:w w:val="100"/>
        </w:rPr>
        <w:t>质</w:t>
      </w:r>
      <w:r>
        <w:rPr>
          <w:spacing w:val="2"/>
          <w:w w:val="100"/>
        </w:rPr>
        <w:t>绿</w:t>
      </w:r>
      <w:r>
        <w:rPr>
          <w:w w:val="100"/>
        </w:rPr>
        <w:t>色农</w:t>
      </w:r>
      <w:r>
        <w:rPr>
          <w:spacing w:val="2"/>
          <w:w w:val="100"/>
        </w:rPr>
        <w:t>产</w:t>
      </w:r>
      <w:r>
        <w:rPr>
          <w:w w:val="100"/>
        </w:rPr>
        <w:t>品供</w:t>
      </w:r>
      <w:r>
        <w:rPr>
          <w:spacing w:val="2"/>
          <w:w w:val="100"/>
        </w:rPr>
        <w:t>给</w:t>
      </w:r>
      <w:r>
        <w:rPr>
          <w:spacing w:val="-111"/>
          <w:w w:val="100"/>
        </w:rPr>
        <w:t>”</w:t>
      </w:r>
      <w:r>
        <w:rPr>
          <w:spacing w:val="2"/>
          <w:w w:val="100"/>
        </w:rPr>
        <w:t>，“</w:t>
      </w:r>
      <w:r>
        <w:rPr>
          <w:w w:val="100"/>
        </w:rPr>
        <w:t>要</w:t>
      </w:r>
      <w:r>
        <w:rPr>
          <w:spacing w:val="2"/>
          <w:w w:val="100"/>
        </w:rPr>
        <w:t>重</w:t>
      </w:r>
      <w:r>
        <w:rPr>
          <w:w w:val="100"/>
        </w:rPr>
        <w:t>视培</w:t>
      </w:r>
      <w:r>
        <w:rPr>
          <w:spacing w:val="2"/>
          <w:w w:val="100"/>
        </w:rPr>
        <w:t>育</w:t>
      </w:r>
      <w:r>
        <w:rPr>
          <w:w w:val="100"/>
        </w:rPr>
        <w:t>家庭</w:t>
      </w:r>
      <w:r>
        <w:rPr>
          <w:spacing w:val="2"/>
          <w:w w:val="100"/>
        </w:rPr>
        <w:t>农</w:t>
      </w:r>
      <w:r>
        <w:rPr>
          <w:w w:val="100"/>
        </w:rPr>
        <w:t>场、</w:t>
      </w:r>
      <w:r>
        <w:rPr>
          <w:spacing w:val="2"/>
          <w:w w:val="100"/>
        </w:rPr>
        <w:t>农</w:t>
      </w:r>
      <w:r>
        <w:rPr>
          <w:w w:val="100"/>
        </w:rPr>
        <w:t>民</w:t>
      </w:r>
      <w:r>
        <w:rPr>
          <w:spacing w:val="2"/>
          <w:w w:val="100"/>
        </w:rPr>
        <w:t>合</w:t>
      </w:r>
      <w:r>
        <w:rPr>
          <w:w w:val="100"/>
        </w:rPr>
        <w:t>作社</w:t>
      </w:r>
      <w:r>
        <w:rPr>
          <w:spacing w:val="2"/>
          <w:w w:val="100"/>
        </w:rPr>
        <w:t>等</w:t>
      </w:r>
      <w:r>
        <w:rPr>
          <w:w w:val="100"/>
        </w:rPr>
        <w:t>新型</w:t>
      </w:r>
      <w:r>
        <w:rPr>
          <w:spacing w:val="2"/>
          <w:w w:val="100"/>
        </w:rPr>
        <w:t>经</w:t>
      </w:r>
      <w:r>
        <w:rPr>
          <w:w w:val="100"/>
        </w:rPr>
        <w:t>营主</w:t>
      </w:r>
      <w:r>
        <w:rPr>
          <w:spacing w:val="2"/>
          <w:w w:val="100"/>
        </w:rPr>
        <w:t>体</w:t>
      </w:r>
      <w:r>
        <w:rPr>
          <w:w w:val="100"/>
        </w:rPr>
        <w:t>，</w:t>
      </w:r>
      <w:r>
        <w:rPr>
          <w:w w:val="100"/>
        </w:rPr>
        <w:t> </w:t>
      </w:r>
      <w:r>
        <w:rPr>
          <w:spacing w:val="2"/>
          <w:w w:val="100"/>
        </w:rPr>
        <w:t>注</w:t>
      </w:r>
      <w:r>
        <w:rPr>
          <w:w w:val="100"/>
        </w:rPr>
        <w:t>重解</w:t>
      </w:r>
      <w:r>
        <w:rPr>
          <w:spacing w:val="2"/>
          <w:w w:val="100"/>
        </w:rPr>
        <w:t>决</w:t>
      </w:r>
      <w:r>
        <w:rPr>
          <w:w w:val="100"/>
        </w:rPr>
        <w:t>小农</w:t>
      </w:r>
      <w:r>
        <w:rPr>
          <w:spacing w:val="2"/>
          <w:w w:val="100"/>
        </w:rPr>
        <w:t>户</w:t>
      </w:r>
      <w:r>
        <w:rPr>
          <w:w w:val="100"/>
        </w:rPr>
        <w:t>生产</w:t>
      </w:r>
      <w:r>
        <w:rPr>
          <w:spacing w:val="2"/>
          <w:w w:val="100"/>
        </w:rPr>
        <w:t>经</w:t>
      </w:r>
      <w:r>
        <w:rPr>
          <w:w w:val="100"/>
        </w:rPr>
        <w:t>营</w:t>
      </w:r>
      <w:r>
        <w:rPr>
          <w:spacing w:val="2"/>
          <w:w w:val="100"/>
        </w:rPr>
        <w:t>面</w:t>
      </w:r>
      <w:r>
        <w:rPr>
          <w:w w:val="100"/>
        </w:rPr>
        <w:t>临的</w:t>
      </w:r>
      <w:r>
        <w:rPr>
          <w:spacing w:val="2"/>
          <w:w w:val="100"/>
        </w:rPr>
        <w:t>困</w:t>
      </w:r>
      <w:r>
        <w:rPr>
          <w:w w:val="100"/>
        </w:rPr>
        <w:t>难，</w:t>
      </w:r>
      <w:r>
        <w:rPr>
          <w:spacing w:val="2"/>
          <w:w w:val="100"/>
        </w:rPr>
        <w:t>把</w:t>
      </w:r>
      <w:r>
        <w:rPr>
          <w:w w:val="100"/>
        </w:rPr>
        <w:t>他们</w:t>
      </w:r>
      <w:r>
        <w:rPr>
          <w:spacing w:val="2"/>
          <w:w w:val="100"/>
        </w:rPr>
        <w:t>引</w:t>
      </w:r>
      <w:r>
        <w:rPr>
          <w:w w:val="100"/>
        </w:rPr>
        <w:t>入</w:t>
      </w:r>
      <w:r>
        <w:rPr>
          <w:spacing w:val="2"/>
          <w:w w:val="100"/>
        </w:rPr>
        <w:t>现</w:t>
      </w:r>
      <w:r>
        <w:rPr>
          <w:w w:val="100"/>
        </w:rPr>
        <w:t>代农</w:t>
      </w:r>
      <w:r>
        <w:rPr>
          <w:spacing w:val="2"/>
          <w:w w:val="100"/>
        </w:rPr>
        <w:t>业</w:t>
      </w:r>
      <w:r>
        <w:rPr>
          <w:w w:val="100"/>
        </w:rPr>
        <w:t>发展</w:t>
      </w:r>
      <w:r>
        <w:rPr>
          <w:spacing w:val="2"/>
          <w:w w:val="100"/>
        </w:rPr>
        <w:t>大</w:t>
      </w:r>
      <w:r>
        <w:rPr>
          <w:w w:val="100"/>
        </w:rPr>
        <w:t>格</w:t>
      </w:r>
      <w:r>
        <w:rPr>
          <w:spacing w:val="3"/>
          <w:w w:val="100"/>
        </w:rPr>
        <w:t>局</w:t>
      </w:r>
      <w:r>
        <w:rPr>
          <w:spacing w:val="2"/>
          <w:w w:val="100"/>
        </w:rPr>
        <w:t>”</w:t>
      </w:r>
      <w:r>
        <w:rPr>
          <w:spacing w:val="-111"/>
          <w:w w:val="100"/>
        </w:rPr>
        <w:t>，</w:t>
      </w:r>
      <w:r>
        <w:rPr>
          <w:spacing w:val="2"/>
          <w:w w:val="100"/>
        </w:rPr>
        <w:t>“</w:t>
      </w:r>
      <w:r>
        <w:rPr>
          <w:w w:val="100"/>
        </w:rPr>
        <w:t>要总</w:t>
      </w:r>
      <w:r>
        <w:rPr>
          <w:spacing w:val="2"/>
          <w:w w:val="100"/>
        </w:rPr>
        <w:t>结</w:t>
      </w:r>
      <w:r>
        <w:rPr>
          <w:w w:val="100"/>
        </w:rPr>
        <w:t>好农</w:t>
      </w:r>
      <w:r>
        <w:rPr>
          <w:spacing w:val="2"/>
          <w:w w:val="100"/>
        </w:rPr>
        <w:t>村</w:t>
      </w:r>
      <w:r>
        <w:rPr>
          <w:w w:val="100"/>
        </w:rPr>
        <w:t>土地</w:t>
      </w:r>
      <w:r>
        <w:rPr>
          <w:spacing w:val="2"/>
          <w:w w:val="100"/>
        </w:rPr>
        <w:t>制</w:t>
      </w:r>
      <w:r>
        <w:rPr>
          <w:w w:val="100"/>
        </w:rPr>
        <w:t>度</w:t>
      </w:r>
      <w:r>
        <w:rPr>
          <w:w w:val="100"/>
        </w:rPr>
        <w:t> 改革三</w:t>
      </w:r>
      <w:r>
        <w:rPr>
          <w:spacing w:val="-3"/>
          <w:w w:val="100"/>
        </w:rPr>
        <w:t>项</w:t>
      </w:r>
      <w:r>
        <w:rPr>
          <w:w w:val="100"/>
        </w:rPr>
        <w:t>试点</w:t>
      </w:r>
      <w:r>
        <w:rPr>
          <w:spacing w:val="-3"/>
          <w:w w:val="100"/>
        </w:rPr>
        <w:t>经</w:t>
      </w:r>
      <w:r>
        <w:rPr>
          <w:w w:val="100"/>
        </w:rPr>
        <w:t>验，</w:t>
      </w:r>
      <w:r>
        <w:rPr>
          <w:spacing w:val="-3"/>
          <w:w w:val="100"/>
        </w:rPr>
        <w:t>巩固</w:t>
      </w:r>
      <w:r>
        <w:rPr>
          <w:w w:val="100"/>
        </w:rPr>
        <w:t>改革成</w:t>
      </w:r>
      <w:r>
        <w:rPr>
          <w:spacing w:val="-3"/>
          <w:w w:val="100"/>
        </w:rPr>
        <w:t>果</w:t>
      </w:r>
      <w:r>
        <w:rPr>
          <w:w w:val="100"/>
        </w:rPr>
        <w:t>，继</w:t>
      </w:r>
      <w:r>
        <w:rPr>
          <w:spacing w:val="-3"/>
          <w:w w:val="100"/>
        </w:rPr>
        <w:t>续</w:t>
      </w:r>
      <w:r>
        <w:rPr>
          <w:w w:val="100"/>
        </w:rPr>
        <w:t>深化</w:t>
      </w:r>
      <w:r>
        <w:rPr>
          <w:spacing w:val="-3"/>
          <w:w w:val="100"/>
        </w:rPr>
        <w:t>农村</w:t>
      </w:r>
      <w:r>
        <w:rPr>
          <w:w w:val="100"/>
        </w:rPr>
        <w:t>土地制</w:t>
      </w:r>
      <w:r>
        <w:rPr>
          <w:spacing w:val="-3"/>
          <w:w w:val="100"/>
        </w:rPr>
        <w:t>度</w:t>
      </w:r>
      <w:r>
        <w:rPr>
          <w:w w:val="100"/>
        </w:rPr>
        <w:t>改革</w:t>
      </w:r>
      <w:r>
        <w:rPr>
          <w:spacing w:val="-111"/>
          <w:w w:val="100"/>
        </w:rPr>
        <w:t>”</w:t>
      </w:r>
      <w:r>
        <w:rPr>
          <w:w w:val="100"/>
        </w:rPr>
        <w:t>。</w:t>
      </w:r>
    </w:p>
    <w:p>
      <w:pPr>
        <w:pStyle w:val="Heading5"/>
        <w:spacing w:line="355" w:lineRule="auto"/>
        <w:ind w:right="1090"/>
        <w:jc w:val="both"/>
      </w:pP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52"/>
        </w:rPr>
        <w:t> </w:t>
      </w:r>
      <w:r>
        <w:rPr/>
        <w:t>月</w:t>
      </w:r>
      <w:r>
        <w:rPr>
          <w:spacing w:val="-49"/>
        </w:rPr>
        <w:t> </w:t>
      </w:r>
      <w:r>
        <w:rPr>
          <w:rFonts w:ascii="宋体" w:hAnsi="宋体" w:cs="宋体" w:eastAsia="宋体" w:hint="default"/>
        </w:rPr>
        <w:t>9</w:t>
      </w:r>
      <w:r>
        <w:rPr>
          <w:rFonts w:ascii="宋体" w:hAnsi="宋体" w:cs="宋体" w:eastAsia="宋体" w:hint="default"/>
          <w:spacing w:val="-49"/>
        </w:rPr>
        <w:t> </w:t>
      </w:r>
      <w:r>
        <w:rPr>
          <w:spacing w:val="-4"/>
        </w:rPr>
        <w:t>日，财务部、国家税务总局发布《关于继续实行农产品批发市场农贸市场房产税城</w:t>
      </w:r>
      <w:r>
        <w:rPr>
          <w:w w:val="100"/>
        </w:rPr>
        <w:t> </w:t>
      </w:r>
      <w:r>
        <w:rPr>
          <w:spacing w:val="-2"/>
          <w:w w:val="100"/>
        </w:rPr>
        <w:t>镇土地使用税优惠政策的通知》，其中指出：为进一步支持农产品流通体系建设，决定继续对农产品</w:t>
      </w:r>
      <w:r>
        <w:rPr>
          <w:spacing w:val="-100"/>
          <w:w w:val="100"/>
        </w:rPr>
        <w:t> </w:t>
      </w:r>
      <w:r>
        <w:rPr>
          <w:spacing w:val="-100"/>
          <w:w w:val="100"/>
        </w:rPr>
      </w:r>
      <w:r>
        <w:rPr/>
        <w:t>批发市场、农贸市场给予房产税和城镇土地使用税优惠。自</w:t>
      </w:r>
      <w:r>
        <w:rPr>
          <w:spacing w:val="-56"/>
        </w:rPr>
        <w:t> </w:t>
      </w:r>
      <w:r>
        <w:rPr>
          <w:rFonts w:ascii="宋体" w:hAnsi="宋体" w:cs="宋体" w:eastAsia="宋体" w:hint="default"/>
        </w:rPr>
        <w:t>2019</w:t>
      </w:r>
      <w:r>
        <w:rPr>
          <w:rFonts w:ascii="宋体" w:hAnsi="宋体" w:cs="宋体" w:eastAsia="宋体" w:hint="default"/>
          <w:spacing w:val="-58"/>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2021</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3"/>
        </w:rPr>
        <w:t>日，</w:t>
      </w:r>
      <w:r>
        <w:rPr/>
      </w:r>
    </w:p>
    <w:p>
      <w:pPr>
        <w:spacing w:after="0" w:line="355" w:lineRule="auto"/>
        <w:jc w:val="both"/>
        <w:sectPr>
          <w:pgSz w:w="11910" w:h="16840"/>
          <w:pgMar w:header="877" w:footer="1265" w:top="1100" w:bottom="1460" w:left="980" w:right="0"/>
        </w:sectPr>
      </w:pPr>
    </w:p>
    <w:p>
      <w:pPr>
        <w:spacing w:line="240" w:lineRule="auto" w:before="4"/>
        <w:rPr>
          <w:rFonts w:ascii="宋体" w:hAnsi="宋体" w:cs="宋体" w:eastAsia="宋体" w:hint="default"/>
          <w:sz w:val="19"/>
          <w:szCs w:val="19"/>
        </w:rPr>
      </w:pPr>
    </w:p>
    <w:p>
      <w:pPr>
        <w:pStyle w:val="Heading5"/>
        <w:spacing w:line="355" w:lineRule="auto" w:before="32"/>
        <w:ind w:right="1131" w:firstLine="0"/>
        <w:jc w:val="both"/>
      </w:pPr>
      <w:r>
        <w:rPr>
          <w:spacing w:val="-2"/>
        </w:rPr>
        <w:t>对农产品批发市场、农贸市场（包括自有和承租，下同）专门用于经营农产品的房产、土地，暂免征</w:t>
      </w:r>
      <w:r>
        <w:rPr>
          <w:spacing w:val="-72"/>
        </w:rPr>
        <w:t> </w:t>
      </w:r>
      <w:r>
        <w:rPr>
          <w:spacing w:val="-72"/>
        </w:rPr>
      </w:r>
      <w:r>
        <w:rPr/>
        <w:t>收房产税和城镇土地使用税。</w:t>
      </w:r>
    </w:p>
    <w:p>
      <w:pPr>
        <w:spacing w:line="340" w:lineRule="auto" w:before="9"/>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（二）农产品批发市场行业发展前景</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作为改革开放和农业经营管理体制改革的重要成果</w:t>
      </w:r>
      <w:r>
        <w:rPr>
          <w:rFonts w:ascii="宋体" w:hAnsi="宋体" w:cs="宋体" w:eastAsia="宋体" w:hint="default"/>
          <w:sz w:val="21"/>
          <w:szCs w:val="21"/>
        </w:rPr>
        <w:t>,</w:t>
      </w:r>
      <w:r>
        <w:rPr>
          <w:rFonts w:ascii="宋体" w:hAnsi="宋体" w:cs="宋体" w:eastAsia="宋体" w:hint="default"/>
          <w:sz w:val="21"/>
          <w:szCs w:val="21"/>
        </w:rPr>
        <w:t>我国农产品批发市场从农贸市场与集贸市场起步</w:t>
      </w:r>
      <w:r>
        <w:rPr>
          <w:rFonts w:ascii="宋体" w:hAnsi="宋体" w:cs="宋体" w:eastAsia="宋体" w:hint="default"/>
          <w:sz w:val="21"/>
          <w:szCs w:val="21"/>
        </w:rPr>
        <w:t>,</w:t>
      </w:r>
    </w:p>
    <w:p>
      <w:pPr>
        <w:pStyle w:val="BodyText"/>
        <w:spacing w:line="240" w:lineRule="auto" w:before="45"/>
        <w:ind w:left="152" w:right="0"/>
        <w:jc w:val="both"/>
      </w:pPr>
      <w:r>
        <w:rPr/>
        <w:t>经历了</w:t>
      </w:r>
      <w:r>
        <w:rPr>
          <w:spacing w:val="-48"/>
        </w:rPr>
        <w:t> </w:t>
      </w:r>
      <w:r>
        <w:rPr>
          <w:rFonts w:ascii="宋体" w:hAnsi="宋体" w:cs="宋体" w:eastAsia="宋体" w:hint="default"/>
        </w:rPr>
        <w:t>20</w:t>
      </w:r>
      <w:r>
        <w:rPr>
          <w:rFonts w:ascii="宋体" w:hAnsi="宋体" w:cs="宋体" w:eastAsia="宋体" w:hint="default"/>
          <w:spacing w:val="-51"/>
        </w:rPr>
        <w:t> </w:t>
      </w:r>
      <w:r>
        <w:rPr/>
        <w:t>世纪</w:t>
      </w:r>
      <w:r>
        <w:rPr>
          <w:spacing w:val="-51"/>
        </w:rPr>
        <w:t> </w:t>
      </w:r>
      <w:r>
        <w:rPr>
          <w:rFonts w:ascii="宋体" w:hAnsi="宋体" w:cs="宋体" w:eastAsia="宋体" w:hint="default"/>
        </w:rPr>
        <w:t>70</w:t>
      </w:r>
      <w:r>
        <w:rPr>
          <w:rFonts w:ascii="宋体" w:hAnsi="宋体" w:cs="宋体" w:eastAsia="宋体" w:hint="default"/>
          <w:spacing w:val="-49"/>
        </w:rPr>
        <w:t> </w:t>
      </w:r>
      <w:r>
        <w:rPr/>
        <w:t>年代末至</w:t>
      </w:r>
      <w:r>
        <w:rPr>
          <w:spacing w:val="-49"/>
        </w:rPr>
        <w:t> </w:t>
      </w:r>
      <w:r>
        <w:rPr>
          <w:rFonts w:ascii="宋体" w:hAnsi="宋体" w:cs="宋体" w:eastAsia="宋体" w:hint="default"/>
        </w:rPr>
        <w:t>1984</w:t>
      </w:r>
      <w:r>
        <w:rPr>
          <w:rFonts w:ascii="宋体" w:hAnsi="宋体" w:cs="宋体" w:eastAsia="宋体" w:hint="default"/>
          <w:spacing w:val="-48"/>
        </w:rPr>
        <w:t> </w:t>
      </w:r>
      <w:r>
        <w:rPr>
          <w:spacing w:val="-3"/>
        </w:rPr>
        <w:t>年的自发形成阶段、</w:t>
      </w:r>
      <w:r>
        <w:rPr>
          <w:rFonts w:ascii="宋体" w:hAnsi="宋体" w:cs="宋体" w:eastAsia="宋体" w:hint="default"/>
          <w:spacing w:val="-3"/>
        </w:rPr>
        <w:t>1985</w:t>
      </w:r>
      <w:r>
        <w:rPr>
          <w:rFonts w:ascii="宋体" w:hAnsi="宋体" w:cs="宋体" w:eastAsia="宋体" w:hint="default"/>
          <w:spacing w:val="-51"/>
        </w:rPr>
        <w:t> </w:t>
      </w:r>
      <w:r>
        <w:rPr/>
        <w:t>年至</w:t>
      </w:r>
      <w:r>
        <w:rPr>
          <w:spacing w:val="-51"/>
        </w:rPr>
        <w:t> </w:t>
      </w:r>
      <w:r>
        <w:rPr>
          <w:rFonts w:ascii="宋体" w:hAnsi="宋体" w:cs="宋体" w:eastAsia="宋体" w:hint="default"/>
        </w:rPr>
        <w:t>20</w:t>
      </w:r>
      <w:r>
        <w:rPr>
          <w:rFonts w:ascii="宋体" w:hAnsi="宋体" w:cs="宋体" w:eastAsia="宋体" w:hint="default"/>
          <w:spacing w:val="-49"/>
        </w:rPr>
        <w:t> </w:t>
      </w:r>
      <w:r>
        <w:rPr/>
        <w:t>世纪</w:t>
      </w:r>
      <w:r>
        <w:rPr>
          <w:spacing w:val="-49"/>
        </w:rPr>
        <w:t> </w:t>
      </w:r>
      <w:r>
        <w:rPr>
          <w:rFonts w:ascii="宋体" w:hAnsi="宋体" w:cs="宋体" w:eastAsia="宋体" w:hint="default"/>
        </w:rPr>
        <w:t>80</w:t>
      </w:r>
      <w:r>
        <w:rPr>
          <w:rFonts w:ascii="宋体" w:hAnsi="宋体" w:cs="宋体" w:eastAsia="宋体" w:hint="default"/>
          <w:spacing w:val="-49"/>
        </w:rPr>
        <w:t> </w:t>
      </w:r>
      <w:r>
        <w:rPr>
          <w:spacing w:val="-3"/>
        </w:rPr>
        <w:t>年代末的快速发展阶段、</w:t>
      </w:r>
      <w:r>
        <w:rPr>
          <w:rFonts w:ascii="宋体" w:hAnsi="宋体" w:cs="宋体" w:eastAsia="宋体" w:hint="default"/>
          <w:spacing w:val="-3"/>
        </w:rPr>
        <w:t>20</w:t>
      </w:r>
      <w:r>
        <w:rPr>
          <w:rFonts w:ascii="宋体" w:hAnsi="宋体" w:cs="宋体" w:eastAsia="宋体" w:hint="default"/>
          <w:spacing w:val="-51"/>
        </w:rPr>
        <w:t> </w:t>
      </w:r>
      <w:r>
        <w:rPr/>
        <w:t>世</w:t>
      </w:r>
    </w:p>
    <w:p>
      <w:pPr>
        <w:pStyle w:val="BodyText"/>
        <w:spacing w:line="355" w:lineRule="auto" w:before="135"/>
        <w:ind w:left="152" w:right="1131"/>
        <w:jc w:val="both"/>
      </w:pPr>
      <w:r>
        <w:rPr/>
        <w:t>纪</w:t>
      </w:r>
      <w:r>
        <w:rPr>
          <w:spacing w:val="-49"/>
        </w:rPr>
        <w:t> </w:t>
      </w:r>
      <w:r>
        <w:rPr>
          <w:rFonts w:ascii="宋体" w:hAnsi="宋体" w:cs="宋体" w:eastAsia="宋体" w:hint="default"/>
        </w:rPr>
        <w:t>90</w:t>
      </w:r>
      <w:r>
        <w:rPr>
          <w:rFonts w:ascii="宋体" w:hAnsi="宋体" w:cs="宋体" w:eastAsia="宋体" w:hint="default"/>
          <w:spacing w:val="-53"/>
        </w:rPr>
        <w:t> </w:t>
      </w:r>
      <w:r>
        <w:rPr/>
        <w:t>年代初至</w:t>
      </w:r>
      <w:r>
        <w:rPr>
          <w:spacing w:val="-53"/>
        </w:rPr>
        <w:t> </w:t>
      </w:r>
      <w:r>
        <w:rPr>
          <w:rFonts w:ascii="宋体" w:hAnsi="宋体" w:cs="宋体" w:eastAsia="宋体" w:hint="default"/>
        </w:rPr>
        <w:t>90</w:t>
      </w:r>
      <w:r>
        <w:rPr>
          <w:rFonts w:ascii="宋体" w:hAnsi="宋体" w:cs="宋体" w:eastAsia="宋体" w:hint="default"/>
          <w:spacing w:val="-50"/>
        </w:rPr>
        <w:t> </w:t>
      </w:r>
      <w:r>
        <w:rPr>
          <w:spacing w:val="-7"/>
        </w:rPr>
        <w:t>年代中期的超高速增长阶段、</w:t>
      </w:r>
      <w:r>
        <w:rPr>
          <w:rFonts w:ascii="宋体" w:hAnsi="宋体" w:cs="宋体" w:eastAsia="宋体" w:hint="default"/>
          <w:spacing w:val="-7"/>
        </w:rPr>
        <w:t>20</w:t>
      </w:r>
      <w:r>
        <w:rPr>
          <w:rFonts w:ascii="宋体" w:hAnsi="宋体" w:cs="宋体" w:eastAsia="宋体" w:hint="default"/>
          <w:spacing w:val="-53"/>
        </w:rPr>
        <w:t> </w:t>
      </w:r>
      <w:r>
        <w:rPr/>
        <w:t>世纪</w:t>
      </w:r>
      <w:r>
        <w:rPr>
          <w:spacing w:val="-50"/>
        </w:rPr>
        <w:t> </w:t>
      </w:r>
      <w:r>
        <w:rPr>
          <w:rFonts w:ascii="宋体" w:hAnsi="宋体" w:cs="宋体" w:eastAsia="宋体" w:hint="default"/>
        </w:rPr>
        <w:t>90</w:t>
      </w:r>
      <w:r>
        <w:rPr>
          <w:rFonts w:ascii="宋体" w:hAnsi="宋体" w:cs="宋体" w:eastAsia="宋体" w:hint="default"/>
          <w:spacing w:val="-49"/>
        </w:rPr>
        <w:t> </w:t>
      </w:r>
      <w:r>
        <w:rPr/>
        <w:t>年代中后期的整改规范发展阶段和进入</w:t>
      </w:r>
      <w:r>
        <w:rPr>
          <w:spacing w:val="-50"/>
        </w:rPr>
        <w:t> </w:t>
      </w:r>
      <w:r>
        <w:rPr>
          <w:rFonts w:ascii="宋体" w:hAnsi="宋体" w:cs="宋体" w:eastAsia="宋体" w:hint="default"/>
        </w:rPr>
        <w:t>21</w:t>
      </w:r>
      <w:r>
        <w:rPr>
          <w:rFonts w:ascii="宋体" w:hAnsi="宋体" w:cs="宋体" w:eastAsia="宋体" w:hint="default"/>
          <w:spacing w:val="-53"/>
        </w:rPr>
        <w:t> </w:t>
      </w:r>
      <w:r>
        <w:rPr>
          <w:spacing w:val="-3"/>
        </w:rPr>
        <w:t>世纪</w:t>
      </w:r>
      <w:r>
        <w:rPr>
          <w:spacing w:val="-3"/>
          <w:w w:val="100"/>
        </w:rPr>
        <w:t> </w:t>
      </w:r>
      <w:r>
        <w:rPr/>
        <w:t>以来的由数量扩张转为以质量提升为主的阶段</w:t>
      </w:r>
      <w:r>
        <w:rPr>
          <w:rFonts w:ascii="宋体" w:hAnsi="宋体" w:cs="宋体" w:eastAsia="宋体" w:hint="default"/>
        </w:rPr>
        <w:t>,</w:t>
      </w:r>
      <w:r>
        <w:rPr/>
        <w:t>经历了数量上从无到有、规模上从小到大、市场功能上逐</w:t>
      </w:r>
      <w:r>
        <w:rPr>
          <w:spacing w:val="-23"/>
        </w:rPr>
        <w:t> </w:t>
      </w:r>
      <w:r>
        <w:rPr>
          <w:spacing w:val="-23"/>
        </w:rPr>
      </w:r>
      <w:r>
        <w:rPr/>
        <w:t>步提升的持续快速发展历程。</w:t>
      </w:r>
    </w:p>
    <w:p>
      <w:pPr>
        <w:pStyle w:val="BodyText"/>
        <w:spacing w:line="355" w:lineRule="auto" w:before="75"/>
        <w:ind w:left="152" w:right="1107" w:firstLine="420"/>
        <w:jc w:val="both"/>
        <w:rPr>
          <w:rFonts w:ascii="宋体" w:hAnsi="宋体" w:cs="宋体" w:eastAsia="宋体" w:hint="default"/>
        </w:rPr>
      </w:pPr>
      <w:r>
        <w:rPr>
          <w:spacing w:val="-2"/>
        </w:rPr>
        <w:t>随着信息技术的快速发展</w:t>
      </w:r>
      <w:r>
        <w:rPr>
          <w:rFonts w:ascii="宋体" w:hAnsi="宋体" w:cs="宋体" w:eastAsia="宋体" w:hint="default"/>
          <w:spacing w:val="-2"/>
        </w:rPr>
        <w:t>,</w:t>
      </w:r>
      <w:r>
        <w:rPr>
          <w:spacing w:val="-2"/>
        </w:rPr>
        <w:t>信息流日益畅通</w:t>
      </w:r>
      <w:r>
        <w:rPr>
          <w:rFonts w:ascii="宋体" w:hAnsi="宋体" w:cs="宋体" w:eastAsia="宋体" w:hint="default"/>
          <w:spacing w:val="-2"/>
        </w:rPr>
        <w:t>,</w:t>
      </w:r>
      <w:r>
        <w:rPr>
          <w:spacing w:val="-2"/>
        </w:rPr>
        <w:t>商流日益高效化</w:t>
      </w:r>
      <w:r>
        <w:rPr>
          <w:rFonts w:ascii="宋体" w:hAnsi="宋体" w:cs="宋体" w:eastAsia="宋体" w:hint="default"/>
          <w:spacing w:val="-2"/>
        </w:rPr>
        <w:t>,</w:t>
      </w:r>
      <w:r>
        <w:rPr>
          <w:spacing w:val="-2"/>
        </w:rPr>
        <w:t>物流逐渐合理化</w:t>
      </w:r>
      <w:r>
        <w:rPr>
          <w:rFonts w:ascii="宋体" w:hAnsi="宋体" w:cs="宋体" w:eastAsia="宋体" w:hint="default"/>
          <w:spacing w:val="-2"/>
        </w:rPr>
        <w:t>,</w:t>
      </w:r>
      <w:r>
        <w:rPr>
          <w:spacing w:val="-2"/>
        </w:rPr>
        <w:t>资金流的安全性、便捷</w:t>
      </w:r>
      <w:r>
        <w:rPr>
          <w:w w:val="100"/>
        </w:rPr>
        <w:t> </w:t>
      </w:r>
      <w:r>
        <w:rPr>
          <w:spacing w:val="-2"/>
        </w:rPr>
        <w:t>性不断提高</w:t>
      </w:r>
      <w:r>
        <w:rPr>
          <w:rFonts w:ascii="宋体" w:hAnsi="宋体" w:cs="宋体" w:eastAsia="宋体" w:hint="default"/>
          <w:spacing w:val="-2"/>
        </w:rPr>
        <w:t>,</w:t>
      </w:r>
      <w:r>
        <w:rPr>
          <w:spacing w:val="-2"/>
        </w:rPr>
        <w:t>包括产地市场、销地市场和集散地市场在内的农产品批发市场体系</w:t>
      </w:r>
      <w:r>
        <w:rPr>
          <w:rFonts w:ascii="宋体" w:hAnsi="宋体" w:cs="宋体" w:eastAsia="宋体" w:hint="default"/>
          <w:spacing w:val="-2"/>
        </w:rPr>
        <w:t>,</w:t>
      </w:r>
      <w:r>
        <w:rPr>
          <w:spacing w:val="-2"/>
        </w:rPr>
        <w:t>在促进农业生产商品化、</w:t>
      </w:r>
      <w:r>
        <w:rPr>
          <w:spacing w:val="-23"/>
        </w:rPr>
        <w:t> </w:t>
      </w:r>
      <w:r>
        <w:rPr>
          <w:spacing w:val="-23"/>
        </w:rPr>
      </w:r>
      <w:r>
        <w:rPr>
          <w:spacing w:val="-2"/>
        </w:rPr>
        <w:t>专业化、规模化和形成农产品大市场、大流通格局、促进农业结构调整、实现增产增收和保障城镇居民的</w:t>
      </w:r>
      <w:r>
        <w:rPr>
          <w:spacing w:val="-47"/>
        </w:rPr>
        <w:t> </w:t>
      </w:r>
      <w:r>
        <w:rPr>
          <w:spacing w:val="-47"/>
        </w:rPr>
      </w:r>
      <w:r>
        <w:rPr>
          <w:spacing w:val="-2"/>
        </w:rPr>
        <w:t>“菜篮子”供应等方面</w:t>
      </w:r>
      <w:r>
        <w:rPr>
          <w:rFonts w:ascii="宋体" w:hAnsi="宋体" w:cs="宋体" w:eastAsia="宋体" w:hint="default"/>
          <w:spacing w:val="-2"/>
        </w:rPr>
        <w:t>,</w:t>
      </w:r>
      <w:r>
        <w:rPr>
          <w:spacing w:val="-2"/>
        </w:rPr>
        <w:t>都发挥了不可替代的重要作用</w:t>
      </w:r>
      <w:r>
        <w:rPr>
          <w:rFonts w:ascii="宋体" w:hAnsi="宋体" w:cs="宋体" w:eastAsia="宋体" w:hint="default"/>
          <w:spacing w:val="-2"/>
        </w:rPr>
        <w:t>,</w:t>
      </w:r>
      <w:r>
        <w:rPr>
          <w:spacing w:val="-2"/>
        </w:rPr>
        <w:t>已成为我国农产品流通体系的枢纽、促进产销衔接</w:t>
      </w:r>
      <w:r>
        <w:rPr>
          <w:spacing w:val="-44"/>
        </w:rPr>
        <w:t> </w:t>
      </w:r>
      <w:r>
        <w:rPr>
          <w:spacing w:val="-44"/>
        </w:rPr>
      </w:r>
      <w:r>
        <w:rPr/>
        <w:t>的关键节点、服务产区农民的平台和保障城市居民食品供应的有效载体。</w:t>
      </w:r>
      <w:r>
        <w:rPr>
          <w:rFonts w:ascii="宋体" w:hAnsi="宋体" w:cs="宋体" w:eastAsia="宋体" w:hint="default"/>
        </w:rPr>
        <w:t>[</w:t>
      </w:r>
      <w:r>
        <w:rPr/>
        <w:t>来源：《中国农产品批发市场</w:t>
      </w:r>
      <w:r>
        <w:rPr>
          <w:spacing w:val="-21"/>
        </w:rPr>
        <w:t> </w:t>
      </w:r>
      <w:r>
        <w:rPr>
          <w:spacing w:val="-21"/>
        </w:rPr>
      </w:r>
      <w:r>
        <w:rPr/>
        <w:t>发展研究报告》（</w:t>
      </w:r>
      <w:r>
        <w:rPr>
          <w:rFonts w:ascii="宋体" w:hAnsi="宋体" w:cs="宋体" w:eastAsia="宋体" w:hint="default"/>
        </w:rPr>
        <w:t>2014</w:t>
      </w:r>
      <w:r>
        <w:rPr/>
        <w:t>）农业部市场与经济信息司</w:t>
      </w:r>
      <w:r>
        <w:rPr>
          <w:rFonts w:ascii="宋体" w:hAnsi="宋体" w:cs="宋体" w:eastAsia="宋体" w:hint="default"/>
        </w:rPr>
        <w:t>]</w:t>
      </w:r>
    </w:p>
    <w:p>
      <w:pPr>
        <w:pStyle w:val="BodyText"/>
        <w:spacing w:line="345" w:lineRule="auto" w:before="76"/>
        <w:ind w:left="152" w:right="1126" w:firstLine="420"/>
        <w:jc w:val="both"/>
      </w:pPr>
      <w:r>
        <w:rPr/>
        <w:t>近十几年来，政府高度重视农产品市场体系建设</w:t>
      </w:r>
      <w:r>
        <w:rPr>
          <w:rFonts w:ascii="Times New Roman" w:hAnsi="Times New Roman" w:cs="Times New Roman" w:eastAsia="Times New Roman" w:hint="default"/>
        </w:rPr>
        <w:t>,</w:t>
      </w:r>
      <w:r>
        <w:rPr/>
        <w:t>并将促进农产品批发市场发展作为重要任务</w:t>
      </w:r>
      <w:r>
        <w:rPr>
          <w:rFonts w:ascii="Times New Roman" w:hAnsi="Times New Roman" w:cs="Times New Roman" w:eastAsia="Times New Roman" w:hint="default"/>
        </w:rPr>
        <w:t>,</w:t>
      </w:r>
      <w:r>
        <w:rPr/>
        <w:t>列入近</w:t>
      </w:r>
      <w:r>
        <w:rPr>
          <w:w w:val="100"/>
        </w:rPr>
        <w:t> </w:t>
      </w:r>
      <w:r>
        <w:rPr>
          <w:spacing w:val="-3"/>
        </w:rPr>
        <w:t>几年的中央一号文件。</w:t>
      </w:r>
      <w:r>
        <w:rPr>
          <w:rFonts w:ascii="Times New Roman" w:hAnsi="Times New Roman" w:cs="Times New Roman" w:eastAsia="Times New Roman" w:hint="default"/>
          <w:spacing w:val="-3"/>
        </w:rPr>
        <w:t>2019 </w:t>
      </w:r>
      <w:r>
        <w:rPr>
          <w:spacing w:val="-4"/>
        </w:rPr>
        <w:t>年的中央一号文件进一步明确指出“统筹农产品产地、集散地、销地批发市场</w:t>
      </w:r>
      <w:r>
        <w:rPr>
          <w:spacing w:val="-58"/>
        </w:rPr>
        <w:t> </w:t>
      </w:r>
      <w:r>
        <w:rPr>
          <w:spacing w:val="-58"/>
        </w:rPr>
      </w:r>
      <w:r>
        <w:rPr>
          <w:spacing w:val="-5"/>
          <w:w w:val="100"/>
        </w:rPr>
        <w:t>建设，加强农产品物流骨干网络和冷链物流体系建设”，“深入推进‘互联网</w:t>
      </w:r>
      <w:r>
        <w:rPr>
          <w:rFonts w:ascii="Times New Roman" w:hAnsi="Times New Roman" w:cs="Times New Roman" w:eastAsia="Times New Roman" w:hint="default"/>
          <w:spacing w:val="-5"/>
          <w:w w:val="100"/>
        </w:rPr>
        <w:t>+</w:t>
      </w:r>
      <w:r>
        <w:rPr>
          <w:spacing w:val="-5"/>
          <w:w w:val="100"/>
        </w:rPr>
        <w:t>农业’，推进重要农产品全</w:t>
      </w:r>
      <w:r>
        <w:rPr>
          <w:spacing w:val="-67"/>
          <w:w w:val="100"/>
        </w:rPr>
        <w:t> </w:t>
      </w:r>
      <w:r>
        <w:rPr>
          <w:spacing w:val="-67"/>
          <w:w w:val="100"/>
        </w:rPr>
      </w:r>
      <w:r>
        <w:rPr>
          <w:spacing w:val="-2"/>
        </w:rPr>
        <w:t>产业链大数据建设”。今后一个时期，我国农产品批发市场行业仍将围绕强化市场基础设施建设，推动市</w:t>
      </w:r>
      <w:r>
        <w:rPr>
          <w:spacing w:val="-44"/>
        </w:rPr>
        <w:t> </w:t>
      </w:r>
      <w:r>
        <w:rPr>
          <w:spacing w:val="-44"/>
        </w:rPr>
      </w:r>
      <w:r>
        <w:rPr>
          <w:spacing w:val="-2"/>
        </w:rPr>
        <w:t>场信息化建设，健全农产品质量安全检测和监管制度，加强冷链设施和物流配送系统建设，探索创新交易</w:t>
      </w:r>
      <w:r>
        <w:rPr>
          <w:spacing w:val="-44"/>
        </w:rPr>
        <w:t> </w:t>
      </w:r>
      <w:r>
        <w:rPr>
          <w:spacing w:val="-44"/>
        </w:rPr>
      </w:r>
      <w:r>
        <w:rPr/>
        <w:t>方式，加强环保设施建设等方面持续提档升级。</w:t>
      </w:r>
    </w:p>
    <w:p>
      <w:pPr>
        <w:spacing w:line="340" w:lineRule="auto" w:before="14"/>
        <w:ind w:left="573" w:right="0" w:firstLine="16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（三）农产品批发市场行业面临的机遇与挑战</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农产品批发市场承担着我国农产品流通的重任，机遇与挑战并重。一是城市高质量发展，居民消费结</w:t>
      </w:r>
    </w:p>
    <w:p>
      <w:pPr>
        <w:pStyle w:val="BodyText"/>
        <w:spacing w:line="357" w:lineRule="auto" w:before="45"/>
        <w:ind w:left="152" w:right="1104"/>
        <w:jc w:val="both"/>
      </w:pPr>
      <w:r>
        <w:rPr>
          <w:spacing w:val="-2"/>
        </w:rPr>
        <w:t>构也在持续升级，需求侧变化下，人民对美好生活的向往越来越强烈，对高品质、丰富度、性价比的农产</w:t>
      </w:r>
      <w:r>
        <w:rPr>
          <w:spacing w:val="-43"/>
        </w:rPr>
        <w:t> </w:t>
      </w:r>
      <w:r>
        <w:rPr>
          <w:spacing w:val="-43"/>
        </w:rPr>
      </w:r>
      <w:r>
        <w:rPr>
          <w:spacing w:val="-2"/>
        </w:rPr>
        <w:t>品需求越来越高，但是农产品供给侧的供应能力和质量还是不足；二是农产品批发市场在促进产销衔接，</w:t>
      </w:r>
      <w:r>
        <w:rPr>
          <w:spacing w:val="-21"/>
        </w:rPr>
        <w:t> </w:t>
      </w:r>
      <w:r>
        <w:rPr>
          <w:spacing w:val="-21"/>
        </w:rPr>
      </w:r>
      <w:r>
        <w:rPr>
          <w:spacing w:val="-2"/>
        </w:rPr>
        <w:t>保障农产品有效供给，以及引导生产资源市场化配置等方面的作用日显突出。随着国家乡村振兴战略和农</w:t>
      </w:r>
      <w:r>
        <w:rPr>
          <w:spacing w:val="-44"/>
        </w:rPr>
        <w:t> </w:t>
      </w:r>
      <w:r>
        <w:rPr>
          <w:spacing w:val="-44"/>
        </w:rPr>
      </w:r>
      <w:r>
        <w:rPr>
          <w:spacing w:val="-2"/>
        </w:rPr>
        <w:t>业供给侧结构性改革的深入推进，农业现代化进程的加快，农产品供给端日趋组织化，国家明确支持大型</w:t>
      </w:r>
      <w:r>
        <w:rPr>
          <w:spacing w:val="-43"/>
        </w:rPr>
        <w:t> </w:t>
      </w:r>
      <w:r>
        <w:rPr>
          <w:spacing w:val="-43"/>
        </w:rPr>
      </w:r>
      <w:r>
        <w:rPr>
          <w:spacing w:val="-2"/>
        </w:rPr>
        <w:t>农产品批发市场，鼓励和引导龙头企业参与农产品流通基础设施建设、现代供应链体系建设、农业全产业</w:t>
      </w:r>
      <w:r>
        <w:rPr>
          <w:spacing w:val="-44"/>
        </w:rPr>
        <w:t> </w:t>
      </w:r>
      <w:r>
        <w:rPr>
          <w:spacing w:val="-44"/>
        </w:rPr>
      </w:r>
      <w:r>
        <w:rPr>
          <w:spacing w:val="-2"/>
        </w:rPr>
        <w:t>链开发经营、农产品品牌培育打造，促进农产品有效供给和农业转型升级；三是随着农业标准化的提升，</w:t>
      </w:r>
      <w:r>
        <w:rPr>
          <w:spacing w:val="-21"/>
        </w:rPr>
        <w:t> </w:t>
      </w:r>
      <w:r>
        <w:rPr>
          <w:spacing w:val="-21"/>
        </w:rPr>
      </w:r>
      <w:r>
        <w:rPr>
          <w:spacing w:val="-2"/>
        </w:rPr>
        <w:t>物流、柔性供应链的进步，移动互联网大规模普及，大数据的广泛应用与技术的革新，农产品供给渠道在</w:t>
      </w:r>
      <w:r>
        <w:rPr>
          <w:spacing w:val="-50"/>
        </w:rPr>
        <w:t> </w:t>
      </w:r>
      <w:r>
        <w:rPr>
          <w:spacing w:val="-50"/>
        </w:rPr>
      </w:r>
      <w:r>
        <w:rPr>
          <w:spacing w:val="-2"/>
        </w:rPr>
        <w:t>变短，新零售这一新的商业形态在生鲜领域会快速发展；四是随着城市化的发展，越来越多的城市面临如</w:t>
      </w:r>
      <w:r>
        <w:rPr>
          <w:spacing w:val="-45"/>
        </w:rPr>
        <w:t> </w:t>
      </w:r>
      <w:r>
        <w:rPr>
          <w:spacing w:val="-45"/>
        </w:rPr>
      </w:r>
      <w:r>
        <w:rPr>
          <w:spacing w:val="-2"/>
        </w:rPr>
        <w:t>何优化城市空间布局，城市城区范围内的批零型市场和农贸市场，形态、经营方式落后，面临升级换代、</w:t>
      </w:r>
      <w:r>
        <w:rPr>
          <w:spacing w:val="-21"/>
        </w:rPr>
        <w:t> </w:t>
      </w:r>
      <w:r>
        <w:rPr>
          <w:spacing w:val="-21"/>
        </w:rPr>
      </w:r>
      <w:r>
        <w:rPr>
          <w:spacing w:val="-2"/>
        </w:rPr>
        <w:t>调整。为使批发市场与城市环境相协调，许多城市将会开展对农批市场进行升级改造、异地搬迁，提升土</w:t>
      </w:r>
      <w:r>
        <w:rPr>
          <w:spacing w:val="-47"/>
        </w:rPr>
        <w:t> </w:t>
      </w:r>
      <w:r>
        <w:rPr>
          <w:spacing w:val="-47"/>
        </w:rPr>
      </w:r>
      <w:r>
        <w:rPr>
          <w:spacing w:val="-2"/>
        </w:rPr>
        <w:t>地使用效率、扩大单体市场规模、优化市场功能布局、提升农批市场服务城市的功能；五是各地实地农产</w:t>
      </w:r>
    </w:p>
    <w:p>
      <w:pPr>
        <w:spacing w:after="0" w:line="357" w:lineRule="auto"/>
        <w:jc w:val="both"/>
        <w:sectPr>
          <w:pgSz w:w="11910" w:h="16840"/>
          <w:pgMar w:header="877" w:footer="1265" w:top="1100" w:bottom="1460" w:left="980" w:right="0"/>
        </w:sectPr>
      </w:pPr>
    </w:p>
    <w:p>
      <w:pPr>
        <w:spacing w:line="240" w:lineRule="auto" w:before="3"/>
        <w:rPr>
          <w:rFonts w:ascii="宋体" w:hAnsi="宋体" w:cs="宋体" w:eastAsia="宋体" w:hint="default"/>
          <w:sz w:val="19"/>
          <w:szCs w:val="19"/>
        </w:rPr>
      </w:pPr>
    </w:p>
    <w:p>
      <w:pPr>
        <w:pStyle w:val="BodyText"/>
        <w:spacing w:line="355" w:lineRule="auto"/>
        <w:ind w:left="152" w:right="1126"/>
        <w:jc w:val="both"/>
      </w:pPr>
      <w:r>
        <w:rPr>
          <w:spacing w:val="-2"/>
        </w:rPr>
        <w:t>品批发市场竞争如火如荼，房地产企业、大的互联网企业等各路资本纷纷进入农业这个行业，进入农业产</w:t>
      </w:r>
      <w:r>
        <w:rPr>
          <w:spacing w:val="-45"/>
        </w:rPr>
        <w:t> </w:t>
      </w:r>
      <w:r>
        <w:rPr>
          <w:spacing w:val="-45"/>
        </w:rPr>
      </w:r>
      <w:r>
        <w:rPr>
          <w:spacing w:val="-2"/>
        </w:rPr>
        <w:t>业链中，争夺行业资源，行业竞争日趋激烈；六是国家加大了对农产品批发市场的管理，强化了市场管理</w:t>
      </w:r>
      <w:r>
        <w:rPr>
          <w:spacing w:val="-47"/>
        </w:rPr>
        <w:t> </w:t>
      </w:r>
      <w:r>
        <w:rPr>
          <w:spacing w:val="-47"/>
        </w:rPr>
      </w:r>
      <w:r>
        <w:rPr/>
        <w:t>方对食品安全的责任，提升了市场管理方对稳定物价等公益性要求。</w:t>
      </w:r>
    </w:p>
    <w:p>
      <w:pPr>
        <w:pStyle w:val="Heading6"/>
        <w:spacing w:line="240" w:lineRule="auto" w:before="6"/>
        <w:ind w:left="734" w:right="0"/>
        <w:jc w:val="left"/>
        <w:rPr>
          <w:b w:val="0"/>
          <w:bCs w:val="0"/>
        </w:rPr>
      </w:pPr>
      <w:r>
        <w:rPr/>
        <w:t>（四）公司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年度重点工作计划</w:t>
      </w:r>
      <w:r>
        <w:rPr>
          <w:b w:val="0"/>
          <w:bCs w:val="0"/>
        </w:rPr>
      </w:r>
    </w:p>
    <w:p>
      <w:pPr>
        <w:pStyle w:val="BodyText"/>
        <w:spacing w:line="355" w:lineRule="auto" w:before="152"/>
        <w:ind w:left="152" w:right="1104" w:firstLine="578"/>
        <w:jc w:val="both"/>
      </w:pPr>
      <w:r>
        <w:rPr>
          <w:rFonts w:ascii="宋体" w:hAnsi="宋体" w:cs="宋体" w:eastAsia="宋体" w:hint="default"/>
        </w:rPr>
        <w:t>2019</w:t>
      </w:r>
      <w:r>
        <w:rPr>
          <w:rFonts w:ascii="宋体" w:hAnsi="宋体" w:cs="宋体" w:eastAsia="宋体" w:hint="default"/>
          <w:spacing w:val="-2"/>
        </w:rPr>
        <w:t> </w:t>
      </w:r>
      <w:r>
        <w:rPr>
          <w:spacing w:val="-2"/>
        </w:rPr>
        <w:t>年，公司将围绕“综合改革、转型夯实”的主题，全面落实综合改革，推进集团“两个深耕、</w:t>
      </w:r>
      <w:r>
        <w:rPr>
          <w:w w:val="100"/>
        </w:rPr>
        <w:t> </w:t>
      </w:r>
      <w:r>
        <w:rPr>
          <w:spacing w:val="-2"/>
        </w:rPr>
        <w:t>转型升级”，坚定不移的践行“绿色交易创导者、美好生活创造者”，继续保持公司在农产品流通行业的</w:t>
      </w:r>
      <w:r>
        <w:rPr>
          <w:spacing w:val="-42"/>
        </w:rPr>
        <w:t> </w:t>
      </w:r>
      <w:r>
        <w:rPr>
          <w:spacing w:val="-42"/>
        </w:rPr>
      </w:r>
      <w:r>
        <w:rPr/>
        <w:t>领先地位。重点工作计划如下：</w:t>
      </w:r>
    </w:p>
    <w:p>
      <w:pPr>
        <w:spacing w:line="338" w:lineRule="auto" w:before="7"/>
        <w:ind w:left="731"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、深耕市场主业，创新经营模式，高质量实现批发市场转型升级</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pacing w:val="-33"/>
          <w:sz w:val="21"/>
          <w:szCs w:val="21"/>
        </w:rPr>
      </w:r>
      <w:r>
        <w:rPr>
          <w:rFonts w:ascii="宋体" w:hAnsi="宋体" w:cs="宋体" w:eastAsia="宋体" w:hint="default"/>
          <w:spacing w:val="-1"/>
          <w:sz w:val="21"/>
          <w:szCs w:val="21"/>
        </w:rPr>
        <w:t>明确各下属市场定位；优化经营品种和经营业态，引进优质客户，强化客户服务，挖掘利润成长空</w:t>
      </w:r>
    </w:p>
    <w:p>
      <w:pPr>
        <w:pStyle w:val="BodyText"/>
        <w:spacing w:line="355" w:lineRule="auto" w:before="49"/>
        <w:ind w:left="152" w:right="1129"/>
        <w:jc w:val="both"/>
      </w:pPr>
      <w:r>
        <w:rPr>
          <w:spacing w:val="-2"/>
        </w:rPr>
        <w:t>间，加快新培育市场速度，实现高质量发展；创新经营业态，转变经营模式，促进线上线下业务协同；提</w:t>
      </w:r>
      <w:r>
        <w:rPr>
          <w:spacing w:val="-45"/>
        </w:rPr>
        <w:t> </w:t>
      </w:r>
      <w:r>
        <w:rPr>
          <w:spacing w:val="-45"/>
        </w:rPr>
      </w:r>
      <w:r>
        <w:rPr/>
        <w:t>升市场形象，处理好城与市的关系，促进市场融入城市发展规划；利用批发市场资源开展产销对接。</w:t>
      </w:r>
    </w:p>
    <w:p>
      <w:pPr>
        <w:spacing w:line="340" w:lineRule="auto" w:before="6"/>
        <w:ind w:left="731"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、深耕重点区域、重点城市，增强供应链服务能力</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1"/>
          <w:sz w:val="21"/>
          <w:szCs w:val="21"/>
        </w:rPr>
        <w:t>以批发市场为中心，向上下游延伸，加快构建起从种植生产到终端市场的农产品经营产业链服务体</w:t>
      </w:r>
    </w:p>
    <w:p>
      <w:pPr>
        <w:pStyle w:val="BodyText"/>
        <w:spacing w:line="355" w:lineRule="auto" w:before="45"/>
        <w:ind w:left="152" w:right="1130"/>
        <w:jc w:val="both"/>
      </w:pPr>
      <w:r>
        <w:rPr>
          <w:spacing w:val="-3"/>
        </w:rPr>
        <w:t>系，增强基地认证、检验检测、质量分级、品牌培育、仓储物流、中央集配、供应链金融、大数据等供应</w:t>
      </w:r>
      <w:r>
        <w:rPr>
          <w:spacing w:val="-5"/>
        </w:rPr>
        <w:t> </w:t>
      </w:r>
      <w:r>
        <w:rPr>
          <w:spacing w:val="-5"/>
        </w:rPr>
      </w:r>
      <w:r>
        <w:rPr/>
        <w:t>链服务能力；以深圳等城市的重点市场为依托，在供应链服务基础之上，加快建立自有品牌和渠道。</w:t>
      </w:r>
    </w:p>
    <w:p>
      <w:pPr>
        <w:spacing w:line="340" w:lineRule="auto" w:before="6"/>
        <w:ind w:left="731"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、统筹资源开发、加快在建工程项目进度，挖掘存量资源价值</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1"/>
          <w:sz w:val="21"/>
          <w:szCs w:val="21"/>
        </w:rPr>
        <w:t>在集团层面统筹公司待改造物业、待盘活闲置土地、旗下各市场内商业开发资源，以新一轮城市空</w:t>
      </w:r>
    </w:p>
    <w:p>
      <w:pPr>
        <w:spacing w:line="336" w:lineRule="auto" w:before="42"/>
        <w:ind w:left="731" w:right="0" w:hanging="579"/>
        <w:jc w:val="left"/>
        <w:rPr>
          <w:rFonts w:ascii="宋体" w:hAnsi="宋体" w:cs="宋体" w:eastAsia="宋体" w:hint="default"/>
          <w:sz w:val="21"/>
          <w:szCs w:val="21"/>
        </w:rPr>
      </w:pPr>
      <w:r>
        <w:rPr>
          <w:rFonts w:ascii="宋体" w:hAnsi="宋体" w:cs="宋体" w:eastAsia="宋体" w:hint="default"/>
          <w:sz w:val="21"/>
          <w:szCs w:val="21"/>
        </w:rPr>
        <w:t>间布局调整为契机，深入挖掘、逐步释放资源价值。加快在建重点工程项目进度。</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、加强技术创新，全面推进信息化建设，加快智能化转型</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1"/>
          <w:sz w:val="21"/>
          <w:szCs w:val="21"/>
        </w:rPr>
        <w:t>在基于批发市场信息一体化基础上，完成档位管理、智慧食安等十大应用平台的重构开发，加快信</w:t>
      </w:r>
    </w:p>
    <w:p>
      <w:pPr>
        <w:pStyle w:val="BodyText"/>
        <w:spacing w:line="355" w:lineRule="auto" w:before="49"/>
        <w:ind w:left="152" w:right="1126"/>
        <w:jc w:val="both"/>
      </w:pPr>
      <w:r>
        <w:rPr>
          <w:spacing w:val="-2"/>
        </w:rPr>
        <w:t>息化管理系统在各市场的部署和应用，初步完成云数据服务平台的业务上线；进一步完善和推动集团数据</w:t>
      </w:r>
      <w:r>
        <w:rPr>
          <w:spacing w:val="-44"/>
        </w:rPr>
        <w:t> </w:t>
      </w:r>
      <w:r>
        <w:rPr>
          <w:spacing w:val="-44"/>
        </w:rPr>
      </w:r>
      <w:r>
        <w:rPr/>
        <w:t>标准化进程，加快搭建以私有云技术为基础的集团大数据中心。</w:t>
      </w:r>
    </w:p>
    <w:p>
      <w:pPr>
        <w:spacing w:line="340" w:lineRule="auto" w:before="6"/>
        <w:ind w:left="573" w:right="0" w:firstLine="1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、落实食安战略，着力提升食品安全风险管控，打造食安名片</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积极配合政府落实食品安全战略，加强农产品质量安全追溯体系建设，完善食品安全检测认证平台，</w:t>
      </w:r>
    </w:p>
    <w:p>
      <w:pPr>
        <w:pStyle w:val="BodyText"/>
        <w:spacing w:line="240" w:lineRule="auto" w:before="42"/>
        <w:ind w:left="152" w:right="0"/>
        <w:jc w:val="left"/>
      </w:pPr>
      <w:r>
        <w:rPr/>
        <w:t>全面开展食品安全风险评审，持续提升食品安全水平、完善风险管控体系，打造企业食安名片。</w:t>
      </w:r>
    </w:p>
    <w:p>
      <w:pPr>
        <w:spacing w:after="0" w:line="240" w:lineRule="auto"/>
        <w:jc w:val="left"/>
        <w:sectPr>
          <w:pgSz w:w="11910" w:h="16840"/>
          <w:pgMar w:header="877" w:footer="1265" w:top="1100" w:bottom="1460" w:left="980" w:right="0"/>
        </w:sectPr>
      </w:pPr>
    </w:p>
    <w:p>
      <w:pPr>
        <w:spacing w:line="240" w:lineRule="auto" w:before="7"/>
        <w:rPr>
          <w:rFonts w:ascii="宋体" w:hAnsi="宋体" w:cs="宋体" w:eastAsia="宋体" w:hint="default"/>
          <w:sz w:val="19"/>
          <w:szCs w:val="19"/>
        </w:rPr>
      </w:pPr>
    </w:p>
    <w:p>
      <w:pPr>
        <w:pStyle w:val="Heading4"/>
        <w:spacing w:line="367" w:lineRule="exact"/>
        <w:ind w:left="312" w:right="0"/>
        <w:jc w:val="both"/>
        <w:rPr>
          <w:b w:val="0"/>
          <w:bCs w:val="0"/>
        </w:rPr>
      </w:pPr>
      <w:r>
        <w:rPr/>
        <w:t>十、接待调研、沟通、采访等活动情况</w:t>
      </w:r>
      <w:r>
        <w:rPr>
          <w:b w:val="0"/>
          <w:bCs w:val="0"/>
        </w:rPr>
      </w:r>
    </w:p>
    <w:p>
      <w:pPr>
        <w:spacing w:line="420" w:lineRule="auto" w:before="210"/>
        <w:ind w:left="73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、报告期内接待调研、沟通、采访等活动登记表</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报告期内，公司接待调研、沟通、采访等活动包括实地调研、互动易问答、电话沟通等，其中，公司</w:t>
      </w:r>
    </w:p>
    <w:p>
      <w:pPr>
        <w:pStyle w:val="BodyText"/>
        <w:spacing w:line="251" w:lineRule="exact" w:before="0"/>
        <w:ind w:left="312" w:right="0"/>
        <w:jc w:val="both"/>
      </w:pPr>
      <w:r>
        <w:rPr/>
        <w:t>接待实地调研对象为机构投资者。除公开资料外，公司未向特定对象提供任何书面资料。公司接待特定对</w:t>
      </w:r>
    </w:p>
    <w:p>
      <w:pPr>
        <w:pStyle w:val="BodyText"/>
        <w:spacing w:line="355" w:lineRule="auto" w:before="135"/>
        <w:ind w:left="312" w:right="1126"/>
        <w:jc w:val="both"/>
      </w:pPr>
      <w:r>
        <w:rPr>
          <w:spacing w:val="-2"/>
        </w:rPr>
        <w:t>象工作严格遵守《主板上市公司规范运作指引》及公司《接待和推广工作制度》的规定，公司及相关信息</w:t>
      </w:r>
      <w:r>
        <w:rPr>
          <w:spacing w:val="-43"/>
        </w:rPr>
        <w:t> </w:t>
      </w:r>
      <w:r>
        <w:rPr>
          <w:spacing w:val="-43"/>
        </w:rPr>
      </w:r>
      <w:r>
        <w:rPr>
          <w:spacing w:val="-2"/>
        </w:rPr>
        <w:t>披露义务人严格遵循公平信息披露的原则，未有实行差别对待政策，未有有选择地、私下地提前向特定对</w:t>
      </w:r>
      <w:r>
        <w:rPr>
          <w:spacing w:val="-44"/>
        </w:rPr>
        <w:t> </w:t>
      </w:r>
      <w:r>
        <w:rPr>
          <w:spacing w:val="-44"/>
        </w:rPr>
      </w:r>
      <w:r>
        <w:rPr/>
        <w:t>象披露、透露或泄露未公开信息的情形，部分接待情况如下：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869" w:firstLine="0"/>
        <w:jc w:val="right"/>
        <w:rPr>
          <w:rFonts w:ascii="宋体" w:hAnsi="宋体" w:cs="宋体" w:eastAsia="宋体" w:hint="default"/>
          <w:sz w:val="18"/>
          <w:szCs w:val="18"/>
        </w:rPr>
      </w:pPr>
      <w:r>
        <w:rPr/>
        <w:pict>
          <v:shape style="position:absolute;margin-left:46.32pt;margin-top:-144.14827pt;width:502.8pt;height:244.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6"/>
                    <w:gridCol w:w="566"/>
                    <w:gridCol w:w="852"/>
                    <w:gridCol w:w="826"/>
                    <w:gridCol w:w="1082"/>
                    <w:gridCol w:w="3401"/>
                    <w:gridCol w:w="2127"/>
                  </w:tblGrid>
                  <w:tr>
                    <w:trPr>
                      <w:trHeight w:val="61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接待时间</w:t>
                        </w:r>
                        <w:r>
                          <w:rPr>
                            <w:rFonts w:ascii="Microsoft JhengHei" w:hAnsi="Microsoft JhengHei" w:cs="Microsoft JhengHei" w:eastAsia="Microsoft JhengHei"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exact"/>
                          <w:ind w:left="98" w:right="9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地点</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接待方式</w:t>
                        </w:r>
                        <w:r>
                          <w:rPr>
                            <w:rFonts w:ascii="Microsoft JhengHei" w:hAnsi="Microsoft JhengHei" w:cs="Microsoft JhengHei" w:eastAsia="Microsoft JhengHei"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exact"/>
                          <w:ind w:left="228" w:right="44"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接待对象 类型</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接待对象</w:t>
                        </w:r>
                        <w:r>
                          <w:rPr>
                            <w:rFonts w:ascii="Microsoft JhengHei" w:hAnsi="Microsoft JhengHei" w:cs="Microsoft JhengHei" w:eastAsia="Microsoft JhengHei" w:hint="default"/>
                            <w:sz w:val="18"/>
                            <w:szCs w:val="18"/>
                          </w:rPr>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谈论的主要内容及提供的资料</w:t>
                        </w:r>
                        <w:r>
                          <w:rPr>
                            <w:rFonts w:ascii="Microsoft JhengHei" w:hAnsi="Microsoft JhengHei" w:cs="Microsoft JhengHei" w:eastAsia="Microsoft JhengHei"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41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04" w:lineRule="auto"/>
                          <w:ind w:left="319" w:right="47" w:hanging="272"/>
                          <w:jc w:val="left"/>
                          <w:rPr>
                            <w:rFonts w:ascii="宋体" w:hAnsi="宋体" w:cs="宋体" w:eastAsia="宋体" w:hint="default"/>
                            <w:sz w:val="18"/>
                            <w:szCs w:val="18"/>
                          </w:rPr>
                        </w:pPr>
                        <w:r>
                          <w:rPr>
                            <w:rFonts w:ascii="宋体" w:hAnsi="宋体" w:cs="宋体" w:eastAsia="宋体" w:hint="default"/>
                            <w:sz w:val="18"/>
                            <w:szCs w:val="18"/>
                          </w:rPr>
                          <w:t>个人投资 者</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304" w:lineRule="auto"/>
                          <w:ind w:left="266" w:right="264"/>
                          <w:jc w:val="both"/>
                          <w:rPr>
                            <w:rFonts w:ascii="宋体" w:hAnsi="宋体" w:cs="宋体" w:eastAsia="宋体" w:hint="default"/>
                            <w:sz w:val="18"/>
                            <w:szCs w:val="18"/>
                          </w:rPr>
                        </w:pPr>
                        <w:r>
                          <w:rPr>
                            <w:rFonts w:ascii="宋体" w:hAnsi="宋体" w:cs="宋体" w:eastAsia="宋体" w:hint="default"/>
                            <w:sz w:val="18"/>
                            <w:szCs w:val="18"/>
                          </w:rPr>
                          <w:t>张克超 孙晓东 张俊彦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、公司与万科签署战略合作框架协议；</w:t>
                        </w:r>
                      </w:p>
                      <w:p>
                        <w:pPr>
                          <w:pStyle w:val="TableParagraph"/>
                          <w:spacing w:line="240" w:lineRule="auto" w:before="5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、公司未来发展的空间；</w:t>
                        </w:r>
                      </w:p>
                      <w:p>
                        <w:pPr>
                          <w:pStyle w:val="TableParagraph"/>
                          <w:spacing w:line="240" w:lineRule="auto" w:before="5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、公司旗下天津海吉星市场基本情况；</w:t>
                        </w:r>
                      </w:p>
                      <w:p>
                        <w:pPr>
                          <w:pStyle w:val="TableParagraph"/>
                          <w:spacing w:line="240" w:lineRule="auto" w:before="5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、公司调整放缓投资节奏的情况；</w:t>
                        </w:r>
                      </w:p>
                      <w:p>
                        <w:pPr>
                          <w:pStyle w:val="TableParagraph"/>
                          <w:spacing w:line="288" w:lineRule="auto" w:before="51"/>
                          <w:ind w:left="24" w:right="158" w:firstLine="5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、公司股东生命人寿出席股东大会的情 况；</w:t>
                        </w:r>
                      </w:p>
                      <w:p>
                        <w:pPr>
                          <w:pStyle w:val="TableParagraph"/>
                          <w:spacing w:line="240" w:lineRule="auto" w:before="28"/>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、公司旗下土地使用情况；</w:t>
                        </w:r>
                      </w:p>
                      <w:p>
                        <w:pPr>
                          <w:pStyle w:val="TableParagraph"/>
                          <w:spacing w:line="240" w:lineRule="auto" w:before="5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、布吉市场旧改项目进展情况。</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0" w:lineRule="exact"/>
                          <w:ind w:left="24" w:right="110"/>
                          <w:jc w:val="left"/>
                          <w:rPr>
                            <w:rFonts w:ascii="宋体" w:hAnsi="宋体" w:cs="宋体" w:eastAsia="宋体" w:hint="default"/>
                            <w:sz w:val="18"/>
                            <w:szCs w:val="18"/>
                          </w:rPr>
                        </w:pPr>
                        <w:r>
                          <w:rPr>
                            <w:rFonts w:ascii="宋体" w:hAnsi="宋体" w:cs="宋体" w:eastAsia="宋体" w:hint="default"/>
                            <w:sz w:val="18"/>
                            <w:szCs w:val="18"/>
                          </w:rPr>
                          <w:t>详见公司在巨潮资讯网 </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上刊登的投资者关系信息</w:t>
                        </w:r>
                      </w:p>
                    </w:tc>
                  </w:tr>
                  <w:tr>
                    <w:trPr>
                      <w:trHeight w:val="185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04" w:lineRule="auto"/>
                          <w:ind w:left="86" w:right="84"/>
                          <w:jc w:val="both"/>
                          <w:rPr>
                            <w:rFonts w:ascii="宋体" w:hAnsi="宋体" w:cs="宋体" w:eastAsia="宋体" w:hint="default"/>
                            <w:sz w:val="18"/>
                            <w:szCs w:val="18"/>
                          </w:rPr>
                        </w:pPr>
                        <w:r>
                          <w:rPr>
                            <w:rFonts w:ascii="宋体" w:hAnsi="宋体" w:cs="宋体" w:eastAsia="宋体" w:hint="default"/>
                            <w:sz w:val="18"/>
                            <w:szCs w:val="18"/>
                          </w:rPr>
                          <w:t>深圳市盛世 腾飞资产管 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、公司基本情况介绍；</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、公司战略规划、主营业务和经营情况；</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、公司农产品电商布局情况；</w:t>
                        </w:r>
                      </w:p>
                      <w:p>
                        <w:pPr>
                          <w:pStyle w:val="TableParagraph"/>
                          <w:spacing w:line="288" w:lineRule="auto" w:before="51"/>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、布吉市场城市更新项目合作事项的进展 情况。</w:t>
                        </w:r>
                      </w:p>
                    </w:tc>
                    <w:tc>
                      <w:tcPr>
                        <w:tcW w:w="2127"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309" w:type="dxa"/>
        <w:tblLayout w:type="fixed"/>
        <w:tblCellMar>
          <w:top w:w="0" w:type="dxa"/>
          <w:left w:w="0" w:type="dxa"/>
          <w:bottom w:w="0" w:type="dxa"/>
          <w:right w:w="0" w:type="dxa"/>
        </w:tblCellMar>
        <w:tblLook w:val="01E0"/>
      </w:tblPr>
      <w:tblGrid>
        <w:gridCol w:w="3715"/>
        <w:gridCol w:w="5855"/>
      </w:tblGrid>
      <w:tr>
        <w:trPr>
          <w:trHeight w:val="324"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w:t>
            </w:r>
          </w:p>
        </w:tc>
      </w:tr>
      <w:tr>
        <w:trPr>
          <w:trHeight w:val="32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1265" w:top="1100" w:bottom="1460" w:left="820" w:right="0"/>
        </w:sectPr>
      </w:pPr>
    </w:p>
    <w:p>
      <w:pPr>
        <w:spacing w:line="240" w:lineRule="auto" w:before="2"/>
        <w:rPr>
          <w:rFonts w:ascii="宋体" w:hAnsi="宋体" w:cs="宋体" w:eastAsia="宋体" w:hint="default"/>
          <w:sz w:val="21"/>
          <w:szCs w:val="21"/>
        </w:rPr>
      </w:pPr>
    </w:p>
    <w:p>
      <w:pPr>
        <w:pStyle w:val="Heading1"/>
        <w:spacing w:line="456" w:lineRule="exact"/>
        <w:ind w:left="0" w:right="97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2"/>
        <w:rPr>
          <w:rFonts w:ascii="Microsoft JhengHei" w:hAnsi="Microsoft JhengHei" w:cs="Microsoft JhengHei" w:eastAsia="Microsoft JhengHei" w:hint="default"/>
          <w:b/>
          <w:bCs/>
          <w:sz w:val="46"/>
          <w:szCs w:val="46"/>
        </w:rPr>
      </w:pPr>
    </w:p>
    <w:p>
      <w:pPr>
        <w:pStyle w:val="Heading4"/>
        <w:spacing w:line="240" w:lineRule="auto"/>
        <w:ind w:left="152" w:right="0"/>
        <w:jc w:val="left"/>
        <w:rPr>
          <w:b w:val="0"/>
          <w:bCs w:val="0"/>
        </w:rPr>
      </w:pPr>
      <w:r>
        <w:rPr/>
        <w:t>一、公司普通股利润分配及资本公积金转增股本情况</w:t>
      </w:r>
      <w:r>
        <w:rPr>
          <w:b w:val="0"/>
          <w:bCs w:val="0"/>
        </w:rPr>
      </w:r>
    </w:p>
    <w:p>
      <w:pPr>
        <w:pStyle w:val="Heading6"/>
        <w:spacing w:line="268" w:lineRule="auto" w:before="210"/>
        <w:ind w:left="575" w:right="2654" w:hanging="423"/>
        <w:jc w:val="left"/>
        <w:rPr>
          <w:b w:val="0"/>
          <w:bCs w:val="0"/>
        </w:rPr>
      </w:pPr>
      <w:r>
        <w:rPr>
          <w:spacing w:val="-1"/>
        </w:rPr>
        <w:t>（一）利润分配政策特别是现金分红政策的制定或调整情况</w:t>
      </w:r>
      <w:r>
        <w:rPr>
          <w:spacing w:val="-8"/>
        </w:rPr>
        <w:t> </w:t>
      </w:r>
      <w:r>
        <w:rPr>
          <w:spacing w:val="-8"/>
        </w:rPr>
      </w:r>
      <w:r>
        <w:rPr/>
        <w:t>报告期，公司未重新制定或调整分红政策。</w:t>
      </w:r>
      <w:r>
        <w:rPr>
          <w:w w:val="100"/>
        </w:rPr>
        <w:t> </w:t>
      </w:r>
      <w:r>
        <w:rPr>
          <w:spacing w:val="-6"/>
          <w:w w:val="100"/>
        </w:rPr>
        <w:t>根据《公司章程》，公司现行利润分配政策为：</w:t>
      </w:r>
      <w:r>
        <w:rPr>
          <w:b w:val="0"/>
          <w:bCs w:val="0"/>
          <w:spacing w:val="-6"/>
          <w:w w:val="100"/>
        </w:rPr>
      </w:r>
    </w:p>
    <w:p>
      <w:pPr>
        <w:pStyle w:val="BodyText"/>
        <w:spacing w:line="240" w:lineRule="auto" w:before="76"/>
        <w:ind w:left="573" w:right="0"/>
        <w:jc w:val="left"/>
      </w:pPr>
      <w:r>
        <w:rPr>
          <w:rFonts w:ascii="Times New Roman" w:hAnsi="Times New Roman" w:cs="Times New Roman" w:eastAsia="Times New Roman" w:hint="default"/>
        </w:rPr>
        <w:t>1</w:t>
      </w:r>
      <w:r>
        <w:rPr/>
        <w:t>、公司的利润分配应重视对投资者的合理投资回报，利润分配政策应保持连续性和稳定性；</w:t>
      </w:r>
    </w:p>
    <w:p>
      <w:pPr>
        <w:pStyle w:val="BodyText"/>
        <w:spacing w:line="240" w:lineRule="auto" w:before="117"/>
        <w:ind w:left="573" w:right="0"/>
        <w:jc w:val="left"/>
      </w:pPr>
      <w:r>
        <w:rPr>
          <w:rFonts w:ascii="Times New Roman" w:hAnsi="Times New Roman" w:cs="Times New Roman" w:eastAsia="Times New Roman" w:hint="default"/>
        </w:rPr>
        <w:t>2</w:t>
      </w:r>
      <w:r>
        <w:rPr/>
        <w:t>、公司可以采取现金或者现金与股票相结合的方式分配股利，可以进行中期现金分红；</w:t>
      </w:r>
    </w:p>
    <w:p>
      <w:pPr>
        <w:pStyle w:val="BodyText"/>
        <w:spacing w:line="350" w:lineRule="auto" w:before="117"/>
        <w:ind w:left="152" w:right="0" w:firstLine="420"/>
        <w:jc w:val="left"/>
      </w:pPr>
      <w:r>
        <w:rPr>
          <w:rFonts w:ascii="Times New Roman" w:hAnsi="Times New Roman" w:cs="Times New Roman" w:eastAsia="Times New Roman" w:hint="default"/>
        </w:rPr>
        <w:t>3</w:t>
      </w:r>
      <w:r>
        <w:rPr/>
        <w:t>、公司原则上每年以现金方式分配的利润应不少于当年实现的可分配利润的百分之二十；且公司最</w:t>
      </w:r>
      <w:r>
        <w:rPr>
          <w:w w:val="100"/>
        </w:rPr>
        <w:t> </w:t>
      </w:r>
      <w:r>
        <w:rPr>
          <w:spacing w:val="-2"/>
        </w:rPr>
        <w:t>近三年以现金方式累计分配的利润应不少于最近三年实现的年均可分配利润的百分之三十；在确保现金利</w:t>
      </w:r>
      <w:r>
        <w:rPr>
          <w:spacing w:val="-43"/>
        </w:rPr>
        <w:t> </w:t>
      </w:r>
      <w:r>
        <w:rPr>
          <w:spacing w:val="-43"/>
        </w:rPr>
      </w:r>
      <w:r>
        <w:rPr>
          <w:spacing w:val="-2"/>
        </w:rPr>
        <w:t>润分配的前提下，公司可以另行采取股票股利分配方式进行利润分配；公司年度利润分配金额不得超过公</w:t>
      </w:r>
      <w:r>
        <w:rPr>
          <w:spacing w:val="-43"/>
        </w:rPr>
        <w:t> </w:t>
      </w:r>
      <w:r>
        <w:rPr>
          <w:spacing w:val="-43"/>
        </w:rPr>
      </w:r>
      <w:r>
        <w:rPr/>
        <w:t>司当年末累计未分配利润，不得损害公司持续经营能力；</w:t>
      </w:r>
    </w:p>
    <w:p>
      <w:pPr>
        <w:pStyle w:val="BodyText"/>
        <w:spacing w:line="352" w:lineRule="auto"/>
        <w:ind w:left="152" w:right="0" w:firstLine="420"/>
        <w:jc w:val="left"/>
      </w:pPr>
      <w:r>
        <w:rPr>
          <w:rFonts w:ascii="Times New Roman" w:hAnsi="Times New Roman" w:cs="Times New Roman" w:eastAsia="Times New Roman" w:hint="default"/>
        </w:rPr>
        <w:t>4</w:t>
      </w:r>
      <w:r>
        <w:rPr/>
        <w:t>、具体利润分配方案由董事会拟定，提交股东大会进行审议；其中，公司在制定现金分红具体方案</w:t>
      </w:r>
      <w:r>
        <w:rPr>
          <w:w w:val="100"/>
        </w:rPr>
        <w:t> </w:t>
      </w:r>
      <w:r>
        <w:rPr>
          <w:spacing w:val="-2"/>
        </w:rPr>
        <w:t>时，董事会应当认真研究和论证公司现金分红的时机、条件和最低比例、调整的条件及其决策程序要求等</w:t>
      </w:r>
      <w:r>
        <w:rPr>
          <w:spacing w:val="-42"/>
        </w:rPr>
        <w:t> </w:t>
      </w:r>
      <w:r>
        <w:rPr>
          <w:spacing w:val="-42"/>
        </w:rPr>
      </w:r>
      <w:r>
        <w:rPr>
          <w:spacing w:val="-2"/>
        </w:rPr>
        <w:t>事宜，独立董事应当发表明确的独立意见；对于年度报告期盈利但董事会未按照本章程的规定提出现金分</w:t>
      </w:r>
      <w:r>
        <w:rPr>
          <w:spacing w:val="-43"/>
        </w:rPr>
        <w:t> </w:t>
      </w:r>
      <w:r>
        <w:rPr>
          <w:spacing w:val="-43"/>
        </w:rPr>
      </w:r>
      <w:r>
        <w:rPr>
          <w:spacing w:val="-2"/>
        </w:rPr>
        <w:t>红方案的，应当在定期报告中披露未按照本章程的规定提出现金分红方案的原因、未用于分红的资金留存</w:t>
      </w:r>
      <w:r>
        <w:rPr>
          <w:spacing w:val="-42"/>
        </w:rPr>
        <w:t> </w:t>
      </w:r>
      <w:r>
        <w:rPr>
          <w:spacing w:val="-42"/>
        </w:rPr>
      </w:r>
      <w:r>
        <w:rPr>
          <w:spacing w:val="-2"/>
        </w:rPr>
        <w:t>公司的用途，独立董事应当对此发表独立意见，公司在召开股东大会时除现场会议外，还应向股东提供网</w:t>
      </w:r>
      <w:r>
        <w:rPr>
          <w:spacing w:val="-44"/>
        </w:rPr>
        <w:t> </w:t>
      </w:r>
      <w:r>
        <w:rPr>
          <w:spacing w:val="-44"/>
        </w:rPr>
      </w:r>
      <w:r>
        <w:rPr/>
        <w:t>络形式的投票平台；</w:t>
      </w:r>
    </w:p>
    <w:p>
      <w:pPr>
        <w:pStyle w:val="BodyText"/>
        <w:spacing w:line="336" w:lineRule="auto" w:before="37"/>
        <w:ind w:left="152" w:right="1124" w:firstLine="420"/>
        <w:jc w:val="left"/>
      </w:pPr>
      <w:r>
        <w:rPr>
          <w:rFonts w:ascii="Times New Roman" w:hAnsi="Times New Roman" w:cs="Times New Roman" w:eastAsia="Times New Roman" w:hint="default"/>
          <w:spacing w:val="-2"/>
        </w:rPr>
        <w:t>5</w:t>
      </w:r>
      <w:r>
        <w:rPr>
          <w:spacing w:val="-2"/>
        </w:rPr>
        <w:t>、存在股东违规占用公司资金情况的，公司应当扣减该股东所分配的现金红利，以偿还其占用的资</w:t>
      </w:r>
      <w:r>
        <w:rPr>
          <w:w w:val="100"/>
        </w:rPr>
        <w:t> </w:t>
      </w:r>
      <w:r>
        <w:rPr/>
        <w:t>金；</w:t>
      </w:r>
    </w:p>
    <w:p>
      <w:pPr>
        <w:pStyle w:val="BodyText"/>
        <w:spacing w:line="338" w:lineRule="auto" w:before="49"/>
        <w:ind w:left="152" w:right="0" w:firstLine="420"/>
        <w:jc w:val="left"/>
      </w:pPr>
      <w:r>
        <w:rPr>
          <w:rFonts w:ascii="Times New Roman" w:hAnsi="Times New Roman" w:cs="Times New Roman" w:eastAsia="Times New Roman" w:hint="default"/>
          <w:spacing w:val="-2"/>
        </w:rPr>
        <w:t>6</w:t>
      </w:r>
      <w:r>
        <w:rPr>
          <w:spacing w:val="-2"/>
        </w:rPr>
        <w:t>、公司调整利润分配政策，应以保护股东特别是中小股东权益为出发点进行详细论证，并由董事会</w:t>
      </w:r>
      <w:r>
        <w:rPr>
          <w:w w:val="100"/>
        </w:rPr>
        <w:t> </w:t>
      </w:r>
      <w:r>
        <w:rPr/>
        <w:t>提交股东大会以特别决议审议通过，独立董事应当发表明确的独立意见；</w:t>
      </w:r>
    </w:p>
    <w:p>
      <w:pPr>
        <w:pStyle w:val="BodyText"/>
        <w:spacing w:line="338" w:lineRule="auto" w:before="47"/>
        <w:ind w:left="152" w:right="1124" w:firstLine="420"/>
        <w:jc w:val="left"/>
      </w:pPr>
      <w:r>
        <w:rPr>
          <w:rFonts w:ascii="Times New Roman" w:hAnsi="Times New Roman" w:cs="Times New Roman" w:eastAsia="Times New Roman" w:hint="default"/>
          <w:spacing w:val="-2"/>
        </w:rPr>
        <w:t>7</w:t>
      </w:r>
      <w:r>
        <w:rPr>
          <w:spacing w:val="-2"/>
        </w:rPr>
        <w:t>、公司提供多种途径（电话、传真、电子邮件、互动平台等）接受所有股东对公司分红的建议和监</w:t>
      </w:r>
      <w:r>
        <w:rPr>
          <w:w w:val="100"/>
        </w:rPr>
        <w:t> </w:t>
      </w:r>
      <w:r>
        <w:rPr/>
        <w:t>督。</w:t>
      </w:r>
    </w:p>
    <w:p>
      <w:pPr>
        <w:pStyle w:val="BodyText"/>
        <w:spacing w:line="355" w:lineRule="auto" w:before="47"/>
        <w:ind w:left="152" w:right="0" w:firstLine="420"/>
        <w:jc w:val="left"/>
      </w:pPr>
      <w:r>
        <w:rPr>
          <w:spacing w:val="-2"/>
        </w:rPr>
        <w:t>公司利润分配政策的决策程序和机制符合中国证监会《关于进一步落实上市公司现金分红有关事项的</w:t>
      </w:r>
      <w:r>
        <w:rPr>
          <w:w w:val="100"/>
        </w:rPr>
        <w:t> </w:t>
      </w:r>
      <w:r>
        <w:rPr/>
        <w:t>通知》要求。</w:t>
      </w:r>
    </w:p>
    <w:p>
      <w:pPr>
        <w:pStyle w:val="Heading6"/>
        <w:spacing w:line="331" w:lineRule="exact"/>
        <w:ind w:left="152" w:right="0"/>
        <w:jc w:val="left"/>
        <w:rPr>
          <w:b w:val="0"/>
          <w:bCs w:val="0"/>
        </w:rPr>
      </w:pPr>
      <w:r>
        <w:rPr/>
        <w:t>（二）公司近三年（含报告期）的利润分配方案及执行情况</w:t>
      </w:r>
      <w:r>
        <w:rPr>
          <w:b w:val="0"/>
          <w:bCs w:val="0"/>
        </w:rPr>
      </w:r>
    </w:p>
    <w:p>
      <w:pPr>
        <w:pStyle w:val="BodyText"/>
        <w:spacing w:line="352" w:lineRule="auto" w:before="109"/>
        <w:ind w:left="152" w:right="1126" w:firstLine="420"/>
        <w:jc w:val="both"/>
      </w:pPr>
      <w:r>
        <w:rPr>
          <w:spacing w:val="-1"/>
          <w:w w:val="100"/>
        </w:rPr>
        <w:t>公司自</w:t>
      </w:r>
      <w:r>
        <w:rPr>
          <w:spacing w:val="-52"/>
          <w:w w:val="100"/>
        </w:rPr>
        <w:t> </w:t>
      </w:r>
      <w:r>
        <w:rPr>
          <w:rFonts w:ascii="Times New Roman" w:hAnsi="Times New Roman" w:cs="Times New Roman" w:eastAsia="Times New Roman" w:hint="default"/>
          <w:spacing w:val="-1"/>
          <w:w w:val="100"/>
        </w:rPr>
        <w:t>2007</w:t>
      </w:r>
      <w:r>
        <w:rPr>
          <w:rFonts w:ascii="Times New Roman" w:hAnsi="Times New Roman" w:cs="Times New Roman" w:eastAsia="Times New Roman" w:hint="default"/>
          <w:spacing w:val="3"/>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7"/>
          <w:w w:val="100"/>
        </w:rPr>
        <w:t>日起，开始执行新《企业会计准则》。根据新的会计准则，对子公司的投资采用</w:t>
      </w:r>
      <w:r>
        <w:rPr>
          <w:w w:val="100"/>
        </w:rPr>
        <w:t> </w:t>
      </w:r>
      <w:r>
        <w:rPr>
          <w:spacing w:val="-2"/>
        </w:rPr>
        <w:t>成本法核算，下属企业未宣布分红派息的利润暂不能纳入母公司利润，因此，母公司利润和合并利润存在</w:t>
      </w:r>
      <w:r>
        <w:rPr>
          <w:spacing w:val="-43"/>
        </w:rPr>
        <w:t> </w:t>
      </w:r>
      <w:r>
        <w:rPr>
          <w:spacing w:val="-43"/>
        </w:rPr>
      </w:r>
      <w:r>
        <w:rPr>
          <w:spacing w:val="-2"/>
        </w:rPr>
        <w:t>差异。根据《公司法》规定，进行利润分配应以母公司为主体。根据深圳证券交易所《主板上市公司规范</w:t>
      </w:r>
      <w:r>
        <w:rPr>
          <w:spacing w:val="-45"/>
        </w:rPr>
        <w:t> </w:t>
      </w:r>
      <w:r>
        <w:rPr>
          <w:spacing w:val="-45"/>
        </w:rPr>
      </w:r>
      <w:r>
        <w:rPr>
          <w:spacing w:val="-2"/>
        </w:rPr>
        <w:t>运作指引》利润分配和资本公积金转增股本规定，上市公司制定利润分配方案时，应当以母公司报表中可</w:t>
      </w:r>
      <w:r>
        <w:rPr>
          <w:spacing w:val="-43"/>
        </w:rPr>
        <w:t> </w:t>
      </w:r>
      <w:r>
        <w:rPr>
          <w:spacing w:val="-43"/>
        </w:rPr>
      </w:r>
      <w:r>
        <w:rPr>
          <w:spacing w:val="-2"/>
        </w:rPr>
        <w:t>供分配利润为依据。同时，为避免出现超分配的情况，公司应当以合并报表、母公司报表中可供分配利润</w:t>
      </w:r>
    </w:p>
    <w:p>
      <w:pPr>
        <w:spacing w:after="0" w:line="352" w:lineRule="auto"/>
        <w:jc w:val="both"/>
        <w:sectPr>
          <w:pgSz w:w="11910" w:h="16840"/>
          <w:pgMar w:header="877" w:footer="1265" w:top="1100" w:bottom="1460" w:left="980" w:right="0"/>
        </w:sectPr>
      </w:pPr>
    </w:p>
    <w:p>
      <w:pPr>
        <w:spacing w:line="240" w:lineRule="auto" w:before="3"/>
        <w:rPr>
          <w:rFonts w:ascii="宋体" w:hAnsi="宋体" w:cs="宋体" w:eastAsia="宋体" w:hint="default"/>
          <w:sz w:val="19"/>
          <w:szCs w:val="19"/>
        </w:rPr>
      </w:pPr>
    </w:p>
    <w:p>
      <w:pPr>
        <w:pStyle w:val="BodyText"/>
        <w:spacing w:line="240" w:lineRule="auto"/>
        <w:ind w:left="152" w:right="0"/>
        <w:jc w:val="both"/>
      </w:pPr>
      <w:r>
        <w:rPr/>
        <w:t>孰低的原则来确定具体的利润分配比例。</w:t>
      </w:r>
    </w:p>
    <w:p>
      <w:pPr>
        <w:pStyle w:val="Heading6"/>
        <w:spacing w:line="240" w:lineRule="auto" w:before="66"/>
        <w:ind w:left="575"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年度利润分配方案及执行情况</w:t>
      </w:r>
      <w:r>
        <w:rPr>
          <w:b w:val="0"/>
          <w:bCs w:val="0"/>
        </w:rPr>
      </w:r>
    </w:p>
    <w:p>
      <w:pPr>
        <w:pStyle w:val="BodyText"/>
        <w:spacing w:line="240" w:lineRule="auto" w:before="109"/>
        <w:ind w:left="57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年度利润分配预案：以截至</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年末公司总股本</w:t>
      </w:r>
      <w:r>
        <w:rPr>
          <w:spacing w:val="-43"/>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10"/>
        </w:rPr>
        <w:t> </w:t>
      </w:r>
      <w:r>
        <w:rPr/>
        <w:t>股为基数，向全体股东每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w:t>
      </w:r>
    </w:p>
    <w:p>
      <w:pPr>
        <w:pStyle w:val="BodyText"/>
        <w:spacing w:line="240" w:lineRule="auto" w:before="119"/>
        <w:ind w:left="152" w:right="0"/>
        <w:jc w:val="both"/>
      </w:pPr>
      <w:r>
        <w:rPr>
          <w:w w:val="100"/>
        </w:rPr>
        <w:t>派发</w:t>
      </w:r>
      <w:r>
        <w:rPr>
          <w:spacing w:val="-3"/>
          <w:w w:val="100"/>
        </w:rPr>
        <w:t>现</w:t>
      </w:r>
      <w:r>
        <w:rPr>
          <w:w w:val="100"/>
        </w:rPr>
        <w:t>金</w:t>
      </w:r>
      <w:r>
        <w:rPr>
          <w:spacing w:val="-3"/>
          <w:w w:val="100"/>
        </w:rPr>
        <w:t>红</w:t>
      </w:r>
      <w:r>
        <w:rPr>
          <w:w w:val="100"/>
        </w:rPr>
        <w:t>利</w:t>
      </w:r>
      <w:r>
        <w:rPr>
          <w:spacing w:val="-48"/>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5"/>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共</w:t>
      </w:r>
      <w:r>
        <w:rPr>
          <w:spacing w:val="-3"/>
          <w:w w:val="100"/>
        </w:rPr>
        <w:t>计</w:t>
      </w:r>
      <w:r>
        <w:rPr>
          <w:w w:val="100"/>
        </w:rPr>
        <w:t>拟</w:t>
      </w:r>
      <w:r>
        <w:rPr>
          <w:spacing w:val="-3"/>
          <w:w w:val="100"/>
        </w:rPr>
        <w:t>派</w:t>
      </w:r>
      <w:r>
        <w:rPr>
          <w:w w:val="100"/>
        </w:rPr>
        <w:t>发红利</w:t>
      </w:r>
      <w:r>
        <w:rPr>
          <w:spacing w:val="-50"/>
        </w:rPr>
        <w:t> </w:t>
      </w:r>
      <w:r>
        <w:rPr>
          <w:rFonts w:ascii="Times New Roman" w:hAnsi="Times New Roman" w:cs="Times New Roman" w:eastAsia="Times New Roman" w:hint="default"/>
          <w:w w:val="100"/>
        </w:rPr>
        <w:t>84,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48,206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w:t>
      </w:r>
      <w:r>
        <w:rPr>
          <w:rFonts w:ascii="Times New Roman" w:hAnsi="Times New Roman" w:cs="Times New Roman" w:eastAsia="Times New Roman" w:hint="default"/>
          <w:spacing w:val="5"/>
        </w:rPr>
        <w:t> </w:t>
      </w:r>
      <w:r>
        <w:rPr>
          <w:spacing w:val="-3"/>
          <w:w w:val="100"/>
        </w:rPr>
        <w:t>元</w:t>
      </w:r>
      <w:r>
        <w:rPr>
          <w:w w:val="100"/>
        </w:rPr>
        <w:t>。</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2"/>
        </w:rPr>
        <w:t> </w:t>
      </w:r>
      <w:r>
        <w:rPr>
          <w:w w:val="100"/>
        </w:rPr>
        <w:t>年</w:t>
      </w:r>
      <w:r>
        <w:rPr>
          <w:spacing w:val="-3"/>
          <w:w w:val="100"/>
        </w:rPr>
        <w:t>暂不</w:t>
      </w:r>
      <w:r>
        <w:rPr>
          <w:w w:val="100"/>
        </w:rPr>
        <w:t>进行</w:t>
      </w:r>
      <w:r>
        <w:rPr>
          <w:spacing w:val="-3"/>
          <w:w w:val="100"/>
        </w:rPr>
        <w:t>资</w:t>
      </w:r>
      <w:r>
        <w:rPr>
          <w:w w:val="100"/>
        </w:rPr>
        <w:t>本</w:t>
      </w:r>
      <w:r>
        <w:rPr>
          <w:spacing w:val="-3"/>
          <w:w w:val="100"/>
        </w:rPr>
        <w:t>公</w:t>
      </w:r>
      <w:r>
        <w:rPr>
          <w:w w:val="100"/>
        </w:rPr>
        <w:t>积</w:t>
      </w:r>
      <w:r>
        <w:rPr>
          <w:spacing w:val="-3"/>
          <w:w w:val="100"/>
        </w:rPr>
        <w:t>金</w:t>
      </w:r>
      <w:r>
        <w:rPr>
          <w:w w:val="100"/>
        </w:rPr>
        <w:t>转</w:t>
      </w:r>
      <w:r>
        <w:rPr>
          <w:spacing w:val="-3"/>
          <w:w w:val="100"/>
        </w:rPr>
        <w:t>增</w:t>
      </w:r>
      <w:r>
        <w:rPr>
          <w:w w:val="100"/>
        </w:rPr>
        <w:t>股</w:t>
      </w:r>
      <w:r>
        <w:rPr>
          <w:spacing w:val="-3"/>
          <w:w w:val="100"/>
        </w:rPr>
        <w:t>本</w:t>
      </w:r>
      <w:r>
        <w:rPr>
          <w:w w:val="100"/>
        </w:rPr>
        <w:t>。</w:t>
      </w:r>
    </w:p>
    <w:p>
      <w:pPr>
        <w:pStyle w:val="BodyText"/>
        <w:spacing w:line="343" w:lineRule="auto" w:before="117"/>
        <w:ind w:left="152" w:right="1105"/>
        <w:jc w:val="both"/>
      </w:pPr>
      <w:r>
        <w:rPr>
          <w:spacing w:val="-2"/>
          <w:w w:val="100"/>
        </w:rPr>
        <w:t>公司董事会认为，以上</w:t>
      </w:r>
      <w:r>
        <w:rPr>
          <w:spacing w:val="-52"/>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1"/>
          <w:w w:val="100"/>
        </w:rPr>
        <w:t> </w:t>
      </w:r>
      <w:r>
        <w:rPr>
          <w:spacing w:val="-11"/>
          <w:w w:val="100"/>
        </w:rPr>
        <w:t>年度利润分配预案的安排符合《公司法》、《企业会计准则》、公司《章程》等</w:t>
      </w:r>
      <w:r>
        <w:rPr>
          <w:w w:val="100"/>
        </w:rPr>
        <w:t> </w:t>
      </w:r>
      <w:r>
        <w:rPr>
          <w:spacing w:val="-2"/>
        </w:rPr>
        <w:t>相关规定。其中，公司独立董事对该分配议案提出了独立意见，认为公司董事会的决定不存在违反法律、</w:t>
      </w:r>
      <w:r>
        <w:rPr>
          <w:spacing w:val="-21"/>
        </w:rPr>
        <w:t> </w:t>
      </w:r>
      <w:r>
        <w:rPr>
          <w:spacing w:val="-21"/>
        </w:rPr>
      </w:r>
      <w:r>
        <w:rPr>
          <w:spacing w:val="-4"/>
        </w:rPr>
        <w:t>法规的情形，不存在损害公司及公司股东，特别是中小股东利益的情况，同意将该分配预案提交公司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年年度股东大会审议。</w:t>
      </w:r>
    </w:p>
    <w:p>
      <w:pPr>
        <w:pStyle w:val="BodyText"/>
        <w:spacing w:line="240" w:lineRule="auto" w:before="43"/>
        <w:ind w:left="573" w:right="0"/>
        <w:jc w:val="left"/>
      </w:pPr>
      <w:r>
        <w:rPr>
          <w:rFonts w:ascii="Times New Roman" w:hAnsi="Times New Roman" w:cs="Times New Roman" w:eastAsia="Times New Roman" w:hint="default"/>
        </w:rPr>
        <w:t>2016  </w:t>
      </w:r>
      <w:r>
        <w:rPr/>
        <w:t>年度利润分配预案已经公司 </w:t>
      </w:r>
      <w:r>
        <w:rPr>
          <w:rFonts w:ascii="Times New Roman" w:hAnsi="Times New Roman" w:cs="Times New Roman" w:eastAsia="Times New Roman" w:hint="default"/>
        </w:rPr>
        <w:t>2016  </w:t>
      </w:r>
      <w:r>
        <w:rPr>
          <w:rFonts w:ascii="Times New Roman" w:hAnsi="Times New Roman" w:cs="Times New Roman" w:eastAsia="Times New Roman" w:hint="default"/>
          <w:spacing w:val="26"/>
        </w:rPr>
        <w:t> </w:t>
      </w:r>
      <w:r>
        <w:rPr/>
        <w:t>年度股东大会审议通过后执行。此次权益分派股权登记日为</w:t>
      </w:r>
    </w:p>
    <w:p>
      <w:pPr>
        <w:pStyle w:val="BodyText"/>
        <w:spacing w:line="240" w:lineRule="auto" w:before="117"/>
        <w:ind w:left="152"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日，除权除息日为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日。此次分派对象为：</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日下午深圳证券</w:t>
      </w:r>
    </w:p>
    <w:p>
      <w:pPr>
        <w:pStyle w:val="BodyText"/>
        <w:spacing w:line="240" w:lineRule="auto" w:before="117"/>
        <w:ind w:left="152" w:right="0"/>
        <w:jc w:val="both"/>
        <w:rPr>
          <w:rFonts w:ascii="Times New Roman" w:hAnsi="Times New Roman" w:cs="Times New Roman" w:eastAsia="Times New Roman" w:hint="default"/>
        </w:rPr>
      </w:pPr>
      <w:r>
        <w:rPr>
          <w:w w:val="100"/>
        </w:rPr>
        <w:t>交易</w:t>
      </w:r>
      <w:r>
        <w:rPr>
          <w:spacing w:val="-3"/>
          <w:w w:val="100"/>
        </w:rPr>
        <w:t>所</w:t>
      </w:r>
      <w:r>
        <w:rPr>
          <w:w w:val="100"/>
        </w:rPr>
        <w:t>收</w:t>
      </w:r>
      <w:r>
        <w:rPr>
          <w:spacing w:val="-3"/>
          <w:w w:val="100"/>
        </w:rPr>
        <w:t>市</w:t>
      </w:r>
      <w:r>
        <w:rPr>
          <w:w w:val="100"/>
        </w:rPr>
        <w:t>后</w:t>
      </w:r>
      <w:r>
        <w:rPr>
          <w:spacing w:val="-3"/>
          <w:w w:val="100"/>
        </w:rPr>
        <w:t>，</w:t>
      </w:r>
      <w:r>
        <w:rPr>
          <w:w w:val="100"/>
        </w:rPr>
        <w:t>在</w:t>
      </w:r>
      <w:r>
        <w:rPr>
          <w:spacing w:val="-3"/>
          <w:w w:val="100"/>
        </w:rPr>
        <w:t>中</w:t>
      </w:r>
      <w:r>
        <w:rPr>
          <w:w w:val="100"/>
        </w:rPr>
        <w:t>国</w:t>
      </w:r>
      <w:r>
        <w:rPr>
          <w:spacing w:val="-3"/>
          <w:w w:val="100"/>
        </w:rPr>
        <w:t>结</w:t>
      </w:r>
      <w:r>
        <w:rPr>
          <w:w w:val="100"/>
        </w:rPr>
        <w:t>算深</w:t>
      </w:r>
      <w:r>
        <w:rPr>
          <w:spacing w:val="-3"/>
          <w:w w:val="100"/>
        </w:rPr>
        <w:t>圳</w:t>
      </w:r>
      <w:r>
        <w:rPr>
          <w:w w:val="100"/>
        </w:rPr>
        <w:t>分</w:t>
      </w:r>
      <w:r>
        <w:rPr>
          <w:spacing w:val="-3"/>
          <w:w w:val="100"/>
        </w:rPr>
        <w:t>公</w:t>
      </w:r>
      <w:r>
        <w:rPr>
          <w:w w:val="100"/>
        </w:rPr>
        <w:t>司</w:t>
      </w:r>
      <w:r>
        <w:rPr>
          <w:spacing w:val="-3"/>
          <w:w w:val="100"/>
        </w:rPr>
        <w:t>登</w:t>
      </w:r>
      <w:r>
        <w:rPr>
          <w:w w:val="100"/>
        </w:rPr>
        <w:t>记</w:t>
      </w:r>
      <w:r>
        <w:rPr>
          <w:spacing w:val="-3"/>
          <w:w w:val="100"/>
        </w:rPr>
        <w:t>在</w:t>
      </w:r>
      <w:r>
        <w:rPr>
          <w:w w:val="100"/>
        </w:rPr>
        <w:t>册</w:t>
      </w:r>
      <w:r>
        <w:rPr>
          <w:spacing w:val="-3"/>
          <w:w w:val="100"/>
        </w:rPr>
        <w:t>的</w:t>
      </w:r>
      <w:r>
        <w:rPr>
          <w:w w:val="100"/>
        </w:rPr>
        <w:t>本公</w:t>
      </w:r>
      <w:r>
        <w:rPr>
          <w:spacing w:val="-3"/>
          <w:w w:val="100"/>
        </w:rPr>
        <w:t>司</w:t>
      </w:r>
      <w:r>
        <w:rPr>
          <w:w w:val="100"/>
        </w:rPr>
        <w:t>全</w:t>
      </w:r>
      <w:r>
        <w:rPr>
          <w:spacing w:val="-3"/>
          <w:w w:val="100"/>
        </w:rPr>
        <w:t>体</w:t>
      </w:r>
      <w:r>
        <w:rPr>
          <w:w w:val="100"/>
        </w:rPr>
        <w:t>股</w:t>
      </w:r>
      <w:r>
        <w:rPr>
          <w:spacing w:val="-3"/>
          <w:w w:val="100"/>
        </w:rPr>
        <w:t>东</w:t>
      </w:r>
      <w:r>
        <w:rPr>
          <w:spacing w:val="-106"/>
          <w:w w:val="100"/>
        </w:rPr>
        <w:t>。</w:t>
      </w:r>
      <w:r>
        <w:rPr>
          <w:spacing w:val="-3"/>
          <w:w w:val="100"/>
        </w:rPr>
        <w:t>（</w:t>
      </w:r>
      <w:r>
        <w:rPr>
          <w:w w:val="100"/>
        </w:rPr>
        <w:t>详</w:t>
      </w:r>
      <w:r>
        <w:rPr>
          <w:spacing w:val="-3"/>
          <w:w w:val="100"/>
        </w:rPr>
        <w:t>见公</w:t>
      </w:r>
      <w:r>
        <w:rPr>
          <w:w w:val="100"/>
        </w:rPr>
        <w:t>司于</w:t>
      </w:r>
      <w:r>
        <w:rPr>
          <w:spacing w:val="-3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17"/>
        </w:rPr>
        <w:t> </w:t>
      </w:r>
      <w:r>
        <w:rPr>
          <w:w w:val="100"/>
        </w:rPr>
        <w:t>年</w:t>
      </w:r>
      <w:r>
        <w:rPr>
          <w:spacing w:val="-3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9"/>
        </w:rPr>
        <w:t> </w:t>
      </w:r>
      <w:r>
        <w:rPr>
          <w:w w:val="100"/>
        </w:rPr>
        <w:t>月</w:t>
      </w:r>
      <w:r>
        <w:rPr>
          <w:spacing w:val="-36"/>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7"/>
        </w:rPr>
        <w:t> </w:t>
      </w:r>
      <w:r>
        <w:rPr>
          <w:spacing w:val="-3"/>
          <w:w w:val="100"/>
        </w:rPr>
        <w:t>日</w:t>
      </w:r>
      <w:r>
        <w:rPr>
          <w:w w:val="100"/>
        </w:rPr>
        <w:t>及</w:t>
      </w:r>
      <w:r>
        <w:rPr>
          <w:spacing w:val="-33"/>
        </w:rPr>
        <w:t> </w:t>
      </w:r>
      <w:r>
        <w:rPr>
          <w:rFonts w:ascii="Times New Roman" w:hAnsi="Times New Roman" w:cs="Times New Roman" w:eastAsia="Times New Roman" w:hint="default"/>
          <w:w w:val="100"/>
        </w:rPr>
        <w:t>6</w:t>
      </w:r>
    </w:p>
    <w:p>
      <w:pPr>
        <w:pStyle w:val="BodyText"/>
        <w:spacing w:line="240" w:lineRule="auto" w:before="117"/>
        <w:ind w:left="152" w:right="0"/>
        <w:jc w:val="both"/>
      </w:pPr>
      <w:r>
        <w:rPr>
          <w:w w:val="100"/>
        </w:rPr>
        <w:t>月</w:t>
      </w:r>
      <w:r>
        <w:rPr>
          <w:spacing w:val="-52"/>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3"/>
          <w:w w:val="100"/>
        </w:rPr>
        <w:t>在</w:t>
      </w:r>
      <w:r>
        <w:rPr>
          <w:w w:val="100"/>
        </w:rPr>
        <w:t>《</w:t>
      </w:r>
      <w:r>
        <w:rPr>
          <w:spacing w:val="-3"/>
          <w:w w:val="100"/>
        </w:rPr>
        <w:t>证</w:t>
      </w:r>
      <w:r>
        <w:rPr>
          <w:w w:val="100"/>
        </w:rPr>
        <w:t>券</w:t>
      </w:r>
      <w:r>
        <w:rPr>
          <w:spacing w:val="-3"/>
          <w:w w:val="100"/>
        </w:rPr>
        <w:t>时报</w:t>
      </w:r>
      <w:r>
        <w:rPr>
          <w:spacing w:val="-106"/>
          <w:w w:val="100"/>
        </w:rPr>
        <w:t>》、</w:t>
      </w:r>
      <w:r>
        <w:rPr>
          <w:w w:val="100"/>
        </w:rPr>
        <w:t>《</w:t>
      </w:r>
      <w:r>
        <w:rPr>
          <w:spacing w:val="-3"/>
          <w:w w:val="100"/>
        </w:rPr>
        <w:t>中</w:t>
      </w:r>
      <w:r>
        <w:rPr>
          <w:w w:val="100"/>
        </w:rPr>
        <w:t>国</w:t>
      </w:r>
      <w:r>
        <w:rPr>
          <w:spacing w:val="-3"/>
          <w:w w:val="100"/>
        </w:rPr>
        <w:t>证</w:t>
      </w:r>
      <w:r>
        <w:rPr>
          <w:w w:val="100"/>
        </w:rPr>
        <w:t>券</w:t>
      </w:r>
      <w:r>
        <w:rPr>
          <w:spacing w:val="-3"/>
          <w:w w:val="100"/>
        </w:rPr>
        <w:t>报</w:t>
      </w:r>
      <w:r>
        <w:rPr>
          <w:spacing w:val="-106"/>
          <w:w w:val="100"/>
        </w:rPr>
        <w:t>》、</w:t>
      </w:r>
      <w:r>
        <w:rPr>
          <w:spacing w:val="-3"/>
          <w:w w:val="100"/>
        </w:rPr>
        <w:t>《</w:t>
      </w:r>
      <w:r>
        <w:rPr>
          <w:w w:val="100"/>
        </w:rPr>
        <w:t>上</w:t>
      </w:r>
      <w:r>
        <w:rPr>
          <w:spacing w:val="-3"/>
          <w:w w:val="100"/>
        </w:rPr>
        <w:t>海</w:t>
      </w:r>
      <w:r>
        <w:rPr>
          <w:w w:val="100"/>
        </w:rPr>
        <w:t>证券</w:t>
      </w:r>
      <w:r>
        <w:rPr>
          <w:spacing w:val="-3"/>
          <w:w w:val="100"/>
        </w:rPr>
        <w:t>报</w:t>
      </w:r>
      <w:r>
        <w:rPr>
          <w:spacing w:val="-106"/>
          <w:w w:val="100"/>
        </w:rPr>
        <w:t>》、</w:t>
      </w:r>
      <w:r>
        <w:rPr>
          <w:spacing w:val="-3"/>
          <w:w w:val="100"/>
        </w:rPr>
        <w:t>《</w:t>
      </w:r>
      <w:r>
        <w:rPr>
          <w:w w:val="100"/>
        </w:rPr>
        <w:t>证</w:t>
      </w:r>
      <w:r>
        <w:rPr>
          <w:spacing w:val="-3"/>
          <w:w w:val="100"/>
        </w:rPr>
        <w:t>券</w:t>
      </w:r>
      <w:r>
        <w:rPr>
          <w:w w:val="100"/>
        </w:rPr>
        <w:t>日</w:t>
      </w:r>
      <w:r>
        <w:rPr>
          <w:spacing w:val="-3"/>
          <w:w w:val="100"/>
        </w:rPr>
        <w:t>报</w:t>
      </w:r>
      <w:r>
        <w:rPr>
          <w:w w:val="100"/>
        </w:rPr>
        <w:t>》</w:t>
      </w:r>
      <w:r>
        <w:rPr>
          <w:spacing w:val="-3"/>
          <w:w w:val="100"/>
        </w:rPr>
        <w:t>及</w:t>
      </w:r>
      <w:r>
        <w:rPr>
          <w:w w:val="100"/>
        </w:rPr>
        <w:t>巨潮</w:t>
      </w:r>
      <w:r>
        <w:rPr>
          <w:spacing w:val="-3"/>
          <w:w w:val="100"/>
        </w:rPr>
        <w:t>资</w:t>
      </w:r>
      <w:r>
        <w:rPr>
          <w:w w:val="100"/>
        </w:rPr>
        <w:t>讯</w:t>
      </w:r>
      <w:r>
        <w:rPr>
          <w:spacing w:val="-3"/>
          <w:w w:val="100"/>
        </w:rPr>
        <w:t>网</w:t>
      </w:r>
      <w:r>
        <w:rPr>
          <w:w w:val="100"/>
        </w:rPr>
        <w:t>上</w:t>
      </w:r>
      <w:r>
        <w:rPr>
          <w:spacing w:val="-3"/>
          <w:w w:val="100"/>
        </w:rPr>
        <w:t>的</w:t>
      </w:r>
      <w:r>
        <w:rPr>
          <w:w w:val="100"/>
        </w:rPr>
        <w:t>公</w:t>
      </w:r>
      <w:r>
        <w:rPr>
          <w:spacing w:val="-3"/>
          <w:w w:val="100"/>
        </w:rPr>
        <w:t>告</w:t>
      </w:r>
      <w:r>
        <w:rPr>
          <w:spacing w:val="-106"/>
          <w:w w:val="100"/>
        </w:rPr>
        <w:t>。</w:t>
      </w:r>
      <w:r>
        <w:rPr>
          <w:w w:val="100"/>
        </w:rPr>
        <w:t>）</w:t>
      </w:r>
    </w:p>
    <w:p>
      <w:pPr>
        <w:pStyle w:val="Heading6"/>
        <w:spacing w:line="240" w:lineRule="auto" w:before="53"/>
        <w:ind w:left="575"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年度利润分配方案及执行情况</w:t>
      </w:r>
      <w:r>
        <w:rPr>
          <w:b w:val="0"/>
          <w:bCs w:val="0"/>
        </w:rPr>
      </w:r>
    </w:p>
    <w:p>
      <w:pPr>
        <w:pStyle w:val="BodyText"/>
        <w:spacing w:line="240" w:lineRule="auto" w:before="109"/>
        <w:ind w:left="57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年度利润分配预案：以截至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年末公司总股本</w:t>
      </w:r>
      <w:r>
        <w:rPr>
          <w:spacing w:val="-43"/>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10"/>
        </w:rPr>
        <w:t> </w:t>
      </w:r>
      <w:r>
        <w:rPr/>
        <w:t>股为基数，向全体股东每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w:t>
      </w:r>
    </w:p>
    <w:p>
      <w:pPr>
        <w:pStyle w:val="BodyText"/>
        <w:spacing w:line="240" w:lineRule="auto" w:before="117"/>
        <w:ind w:left="152" w:right="0"/>
        <w:jc w:val="both"/>
      </w:pPr>
      <w:r>
        <w:rPr>
          <w:w w:val="100"/>
        </w:rPr>
        <w:t>派发</w:t>
      </w:r>
      <w:r>
        <w:rPr>
          <w:spacing w:val="-3"/>
          <w:w w:val="100"/>
        </w:rPr>
        <w:t>现</w:t>
      </w:r>
      <w:r>
        <w:rPr>
          <w:w w:val="100"/>
        </w:rPr>
        <w:t>金</w:t>
      </w:r>
      <w:r>
        <w:rPr>
          <w:spacing w:val="-3"/>
          <w:w w:val="100"/>
        </w:rPr>
        <w:t>红</w:t>
      </w:r>
      <w:r>
        <w:rPr>
          <w:w w:val="100"/>
        </w:rPr>
        <w:t>利</w:t>
      </w:r>
      <w:r>
        <w:rPr>
          <w:spacing w:val="-48"/>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5"/>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共</w:t>
      </w:r>
      <w:r>
        <w:rPr>
          <w:spacing w:val="-3"/>
          <w:w w:val="100"/>
        </w:rPr>
        <w:t>计</w:t>
      </w:r>
      <w:r>
        <w:rPr>
          <w:w w:val="100"/>
        </w:rPr>
        <w:t>拟</w:t>
      </w:r>
      <w:r>
        <w:rPr>
          <w:spacing w:val="-3"/>
          <w:w w:val="100"/>
        </w:rPr>
        <w:t>派</w:t>
      </w:r>
      <w:r>
        <w:rPr>
          <w:w w:val="100"/>
        </w:rPr>
        <w:t>发红利</w:t>
      </w:r>
      <w:r>
        <w:rPr>
          <w:spacing w:val="-50"/>
        </w:rPr>
        <w:t> </w:t>
      </w:r>
      <w:r>
        <w:rPr>
          <w:rFonts w:ascii="Times New Roman" w:hAnsi="Times New Roman" w:cs="Times New Roman" w:eastAsia="Times New Roman" w:hint="default"/>
          <w:w w:val="100"/>
        </w:rPr>
        <w:t>84,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48,206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w:t>
      </w:r>
      <w:r>
        <w:rPr>
          <w:rFonts w:ascii="Times New Roman" w:hAnsi="Times New Roman" w:cs="Times New Roman" w:eastAsia="Times New Roman" w:hint="default"/>
          <w:spacing w:val="5"/>
        </w:rPr>
        <w:t> </w:t>
      </w:r>
      <w:r>
        <w:rPr>
          <w:spacing w:val="-3"/>
          <w:w w:val="100"/>
        </w:rPr>
        <w:t>元</w:t>
      </w:r>
      <w:r>
        <w:rPr>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2"/>
        </w:rPr>
        <w:t> </w:t>
      </w:r>
      <w:r>
        <w:rPr>
          <w:w w:val="100"/>
        </w:rPr>
        <w:t>年</w:t>
      </w:r>
      <w:r>
        <w:rPr>
          <w:spacing w:val="-3"/>
          <w:w w:val="100"/>
        </w:rPr>
        <w:t>暂不</w:t>
      </w:r>
      <w:r>
        <w:rPr>
          <w:w w:val="100"/>
        </w:rPr>
        <w:t>进行</w:t>
      </w:r>
      <w:r>
        <w:rPr>
          <w:spacing w:val="-3"/>
          <w:w w:val="100"/>
        </w:rPr>
        <w:t>资</w:t>
      </w:r>
      <w:r>
        <w:rPr>
          <w:w w:val="100"/>
        </w:rPr>
        <w:t>本</w:t>
      </w:r>
      <w:r>
        <w:rPr>
          <w:spacing w:val="-3"/>
          <w:w w:val="100"/>
        </w:rPr>
        <w:t>公</w:t>
      </w:r>
      <w:r>
        <w:rPr>
          <w:w w:val="100"/>
        </w:rPr>
        <w:t>积</w:t>
      </w:r>
      <w:r>
        <w:rPr>
          <w:spacing w:val="-3"/>
          <w:w w:val="100"/>
        </w:rPr>
        <w:t>金</w:t>
      </w:r>
      <w:r>
        <w:rPr>
          <w:w w:val="100"/>
        </w:rPr>
        <w:t>转</w:t>
      </w:r>
      <w:r>
        <w:rPr>
          <w:spacing w:val="-3"/>
          <w:w w:val="100"/>
        </w:rPr>
        <w:t>增</w:t>
      </w:r>
      <w:r>
        <w:rPr>
          <w:w w:val="100"/>
        </w:rPr>
        <w:t>股</w:t>
      </w:r>
      <w:r>
        <w:rPr>
          <w:spacing w:val="-3"/>
          <w:w w:val="100"/>
        </w:rPr>
        <w:t>本</w:t>
      </w:r>
      <w:r>
        <w:rPr>
          <w:w w:val="100"/>
        </w:rPr>
        <w:t>。</w:t>
      </w:r>
    </w:p>
    <w:p>
      <w:pPr>
        <w:pStyle w:val="BodyText"/>
        <w:spacing w:line="343" w:lineRule="auto" w:before="117"/>
        <w:ind w:left="152" w:right="1104"/>
        <w:jc w:val="both"/>
      </w:pPr>
      <w:r>
        <w:rPr>
          <w:spacing w:val="-2"/>
          <w:w w:val="100"/>
        </w:rPr>
        <w:t>公司董事会认为，以上</w:t>
      </w:r>
      <w:r>
        <w:rPr>
          <w:spacing w:val="-5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spacing w:val="-11"/>
          <w:w w:val="100"/>
        </w:rPr>
        <w:t>年度利润分配预案的安排符合《公司法》、《企业会计准则》、公司《章程》等</w:t>
      </w:r>
      <w:r>
        <w:rPr>
          <w:w w:val="100"/>
        </w:rPr>
        <w:t> </w:t>
      </w:r>
      <w:r>
        <w:rPr>
          <w:spacing w:val="-2"/>
        </w:rPr>
        <w:t>相关规定。其中，公司独立董事对该分配议案提出了独立意见，认为公司董事会的决定不存在违反法律、</w:t>
      </w:r>
      <w:r>
        <w:rPr>
          <w:spacing w:val="-21"/>
        </w:rPr>
        <w:t> </w:t>
      </w:r>
      <w:r>
        <w:rPr>
          <w:spacing w:val="-21"/>
        </w:rPr>
      </w:r>
      <w:r>
        <w:rPr>
          <w:spacing w:val="-4"/>
        </w:rPr>
        <w:t>法规的情形，不存在损害公司及公司股东，特别是中小股东利益的情况，同意将该分配预案提交公司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年年度股东大会审议。</w:t>
      </w:r>
    </w:p>
    <w:p>
      <w:pPr>
        <w:pStyle w:val="BodyText"/>
        <w:spacing w:line="240" w:lineRule="auto" w:before="43"/>
        <w:ind w:left="573" w:right="0"/>
        <w:jc w:val="left"/>
      </w:pPr>
      <w:r>
        <w:rPr>
          <w:rFonts w:ascii="Times New Roman" w:hAnsi="Times New Roman" w:cs="Times New Roman" w:eastAsia="Times New Roman" w:hint="default"/>
        </w:rPr>
        <w:t>2017  </w:t>
      </w:r>
      <w:r>
        <w:rPr/>
        <w:t>年度利润分配预案已经公司 </w:t>
      </w:r>
      <w:r>
        <w:rPr>
          <w:rFonts w:ascii="Times New Roman" w:hAnsi="Times New Roman" w:cs="Times New Roman" w:eastAsia="Times New Roman" w:hint="default"/>
        </w:rPr>
        <w:t>2017  </w:t>
      </w:r>
      <w:r>
        <w:rPr>
          <w:rFonts w:ascii="Times New Roman" w:hAnsi="Times New Roman" w:cs="Times New Roman" w:eastAsia="Times New Roman" w:hint="default"/>
          <w:spacing w:val="26"/>
        </w:rPr>
        <w:t> </w:t>
      </w:r>
      <w:r>
        <w:rPr/>
        <w:t>年度股东大会审议通过后执行。此次权益分派股权登记日为</w:t>
      </w:r>
    </w:p>
    <w:p>
      <w:pPr>
        <w:pStyle w:val="BodyText"/>
        <w:spacing w:line="240" w:lineRule="auto" w:before="117"/>
        <w:ind w:left="15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日，除权除息日为</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日。此次分派对象为：</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日下午深圳证券</w:t>
      </w:r>
    </w:p>
    <w:p>
      <w:pPr>
        <w:pStyle w:val="BodyText"/>
        <w:spacing w:line="240" w:lineRule="auto" w:before="119"/>
        <w:ind w:left="152" w:right="0"/>
        <w:jc w:val="both"/>
        <w:rPr>
          <w:rFonts w:ascii="Times New Roman" w:hAnsi="Times New Roman" w:cs="Times New Roman" w:eastAsia="Times New Roman" w:hint="default"/>
        </w:rPr>
      </w:pPr>
      <w:r>
        <w:rPr>
          <w:w w:val="100"/>
        </w:rPr>
        <w:t>交易</w:t>
      </w:r>
      <w:r>
        <w:rPr>
          <w:spacing w:val="-3"/>
          <w:w w:val="100"/>
        </w:rPr>
        <w:t>所</w:t>
      </w:r>
      <w:r>
        <w:rPr>
          <w:w w:val="100"/>
        </w:rPr>
        <w:t>收</w:t>
      </w:r>
      <w:r>
        <w:rPr>
          <w:spacing w:val="-3"/>
          <w:w w:val="100"/>
        </w:rPr>
        <w:t>市</w:t>
      </w:r>
      <w:r>
        <w:rPr>
          <w:w w:val="100"/>
        </w:rPr>
        <w:t>后</w:t>
      </w:r>
      <w:r>
        <w:rPr>
          <w:spacing w:val="-3"/>
          <w:w w:val="100"/>
        </w:rPr>
        <w:t>，</w:t>
      </w:r>
      <w:r>
        <w:rPr>
          <w:w w:val="100"/>
        </w:rPr>
        <w:t>在</w:t>
      </w:r>
      <w:r>
        <w:rPr>
          <w:spacing w:val="-3"/>
          <w:w w:val="100"/>
        </w:rPr>
        <w:t>中</w:t>
      </w:r>
      <w:r>
        <w:rPr>
          <w:w w:val="100"/>
        </w:rPr>
        <w:t>国</w:t>
      </w:r>
      <w:r>
        <w:rPr>
          <w:spacing w:val="-3"/>
          <w:w w:val="100"/>
        </w:rPr>
        <w:t>结</w:t>
      </w:r>
      <w:r>
        <w:rPr>
          <w:w w:val="100"/>
        </w:rPr>
        <w:t>算深</w:t>
      </w:r>
      <w:r>
        <w:rPr>
          <w:spacing w:val="-3"/>
          <w:w w:val="100"/>
        </w:rPr>
        <w:t>圳</w:t>
      </w:r>
      <w:r>
        <w:rPr>
          <w:w w:val="100"/>
        </w:rPr>
        <w:t>分</w:t>
      </w:r>
      <w:r>
        <w:rPr>
          <w:spacing w:val="-3"/>
          <w:w w:val="100"/>
        </w:rPr>
        <w:t>公</w:t>
      </w:r>
      <w:r>
        <w:rPr>
          <w:w w:val="100"/>
        </w:rPr>
        <w:t>司</w:t>
      </w:r>
      <w:r>
        <w:rPr>
          <w:spacing w:val="-3"/>
          <w:w w:val="100"/>
        </w:rPr>
        <w:t>登</w:t>
      </w:r>
      <w:r>
        <w:rPr>
          <w:w w:val="100"/>
        </w:rPr>
        <w:t>记</w:t>
      </w:r>
      <w:r>
        <w:rPr>
          <w:spacing w:val="-3"/>
          <w:w w:val="100"/>
        </w:rPr>
        <w:t>在</w:t>
      </w:r>
      <w:r>
        <w:rPr>
          <w:w w:val="100"/>
        </w:rPr>
        <w:t>册</w:t>
      </w:r>
      <w:r>
        <w:rPr>
          <w:spacing w:val="-3"/>
          <w:w w:val="100"/>
        </w:rPr>
        <w:t>的</w:t>
      </w:r>
      <w:r>
        <w:rPr>
          <w:w w:val="100"/>
        </w:rPr>
        <w:t>本公</w:t>
      </w:r>
      <w:r>
        <w:rPr>
          <w:spacing w:val="-3"/>
          <w:w w:val="100"/>
        </w:rPr>
        <w:t>司</w:t>
      </w:r>
      <w:r>
        <w:rPr>
          <w:w w:val="100"/>
        </w:rPr>
        <w:t>全</w:t>
      </w:r>
      <w:r>
        <w:rPr>
          <w:spacing w:val="-3"/>
          <w:w w:val="100"/>
        </w:rPr>
        <w:t>体</w:t>
      </w:r>
      <w:r>
        <w:rPr>
          <w:w w:val="100"/>
        </w:rPr>
        <w:t>股</w:t>
      </w:r>
      <w:r>
        <w:rPr>
          <w:spacing w:val="-3"/>
          <w:w w:val="100"/>
        </w:rPr>
        <w:t>东</w:t>
      </w:r>
      <w:r>
        <w:rPr>
          <w:spacing w:val="-106"/>
          <w:w w:val="100"/>
        </w:rPr>
        <w:t>。</w:t>
      </w:r>
      <w:r>
        <w:rPr>
          <w:spacing w:val="-3"/>
          <w:w w:val="100"/>
        </w:rPr>
        <w:t>（</w:t>
      </w:r>
      <w:r>
        <w:rPr>
          <w:w w:val="100"/>
        </w:rPr>
        <w:t>详</w:t>
      </w:r>
      <w:r>
        <w:rPr>
          <w:spacing w:val="-3"/>
          <w:w w:val="100"/>
        </w:rPr>
        <w:t>见公</w:t>
      </w:r>
      <w:r>
        <w:rPr>
          <w:w w:val="100"/>
        </w:rPr>
        <w:t>司于</w:t>
      </w:r>
      <w:r>
        <w:rPr>
          <w:spacing w:val="-3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17"/>
        </w:rPr>
        <w:t> </w:t>
      </w:r>
      <w:r>
        <w:rPr>
          <w:w w:val="100"/>
        </w:rPr>
        <w:t>年</w:t>
      </w:r>
      <w:r>
        <w:rPr>
          <w:spacing w:val="-3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9"/>
        </w:rPr>
        <w:t> </w:t>
      </w:r>
      <w:r>
        <w:rPr>
          <w:w w:val="100"/>
        </w:rPr>
        <w:t>月</w:t>
      </w:r>
      <w:r>
        <w:rPr>
          <w:spacing w:val="-36"/>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17"/>
        </w:rPr>
        <w:t> </w:t>
      </w:r>
      <w:r>
        <w:rPr>
          <w:spacing w:val="-3"/>
          <w:w w:val="100"/>
        </w:rPr>
        <w:t>日</w:t>
      </w:r>
      <w:r>
        <w:rPr>
          <w:w w:val="100"/>
        </w:rPr>
        <w:t>及</w:t>
      </w:r>
      <w:r>
        <w:rPr>
          <w:spacing w:val="-33"/>
        </w:rPr>
        <w:t> </w:t>
      </w:r>
      <w:r>
        <w:rPr>
          <w:rFonts w:ascii="Times New Roman" w:hAnsi="Times New Roman" w:cs="Times New Roman" w:eastAsia="Times New Roman" w:hint="default"/>
          <w:w w:val="100"/>
        </w:rPr>
        <w:t>6</w:t>
      </w:r>
    </w:p>
    <w:p>
      <w:pPr>
        <w:pStyle w:val="BodyText"/>
        <w:spacing w:line="240" w:lineRule="auto" w:before="118"/>
        <w:ind w:left="152" w:right="0"/>
        <w:jc w:val="both"/>
      </w:pPr>
      <w:r>
        <w:rPr>
          <w:w w:val="100"/>
        </w:rPr>
        <w:t>月</w:t>
      </w:r>
      <w:r>
        <w:rPr>
          <w:spacing w:val="-52"/>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3"/>
          <w:w w:val="100"/>
        </w:rPr>
        <w:t>在</w:t>
      </w:r>
      <w:r>
        <w:rPr>
          <w:w w:val="100"/>
        </w:rPr>
        <w:t>《</w:t>
      </w:r>
      <w:r>
        <w:rPr>
          <w:spacing w:val="-3"/>
          <w:w w:val="100"/>
        </w:rPr>
        <w:t>证</w:t>
      </w:r>
      <w:r>
        <w:rPr>
          <w:w w:val="100"/>
        </w:rPr>
        <w:t>券</w:t>
      </w:r>
      <w:r>
        <w:rPr>
          <w:spacing w:val="-3"/>
          <w:w w:val="100"/>
        </w:rPr>
        <w:t>时报</w:t>
      </w:r>
      <w:r>
        <w:rPr>
          <w:spacing w:val="-106"/>
          <w:w w:val="100"/>
        </w:rPr>
        <w:t>》、</w:t>
      </w:r>
      <w:r>
        <w:rPr>
          <w:w w:val="100"/>
        </w:rPr>
        <w:t>《</w:t>
      </w:r>
      <w:r>
        <w:rPr>
          <w:spacing w:val="-3"/>
          <w:w w:val="100"/>
        </w:rPr>
        <w:t>中</w:t>
      </w:r>
      <w:r>
        <w:rPr>
          <w:w w:val="100"/>
        </w:rPr>
        <w:t>国</w:t>
      </w:r>
      <w:r>
        <w:rPr>
          <w:spacing w:val="-3"/>
          <w:w w:val="100"/>
        </w:rPr>
        <w:t>证</w:t>
      </w:r>
      <w:r>
        <w:rPr>
          <w:w w:val="100"/>
        </w:rPr>
        <w:t>券</w:t>
      </w:r>
      <w:r>
        <w:rPr>
          <w:spacing w:val="-3"/>
          <w:w w:val="100"/>
        </w:rPr>
        <w:t>报</w:t>
      </w:r>
      <w:r>
        <w:rPr>
          <w:spacing w:val="-106"/>
          <w:w w:val="100"/>
        </w:rPr>
        <w:t>》、</w:t>
      </w:r>
      <w:r>
        <w:rPr>
          <w:spacing w:val="-3"/>
          <w:w w:val="100"/>
        </w:rPr>
        <w:t>《</w:t>
      </w:r>
      <w:r>
        <w:rPr>
          <w:w w:val="100"/>
        </w:rPr>
        <w:t>上</w:t>
      </w:r>
      <w:r>
        <w:rPr>
          <w:spacing w:val="-3"/>
          <w:w w:val="100"/>
        </w:rPr>
        <w:t>海</w:t>
      </w:r>
      <w:r>
        <w:rPr>
          <w:w w:val="100"/>
        </w:rPr>
        <w:t>证券</w:t>
      </w:r>
      <w:r>
        <w:rPr>
          <w:spacing w:val="-3"/>
          <w:w w:val="100"/>
        </w:rPr>
        <w:t>报</w:t>
      </w:r>
      <w:r>
        <w:rPr>
          <w:spacing w:val="-106"/>
          <w:w w:val="100"/>
        </w:rPr>
        <w:t>》、</w:t>
      </w:r>
      <w:r>
        <w:rPr>
          <w:spacing w:val="-3"/>
          <w:w w:val="100"/>
        </w:rPr>
        <w:t>《</w:t>
      </w:r>
      <w:r>
        <w:rPr>
          <w:w w:val="100"/>
        </w:rPr>
        <w:t>证</w:t>
      </w:r>
      <w:r>
        <w:rPr>
          <w:spacing w:val="-3"/>
          <w:w w:val="100"/>
        </w:rPr>
        <w:t>券</w:t>
      </w:r>
      <w:r>
        <w:rPr>
          <w:w w:val="100"/>
        </w:rPr>
        <w:t>日</w:t>
      </w:r>
      <w:r>
        <w:rPr>
          <w:spacing w:val="-3"/>
          <w:w w:val="100"/>
        </w:rPr>
        <w:t>报</w:t>
      </w:r>
      <w:r>
        <w:rPr>
          <w:w w:val="100"/>
        </w:rPr>
        <w:t>》</w:t>
      </w:r>
      <w:r>
        <w:rPr>
          <w:spacing w:val="-3"/>
          <w:w w:val="100"/>
        </w:rPr>
        <w:t>及</w:t>
      </w:r>
      <w:r>
        <w:rPr>
          <w:w w:val="100"/>
        </w:rPr>
        <w:t>巨潮</w:t>
      </w:r>
      <w:r>
        <w:rPr>
          <w:spacing w:val="-3"/>
          <w:w w:val="100"/>
        </w:rPr>
        <w:t>资</w:t>
      </w:r>
      <w:r>
        <w:rPr>
          <w:w w:val="100"/>
        </w:rPr>
        <w:t>讯</w:t>
      </w:r>
      <w:r>
        <w:rPr>
          <w:spacing w:val="-3"/>
          <w:w w:val="100"/>
        </w:rPr>
        <w:t>网</w:t>
      </w:r>
      <w:r>
        <w:rPr>
          <w:w w:val="100"/>
        </w:rPr>
        <w:t>上</w:t>
      </w:r>
      <w:r>
        <w:rPr>
          <w:spacing w:val="-3"/>
          <w:w w:val="100"/>
        </w:rPr>
        <w:t>的</w:t>
      </w:r>
      <w:r>
        <w:rPr>
          <w:w w:val="100"/>
        </w:rPr>
        <w:t>公</w:t>
      </w:r>
      <w:r>
        <w:rPr>
          <w:spacing w:val="-3"/>
          <w:w w:val="100"/>
        </w:rPr>
        <w:t>告</w:t>
      </w:r>
      <w:r>
        <w:rPr>
          <w:spacing w:val="-106"/>
          <w:w w:val="100"/>
        </w:rPr>
        <w:t>。</w:t>
      </w:r>
      <w:r>
        <w:rPr>
          <w:w w:val="100"/>
        </w:rPr>
        <w:t>）</w:t>
      </w:r>
    </w:p>
    <w:p>
      <w:pPr>
        <w:pStyle w:val="Heading6"/>
        <w:spacing w:line="240" w:lineRule="auto" w:before="50"/>
        <w:ind w:left="575"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年度利润分配方案及执行情况</w:t>
      </w:r>
      <w:r>
        <w:rPr>
          <w:b w:val="0"/>
          <w:bCs w:val="0"/>
        </w:rPr>
      </w:r>
    </w:p>
    <w:p>
      <w:pPr>
        <w:pStyle w:val="BodyText"/>
        <w:spacing w:line="240" w:lineRule="auto" w:before="109"/>
        <w:ind w:left="57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年度利润分配预案：以截至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年末公司总股本</w:t>
      </w:r>
      <w:r>
        <w:rPr>
          <w:spacing w:val="-43"/>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10"/>
        </w:rPr>
        <w:t> </w:t>
      </w:r>
      <w:r>
        <w:rPr/>
        <w:t>股为基数，向全体股东每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w:t>
      </w:r>
    </w:p>
    <w:p>
      <w:pPr>
        <w:pStyle w:val="BodyText"/>
        <w:spacing w:line="240" w:lineRule="auto" w:before="117"/>
        <w:ind w:left="152" w:right="0"/>
        <w:jc w:val="both"/>
      </w:pPr>
      <w:r>
        <w:rPr>
          <w:w w:val="100"/>
        </w:rPr>
        <w:t>派发</w:t>
      </w:r>
      <w:r>
        <w:rPr>
          <w:spacing w:val="-3"/>
          <w:w w:val="100"/>
        </w:rPr>
        <w:t>现</w:t>
      </w:r>
      <w:r>
        <w:rPr>
          <w:w w:val="100"/>
        </w:rPr>
        <w:t>金</w:t>
      </w:r>
      <w:r>
        <w:rPr>
          <w:spacing w:val="-3"/>
          <w:w w:val="100"/>
        </w:rPr>
        <w:t>红</w:t>
      </w:r>
      <w:r>
        <w:rPr>
          <w:w w:val="100"/>
        </w:rPr>
        <w:t>利</w:t>
      </w:r>
      <w:r>
        <w:rPr>
          <w:spacing w:val="-48"/>
        </w:rPr>
        <w:t> </w:t>
      </w:r>
      <w:r>
        <w:rPr>
          <w:rFonts w:ascii="Times New Roman" w:hAnsi="Times New Roman" w:cs="Times New Roman" w:eastAsia="Times New Roman" w:hint="default"/>
          <w:w w:val="100"/>
        </w:rPr>
        <w:t>0.1</w:t>
      </w:r>
      <w:r>
        <w:rPr>
          <w:rFonts w:ascii="Times New Roman" w:hAnsi="Times New Roman" w:cs="Times New Roman" w:eastAsia="Times New Roman" w:hint="default"/>
          <w:spacing w:val="5"/>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共</w:t>
      </w:r>
      <w:r>
        <w:rPr>
          <w:spacing w:val="-3"/>
          <w:w w:val="100"/>
        </w:rPr>
        <w:t>计</w:t>
      </w:r>
      <w:r>
        <w:rPr>
          <w:w w:val="100"/>
        </w:rPr>
        <w:t>拟</w:t>
      </w:r>
      <w:r>
        <w:rPr>
          <w:spacing w:val="-3"/>
          <w:w w:val="100"/>
        </w:rPr>
        <w:t>派</w:t>
      </w:r>
      <w:r>
        <w:rPr>
          <w:w w:val="100"/>
        </w:rPr>
        <w:t>发红利</w:t>
      </w:r>
      <w:r>
        <w:rPr>
          <w:spacing w:val="-50"/>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69,641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31</w:t>
      </w:r>
      <w:r>
        <w:rPr>
          <w:rFonts w:ascii="Times New Roman" w:hAnsi="Times New Roman" w:cs="Times New Roman" w:eastAsia="Times New Roman" w:hint="default"/>
          <w:spacing w:val="5"/>
        </w:rPr>
        <w:t> </w:t>
      </w:r>
      <w:r>
        <w:rPr>
          <w:spacing w:val="-3"/>
          <w:w w:val="100"/>
        </w:rPr>
        <w:t>元</w:t>
      </w:r>
      <w:r>
        <w:rPr>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rPr>
        <w:t> </w:t>
      </w:r>
      <w:r>
        <w:rPr>
          <w:w w:val="100"/>
        </w:rPr>
        <w:t>年</w:t>
      </w:r>
      <w:r>
        <w:rPr>
          <w:spacing w:val="-3"/>
          <w:w w:val="100"/>
        </w:rPr>
        <w:t>暂不</w:t>
      </w:r>
      <w:r>
        <w:rPr>
          <w:w w:val="100"/>
        </w:rPr>
        <w:t>进行</w:t>
      </w:r>
      <w:r>
        <w:rPr>
          <w:spacing w:val="-3"/>
          <w:w w:val="100"/>
        </w:rPr>
        <w:t>资</w:t>
      </w:r>
      <w:r>
        <w:rPr>
          <w:w w:val="100"/>
        </w:rPr>
        <w:t>本</w:t>
      </w:r>
      <w:r>
        <w:rPr>
          <w:spacing w:val="-3"/>
          <w:w w:val="100"/>
        </w:rPr>
        <w:t>公</w:t>
      </w:r>
      <w:r>
        <w:rPr>
          <w:w w:val="100"/>
        </w:rPr>
        <w:t>积</w:t>
      </w:r>
      <w:r>
        <w:rPr>
          <w:spacing w:val="-3"/>
          <w:w w:val="100"/>
        </w:rPr>
        <w:t>金</w:t>
      </w:r>
      <w:r>
        <w:rPr>
          <w:w w:val="100"/>
        </w:rPr>
        <w:t>转</w:t>
      </w:r>
      <w:r>
        <w:rPr>
          <w:spacing w:val="-3"/>
          <w:w w:val="100"/>
        </w:rPr>
        <w:t>增</w:t>
      </w:r>
      <w:r>
        <w:rPr>
          <w:w w:val="100"/>
        </w:rPr>
        <w:t>股</w:t>
      </w:r>
      <w:r>
        <w:rPr>
          <w:spacing w:val="-3"/>
          <w:w w:val="100"/>
        </w:rPr>
        <w:t>本</w:t>
      </w:r>
      <w:r>
        <w:rPr>
          <w:w w:val="100"/>
        </w:rPr>
        <w:t>。</w:t>
      </w:r>
    </w:p>
    <w:p>
      <w:pPr>
        <w:pStyle w:val="BodyText"/>
        <w:spacing w:line="343" w:lineRule="auto" w:before="119"/>
        <w:ind w:left="152" w:right="1105"/>
        <w:jc w:val="both"/>
      </w:pPr>
      <w:r>
        <w:rPr>
          <w:spacing w:val="-2"/>
          <w:w w:val="100"/>
        </w:rPr>
        <w:t>公司董事会认为，以上</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1"/>
          <w:w w:val="100"/>
        </w:rPr>
        <w:t> </w:t>
      </w:r>
      <w:r>
        <w:rPr>
          <w:spacing w:val="-11"/>
          <w:w w:val="100"/>
        </w:rPr>
        <w:t>年度利润分配预案的安排符合《公司法》、《企业会计准则》、公司《章程》等</w:t>
      </w:r>
      <w:r>
        <w:rPr>
          <w:w w:val="100"/>
        </w:rPr>
        <w:t> </w:t>
      </w:r>
      <w:r>
        <w:rPr>
          <w:spacing w:val="-2"/>
        </w:rPr>
        <w:t>相关规定。其中，公司独立董事对该分配议案提出了独立意见，认为公司董事会的决定不存在违反法律、</w:t>
      </w:r>
      <w:r>
        <w:rPr>
          <w:spacing w:val="-21"/>
        </w:rPr>
        <w:t> </w:t>
      </w:r>
      <w:r>
        <w:rPr>
          <w:spacing w:val="-21"/>
        </w:rPr>
      </w:r>
      <w:r>
        <w:rPr>
          <w:spacing w:val="-4"/>
        </w:rPr>
        <w:t>法规的情形，不存在损害公司及公司股东，特别是中小股东利益的情况，同意将该分配预案提交公司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年年度股东大会审议。</w:t>
      </w:r>
    </w:p>
    <w:p>
      <w:pPr>
        <w:pStyle w:val="BodyText"/>
        <w:spacing w:line="240" w:lineRule="auto" w:before="81"/>
        <w:ind w:left="573" w:right="0"/>
        <w:jc w:val="left"/>
      </w:pPr>
      <w:r>
        <w:rPr/>
        <w:t>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年度利润分配预案尚需经过公司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年度股东大会审议通过后方可实施。</w:t>
      </w:r>
    </w:p>
    <w:p>
      <w:pPr>
        <w:pStyle w:val="Heading6"/>
        <w:spacing w:line="240" w:lineRule="auto" w:before="93"/>
        <w:ind w:left="152" w:right="0"/>
        <w:jc w:val="both"/>
        <w:rPr>
          <w:b w:val="0"/>
          <w:bCs w:val="0"/>
        </w:rPr>
      </w:pPr>
      <w:r>
        <w:rPr/>
        <w:t>（三）公司近三年现金分红情况表</w:t>
      </w:r>
      <w:r>
        <w:rPr>
          <w:b w:val="0"/>
          <w:bCs w:val="0"/>
        </w:rPr>
      </w:r>
    </w:p>
    <w:p>
      <w:pPr>
        <w:spacing w:after="0" w:line="240" w:lineRule="auto"/>
        <w:jc w:val="both"/>
        <w:sectPr>
          <w:pgSz w:w="11910" w:h="16840"/>
          <w:pgMar w:header="877" w:footer="1265" w:top="1100" w:bottom="1460" w:left="980" w:right="0"/>
        </w:sectPr>
      </w:pPr>
    </w:p>
    <w:p>
      <w:pPr>
        <w:spacing w:line="240" w:lineRule="auto" w:before="1"/>
        <w:rPr>
          <w:rFonts w:ascii="Microsoft JhengHei" w:hAnsi="Microsoft JhengHei" w:cs="Microsoft JhengHei" w:eastAsia="Microsoft JhengHei" w:hint="default"/>
          <w:b/>
          <w:bCs/>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217" w:type="dxa"/>
        <w:tblLayout w:type="fixed"/>
        <w:tblCellMar>
          <w:top w:w="0" w:type="dxa"/>
          <w:left w:w="0" w:type="dxa"/>
          <w:bottom w:w="0" w:type="dxa"/>
          <w:right w:w="0" w:type="dxa"/>
        </w:tblCellMar>
        <w:tblLook w:val="01E0"/>
      </w:tblPr>
      <w:tblGrid>
        <w:gridCol w:w="754"/>
        <w:gridCol w:w="1418"/>
        <w:gridCol w:w="1121"/>
        <w:gridCol w:w="1157"/>
        <w:gridCol w:w="1073"/>
        <w:gridCol w:w="864"/>
        <w:gridCol w:w="929"/>
        <w:gridCol w:w="1191"/>
        <w:gridCol w:w="994"/>
      </w:tblGrid>
      <w:tr>
        <w:trPr>
          <w:trHeight w:val="122" w:hRule="exact"/>
        </w:trPr>
        <w:tc>
          <w:tcPr>
            <w:tcW w:w="75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
        </w:tc>
        <w:tc>
          <w:tcPr>
            <w:tcW w:w="1157"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100" w:right="96"/>
              <w:jc w:val="both"/>
              <w:rPr>
                <w:rFonts w:ascii="宋体" w:hAnsi="宋体" w:cs="宋体" w:eastAsia="宋体" w:hint="default"/>
                <w:sz w:val="18"/>
                <w:szCs w:val="18"/>
              </w:rPr>
            </w:pPr>
            <w:r>
              <w:rPr>
                <w:rFonts w:ascii="宋体" w:hAnsi="宋体" w:cs="宋体" w:eastAsia="宋体" w:hint="default"/>
                <w:sz w:val="18"/>
                <w:szCs w:val="18"/>
              </w:rPr>
              <w:t>以其他方 式现金分 红金额占 合并报表 中归属于 上市公司 普通股股 东的净利 润的比例</w:t>
            </w:r>
          </w:p>
        </w:tc>
        <w:tc>
          <w:tcPr>
            <w:tcW w:w="1191"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5" w:hRule="exact"/>
        </w:trPr>
        <w:tc>
          <w:tcPr>
            <w:tcW w:w="75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43" w:right="38"/>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235" w:hRule="exact"/>
        </w:trPr>
        <w:tc>
          <w:tcPr>
            <w:tcW w:w="75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bottom w:val="nil" w:sz="6" w:space="0" w:color="auto"/>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81" w:right="8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864"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233" w:hRule="exact"/>
        </w:trPr>
        <w:tc>
          <w:tcPr>
            <w:tcW w:w="75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57"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33" w:right="3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073" w:type="dxa"/>
            <w:vMerge/>
            <w:tcBorders>
              <w:left w:val="single" w:sz="4" w:space="0" w:color="000000"/>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69" w:right="62"/>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18" w:hRule="exact"/>
        </w:trPr>
        <w:tc>
          <w:tcPr>
            <w:tcW w:w="754"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before="8"/>
              <w:ind w:left="5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30" w:lineRule="exact" w:before="26"/>
              <w:ind w:left="410" w:right="140"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994" w:type="dxa"/>
            <w:vMerge/>
            <w:tcBorders>
              <w:left w:val="single" w:sz="4" w:space="0" w:color="000000"/>
              <w:right w:val="single" w:sz="4" w:space="0" w:color="000000"/>
            </w:tcBorders>
            <w:shd w:val="clear" w:color="auto" w:fill="D2D2D2"/>
          </w:tcPr>
          <w:p>
            <w:pPr/>
          </w:p>
        </w:tc>
      </w:tr>
      <w:tr>
        <w:trPr>
          <w:trHeight w:val="115" w:hRule="exact"/>
        </w:trPr>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before="34"/>
              <w:ind w:left="281" w:right="101"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418" w:type="dxa"/>
            <w:vMerge/>
            <w:tcBorders>
              <w:left w:val="single" w:sz="4" w:space="0" w:color="000000"/>
              <w:bottom w:val="nil" w:sz="6" w:space="0" w:color="auto"/>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before="34"/>
              <w:ind w:left="105" w:right="104"/>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57"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314" w:hRule="exact"/>
        </w:trPr>
        <w:tc>
          <w:tcPr>
            <w:tcW w:w="754"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分红标准</w:t>
            </w:r>
          </w:p>
        </w:tc>
        <w:tc>
          <w:tcPr>
            <w:tcW w:w="1121"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15" w:hRule="exact"/>
        </w:trPr>
        <w:tc>
          <w:tcPr>
            <w:tcW w:w="754"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18" w:hRule="exact"/>
        </w:trPr>
        <w:tc>
          <w:tcPr>
            <w:tcW w:w="754"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233" w:hRule="exact"/>
        </w:trPr>
        <w:tc>
          <w:tcPr>
            <w:tcW w:w="75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235" w:hRule="exact"/>
        </w:trPr>
        <w:tc>
          <w:tcPr>
            <w:tcW w:w="75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57" w:type="dxa"/>
            <w:vMerge w:val="restart"/>
            <w:tcBorders>
              <w:top w:val="nil" w:sz="6" w:space="0" w:color="auto"/>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238" w:hRule="exact"/>
        </w:trPr>
        <w:tc>
          <w:tcPr>
            <w:tcW w:w="75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1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122" w:hRule="exact"/>
        </w:trPr>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3" w:space="0" w:color="D2D2D2"/>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p>
          <w:p>
            <w:pPr>
              <w:pStyle w:val="TableParagraph"/>
              <w:spacing w:line="241" w:lineRule="exact"/>
              <w:ind w:left="11"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33"/>
              <w:ind w:left="55" w:right="0"/>
              <w:jc w:val="left"/>
              <w:rPr>
                <w:rFonts w:ascii="Times New Roman" w:hAnsi="Times New Roman" w:cs="Times New Roman" w:eastAsia="Times New Roman" w:hint="default"/>
                <w:sz w:val="18"/>
                <w:szCs w:val="18"/>
              </w:rPr>
            </w:pPr>
            <w:r>
              <w:rPr>
                <w:rFonts w:ascii="Times New Roman"/>
                <w:sz w:val="18"/>
              </w:rPr>
              <w:t>16,969,641.31</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33"/>
              <w:ind w:left="91" w:right="0"/>
              <w:jc w:val="left"/>
              <w:rPr>
                <w:rFonts w:ascii="Times New Roman" w:hAnsi="Times New Roman" w:cs="Times New Roman" w:eastAsia="Times New Roman" w:hint="default"/>
                <w:sz w:val="18"/>
                <w:szCs w:val="18"/>
              </w:rPr>
            </w:pPr>
            <w:r>
              <w:rPr>
                <w:rFonts w:ascii="Times New Roman"/>
                <w:sz w:val="18"/>
              </w:rPr>
              <w:t>42,767,102.22</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33"/>
              <w:ind w:left="487" w:right="0"/>
              <w:jc w:val="left"/>
              <w:rPr>
                <w:rFonts w:ascii="Times New Roman" w:hAnsi="Times New Roman" w:cs="Times New Roman" w:eastAsia="Times New Roman" w:hint="default"/>
                <w:sz w:val="18"/>
                <w:szCs w:val="18"/>
              </w:rPr>
            </w:pPr>
            <w:r>
              <w:rPr>
                <w:rFonts w:ascii="Times New Roman"/>
                <w:sz w:val="18"/>
              </w:rPr>
              <w:t>39.68%</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33"/>
              <w:ind w:left="122" w:right="0"/>
              <w:jc w:val="left"/>
              <w:rPr>
                <w:rFonts w:ascii="Times New Roman" w:hAnsi="Times New Roman" w:cs="Times New Roman" w:eastAsia="Times New Roman" w:hint="default"/>
                <w:sz w:val="18"/>
                <w:szCs w:val="18"/>
              </w:rPr>
            </w:pPr>
            <w:r>
              <w:rPr>
                <w:rFonts w:ascii="Times New Roman"/>
                <w:sz w:val="18"/>
              </w:rPr>
              <w:t>16,969,641.31</w:t>
            </w:r>
          </w:p>
        </w:tc>
        <w:tc>
          <w:tcPr>
            <w:tcW w:w="994" w:type="dxa"/>
            <w:vMerge w:val="restart"/>
            <w:tcBorders>
              <w:top w:val="single" w:sz="51" w:space="0" w:color="D2D2D2"/>
              <w:left w:val="single" w:sz="4" w:space="0" w:color="000000"/>
              <w:right w:val="single" w:sz="4" w:space="0" w:color="000000"/>
            </w:tcBorders>
          </w:tcPr>
          <w:p>
            <w:pPr>
              <w:pStyle w:val="TableParagraph"/>
              <w:spacing w:line="182" w:lineRule="exact"/>
              <w:ind w:left="408" w:right="0"/>
              <w:jc w:val="left"/>
              <w:rPr>
                <w:rFonts w:ascii="Times New Roman" w:hAnsi="Times New Roman" w:cs="Times New Roman" w:eastAsia="Times New Roman" w:hint="default"/>
                <w:sz w:val="18"/>
                <w:szCs w:val="18"/>
              </w:rPr>
            </w:pPr>
            <w:r>
              <w:rPr>
                <w:rFonts w:ascii="Times New Roman"/>
                <w:sz w:val="18"/>
              </w:rPr>
              <w:t>39.68%</w:t>
            </w:r>
          </w:p>
        </w:tc>
      </w:tr>
      <w:tr>
        <w:trPr>
          <w:trHeight w:val="434" w:hRule="exact"/>
        </w:trPr>
        <w:tc>
          <w:tcPr>
            <w:tcW w:w="7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vMerge/>
            <w:tcBorders>
              <w:left w:val="single" w:sz="13" w:space="0" w:color="D2D2D2"/>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23" w:hRule="exact"/>
        </w:trPr>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3" w:space="0" w:color="D2D2D2"/>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p>
          <w:p>
            <w:pPr>
              <w:pStyle w:val="TableParagraph"/>
              <w:spacing w:line="241" w:lineRule="exact"/>
              <w:ind w:left="11"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34"/>
              <w:ind w:left="55" w:right="0"/>
              <w:jc w:val="left"/>
              <w:rPr>
                <w:rFonts w:ascii="Times New Roman" w:hAnsi="Times New Roman" w:cs="Times New Roman" w:eastAsia="Times New Roman" w:hint="default"/>
                <w:sz w:val="18"/>
                <w:szCs w:val="18"/>
              </w:rPr>
            </w:pPr>
            <w:r>
              <w:rPr>
                <w:rFonts w:ascii="Times New Roman"/>
                <w:sz w:val="18"/>
              </w:rPr>
              <w:t>84,848,206.55</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13,892,078.69</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34"/>
              <w:ind w:left="395" w:right="0"/>
              <w:jc w:val="left"/>
              <w:rPr>
                <w:rFonts w:ascii="Times New Roman" w:hAnsi="Times New Roman" w:cs="Times New Roman" w:eastAsia="Times New Roman" w:hint="default"/>
                <w:sz w:val="18"/>
                <w:szCs w:val="18"/>
              </w:rPr>
            </w:pPr>
            <w:r>
              <w:rPr>
                <w:rFonts w:ascii="Times New Roman"/>
                <w:sz w:val="18"/>
              </w:rPr>
              <w:t>610.77%</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18"/>
                <w:szCs w:val="18"/>
              </w:rPr>
            </w:pPr>
            <w:r>
              <w:rPr>
                <w:rFonts w:ascii="Times New Roman"/>
                <w:sz w:val="18"/>
              </w:rPr>
              <w:t>84,848,206.55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34"/>
              <w:ind w:left="316" w:right="0"/>
              <w:jc w:val="left"/>
              <w:rPr>
                <w:rFonts w:ascii="Times New Roman" w:hAnsi="Times New Roman" w:cs="Times New Roman" w:eastAsia="Times New Roman" w:hint="default"/>
                <w:sz w:val="18"/>
                <w:szCs w:val="18"/>
              </w:rPr>
            </w:pPr>
            <w:r>
              <w:rPr>
                <w:rFonts w:ascii="Times New Roman"/>
                <w:sz w:val="18"/>
              </w:rPr>
              <w:t>610.77%</w:t>
            </w:r>
          </w:p>
        </w:tc>
      </w:tr>
      <w:tr>
        <w:trPr>
          <w:trHeight w:val="434" w:hRule="exact"/>
        </w:trPr>
        <w:tc>
          <w:tcPr>
            <w:tcW w:w="7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vMerge/>
            <w:tcBorders>
              <w:left w:val="single" w:sz="13" w:space="0" w:color="D2D2D2"/>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22" w:hRule="exact"/>
        </w:trPr>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3" w:space="0" w:color="D2D2D2"/>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p>
          <w:p>
            <w:pPr>
              <w:pStyle w:val="TableParagraph"/>
              <w:spacing w:line="241" w:lineRule="exact"/>
              <w:ind w:left="11"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33"/>
              <w:ind w:left="55" w:right="0"/>
              <w:jc w:val="left"/>
              <w:rPr>
                <w:rFonts w:ascii="Times New Roman" w:hAnsi="Times New Roman" w:cs="Times New Roman" w:eastAsia="Times New Roman" w:hint="default"/>
                <w:sz w:val="18"/>
                <w:szCs w:val="18"/>
              </w:rPr>
            </w:pPr>
            <w:r>
              <w:rPr>
                <w:rFonts w:ascii="Times New Roman"/>
                <w:sz w:val="18"/>
              </w:rPr>
              <w:t>84,848,206.55</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33"/>
              <w:ind w:left="91" w:right="0"/>
              <w:jc w:val="left"/>
              <w:rPr>
                <w:rFonts w:ascii="Times New Roman" w:hAnsi="Times New Roman" w:cs="Times New Roman" w:eastAsia="Times New Roman" w:hint="default"/>
                <w:sz w:val="18"/>
                <w:szCs w:val="18"/>
              </w:rPr>
            </w:pPr>
            <w:r>
              <w:rPr>
                <w:rFonts w:ascii="Times New Roman"/>
                <w:sz w:val="18"/>
              </w:rPr>
              <w:t>88,459,545.07</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33"/>
              <w:ind w:left="487" w:right="0"/>
              <w:jc w:val="left"/>
              <w:rPr>
                <w:rFonts w:ascii="Times New Roman" w:hAnsi="Times New Roman" w:cs="Times New Roman" w:eastAsia="Times New Roman" w:hint="default"/>
                <w:sz w:val="18"/>
                <w:szCs w:val="18"/>
              </w:rPr>
            </w:pPr>
            <w:r>
              <w:rPr>
                <w:rFonts w:ascii="Times New Roman"/>
                <w:sz w:val="18"/>
              </w:rPr>
              <w:t>95.92%</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33"/>
              <w:ind w:left="122" w:right="0"/>
              <w:jc w:val="left"/>
              <w:rPr>
                <w:rFonts w:ascii="Times New Roman" w:hAnsi="Times New Roman" w:cs="Times New Roman" w:eastAsia="Times New Roman" w:hint="default"/>
                <w:sz w:val="18"/>
                <w:szCs w:val="18"/>
              </w:rPr>
            </w:pPr>
            <w:r>
              <w:rPr>
                <w:rFonts w:ascii="Times New Roman"/>
                <w:sz w:val="18"/>
              </w:rPr>
              <w:t>84,848,206.55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33"/>
              <w:ind w:left="408" w:right="0"/>
              <w:jc w:val="left"/>
              <w:rPr>
                <w:rFonts w:ascii="Times New Roman" w:hAnsi="Times New Roman" w:cs="Times New Roman" w:eastAsia="Times New Roman" w:hint="default"/>
                <w:sz w:val="18"/>
                <w:szCs w:val="18"/>
              </w:rPr>
            </w:pPr>
            <w:r>
              <w:rPr>
                <w:rFonts w:ascii="Times New Roman"/>
                <w:sz w:val="18"/>
              </w:rPr>
              <w:t>95.92%</w:t>
            </w:r>
          </w:p>
        </w:tc>
      </w:tr>
      <w:tr>
        <w:trPr>
          <w:trHeight w:val="434" w:hRule="exact"/>
        </w:trPr>
        <w:tc>
          <w:tcPr>
            <w:tcW w:w="7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vMerge/>
            <w:tcBorders>
              <w:left w:val="single" w:sz="13" w:space="0" w:color="D2D2D2"/>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324" w:hRule="exact"/>
        </w:trPr>
        <w:tc>
          <w:tcPr>
            <w:tcW w:w="638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46"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最近三年累计现金分红金额占最近三年年均净利润的比例（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385.89%</w:t>
            </w:r>
          </w:p>
        </w:tc>
      </w:tr>
    </w:tbl>
    <w:p>
      <w:pPr>
        <w:spacing w:line="240" w:lineRule="auto" w:before="13"/>
        <w:rPr>
          <w:rFonts w:ascii="宋体" w:hAnsi="宋体" w:cs="宋体" w:eastAsia="宋体" w:hint="default"/>
          <w:sz w:val="12"/>
          <w:szCs w:val="12"/>
        </w:rPr>
      </w:pPr>
    </w:p>
    <w:p>
      <w:pPr>
        <w:pStyle w:val="Heading6"/>
        <w:spacing w:line="335" w:lineRule="exact"/>
        <w:ind w:left="152" w:right="0"/>
        <w:jc w:val="left"/>
        <w:rPr>
          <w:b w:val="0"/>
          <w:bCs w:val="0"/>
        </w:rPr>
      </w:pPr>
      <w:r>
        <w:rPr/>
        <w:pict>
          <v:shape style="position:absolute;margin-left:135.977005pt;margin-top:-93.834999pt;width:88.6pt;height:13pt;mso-position-horizontal-relative:page;mso-position-vertical-relative:paragraph;z-index:-1637872"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（含税）</w:t>
                  </w:r>
                </w:p>
              </w:txbxContent>
            </v:textbox>
            <w10:wrap type="none"/>
          </v:shape>
        </w:pict>
      </w:r>
      <w:r>
        <w:rPr/>
        <w:pict>
          <v:shape style="position:absolute;margin-left:135.977005pt;margin-top:-65.964996pt;width:88.6pt;height:13pt;mso-position-horizontal-relative:page;mso-position-vertical-relative:paragraph;z-index:-1637848"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（含税）</w:t>
                  </w:r>
                </w:p>
              </w:txbxContent>
            </v:textbox>
            <w10:wrap type="none"/>
          </v:shape>
        </w:pict>
      </w:r>
      <w:r>
        <w:rPr/>
        <w:pict>
          <v:shape style="position:absolute;margin-left:135.977005pt;margin-top:-38.125pt;width:88.6pt;height:13pt;mso-position-horizontal-relative:page;mso-position-vertical-relative:paragraph;z-index:-1637824"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（含税）</w:t>
                  </w:r>
                </w:p>
              </w:txbxContent>
            </v:textbox>
            <w10:wrap type="none"/>
          </v:shape>
        </w:pict>
      </w:r>
      <w:r>
        <w:rPr/>
        <w:pict>
          <v:group style="position:absolute;margin-left:168.979996pt;margin-top:-93.834999pt;width:55.6pt;height:13pt;mso-position-horizontal-relative:page;mso-position-vertical-relative:paragraph;z-index:-1637800" coordorigin="3380,-1877" coordsize="1112,260">
            <v:shape style="position:absolute;left:3380;top:-1877;width:1112;height:260" coordorigin="3380,-1877" coordsize="1112,260" path="m3380,-1617l4491,-1617,4491,-1877,3380,-1877,3380,-1617xe" filled="true" fillcolor="#ffffff" stroked="false">
              <v:path arrowok="t"/>
              <v:fill type="solid"/>
            </v:shape>
            <w10:wrap type="none"/>
          </v:group>
        </w:pict>
      </w:r>
      <w:r>
        <w:rPr/>
        <w:pict>
          <v:group style="position:absolute;margin-left:168.979996pt;margin-top:-65.964996pt;width:55.6pt;height:13pt;mso-position-horizontal-relative:page;mso-position-vertical-relative:paragraph;z-index:-1637776" coordorigin="3380,-1319" coordsize="1112,260">
            <v:shape style="position:absolute;left:3380;top:-1319;width:1112;height:260" coordorigin="3380,-1319" coordsize="1112,260" path="m3380,-1060l4491,-1060,4491,-1319,3380,-1319,3380,-1060xe" filled="true" fillcolor="#ffffff" stroked="false">
              <v:path arrowok="t"/>
              <v:fill type="solid"/>
            </v:shape>
            <w10:wrap type="none"/>
          </v:group>
        </w:pict>
      </w:r>
      <w:r>
        <w:rPr/>
        <w:pict>
          <v:group style="position:absolute;margin-left:168.979996pt;margin-top:-38.125pt;width:55.6pt;height:13pt;mso-position-horizontal-relative:page;mso-position-vertical-relative:paragraph;z-index:-1637752" coordorigin="3380,-763" coordsize="1112,260">
            <v:shape style="position:absolute;left:3380;top:-763;width:1112;height:260" coordorigin="3380,-763" coordsize="1112,260" path="m3380,-503l4491,-503,4491,-763,3380,-763,3380,-503xe" filled="true" fillcolor="#ffffff" stroked="false">
              <v:path arrowok="t"/>
              <v:fill type="solid"/>
            </v:shape>
            <w10:wrap type="none"/>
          </v:group>
        </w:pict>
      </w:r>
      <w:r>
        <w:rPr/>
        <w:t>（四）报告期，现金分红政策的制定及执行情况的专项说明</w:t>
      </w:r>
      <w:r>
        <w:rPr>
          <w:b w:val="0"/>
          <w:bCs w:val="0"/>
        </w:rPr>
      </w:r>
    </w:p>
    <w:p>
      <w:pPr>
        <w:pStyle w:val="BodyText"/>
        <w:spacing w:line="240" w:lineRule="auto" w:before="147"/>
        <w:ind w:left="573" w:right="0"/>
        <w:jc w:val="left"/>
      </w:pPr>
      <w:r>
        <w:rPr>
          <w:rFonts w:ascii="Times New Roman" w:hAnsi="Times New Roman" w:cs="Times New Roman" w:eastAsia="Times New Roman" w:hint="default"/>
        </w:rPr>
        <w:t>1</w:t>
      </w:r>
      <w:r>
        <w:rPr/>
        <w:t>、报告期，公司现金分红执行情况符合公司利润分配政策及公司《章程》及股东大会决议的要求；</w:t>
      </w:r>
    </w:p>
    <w:p>
      <w:pPr>
        <w:pStyle w:val="BodyText"/>
        <w:spacing w:line="240" w:lineRule="auto" w:before="160"/>
        <w:ind w:left="573" w:right="0"/>
        <w:jc w:val="left"/>
      </w:pPr>
      <w:r>
        <w:rPr>
          <w:rFonts w:ascii="Times New Roman" w:hAnsi="Times New Roman" w:cs="Times New Roman" w:eastAsia="Times New Roman" w:hint="default"/>
        </w:rPr>
        <w:t>2</w:t>
      </w:r>
      <w:r>
        <w:rPr/>
        <w:t>、报告期，现金分红标准和比例明确清晰；</w:t>
      </w:r>
    </w:p>
    <w:p>
      <w:pPr>
        <w:pStyle w:val="BodyText"/>
        <w:spacing w:line="240" w:lineRule="auto" w:before="117"/>
        <w:ind w:left="573" w:right="0"/>
        <w:jc w:val="left"/>
      </w:pPr>
      <w:r>
        <w:rPr>
          <w:rFonts w:ascii="Times New Roman" w:hAnsi="Times New Roman" w:cs="Times New Roman" w:eastAsia="Times New Roman" w:hint="default"/>
        </w:rPr>
        <w:t>3</w:t>
      </w:r>
      <w:r>
        <w:rPr/>
        <w:t>、报告期，现金分红相关的决策程序和机制完备；</w:t>
      </w:r>
    </w:p>
    <w:p>
      <w:pPr>
        <w:pStyle w:val="BodyText"/>
        <w:spacing w:line="336" w:lineRule="auto" w:before="117"/>
        <w:ind w:left="152" w:right="1124" w:firstLine="420"/>
        <w:jc w:val="left"/>
      </w:pPr>
      <w:r>
        <w:rPr>
          <w:rFonts w:ascii="Times New Roman" w:hAnsi="Times New Roman" w:cs="Times New Roman" w:eastAsia="Times New Roman" w:hint="default"/>
          <w:spacing w:val="-2"/>
        </w:rPr>
        <w:t>4</w:t>
      </w:r>
      <w:r>
        <w:rPr>
          <w:spacing w:val="-2"/>
        </w:rPr>
        <w:t>、报告期，独立董事针对利润分配方案发表独立意见，对公司现金分红方案的审议和执行发挥了应</w:t>
      </w:r>
      <w:r>
        <w:rPr>
          <w:w w:val="100"/>
        </w:rPr>
        <w:t> </w:t>
      </w:r>
      <w:r>
        <w:rPr/>
        <w:t>有的作用；</w:t>
      </w:r>
    </w:p>
    <w:p>
      <w:pPr>
        <w:pStyle w:val="BodyText"/>
        <w:spacing w:line="338" w:lineRule="auto" w:before="49"/>
        <w:ind w:left="152" w:right="0" w:firstLine="420"/>
        <w:jc w:val="left"/>
      </w:pPr>
      <w:r>
        <w:rPr>
          <w:rFonts w:ascii="Times New Roman" w:hAnsi="Times New Roman" w:cs="Times New Roman" w:eastAsia="Times New Roman" w:hint="default"/>
          <w:spacing w:val="-2"/>
        </w:rPr>
        <w:t>5</w:t>
      </w:r>
      <w:r>
        <w:rPr>
          <w:spacing w:val="-2"/>
        </w:rPr>
        <w:t>、报告期，中小股东通过年度股东大会现场会议和网络投票等投票方式，及电话、传真、电子邮件、</w:t>
      </w:r>
      <w:r>
        <w:rPr>
          <w:w w:val="100"/>
        </w:rPr>
        <w:t> </w:t>
      </w:r>
      <w:r>
        <w:rPr/>
        <w:t>互动平台等多种途径充分表达意见和诉求，合法权益得到充分保护。</w:t>
      </w:r>
    </w:p>
    <w:p>
      <w:pPr>
        <w:pStyle w:val="Heading6"/>
        <w:spacing w:line="346" w:lineRule="exact"/>
        <w:ind w:left="152" w:right="0"/>
        <w:jc w:val="left"/>
        <w:rPr>
          <w:b w:val="0"/>
          <w:bCs w:val="0"/>
        </w:rPr>
      </w:pPr>
      <w:r>
        <w:rPr/>
        <w:t>（五）公司报告期内盈利且母公司可供普通股股东分配利润为正但未提出普通股现金红利分配预案</w:t>
      </w:r>
      <w:r>
        <w:rPr>
          <w:b w:val="0"/>
          <w:bCs w:val="0"/>
        </w:rPr>
      </w:r>
    </w:p>
    <w:p>
      <w:pPr>
        <w:spacing w:before="110"/>
        <w:ind w:left="60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4"/>
        <w:spacing w:line="240" w:lineRule="auto"/>
        <w:ind w:left="152" w:right="0"/>
        <w:jc w:val="left"/>
        <w:rPr>
          <w:b w:val="0"/>
          <w:bCs w:val="0"/>
        </w:rPr>
      </w:pPr>
      <w:r>
        <w:rPr/>
        <w:t>二、本报告期利润分配及资本公积金转增股本预案</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38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0</w:t>
            </w:r>
          </w:p>
        </w:tc>
      </w:tr>
      <w:tr>
        <w:trPr>
          <w:trHeight w:val="37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0.1</w:t>
            </w:r>
          </w:p>
        </w:tc>
      </w:tr>
      <w:tr>
        <w:trPr>
          <w:trHeight w:val="359"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1,696,964,131</w:t>
            </w:r>
          </w:p>
        </w:tc>
      </w:tr>
      <w:tr>
        <w:trPr>
          <w:trHeight w:val="370"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16,969,641.31</w:t>
            </w:r>
          </w:p>
        </w:tc>
      </w:tr>
      <w:tr>
        <w:trPr>
          <w:trHeight w:val="370"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母公司可分配利润（元）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442,502,081.46</w:t>
            </w:r>
          </w:p>
        </w:tc>
      </w:tr>
      <w:tr>
        <w:trPr>
          <w:trHeight w:val="32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65" w:top="1100" w:bottom="1460" w:left="980" w:right="0"/>
        </w:sectPr>
      </w:pPr>
    </w:p>
    <w:p>
      <w:pPr>
        <w:spacing w:line="240" w:lineRule="auto" w:before="7"/>
        <w:rPr>
          <w:rFonts w:ascii="宋体" w:hAnsi="宋体" w:cs="宋体" w:eastAsia="宋体" w:hint="default"/>
          <w:sz w:val="19"/>
          <w:szCs w:val="19"/>
        </w:rPr>
      </w:pPr>
      <w:r>
        <w:rPr/>
        <w:pict>
          <v:shape style="position:absolute;margin-left:354.070007pt;margin-top:339.955597pt;width:83.55pt;height:13.9pt;mso-position-horizontal-relative:page;mso-position-vertical-relative:page;z-index:-16377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01.020004pt;margin-top:616.899963pt;width:236.6pt;height:24.45pt;mso-position-horizontal-relative:page;mso-position-vertical-relative:page;z-index:-1637680" type="#_x0000_t202" filled="false" stroked="false">
            <v:textbox inset="0,0,0,0">
              <w:txbxContent>
                <w:p>
                  <w:pPr>
                    <w:spacing w:line="240" w:lineRule="auto" w:before="9"/>
                    <w:rPr>
                      <w:rFonts w:ascii="Microsoft JhengHei" w:hAnsi="Microsoft JhengHei" w:cs="Microsoft JhengHei" w:eastAsia="Microsoft JhengHei" w:hint="default"/>
                      <w:b/>
                      <w:bCs/>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不使用闲置募集资金暂时补充流动资金、</w:t>
                  </w:r>
                </w:p>
              </w:txbxContent>
            </v:textbox>
            <w10:wrap type="none"/>
          </v:shape>
        </w:pict>
      </w:r>
      <w:r>
        <w:rPr/>
        <w:pict>
          <v:group style="position:absolute;margin-left:360.190002pt;margin-top:233.689987pt;width:77.4pt;height:9.75pt;mso-position-horizontal-relative:page;mso-position-vertical-relative:page;z-index:-1637632" coordorigin="7204,4674" coordsize="1548,195">
            <v:shape style="position:absolute;left:7204;top:4674;width:1548;height:195" coordorigin="7204,4674" coordsize="1548,195" path="m7204,4868l8752,4868,8752,4674,7204,4674,7204,4868xe" filled="true" fillcolor="#ffffff" stroked="false">
              <v:path arrowok="t"/>
              <v:fill type="solid"/>
            </v:shape>
            <w10:wrap type="none"/>
          </v:group>
        </w:pict>
      </w:r>
      <w:r>
        <w:rPr/>
        <w:pict>
          <v:group style="position:absolute;margin-left:360.190002pt;margin-top:340.609985pt;width:77.4pt;height:13.2pt;mso-position-horizontal-relative:page;mso-position-vertical-relative:page;z-index:-1637608" coordorigin="7204,6812" coordsize="1548,264">
            <v:shape style="position:absolute;left:7204;top:6812;width:1548;height:264" coordorigin="7204,6812" coordsize="1548,264" path="m7204,7076l8752,7076,8752,6812,7204,6812,7204,7076xe" filled="true" fillcolor="#ffffff" stroked="false">
              <v:path arrowok="t"/>
              <v:fill type="solid"/>
            </v:shape>
            <w10:wrap type="none"/>
          </v:group>
        </w:pict>
      </w:r>
      <w:r>
        <w:rPr/>
        <w:pict>
          <v:group style="position:absolute;margin-left:360.190002pt;margin-top:551.200012pt;width:76.350pt;height:16.8pt;mso-position-horizontal-relative:page;mso-position-vertical-relative:page;z-index:-1637584" coordorigin="7204,11024" coordsize="1527,336">
            <v:group style="position:absolute;left:7215;top:11035;width:2;height:315" coordorigin="7215,11035" coordsize="2,315">
              <v:shape style="position:absolute;left:7215;top:11035;width:2;height:315" coordorigin="7215,11035" coordsize="0,315" path="m7215,11035l7215,11349e" filled="false" stroked="true" strokeweight="1.08pt" strokecolor="#ffffff">
                <v:path arrowok="t"/>
              </v:shape>
            </v:group>
            <v:group style="position:absolute;left:7225;top:11035;width:1505;height:315" coordorigin="7225,11035" coordsize="1505,315">
              <v:shape style="position:absolute;left:7225;top:11035;width:1505;height:315" coordorigin="7225,11035" coordsize="1505,315" path="m7225,11349l8730,11349,8730,11035,7225,11035,7225,11349xe" filled="true" fillcolor="#ffffff" stroked="false">
                <v:path arrowok="t"/>
                <v:fill type="solid"/>
              </v:shape>
            </v:group>
            <w10:wrap type="none"/>
          </v:group>
        </w:pict>
      </w:r>
      <w:r>
        <w:rPr/>
        <w:pict>
          <v:group style="position:absolute;margin-left:182.899994pt;margin-top:680.76001pt;width:176.85pt;height:27.85pt;mso-position-horizontal-relative:page;mso-position-vertical-relative:page;z-index:-1637560" coordorigin="3658,13615" coordsize="3537,557">
            <v:group style="position:absolute;left:3658;top:13615;width:3537;height:233" coordorigin="3658,13615" coordsize="3537,233">
              <v:shape style="position:absolute;left:3658;top:13615;width:3537;height:233" coordorigin="3658,13615" coordsize="3537,233" path="m3658,13848l7194,13848,7194,13615,3658,13615,3658,13848xe" filled="true" fillcolor="#ffffff" stroked="false">
                <v:path arrowok="t"/>
                <v:fill type="solid"/>
              </v:shape>
            </v:group>
            <v:group style="position:absolute;left:3670;top:13848;width:2;height:312" coordorigin="3670,13848" coordsize="2,312">
              <v:shape style="position:absolute;left:3670;top:13848;width:2;height:312" coordorigin="3670,13848" coordsize="0,312" path="m3670,13848l3670,14160e" filled="false" stroked="true" strokeweight="1.2pt" strokecolor="#ffffff">
                <v:path arrowok="t"/>
              </v:shape>
            </v:group>
            <v:group style="position:absolute;left:3682;top:13848;width:3489;height:312" coordorigin="3682,13848" coordsize="3489,312">
              <v:shape style="position:absolute;left:3682;top:13848;width:3489;height:312" coordorigin="3682,13848" coordsize="3489,312" path="m3682,14160l7170,14160,7170,13848,3682,13848,3682,14160xe" filled="true" fillcolor="#ffffff" stroked="false">
                <v:path arrowok="t"/>
                <v:fill type="solid"/>
              </v:shape>
            </v:group>
            <w10:wrap type="none"/>
          </v:group>
        </w:pict>
      </w:r>
    </w:p>
    <w:p>
      <w:pPr>
        <w:pStyle w:val="Heading4"/>
        <w:spacing w:line="367" w:lineRule="exact"/>
        <w:ind w:left="292" w:right="8054"/>
        <w:jc w:val="left"/>
        <w:rPr>
          <w:b w:val="0"/>
          <w:bCs w:val="0"/>
        </w:rPr>
      </w:pPr>
      <w:r>
        <w:rPr/>
        <w:t>三、承诺事项履行情况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Heading6"/>
        <w:spacing w:line="180" w:lineRule="auto"/>
        <w:ind w:left="292" w:right="0"/>
        <w:jc w:val="left"/>
        <w:rPr>
          <w:b w:val="0"/>
          <w:bCs w:val="0"/>
        </w:rPr>
      </w:pPr>
      <w:r>
        <w:rPr/>
        <w:pict>
          <v:group style="position:absolute;margin-left:360.190002pt;margin-top:105.003319pt;width:76.350pt;height:16.7pt;mso-position-horizontal-relative:page;mso-position-vertical-relative:paragraph;z-index:-1637656" coordorigin="7204,2100" coordsize="1527,334">
            <v:group style="position:absolute;left:7215;top:2111;width:2;height:312" coordorigin="7215,2111" coordsize="2,312">
              <v:shape style="position:absolute;left:7215;top:2111;width:2;height:312" coordorigin="7215,2111" coordsize="0,312" path="m7215,2111l7215,2423e" filled="false" stroked="true" strokeweight="1.08pt" strokecolor="#ffffff">
                <v:path arrowok="t"/>
              </v:shape>
            </v:group>
            <v:group style="position:absolute;left:7225;top:2111;width:1505;height:312" coordorigin="7225,2111" coordsize="1505,312">
              <v:shape style="position:absolute;left:7225;top:2111;width:1505;height:312" coordorigin="7225,2111" coordsize="1505,312" path="m7225,2423l8730,2423,8730,2111,7225,2111,7225,2423xe" filled="true" fillcolor="#ffffff" stroked="false">
                <v:path arrowok="t"/>
                <v:fill type="solid"/>
              </v:shape>
            </v:group>
            <w10:wrap type="none"/>
          </v:group>
        </w:pict>
      </w:r>
      <w:r>
        <w:rPr>
          <w:rFonts w:ascii="Times New Roman" w:hAnsi="Times New Roman" w:cs="Times New Roman" w:eastAsia="Times New Roman" w:hint="default"/>
        </w:rPr>
        <w:t>1</w:t>
      </w:r>
      <w:r>
        <w:rPr/>
        <w:t>、公司实际控制人、股东、关联方、收购人以及公司等承诺相关方截至本报告披露日履行完毕及尚未履</w:t>
      </w:r>
      <w:r>
        <w:rPr>
          <w:spacing w:val="28"/>
        </w:rPr>
        <w:t> </w:t>
      </w:r>
      <w:r>
        <w:rPr>
          <w:spacing w:val="28"/>
        </w:rPr>
      </w:r>
      <w:r>
        <w:rPr/>
        <w:t>行完毕的承诺事项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12" w:type="dxa"/>
        <w:tblLayout w:type="fixed"/>
        <w:tblCellMar>
          <w:top w:w="0" w:type="dxa"/>
          <w:left w:w="0" w:type="dxa"/>
          <w:bottom w:w="0" w:type="dxa"/>
          <w:right w:w="0" w:type="dxa"/>
        </w:tblCellMar>
        <w:tblLook w:val="01E0"/>
      </w:tblPr>
      <w:tblGrid>
        <w:gridCol w:w="1136"/>
        <w:gridCol w:w="1560"/>
        <w:gridCol w:w="3543"/>
        <w:gridCol w:w="1560"/>
        <w:gridCol w:w="1025"/>
        <w:gridCol w:w="1094"/>
      </w:tblGrid>
      <w:tr>
        <w:trPr>
          <w:trHeight w:val="52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45"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23" w:right="87"/>
              <w:jc w:val="left"/>
              <w:rPr>
                <w:rFonts w:ascii="宋体" w:hAnsi="宋体" w:cs="宋体" w:eastAsia="宋体" w:hint="default"/>
                <w:sz w:val="18"/>
                <w:szCs w:val="18"/>
              </w:rPr>
            </w:pPr>
            <w:r>
              <w:rPr>
                <w:rFonts w:ascii="宋体" w:hAnsi="宋体" w:cs="宋体" w:eastAsia="宋体" w:hint="default"/>
                <w:sz w:val="18"/>
                <w:szCs w:val="18"/>
              </w:rPr>
              <w:t>公司实际控制人深圳市国资委东在《股权分 置改革说明书》中关于出售股份公告的承诺</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21" w:right="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3" w:hRule="exact"/>
        </w:trPr>
        <w:tc>
          <w:tcPr>
            <w:tcW w:w="1136"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127"/>
              <w:jc w:val="left"/>
              <w:rPr>
                <w:rFonts w:ascii="宋体" w:hAnsi="宋体" w:cs="宋体" w:eastAsia="宋体" w:hint="default"/>
                <w:sz w:val="18"/>
                <w:szCs w:val="18"/>
              </w:rPr>
            </w:pPr>
            <w:r>
              <w:rPr>
                <w:rFonts w:ascii="宋体" w:hAnsi="宋体" w:cs="宋体" w:eastAsia="宋体" w:hint="default"/>
                <w:sz w:val="18"/>
                <w:szCs w:val="18"/>
              </w:rPr>
              <w:t>公司原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家法人 股东</w:t>
            </w:r>
          </w:p>
        </w:tc>
        <w:tc>
          <w:tcPr>
            <w:tcW w:w="3543" w:type="dxa"/>
            <w:tcBorders>
              <w:top w:val="single" w:sz="4" w:space="0" w:color="000000"/>
              <w:left w:val="single" w:sz="4" w:space="0" w:color="000000"/>
              <w:bottom w:val="single" w:sz="4" w:space="0" w:color="000000"/>
              <w:right w:val="single" w:sz="13" w:space="0" w:color="FFFFFF"/>
            </w:tcBorders>
          </w:tcPr>
          <w:p>
            <w:pPr>
              <w:pStyle w:val="TableParagraph"/>
              <w:spacing w:line="236" w:lineRule="exact" w:before="109"/>
              <w:ind w:left="23" w:right="-53"/>
              <w:jc w:val="left"/>
              <w:rPr>
                <w:rFonts w:ascii="宋体" w:hAnsi="宋体" w:cs="宋体" w:eastAsia="宋体" w:hint="default"/>
                <w:sz w:val="18"/>
                <w:szCs w:val="18"/>
              </w:rPr>
            </w:pPr>
            <w:r>
              <w:rPr>
                <w:rFonts w:ascii="宋体" w:hAnsi="宋体" w:cs="宋体" w:eastAsia="宋体" w:hint="default"/>
                <w:sz w:val="18"/>
                <w:szCs w:val="18"/>
              </w:rPr>
              <w:t>原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家法人股东在《股权分置改革说明书》 </w:t>
            </w:r>
            <w:r>
              <w:rPr>
                <w:rFonts w:ascii="宋体" w:hAnsi="宋体" w:cs="宋体" w:eastAsia="宋体" w:hint="default"/>
                <w:spacing w:val="-6"/>
                <w:sz w:val="18"/>
                <w:szCs w:val="18"/>
              </w:rPr>
              <w:t>中关于出售股份公告的承诺。（注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850" w:hRule="exact"/>
        </w:trPr>
        <w:tc>
          <w:tcPr>
            <w:tcW w:w="113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福德资本</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39"/>
              <w:ind w:left="23" w:right="0"/>
              <w:jc w:val="left"/>
              <w:rPr>
                <w:rFonts w:ascii="宋体" w:hAnsi="宋体" w:cs="宋体" w:eastAsia="宋体" w:hint="default"/>
                <w:sz w:val="18"/>
                <w:szCs w:val="18"/>
              </w:rPr>
            </w:pPr>
            <w:r>
              <w:rPr>
                <w:rFonts w:ascii="宋体" w:hAnsi="宋体" w:cs="宋体" w:eastAsia="宋体" w:hint="default"/>
                <w:sz w:val="18"/>
                <w:szCs w:val="18"/>
              </w:rPr>
              <w:t>公司控股股东福德资本承接深圳市国资委在</w:t>
            </w:r>
          </w:p>
          <w:p>
            <w:pPr>
              <w:pStyle w:val="TableParagraph"/>
              <w:spacing w:line="232" w:lineRule="exact" w:before="24"/>
              <w:ind w:left="23" w:right="87"/>
              <w:jc w:val="left"/>
              <w:rPr>
                <w:rFonts w:ascii="宋体" w:hAnsi="宋体" w:cs="宋体" w:eastAsia="宋体" w:hint="default"/>
                <w:sz w:val="18"/>
                <w:szCs w:val="18"/>
              </w:rPr>
            </w:pPr>
            <w:r>
              <w:rPr>
                <w:rFonts w:ascii="宋体" w:hAnsi="宋体" w:cs="宋体" w:eastAsia="宋体" w:hint="default"/>
                <w:sz w:val="18"/>
                <w:szCs w:val="18"/>
              </w:rPr>
              <w:t>《股权分置改革说明书》中关于出售股份公 </w:t>
            </w:r>
            <w:r>
              <w:rPr>
                <w:rFonts w:ascii="宋体" w:hAnsi="宋体" w:cs="宋体" w:eastAsia="宋体" w:hint="default"/>
                <w:spacing w:val="-14"/>
                <w:sz w:val="18"/>
                <w:szCs w:val="18"/>
              </w:rPr>
              <w:t>告的承诺。（注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85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37" w:lineRule="auto"/>
              <w:ind w:left="24"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富德生命人寿保险</w:t>
            </w:r>
          </w:p>
        </w:tc>
        <w:tc>
          <w:tcPr>
            <w:tcW w:w="3543" w:type="dxa"/>
            <w:tcBorders>
              <w:top w:val="single" w:sz="4" w:space="0" w:color="000000"/>
              <w:left w:val="single" w:sz="4" w:space="0" w:color="000000"/>
              <w:bottom w:val="single" w:sz="4" w:space="0" w:color="000000"/>
              <w:right w:val="single" w:sz="13" w:space="0" w:color="FFFFFF"/>
            </w:tcBorders>
          </w:tcPr>
          <w:p>
            <w:pPr>
              <w:pStyle w:val="TableParagraph"/>
              <w:spacing w:line="237" w:lineRule="auto" w:before="41"/>
              <w:ind w:left="23"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公司股东富德生命人寿保险与上市公司在人 员、财务、资产、业务和机构等方面保持相 </w:t>
            </w:r>
            <w:r>
              <w:rPr>
                <w:rFonts w:ascii="宋体" w:hAnsi="宋体" w:cs="宋体" w:eastAsia="宋体" w:hint="default"/>
                <w:spacing w:val="-9"/>
                <w:sz w:val="18"/>
                <w:szCs w:val="18"/>
              </w:rPr>
              <w:t>互独立并将继续保持相互独立的承诺。（注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w:t>
            </w:r>
          </w:p>
        </w:tc>
        <w:tc>
          <w:tcPr>
            <w:tcW w:w="15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18"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2"/>
              <w:ind w:left="23" w:right="86"/>
              <w:jc w:val="left"/>
              <w:rPr>
                <w:rFonts w:ascii="宋体" w:hAnsi="宋体" w:cs="宋体" w:eastAsia="宋体" w:hint="default"/>
                <w:sz w:val="18"/>
                <w:szCs w:val="18"/>
              </w:rPr>
            </w:pPr>
            <w:r>
              <w:rPr>
                <w:rFonts w:ascii="宋体" w:hAnsi="宋体" w:cs="宋体" w:eastAsia="宋体" w:hint="default"/>
                <w:sz w:val="18"/>
                <w:szCs w:val="18"/>
              </w:rPr>
              <w:t>公司股东富德生命人寿保险关于同业竞争方 </w:t>
            </w:r>
            <w:r>
              <w:rPr>
                <w:rFonts w:ascii="宋体" w:hAnsi="宋体" w:cs="宋体" w:eastAsia="宋体" w:hint="default"/>
                <w:spacing w:val="-14"/>
                <w:sz w:val="18"/>
                <w:szCs w:val="18"/>
              </w:rPr>
              <w:t>面的承诺。（注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福德资本</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公司控股股东福德资本在</w:t>
            </w:r>
            <w:r>
              <w:rPr>
                <w:rFonts w:ascii="宋体" w:hAnsi="宋体" w:cs="宋体" w:eastAsia="宋体" w:hint="default"/>
                <w:spacing w:val="-56"/>
                <w:sz w:val="18"/>
                <w:szCs w:val="18"/>
              </w:rPr>
              <w:t> </w:t>
            </w:r>
            <w:r>
              <w:rPr>
                <w:rFonts w:ascii="宋体" w:hAnsi="宋体" w:cs="宋体" w:eastAsia="宋体" w:hint="default"/>
                <w:sz w:val="18"/>
                <w:szCs w:val="18"/>
              </w:rPr>
              <w:t>2018</w:t>
            </w:r>
            <w:r>
              <w:rPr>
                <w:rFonts w:ascii="宋体" w:hAnsi="宋体" w:cs="宋体" w:eastAsia="宋体" w:hint="default"/>
                <w:spacing w:val="-58"/>
                <w:sz w:val="18"/>
                <w:szCs w:val="18"/>
              </w:rPr>
              <w:t> </w:t>
            </w:r>
            <w:r>
              <w:rPr>
                <w:rFonts w:ascii="宋体" w:hAnsi="宋体" w:cs="宋体" w:eastAsia="宋体" w:hint="default"/>
                <w:sz w:val="18"/>
                <w:szCs w:val="18"/>
              </w:rPr>
              <w:t>年国有股份无 偿划转事项中出具的《关于保证上市公司独 </w:t>
            </w:r>
            <w:r>
              <w:rPr>
                <w:rFonts w:ascii="宋体" w:hAnsi="宋体" w:cs="宋体" w:eastAsia="宋体" w:hint="default"/>
                <w:spacing w:val="-11"/>
                <w:sz w:val="18"/>
                <w:szCs w:val="18"/>
              </w:rPr>
              <w:t>立性的承诺函》（注</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4"/>
                <w:szCs w:val="24"/>
              </w:rPr>
            </w:pPr>
          </w:p>
          <w:p>
            <w:pPr>
              <w:pStyle w:val="TableParagraph"/>
              <w:spacing w:line="240" w:lineRule="auto"/>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68"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公司控股股东福德资本在</w:t>
            </w:r>
            <w:r>
              <w:rPr>
                <w:rFonts w:ascii="宋体" w:hAnsi="宋体" w:cs="宋体" w:eastAsia="宋体" w:hint="default"/>
                <w:spacing w:val="-56"/>
                <w:sz w:val="18"/>
                <w:szCs w:val="18"/>
              </w:rPr>
              <w:t> </w:t>
            </w:r>
            <w:r>
              <w:rPr>
                <w:rFonts w:ascii="宋体" w:hAnsi="宋体" w:cs="宋体" w:eastAsia="宋体" w:hint="default"/>
                <w:sz w:val="18"/>
                <w:szCs w:val="18"/>
              </w:rPr>
              <w:t>2018</w:t>
            </w:r>
            <w:r>
              <w:rPr>
                <w:rFonts w:ascii="宋体" w:hAnsi="宋体" w:cs="宋体" w:eastAsia="宋体" w:hint="default"/>
                <w:spacing w:val="-58"/>
                <w:sz w:val="18"/>
                <w:szCs w:val="18"/>
              </w:rPr>
              <w:t> </w:t>
            </w:r>
            <w:r>
              <w:rPr>
                <w:rFonts w:ascii="宋体" w:hAnsi="宋体" w:cs="宋体" w:eastAsia="宋体" w:hint="default"/>
                <w:sz w:val="18"/>
                <w:szCs w:val="18"/>
              </w:rPr>
              <w:t>年国有股份无 偿划转事项中出具的《关于避免同业竞争的 </w:t>
            </w:r>
            <w:r>
              <w:rPr>
                <w:rFonts w:ascii="宋体" w:hAnsi="宋体" w:cs="宋体" w:eastAsia="宋体" w:hint="default"/>
                <w:spacing w:val="-19"/>
                <w:sz w:val="18"/>
                <w:szCs w:val="18"/>
              </w:rPr>
              <w:t>承诺》（注</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850" w:hRule="exact"/>
        </w:trPr>
        <w:tc>
          <w:tcPr>
            <w:tcW w:w="113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23" w:right="21"/>
              <w:jc w:val="left"/>
              <w:rPr>
                <w:rFonts w:ascii="宋体" w:hAnsi="宋体" w:cs="宋体" w:eastAsia="宋体" w:hint="default"/>
                <w:sz w:val="18"/>
                <w:szCs w:val="18"/>
              </w:rPr>
            </w:pPr>
            <w:r>
              <w:rPr>
                <w:rFonts w:ascii="宋体" w:hAnsi="宋体" w:cs="宋体" w:eastAsia="宋体" w:hint="default"/>
                <w:sz w:val="18"/>
                <w:szCs w:val="18"/>
              </w:rPr>
              <w:t>公司控股股东福德资本在</w:t>
            </w:r>
            <w:r>
              <w:rPr>
                <w:rFonts w:ascii="宋体" w:hAnsi="宋体" w:cs="宋体" w:eastAsia="宋体" w:hint="default"/>
                <w:spacing w:val="-56"/>
                <w:sz w:val="18"/>
                <w:szCs w:val="18"/>
              </w:rPr>
              <w:t> </w:t>
            </w:r>
            <w:r>
              <w:rPr>
                <w:rFonts w:ascii="宋体" w:hAnsi="宋体" w:cs="宋体" w:eastAsia="宋体" w:hint="default"/>
                <w:sz w:val="18"/>
                <w:szCs w:val="18"/>
              </w:rPr>
              <w:t>2018</w:t>
            </w:r>
            <w:r>
              <w:rPr>
                <w:rFonts w:ascii="宋体" w:hAnsi="宋体" w:cs="宋体" w:eastAsia="宋体" w:hint="default"/>
                <w:spacing w:val="-58"/>
                <w:sz w:val="18"/>
                <w:szCs w:val="18"/>
              </w:rPr>
              <w:t> </w:t>
            </w:r>
            <w:r>
              <w:rPr>
                <w:rFonts w:ascii="宋体" w:hAnsi="宋体" w:cs="宋体" w:eastAsia="宋体" w:hint="default"/>
                <w:sz w:val="18"/>
                <w:szCs w:val="18"/>
              </w:rPr>
              <w:t>年国有股份无 偿划转事项中出具的《关于规范及减少关联 </w:t>
            </w:r>
            <w:r>
              <w:rPr>
                <w:rFonts w:ascii="宋体" w:hAnsi="宋体" w:cs="宋体" w:eastAsia="宋体" w:hint="default"/>
                <w:spacing w:val="-12"/>
                <w:sz w:val="18"/>
                <w:szCs w:val="18"/>
              </w:rPr>
              <w:t>交易的承诺》（注</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1560"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8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24"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23" w:right="-34"/>
              <w:jc w:val="left"/>
              <w:rPr>
                <w:rFonts w:ascii="宋体" w:hAnsi="宋体" w:cs="宋体" w:eastAsia="宋体" w:hint="default"/>
                <w:sz w:val="18"/>
                <w:szCs w:val="18"/>
              </w:rPr>
            </w:pPr>
            <w:r>
              <w:rPr>
                <w:rFonts w:ascii="宋体" w:hAnsi="宋体" w:cs="宋体" w:eastAsia="宋体" w:hint="default"/>
                <w:sz w:val="18"/>
                <w:szCs w:val="18"/>
              </w:rPr>
              <w:t>公司实际控制人深圳市国资委在《</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 </w:t>
            </w:r>
            <w:r>
              <w:rPr>
                <w:rFonts w:ascii="宋体" w:hAnsi="宋体" w:cs="宋体" w:eastAsia="宋体" w:hint="default"/>
                <w:spacing w:val="-3"/>
                <w:sz w:val="18"/>
                <w:szCs w:val="18"/>
              </w:rPr>
              <w:t>公开发行股票预案》中关于同业竞争的承诺。</w:t>
            </w:r>
            <w:r>
              <w:rPr>
                <w:rFonts w:ascii="宋体" w:hAnsi="宋体" w:cs="宋体" w:eastAsia="宋体" w:hint="default"/>
                <w:sz w:val="18"/>
                <w:szCs w:val="18"/>
              </w:rPr>
            </w:r>
          </w:p>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永久性</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13"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37" w:lineRule="auto"/>
              <w:ind w:left="24"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公司实际控制人深圳市国资委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年出具</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《加强未公开信息管理承诺函</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275" w:hRule="exact"/>
        </w:trPr>
        <w:tc>
          <w:tcPr>
            <w:tcW w:w="113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0"/>
              <w:ind w:left="23" w:right="87"/>
              <w:jc w:val="left"/>
              <w:rPr>
                <w:rFonts w:ascii="宋体" w:hAnsi="宋体" w:cs="宋体" w:eastAsia="宋体" w:hint="default"/>
                <w:sz w:val="18"/>
                <w:szCs w:val="18"/>
              </w:rPr>
            </w:pPr>
            <w:r>
              <w:rPr>
                <w:rFonts w:ascii="宋体" w:hAnsi="宋体" w:cs="宋体" w:eastAsia="宋体" w:hint="default"/>
                <w:sz w:val="18"/>
                <w:szCs w:val="18"/>
              </w:rPr>
              <w:t>公司承诺在对外提供财务资助后的十二个月 内， 将募集资金投向变更为永久性补充流动资 金、将超募资金永久性用于补充流动资金或 </w:t>
            </w:r>
            <w:r>
              <w:rPr>
                <w:rFonts w:ascii="宋体" w:hAnsi="宋体" w:cs="宋体" w:eastAsia="宋体" w:hint="default"/>
                <w:spacing w:val="-10"/>
                <w:sz w:val="18"/>
                <w:szCs w:val="18"/>
              </w:rPr>
              <w:t>者归还银行贷款。（注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75" w:lineRule="exact"/>
              <w:ind w:left="2" w:right="-5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pict>
                <v:group style="width:77.4pt;height:23.8pt;mso-position-horizontal-relative:char;mso-position-vertical-relative:line" coordorigin="0,0" coordsize="1548,476">
                  <v:group style="position:absolute;left:0;top:0;width:1548;height:476" coordorigin="0,0" coordsize="1548,476">
                    <v:shape style="position:absolute;left:0;top:0;width:1548;height:476" coordorigin="0,0" coordsize="1548,476" path="m0,475l1548,475,1548,0,0,0,0,475xe" filled="true" fillcolor="#ffffff" stroked="false">
                      <v:path arrowok="t"/>
                      <v:fill type="solid"/>
                    </v:shape>
                  </v:group>
                </v:group>
              </w:pict>
            </w:r>
            <w:r>
              <w:rPr>
                <w:rFonts w:ascii="Microsoft JhengHei" w:hAnsi="Microsoft JhengHei" w:cs="Microsoft JhengHei" w:eastAsia="Microsoft JhengHei" w:hint="default"/>
                <w:position w:val="-9"/>
                <w:sz w:val="20"/>
                <w:szCs w:val="20"/>
              </w:rPr>
            </w:r>
          </w:p>
          <w:p>
            <w:pPr>
              <w:pStyle w:val="TableParagraph"/>
              <w:spacing w:line="240" w:lineRule="auto" w:before="8"/>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201"/>
              <w:jc w:val="left"/>
              <w:rPr>
                <w:rFonts w:ascii="宋体" w:hAnsi="宋体" w:cs="宋体" w:eastAsia="宋体" w:hint="default"/>
                <w:sz w:val="18"/>
                <w:szCs w:val="18"/>
              </w:rPr>
            </w:pPr>
            <w:r>
              <w:rPr>
                <w:rFonts w:ascii="宋体" w:hAnsi="宋体" w:cs="宋体" w:eastAsia="宋体" w:hint="default"/>
                <w:sz w:val="18"/>
                <w:szCs w:val="18"/>
              </w:rPr>
              <w:t>管理层增持 及减持承诺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110"/>
              <w:jc w:val="left"/>
              <w:rPr>
                <w:rFonts w:ascii="宋体" w:hAnsi="宋体" w:cs="宋体" w:eastAsia="宋体" w:hint="default"/>
                <w:sz w:val="18"/>
                <w:szCs w:val="18"/>
              </w:rPr>
            </w:pPr>
            <w:r>
              <w:rPr>
                <w:rFonts w:ascii="宋体" w:hAnsi="宋体" w:cs="宋体" w:eastAsia="宋体" w:hint="default"/>
                <w:spacing w:val="-4"/>
                <w:sz w:val="18"/>
                <w:szCs w:val="18"/>
              </w:rPr>
              <w:t>离任的董事、监事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高级管理人员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before="125"/>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23" w:right="0"/>
              <w:jc w:val="left"/>
              <w:rPr>
                <w:rFonts w:ascii="宋体" w:hAnsi="宋体" w:cs="宋体" w:eastAsia="宋体" w:hint="default"/>
                <w:sz w:val="18"/>
                <w:szCs w:val="18"/>
              </w:rPr>
            </w:pPr>
            <w:r>
              <w:rPr>
                <w:rFonts w:ascii="宋体" w:hAnsi="宋体" w:cs="宋体" w:eastAsia="宋体" w:hint="default"/>
                <w:sz w:val="18"/>
                <w:szCs w:val="18"/>
              </w:rPr>
              <w:t>离任董事关于股份减持的承诺</w:t>
            </w:r>
            <w:r>
              <w:rPr>
                <w:rFonts w:ascii="宋体" w:hAnsi="宋体" w:cs="宋体" w:eastAsia="宋体" w:hint="default"/>
                <w:spacing w:val="-89"/>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1"/>
                <w:sz w:val="18"/>
                <w:szCs w:val="18"/>
              </w:rPr>
              <w:t>9</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1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57" w:right="55"/>
              <w:jc w:val="center"/>
              <w:rPr>
                <w:rFonts w:ascii="宋体" w:hAnsi="宋体" w:cs="宋体" w:eastAsia="宋体" w:hint="default"/>
                <w:sz w:val="18"/>
                <w:szCs w:val="18"/>
              </w:rPr>
            </w:pPr>
            <w:r>
              <w:rPr>
                <w:rFonts w:ascii="宋体" w:hAnsi="宋体" w:cs="宋体" w:eastAsia="宋体" w:hint="default"/>
                <w:sz w:val="18"/>
                <w:szCs w:val="18"/>
              </w:rPr>
              <w:t>至第八届董 事会届满后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center"/>
        <w:rPr>
          <w:rFonts w:ascii="宋体" w:hAnsi="宋体" w:cs="宋体" w:eastAsia="宋体" w:hint="default"/>
          <w:sz w:val="18"/>
          <w:szCs w:val="18"/>
        </w:rPr>
        <w:sectPr>
          <w:pgSz w:w="11910" w:h="16840"/>
          <w:pgMar w:header="877" w:footer="1265" w:top="1100" w:bottom="1460" w:left="840" w:right="0"/>
        </w:sectPr>
      </w:pPr>
    </w:p>
    <w:p>
      <w:pPr>
        <w:spacing w:line="240" w:lineRule="auto" w:before="11"/>
        <w:rPr>
          <w:rFonts w:ascii="Times New Roman" w:hAnsi="Times New Roman" w:cs="Times New Roman" w:eastAsia="Times New Roman" w:hint="default"/>
          <w:sz w:val="27"/>
          <w:szCs w:val="27"/>
        </w:rPr>
      </w:pPr>
      <w:r>
        <w:rPr/>
        <w:pict>
          <v:group style="position:absolute;margin-left:182.899994pt;margin-top:404.469971pt;width:176.85pt;height:18.150pt;mso-position-horizontal-relative:page;mso-position-vertical-relative:page;z-index:-1637536" coordorigin="3658,8089" coordsize="3537,363">
            <v:group style="position:absolute;left:3658;top:8089;width:3537;height:116" coordorigin="3658,8089" coordsize="3537,116">
              <v:shape style="position:absolute;left:3658;top:8089;width:3537;height:116" coordorigin="3658,8089" coordsize="3537,116" path="m3658,8205l7194,8205,7194,8089,3658,8089,3658,8205xe" filled="true" fillcolor="#ffffff" stroked="false">
                <v:path arrowok="t"/>
                <v:fill type="solid"/>
              </v:shape>
            </v:group>
            <v:group style="position:absolute;left:3670;top:8205;width:2;height:236" coordorigin="3670,8205" coordsize="2,236">
              <v:shape style="position:absolute;left:3670;top:8205;width:2;height:236" coordorigin="3670,8205" coordsize="0,236" path="m3670,8205l3670,8440e" filled="false" stroked="true" strokeweight="1.2pt" strokecolor="#ffffff">
                <v:path arrowok="t"/>
              </v:shape>
            </v:group>
            <v:group style="position:absolute;left:3682;top:8205;width:3489;height:236" coordorigin="3682,8205" coordsize="3489,236">
              <v:shape style="position:absolute;left:3682;top:8205;width:3489;height:236" coordorigin="3682,8205" coordsize="3489,236" path="m3682,8440l7170,8440,7170,8205,3682,8205,3682,8440xe" filled="true" fillcolor="#ffffff"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1136"/>
        <w:gridCol w:w="1560"/>
        <w:gridCol w:w="3543"/>
        <w:gridCol w:w="1560"/>
        <w:gridCol w:w="1025"/>
        <w:gridCol w:w="1094"/>
      </w:tblGrid>
      <w:tr>
        <w:trPr>
          <w:trHeight w:val="52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989"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27"/>
              <w:ind w:left="24" w:right="-27"/>
              <w:jc w:val="left"/>
              <w:rPr>
                <w:rFonts w:ascii="宋体" w:hAnsi="宋体" w:cs="宋体" w:eastAsia="宋体" w:hint="default"/>
                <w:sz w:val="18"/>
                <w:szCs w:val="18"/>
              </w:rPr>
            </w:pPr>
            <w:r>
              <w:rPr>
                <w:rFonts w:ascii="宋体" w:hAnsi="宋体" w:cs="宋体" w:eastAsia="宋体" w:hint="default"/>
                <w:sz w:val="18"/>
                <w:szCs w:val="18"/>
              </w:rPr>
              <w:t>关于深深宝 重组的相关 承诺（注</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关于无减持计划的承诺与声明</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5"/>
              <w:jc w:val="left"/>
              <w:rPr>
                <w:rFonts w:ascii="宋体" w:hAnsi="宋体" w:cs="宋体" w:eastAsia="宋体" w:hint="default"/>
                <w:sz w:val="18"/>
                <w:szCs w:val="18"/>
              </w:rPr>
            </w:pPr>
            <w:r>
              <w:rPr>
                <w:rFonts w:ascii="宋体" w:hAnsi="宋体" w:cs="宋体" w:eastAsia="宋体" w:hint="default"/>
                <w:spacing w:val="12"/>
                <w:sz w:val="18"/>
                <w:szCs w:val="18"/>
              </w:rPr>
              <w:t>至重组实施</w:t>
            </w:r>
            <w:r>
              <w:rPr>
                <w:rFonts w:ascii="宋体" w:hAnsi="宋体" w:cs="宋体" w:eastAsia="宋体" w:hint="default"/>
                <w:spacing w:val="-86"/>
                <w:sz w:val="18"/>
                <w:szCs w:val="18"/>
              </w:rPr>
              <w:t> </w:t>
            </w:r>
            <w:r>
              <w:rPr>
                <w:rFonts w:ascii="宋体" w:hAnsi="宋体" w:cs="宋体" w:eastAsia="宋体" w:hint="default"/>
                <w:spacing w:val="56"/>
                <w:sz w:val="18"/>
                <w:szCs w:val="18"/>
              </w:rPr>
              <w:t>完毕期</w:t>
            </w:r>
            <w:r>
              <w:rPr>
                <w:rFonts w:ascii="宋体" w:hAnsi="宋体" w:cs="宋体" w:eastAsia="宋体" w:hint="default"/>
                <w:spacing w:val="-7"/>
                <w:sz w:val="18"/>
                <w:szCs w:val="18"/>
              </w:rPr>
              <w:t> </w:t>
            </w:r>
            <w:r>
              <w:rPr>
                <w:rFonts w:ascii="宋体" w:hAnsi="宋体" w:cs="宋体" w:eastAsia="宋体" w:hint="default"/>
                <w:sz w:val="18"/>
                <w:szCs w:val="18"/>
              </w:rPr>
              <w:t>间</w:t>
            </w:r>
          </w:p>
          <w:p>
            <w:pPr>
              <w:pStyle w:val="TableParagraph"/>
              <w:spacing w:line="238"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（即至</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2018</w:t>
            </w:r>
          </w:p>
          <w:p>
            <w:pPr>
              <w:pStyle w:val="TableParagraph"/>
              <w:spacing w:line="233"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18</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514"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23" w:right="87"/>
              <w:jc w:val="left"/>
              <w:rPr>
                <w:rFonts w:ascii="宋体" w:hAnsi="宋体" w:cs="宋体" w:eastAsia="宋体" w:hint="default"/>
                <w:sz w:val="18"/>
                <w:szCs w:val="18"/>
              </w:rPr>
            </w:pPr>
            <w:r>
              <w:rPr>
                <w:rFonts w:ascii="宋体" w:hAnsi="宋体" w:cs="宋体" w:eastAsia="宋体" w:hint="default"/>
                <w:sz w:val="18"/>
                <w:szCs w:val="18"/>
              </w:rPr>
              <w:t>关于涉及重组事项公司所提供信息真实性、 准确性和完整性的承诺</w:t>
            </w:r>
          </w:p>
        </w:tc>
        <w:tc>
          <w:tcPr>
            <w:tcW w:w="1560" w:type="dxa"/>
            <w:vMerge/>
            <w:tcBorders>
              <w:left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8"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关于公司无重大违法违规行为及诚信情况的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承诺与声明</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关于避免非经营性资金占用的承诺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关于股份锁定期的承诺</w:t>
            </w:r>
          </w:p>
        </w:tc>
        <w:tc>
          <w:tcPr>
            <w:tcW w:w="1560"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宋体" w:hAnsi="宋体" w:cs="宋体" w:eastAsia="宋体" w:hint="default"/>
                <w:sz w:val="18"/>
                <w:szCs w:val="18"/>
              </w:rPr>
              <w:t>2018</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宋体" w:hAnsi="宋体" w:cs="宋体" w:eastAsia="宋体" w:hint="default"/>
                <w:sz w:val="18"/>
                <w:szCs w:val="18"/>
              </w:rPr>
              <w:t>10</w:t>
            </w:r>
          </w:p>
          <w:p>
            <w:pPr>
              <w:pStyle w:val="TableParagraph"/>
              <w:spacing w:line="230" w:lineRule="exact" w:before="26"/>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18</w:t>
            </w:r>
            <w:r>
              <w:rPr>
                <w:rFonts w:ascii="宋体" w:hAnsi="宋体" w:cs="宋体" w:eastAsia="宋体" w:hint="default"/>
                <w:spacing w:val="-65"/>
                <w:sz w:val="18"/>
                <w:szCs w:val="18"/>
              </w:rPr>
              <w:t> </w:t>
            </w:r>
            <w:r>
              <w:rPr>
                <w:rFonts w:ascii="宋体" w:hAnsi="宋体" w:cs="宋体" w:eastAsia="宋体" w:hint="default"/>
                <w:sz w:val="18"/>
                <w:szCs w:val="18"/>
              </w:rPr>
              <w:t>日起</w:t>
            </w:r>
            <w:r>
              <w:rPr>
                <w:rFonts w:ascii="宋体" w:hAnsi="宋体" w:cs="宋体" w:eastAsia="宋体" w:hint="default"/>
                <w:spacing w:val="-69"/>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个月内</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7" w:lineRule="auto"/>
              <w:ind w:left="24" w:right="151"/>
              <w:jc w:val="both"/>
              <w:rPr>
                <w:rFonts w:ascii="宋体" w:hAnsi="宋体" w:cs="宋体" w:eastAsia="宋体" w:hint="default"/>
                <w:sz w:val="18"/>
                <w:szCs w:val="18"/>
              </w:rPr>
            </w:pPr>
            <w:r>
              <w:rPr>
                <w:rFonts w:ascii="宋体" w:hAnsi="宋体" w:cs="宋体" w:eastAsia="宋体" w:hint="default"/>
                <w:sz w:val="18"/>
                <w:szCs w:val="18"/>
              </w:rPr>
              <w:t>关于中农网 重大资产出 售事项相关 方出具的承 诺（注</w:t>
            </w:r>
            <w:r>
              <w:rPr>
                <w:rFonts w:ascii="宋体" w:hAnsi="宋体" w:cs="宋体" w:eastAsia="宋体" w:hint="default"/>
                <w:spacing w:val="-42"/>
                <w:sz w:val="18"/>
                <w:szCs w:val="18"/>
              </w:rPr>
              <w:t> </w:t>
            </w:r>
            <w:r>
              <w:rPr>
                <w:rFonts w:ascii="宋体" w:hAnsi="宋体" w:cs="宋体" w:eastAsia="宋体" w:hint="default"/>
                <w:sz w:val="18"/>
                <w:szCs w:val="18"/>
              </w:rPr>
              <w:t>11</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84"/>
              <w:jc w:val="left"/>
              <w:rPr>
                <w:rFonts w:ascii="宋体" w:hAnsi="宋体" w:cs="宋体" w:eastAsia="宋体" w:hint="default"/>
                <w:sz w:val="18"/>
                <w:szCs w:val="18"/>
              </w:rPr>
            </w:pPr>
            <w:r>
              <w:rPr>
                <w:rFonts w:ascii="宋体" w:hAnsi="宋体" w:cs="宋体" w:eastAsia="宋体" w:hint="default"/>
                <w:sz w:val="18"/>
                <w:szCs w:val="18"/>
              </w:rPr>
              <w:t>公司及董事、高级 管理人员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87"/>
              <w:jc w:val="left"/>
              <w:rPr>
                <w:rFonts w:ascii="宋体" w:hAnsi="宋体" w:cs="宋体" w:eastAsia="宋体" w:hint="default"/>
                <w:sz w:val="18"/>
                <w:szCs w:val="18"/>
              </w:rPr>
            </w:pPr>
            <w:r>
              <w:rPr>
                <w:rFonts w:ascii="宋体" w:hAnsi="宋体" w:cs="宋体" w:eastAsia="宋体" w:hint="default"/>
                <w:sz w:val="18"/>
                <w:szCs w:val="18"/>
              </w:rPr>
              <w:t>关于本次重大资产出售摊薄即期回报的说明 及填补措施的承诺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32" w:lineRule="exact"/>
              <w:ind w:left="23" w:right="84"/>
              <w:jc w:val="left"/>
              <w:rPr>
                <w:rFonts w:ascii="宋体" w:hAnsi="宋体" w:cs="宋体" w:eastAsia="宋体" w:hint="default"/>
                <w:sz w:val="18"/>
                <w:szCs w:val="18"/>
              </w:rPr>
            </w:pPr>
            <w:r>
              <w:rPr>
                <w:rFonts w:ascii="宋体" w:hAnsi="宋体" w:cs="宋体" w:eastAsia="宋体" w:hint="default"/>
                <w:sz w:val="18"/>
                <w:szCs w:val="18"/>
              </w:rPr>
              <w:t>公司董事、监事、 高级管理人员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关于减持计划的承诺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87"/>
              <w:jc w:val="left"/>
              <w:rPr>
                <w:rFonts w:ascii="宋体" w:hAnsi="宋体" w:cs="宋体" w:eastAsia="宋体" w:hint="default"/>
                <w:sz w:val="18"/>
                <w:szCs w:val="18"/>
              </w:rPr>
            </w:pPr>
            <w:r>
              <w:rPr>
                <w:rFonts w:ascii="宋体" w:hAnsi="宋体" w:cs="宋体" w:eastAsia="宋体" w:hint="default"/>
                <w:sz w:val="18"/>
                <w:szCs w:val="18"/>
              </w:rPr>
              <w:t>关于本次重大资产出售申请文件真实性、准 确性、完整性的承诺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4"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关于守法和诚信情况的声明</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6"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关于拟出售资产权属清晰完整的承诺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5" w:hRule="exact"/>
        </w:trPr>
        <w:tc>
          <w:tcPr>
            <w:tcW w:w="1136"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公司及董事、监事</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2" w:hRule="exact"/>
        </w:trPr>
        <w:tc>
          <w:tcPr>
            <w:tcW w:w="113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中农网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23" w:right="87"/>
              <w:jc w:val="left"/>
              <w:rPr>
                <w:rFonts w:ascii="宋体" w:hAnsi="宋体" w:cs="宋体" w:eastAsia="宋体" w:hint="default"/>
                <w:sz w:val="18"/>
                <w:szCs w:val="18"/>
              </w:rPr>
            </w:pPr>
            <w:r>
              <w:rPr>
                <w:rFonts w:ascii="宋体" w:hAnsi="宋体" w:cs="宋体" w:eastAsia="宋体" w:hint="default"/>
                <w:sz w:val="18"/>
                <w:szCs w:val="18"/>
              </w:rPr>
              <w:t>关于所提供信息及申请文件真实、准确、完 整的承诺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42"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关于减少和规范关联交易的承诺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78"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关于诉讼、仲裁、处罚及诚信情况的说明与</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5"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5" w:hRule="exact"/>
        </w:trPr>
        <w:tc>
          <w:tcPr>
            <w:tcW w:w="113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中农网董监高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关于诉讼、仲裁、处罚及诚信情况的说明与</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6"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福德资本及董监高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福德资本</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87"/>
              <w:jc w:val="left"/>
              <w:rPr>
                <w:rFonts w:ascii="宋体" w:hAnsi="宋体" w:cs="宋体" w:eastAsia="宋体" w:hint="default"/>
                <w:sz w:val="18"/>
                <w:szCs w:val="18"/>
              </w:rPr>
            </w:pPr>
            <w:r>
              <w:rPr>
                <w:rFonts w:ascii="宋体" w:hAnsi="宋体" w:cs="宋体" w:eastAsia="宋体" w:hint="default"/>
                <w:sz w:val="18"/>
                <w:szCs w:val="18"/>
              </w:rPr>
              <w:t>关于本次重大资产出售申请文件真实性、准 确性、完整性的承诺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2"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87"/>
              <w:jc w:val="left"/>
              <w:rPr>
                <w:rFonts w:ascii="宋体" w:hAnsi="宋体" w:cs="宋体" w:eastAsia="宋体" w:hint="default"/>
                <w:sz w:val="18"/>
                <w:szCs w:val="18"/>
              </w:rPr>
            </w:pPr>
            <w:r>
              <w:rPr>
                <w:rFonts w:ascii="宋体" w:hAnsi="宋体" w:cs="宋体" w:eastAsia="宋体" w:hint="default"/>
                <w:sz w:val="18"/>
                <w:szCs w:val="18"/>
              </w:rPr>
              <w:t>关于本次重大资产重组的原则性意见及减持 计划的承诺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2"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关于减少和规范关联交易的承诺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4"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4" w:hRule="exact"/>
        </w:trPr>
        <w:tc>
          <w:tcPr>
            <w:tcW w:w="113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w:t>
            </w:r>
          </w:p>
        </w:tc>
        <w:tc>
          <w:tcPr>
            <w:tcW w:w="1560"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87"/>
              <w:jc w:val="left"/>
              <w:rPr>
                <w:rFonts w:ascii="宋体" w:hAnsi="宋体" w:cs="宋体" w:eastAsia="宋体" w:hint="default"/>
                <w:sz w:val="18"/>
                <w:szCs w:val="18"/>
              </w:rPr>
            </w:pPr>
            <w:r>
              <w:rPr>
                <w:rFonts w:ascii="宋体" w:hAnsi="宋体" w:cs="宋体" w:eastAsia="宋体" w:hint="default"/>
                <w:sz w:val="18"/>
                <w:szCs w:val="18"/>
              </w:rPr>
              <w:t>关于本次重大资产出售摊薄即期回报的说明 及填补措施的承诺</w:t>
            </w:r>
          </w:p>
        </w:tc>
        <w:tc>
          <w:tcPr>
            <w:tcW w:w="1560"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center"/>
        <w:rPr>
          <w:rFonts w:ascii="宋体" w:hAnsi="宋体" w:cs="宋体" w:eastAsia="宋体" w:hint="default"/>
          <w:sz w:val="18"/>
          <w:szCs w:val="18"/>
        </w:rPr>
        <w:sectPr>
          <w:pgSz w:w="11910" w:h="16840"/>
          <w:pgMar w:header="877" w:footer="1265" w:top="1100" w:bottom="1460" w:left="8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136"/>
        <w:gridCol w:w="1560"/>
        <w:gridCol w:w="3543"/>
        <w:gridCol w:w="1560"/>
        <w:gridCol w:w="1025"/>
        <w:gridCol w:w="1094"/>
      </w:tblGrid>
      <w:tr>
        <w:trPr>
          <w:trHeight w:val="52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5" w:hRule="exact"/>
        </w:trPr>
        <w:tc>
          <w:tcPr>
            <w:tcW w:w="1136"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控股股东及其关联人关于上市公司不存在资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金资产被占用的承诺</w:t>
            </w:r>
          </w:p>
        </w:tc>
        <w:tc>
          <w:tcPr>
            <w:tcW w:w="1560" w:type="dxa"/>
            <w:vMerge w:val="restart"/>
            <w:tcBorders>
              <w:top w:val="single" w:sz="4" w:space="0" w:color="000000"/>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0"/>
              <w:jc w:val="righ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8" w:hRule="exact"/>
        </w:trPr>
        <w:tc>
          <w:tcPr>
            <w:tcW w:w="113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关于不参与本次重组交易相关产权和后续处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置事宜的承诺</w:t>
            </w:r>
          </w:p>
        </w:tc>
        <w:tc>
          <w:tcPr>
            <w:tcW w:w="1560"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0"/>
              <w:jc w:val="righ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8"/>
              <w:ind w:left="24" w:right="201"/>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7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29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70"/>
              <w:ind w:left="24" w:right="201"/>
              <w:jc w:val="both"/>
              <w:rPr>
                <w:rFonts w:ascii="宋体" w:hAnsi="宋体" w:cs="宋体" w:eastAsia="宋体" w:hint="default"/>
                <w:sz w:val="18"/>
                <w:szCs w:val="18"/>
              </w:rPr>
            </w:pPr>
            <w:r>
              <w:rPr>
                <w:rFonts w:ascii="宋体" w:hAnsi="宋体" w:cs="宋体" w:eastAsia="宋体" w:hint="default"/>
                <w:sz w:val="18"/>
                <w:szCs w:val="18"/>
              </w:rPr>
              <w:t>未完成履行 的具体原因 及下一步计 划（如有）</w:t>
            </w:r>
          </w:p>
        </w:tc>
        <w:tc>
          <w:tcPr>
            <w:tcW w:w="87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367" w:lineRule="auto" w:before="77"/>
        <w:ind w:left="292" w:right="1051"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、公司实际控制人深圳市国资委在《股权分置改革说明书》中承诺：通过证券交易所挂牌交易出售的股份数量达到公 </w:t>
      </w:r>
      <w:r>
        <w:rPr>
          <w:rFonts w:ascii="宋体" w:hAnsi="宋体" w:cs="宋体" w:eastAsia="宋体" w:hint="default"/>
          <w:spacing w:val="-2"/>
          <w:sz w:val="18"/>
          <w:szCs w:val="18"/>
        </w:rPr>
        <w:t>司股份总数百分之一的，应当自该事实发生之日起两个工作日内做出公告。报告期，因国有股份无偿划转事项（详见第六节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股份变动及股东情况</w:t>
      </w:r>
      <w:r>
        <w:rPr>
          <w:rFonts w:ascii="宋体" w:hAnsi="宋体" w:cs="宋体" w:eastAsia="宋体" w:hint="default"/>
          <w:spacing w:val="5"/>
          <w:sz w:val="18"/>
          <w:szCs w:val="18"/>
        </w:rPr>
        <w:t> </w:t>
      </w:r>
      <w:r>
        <w:rPr>
          <w:rFonts w:ascii="宋体" w:hAnsi="宋体" w:cs="宋体" w:eastAsia="宋体" w:hint="default"/>
          <w:sz w:val="18"/>
          <w:szCs w:val="18"/>
        </w:rPr>
        <w:t>三、股东和实际控制人情况</w:t>
      </w:r>
      <w:r>
        <w:rPr>
          <w:rFonts w:ascii="宋体" w:hAnsi="宋体" w:cs="宋体" w:eastAsia="宋体" w:hint="default"/>
          <w:spacing w:val="5"/>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、公司控股股东情况），深圳市国资委将合计持有的</w:t>
      </w:r>
      <w:r>
        <w:rPr>
          <w:rFonts w:ascii="宋体" w:hAnsi="宋体" w:cs="宋体" w:eastAsia="宋体" w:hint="default"/>
          <w:spacing w:val="-3"/>
          <w:sz w:val="18"/>
          <w:szCs w:val="18"/>
        </w:rPr>
        <w:t>34%</w:t>
      </w:r>
      <w:r>
        <w:rPr>
          <w:rFonts w:ascii="宋体" w:hAnsi="宋体" w:cs="宋体" w:eastAsia="宋体" w:hint="default"/>
          <w:spacing w:val="-3"/>
          <w:sz w:val="18"/>
          <w:szCs w:val="18"/>
        </w:rPr>
        <w:t>股份无偿划转至</w:t>
      </w:r>
      <w:r>
        <w:rPr>
          <w:rFonts w:ascii="宋体" w:hAnsi="宋体" w:cs="宋体" w:eastAsia="宋体" w:hint="default"/>
          <w:spacing w:val="-86"/>
          <w:sz w:val="18"/>
          <w:szCs w:val="18"/>
        </w:rPr>
        <w:t> </w:t>
      </w:r>
      <w:r>
        <w:rPr>
          <w:rFonts w:ascii="宋体" w:hAnsi="宋体" w:cs="宋体" w:eastAsia="宋体" w:hint="default"/>
          <w:sz w:val="18"/>
          <w:szCs w:val="18"/>
        </w:rPr>
        <w:t>福德资本，福德资本成为公司控股股东，并于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月承诺，承接深圳市国资委在《股权分置改革说明书》中的承诺，即 通过证券交易所挂牌交易出售的股份数量达到公司股份总数百分之一的，应当自该事实发生之日起两个工作日内做出公告。</w:t>
      </w:r>
    </w:p>
    <w:p>
      <w:pPr>
        <w:spacing w:line="367" w:lineRule="auto" w:before="29"/>
        <w:ind w:left="292" w:right="1131" w:firstLine="346"/>
        <w:jc w:val="both"/>
        <w:rPr>
          <w:rFonts w:ascii="宋体" w:hAnsi="宋体" w:cs="宋体" w:eastAsia="宋体" w:hint="default"/>
          <w:sz w:val="18"/>
          <w:szCs w:val="18"/>
        </w:rPr>
      </w:pPr>
      <w:r>
        <w:rPr>
          <w:rFonts w:ascii="宋体" w:hAnsi="宋体" w:cs="宋体" w:eastAsia="宋体" w:hint="default"/>
          <w:spacing w:val="-2"/>
          <w:sz w:val="18"/>
          <w:szCs w:val="18"/>
        </w:rPr>
        <w:t>公司原</w:t>
      </w:r>
      <w:r>
        <w:rPr>
          <w:rFonts w:ascii="宋体" w:hAnsi="宋体" w:cs="宋体" w:eastAsia="宋体" w:hint="default"/>
          <w:spacing w:val="-2"/>
          <w:sz w:val="18"/>
          <w:szCs w:val="18"/>
        </w:rPr>
        <w:t>11</w:t>
      </w:r>
      <w:r>
        <w:rPr>
          <w:rFonts w:ascii="宋体" w:hAnsi="宋体" w:cs="宋体" w:eastAsia="宋体" w:hint="default"/>
          <w:spacing w:val="-2"/>
          <w:sz w:val="18"/>
          <w:szCs w:val="18"/>
        </w:rPr>
        <w:t>家法人股东在《股权分置改革说明书》中承诺：通过证券交易所挂牌交易出售的股份数量达到公司股份总数百</w:t>
      </w:r>
      <w:r>
        <w:rPr>
          <w:rFonts w:ascii="宋体" w:hAnsi="宋体" w:cs="宋体" w:eastAsia="宋体" w:hint="default"/>
          <w:sz w:val="18"/>
          <w:szCs w:val="18"/>
        </w:rPr>
        <w:t> 分之一的，应当自该事实发生之日起两个工作日内做出公告。</w:t>
      </w:r>
    </w:p>
    <w:p>
      <w:pPr>
        <w:spacing w:line="367" w:lineRule="auto" w:before="29"/>
        <w:ind w:left="292" w:right="1131" w:firstLine="346"/>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、公司股东生命人寿于</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10</w:t>
      </w:r>
      <w:r>
        <w:rPr>
          <w:rFonts w:ascii="宋体" w:hAnsi="宋体" w:cs="宋体" w:eastAsia="宋体" w:hint="default"/>
          <w:spacing w:val="-2"/>
          <w:sz w:val="18"/>
          <w:szCs w:val="18"/>
        </w:rPr>
        <w:t>日委托公司代为披露《详式权益变动报告书》，并签署《关于规范关联交易及避免</w:t>
      </w:r>
      <w:r>
        <w:rPr>
          <w:rFonts w:ascii="宋体" w:hAnsi="宋体" w:cs="宋体" w:eastAsia="宋体" w:hint="default"/>
          <w:sz w:val="18"/>
          <w:szCs w:val="18"/>
        </w:rPr>
        <w:t> </w:t>
      </w:r>
      <w:r>
        <w:rPr>
          <w:rFonts w:ascii="宋体" w:hAnsi="宋体" w:cs="宋体" w:eastAsia="宋体" w:hint="default"/>
          <w:spacing w:val="-5"/>
          <w:sz w:val="18"/>
          <w:szCs w:val="18"/>
        </w:rPr>
        <w:t>同业竞争的承诺函》，承诺：“本次权益变动完成后，生命人寿将不会在中国境内从事与农产品业务构成同业竞争或潜在同业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竞争的业务或活动”；同时，生命人寿签署《信息披露义务人与上市公司独立性的承诺与保证函》，承诺：“本次权益变动完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成后，生命人寿与上市公司在人员、财务、资产、业务和机构等方面保持相互独立并将继续保持相互独立，遵守中国证监会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关于上市公司独立性的相关规定。”</w:t>
      </w:r>
    </w:p>
    <w:p>
      <w:pPr>
        <w:spacing w:line="367" w:lineRule="auto" w:before="29"/>
        <w:ind w:left="292" w:right="1132" w:firstLine="346"/>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、公司控股股东福德资本在</w:t>
      </w:r>
      <w:r>
        <w:rPr>
          <w:rFonts w:ascii="宋体" w:hAnsi="宋体" w:cs="宋体" w:eastAsia="宋体" w:hint="default"/>
          <w:spacing w:val="-3"/>
          <w:sz w:val="18"/>
          <w:szCs w:val="18"/>
        </w:rPr>
        <w:t>2018</w:t>
      </w:r>
      <w:r>
        <w:rPr>
          <w:rFonts w:ascii="宋体" w:hAnsi="宋体" w:cs="宋体" w:eastAsia="宋体" w:hint="default"/>
          <w:spacing w:val="-3"/>
          <w:sz w:val="18"/>
          <w:szCs w:val="18"/>
        </w:rPr>
        <w:t>年国有股份无偿划转事项中出具的《关于保证上市公司独立性的承诺函》中承诺：“本</w:t>
      </w:r>
      <w:r>
        <w:rPr>
          <w:rFonts w:ascii="宋体" w:hAnsi="宋体" w:cs="宋体" w:eastAsia="宋体" w:hint="default"/>
          <w:sz w:val="18"/>
          <w:szCs w:val="18"/>
        </w:rPr>
        <w:t> </w:t>
      </w:r>
      <w:r>
        <w:rPr>
          <w:rFonts w:ascii="宋体" w:hAnsi="宋体" w:cs="宋体" w:eastAsia="宋体" w:hint="default"/>
          <w:spacing w:val="-2"/>
          <w:sz w:val="18"/>
          <w:szCs w:val="18"/>
        </w:rPr>
        <w:t>公司将维护上市公司的独立性，与上市公司之间保持人员独立、机构独立、财务独立、资产完整，上市公司仍将具有独立经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营能力，拥有独立的采购、生产、销售体系，拥有独立的知识产权。若违反上述承诺，本公司将承担相应的法律责任，包括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但不限于就由此给上市公司造成的全部损失承担赔偿责任。”</w:t>
      </w:r>
    </w:p>
    <w:p>
      <w:pPr>
        <w:spacing w:before="29"/>
        <w:ind w:left="638"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、公司控股股东福德资本在</w:t>
      </w:r>
      <w:r>
        <w:rPr>
          <w:rFonts w:ascii="宋体" w:hAnsi="宋体" w:cs="宋体" w:eastAsia="宋体" w:hint="default"/>
          <w:sz w:val="18"/>
          <w:szCs w:val="18"/>
        </w:rPr>
        <w:t>2018</w:t>
      </w:r>
      <w:r>
        <w:rPr>
          <w:rFonts w:ascii="宋体" w:hAnsi="宋体" w:cs="宋体" w:eastAsia="宋体" w:hint="default"/>
          <w:sz w:val="18"/>
          <w:szCs w:val="18"/>
        </w:rPr>
        <w:t>年国有股份无偿划转事项中出具的《关于避免同业竞争的承诺》中承诺：</w:t>
      </w:r>
    </w:p>
    <w:p>
      <w:pPr>
        <w:spacing w:line="367" w:lineRule="auto" w:before="124"/>
        <w:ind w:left="29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）截至本承诺函出具日，本公司及本公司直接或间接控制的其他经济实体不存在直接或间接经营（包括但不限于单 独经营、合资经营或实际投资持有权益）与农产品经营的业务构成竞争或可能构成竞争的业务。</w:t>
      </w:r>
    </w:p>
    <w:p>
      <w:pPr>
        <w:spacing w:line="367" w:lineRule="auto" w:before="29"/>
        <w:ind w:left="29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）本公司将不直接或间接经营（包括但不限于单独经营、合资经营或实际投资持有权益）与农产品目前及未来经营 的业务构成竞争或可能构成竞争的业务，也不会参与、协助任何第三方与农产品进行直接或间接的竞争。</w:t>
      </w:r>
    </w:p>
    <w:p>
      <w:pPr>
        <w:spacing w:line="367" w:lineRule="auto" w:before="29"/>
        <w:ind w:left="292" w:right="1152"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）凡本公司中标任何项目或取得任何商业机会可从事、参与或投资可能会与农产品及其下属公司目前及未来的主营 业务构成竞争的业务，本公司会将该等项目及商业机会让予农产品或其下属公司实际实施或经营。</w:t>
      </w:r>
    </w:p>
    <w:p>
      <w:pPr>
        <w:spacing w:before="29"/>
        <w:ind w:left="638" w:right="250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）本公司承诺不以农产品控股股东的地位谋求不当利益，从而损害农产品及其股东的权益。</w:t>
      </w:r>
    </w:p>
    <w:p>
      <w:pPr>
        <w:spacing w:line="367" w:lineRule="auto" w:before="124"/>
        <w:ind w:left="292" w:right="1133"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）本公司将促使本公司直接或间接控制的其他经济实体遵守上述各项承诺。如本公司及本公司直接或间接控制的其 </w:t>
      </w:r>
      <w:r>
        <w:rPr>
          <w:rFonts w:ascii="宋体" w:hAnsi="宋体" w:cs="宋体" w:eastAsia="宋体" w:hint="default"/>
          <w:spacing w:val="-2"/>
          <w:sz w:val="18"/>
          <w:szCs w:val="18"/>
        </w:rPr>
        <w:t>他经济实体未履行上述承诺而给农产品造成经济损失，本公司将承担相应的赔偿责任，且本公司及本公司直接或间接控制的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其他经济实体从事与农产品竞争业务所产生的全部收益将归农产品所有。</w:t>
      </w:r>
    </w:p>
    <w:p>
      <w:pPr>
        <w:spacing w:before="29"/>
        <w:ind w:left="638" w:right="2505" w:firstLine="0"/>
        <w:jc w:val="left"/>
        <w:rPr>
          <w:rFonts w:ascii="宋体" w:hAnsi="宋体" w:cs="宋体" w:eastAsia="宋体" w:hint="default"/>
          <w:sz w:val="18"/>
          <w:szCs w:val="18"/>
        </w:rPr>
      </w:pPr>
      <w:r>
        <w:rPr>
          <w:rFonts w:ascii="宋体" w:hAnsi="宋体" w:cs="宋体" w:eastAsia="宋体" w:hint="default"/>
          <w:sz w:val="18"/>
          <w:szCs w:val="18"/>
        </w:rPr>
        <w:t>本承诺函自签署之日起生效，在本公司为农产品股东期间，上述承诺函持续有效。</w:t>
      </w:r>
    </w:p>
    <w:p>
      <w:pPr>
        <w:spacing w:after="0"/>
        <w:jc w:val="left"/>
        <w:rPr>
          <w:rFonts w:ascii="宋体" w:hAnsi="宋体" w:cs="宋体" w:eastAsia="宋体" w:hint="default"/>
          <w:sz w:val="18"/>
          <w:szCs w:val="18"/>
        </w:rPr>
        <w:sectPr>
          <w:pgSz w:w="11910" w:h="16840"/>
          <w:pgMar w:header="877" w:footer="1265" w:top="1100" w:bottom="1460" w:left="840" w:right="0"/>
        </w:sectPr>
      </w:pPr>
    </w:p>
    <w:p>
      <w:pPr>
        <w:spacing w:line="240" w:lineRule="auto" w:before="2"/>
        <w:rPr>
          <w:rFonts w:ascii="宋体" w:hAnsi="宋体" w:cs="宋体" w:eastAsia="宋体" w:hint="default"/>
          <w:sz w:val="27"/>
          <w:szCs w:val="27"/>
        </w:rPr>
      </w:pPr>
    </w:p>
    <w:p>
      <w:pPr>
        <w:spacing w:before="44"/>
        <w:ind w:left="498"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、公司控股股东福德资本在</w:t>
      </w:r>
      <w:r>
        <w:rPr>
          <w:rFonts w:ascii="宋体" w:hAnsi="宋体" w:cs="宋体" w:eastAsia="宋体" w:hint="default"/>
          <w:sz w:val="18"/>
          <w:szCs w:val="18"/>
        </w:rPr>
        <w:t>2018</w:t>
      </w:r>
      <w:r>
        <w:rPr>
          <w:rFonts w:ascii="宋体" w:hAnsi="宋体" w:cs="宋体" w:eastAsia="宋体" w:hint="default"/>
          <w:sz w:val="18"/>
          <w:szCs w:val="18"/>
        </w:rPr>
        <w:t>年国有股份无偿划转事项中出具的《关于规范及减少关联交易的承诺》中承诺：</w:t>
      </w:r>
    </w:p>
    <w:p>
      <w:pPr>
        <w:spacing w:line="367" w:lineRule="auto" w:before="124"/>
        <w:ind w:left="152" w:right="1064" w:firstLine="34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）本公司及本公司控股或实际控制的公司、企业、经济组织（不包括上市公司控制的企业，以下统称‘附属公司’）</w:t>
      </w:r>
      <w:r>
        <w:rPr>
          <w:rFonts w:ascii="宋体" w:hAnsi="宋体" w:cs="宋体" w:eastAsia="宋体" w:hint="default"/>
          <w:sz w:val="18"/>
          <w:szCs w:val="18"/>
        </w:rPr>
        <w:t> </w:t>
      </w:r>
      <w:r>
        <w:rPr>
          <w:rFonts w:ascii="宋体" w:hAnsi="宋体" w:cs="宋体" w:eastAsia="宋体" w:hint="default"/>
          <w:spacing w:val="-2"/>
          <w:sz w:val="18"/>
          <w:szCs w:val="18"/>
        </w:rPr>
        <w:t>将严格按照法律、法规及其他规范性文件的规定行使股东的权利，履行股东的义务，保持上市公司在资产、财务、人员、业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务和机构等方面的独立性；</w:t>
      </w:r>
    </w:p>
    <w:p>
      <w:pPr>
        <w:spacing w:before="29"/>
        <w:ind w:left="49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）本公司承诺不利用股东的地位促使上市公司股东大会或董事会做出侵犯上市公司其他股东合法权益的决议；</w:t>
      </w:r>
    </w:p>
    <w:p>
      <w:pPr>
        <w:spacing w:line="367" w:lineRule="auto" w:before="124"/>
        <w:ind w:left="152" w:right="1130"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）本公司或附属公司将尽量避免与上市公司之间产生关联交易，对于不可避免与上市公司发生关联交易时，本公司 </w:t>
      </w:r>
      <w:r>
        <w:rPr>
          <w:rFonts w:ascii="宋体" w:hAnsi="宋体" w:cs="宋体" w:eastAsia="宋体" w:hint="default"/>
          <w:spacing w:val="-2"/>
          <w:sz w:val="18"/>
          <w:szCs w:val="18"/>
        </w:rPr>
        <w:t>或附属公司自身将促使所控制的主体在平等、自愿的基础上，按照公平合理和正常的商业交易条件与上市公司进行交易，不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会要求或接受上市公司给予比在任何一项市场公平交易中第三者更优惠的条件，并善意、严格地履行与上市公司签订的各项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关联交易协议；</w:t>
      </w:r>
    </w:p>
    <w:p>
      <w:pPr>
        <w:spacing w:line="367" w:lineRule="auto" w:before="29"/>
        <w:ind w:left="15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）本公司或附属公司将严格按照上市公司章程以及相关法律法规的规定履行关联交易决策程序以及相应的信息披露 义务；</w:t>
      </w:r>
    </w:p>
    <w:p>
      <w:pPr>
        <w:spacing w:line="367" w:lineRule="auto" w:before="29"/>
        <w:ind w:left="15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）本公司或附属公司将确保不通过与上市公司之间的关联交易谋求超出上述规定以外的特殊利益，不利用关联交易 非法转移上市公司的资金、利润，不利用关联交易恶意损害上市公司及其股东的合法权益。</w:t>
      </w:r>
    </w:p>
    <w:p>
      <w:pPr>
        <w:spacing w:line="367" w:lineRule="auto" w:before="29"/>
        <w:ind w:left="498" w:right="1408" w:firstLine="0"/>
        <w:jc w:val="left"/>
        <w:rPr>
          <w:rFonts w:ascii="宋体" w:hAnsi="宋体" w:cs="宋体" w:eastAsia="宋体" w:hint="default"/>
          <w:sz w:val="18"/>
          <w:szCs w:val="18"/>
        </w:rPr>
      </w:pPr>
      <w:r>
        <w:rPr>
          <w:rFonts w:ascii="宋体" w:hAnsi="宋体" w:cs="宋体" w:eastAsia="宋体" w:hint="default"/>
          <w:sz w:val="18"/>
          <w:szCs w:val="18"/>
        </w:rPr>
        <w:t>若违反上述承诺，本公司将承担相应的法律责任，包括但不限于就由此给上市公司造成的全部损失承担赔偿责任。 </w:t>
      </w:r>
      <w:r>
        <w:rPr>
          <w:rFonts w:ascii="宋体" w:hAnsi="宋体" w:cs="宋体" w:eastAsia="宋体" w:hint="default"/>
          <w:sz w:val="18"/>
          <w:szCs w:val="18"/>
        </w:rPr>
        <w:t>6</w:t>
      </w:r>
      <w:r>
        <w:rPr>
          <w:rFonts w:ascii="宋体" w:hAnsi="宋体" w:cs="宋体" w:eastAsia="宋体" w:hint="default"/>
          <w:sz w:val="18"/>
          <w:szCs w:val="18"/>
        </w:rPr>
        <w:t>、公司</w:t>
      </w:r>
      <w:r>
        <w:rPr>
          <w:rFonts w:ascii="宋体" w:hAnsi="宋体" w:cs="宋体" w:eastAsia="宋体" w:hint="default"/>
          <w:sz w:val="18"/>
          <w:szCs w:val="18"/>
        </w:rPr>
        <w:t>2008</w:t>
      </w:r>
      <w:r>
        <w:rPr>
          <w:rFonts w:ascii="宋体" w:hAnsi="宋体" w:cs="宋体" w:eastAsia="宋体" w:hint="default"/>
          <w:sz w:val="18"/>
          <w:szCs w:val="18"/>
        </w:rPr>
        <w:t>年非公开发行股票，深圳市国资委在《非公开发行股票预案》中的承诺：</w:t>
      </w:r>
    </w:p>
    <w:p>
      <w:pPr>
        <w:spacing w:line="367" w:lineRule="auto" w:before="29"/>
        <w:ind w:left="15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）深圳市国资委承诺并保证其本身，并将促使深圳市国资委全资或控股的子公司今后不会直接参与经营与本公司主 营业务相同的业务。</w:t>
      </w:r>
    </w:p>
    <w:p>
      <w:pPr>
        <w:spacing w:before="29"/>
        <w:ind w:left="49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）深圳市国资委在以后的经营或投资项目的安排上将避免与本公司主营业务发生同业竞争。</w:t>
      </w:r>
    </w:p>
    <w:p>
      <w:pPr>
        <w:spacing w:line="367" w:lineRule="auto" w:before="124"/>
        <w:ind w:left="152" w:right="1153"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）如因国家政策调整等不可抗力或意外事件或国有股权划转的发生，致使同业竞争变成可能或不可避免时，在同等 条件下，本公司享有投资经营相关项目的优先选择权，或有权与深圳市国资委共同投资经营相关项目。</w:t>
      </w:r>
    </w:p>
    <w:p>
      <w:pPr>
        <w:spacing w:line="367" w:lineRule="auto" w:before="29"/>
        <w:ind w:left="15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）如深圳市国资委或深圳市国资委全资或控股的子公司拟出售或转让与本公司业务类似的任何资产或权益，将给予 本公司优先购买权，并且购买条件不逊于深圳市国资委向任何第三方提供的条件。</w:t>
      </w:r>
    </w:p>
    <w:p>
      <w:pPr>
        <w:spacing w:line="367" w:lineRule="auto" w:before="29"/>
        <w:ind w:left="152" w:right="1154" w:firstLine="3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）如违反上述承诺，与本公司主营业务进行同业竞争，将承担由此给本公司造成的全部损失。除非本公司破产或者 终止经营或者深圳市国资委不再是本公司持股</w:t>
      </w:r>
      <w:r>
        <w:rPr>
          <w:rFonts w:ascii="宋体" w:hAnsi="宋体" w:cs="宋体" w:eastAsia="宋体" w:hint="default"/>
          <w:sz w:val="18"/>
          <w:szCs w:val="18"/>
        </w:rPr>
        <w:t>5%</w:t>
      </w:r>
      <w:r>
        <w:rPr>
          <w:rFonts w:ascii="宋体" w:hAnsi="宋体" w:cs="宋体" w:eastAsia="宋体" w:hint="default"/>
          <w:sz w:val="18"/>
          <w:szCs w:val="18"/>
        </w:rPr>
        <w:t>以上的股东外，本承诺的有效期为永久性的。</w:t>
      </w:r>
    </w:p>
    <w:p>
      <w:pPr>
        <w:spacing w:line="367" w:lineRule="auto" w:before="29"/>
        <w:ind w:left="152" w:right="1131" w:firstLine="346"/>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、公司实际控制人深圳市国资委</w:t>
      </w:r>
      <w:r>
        <w:rPr>
          <w:rFonts w:ascii="宋体" w:hAnsi="宋体" w:cs="宋体" w:eastAsia="宋体" w:hint="default"/>
          <w:sz w:val="18"/>
          <w:szCs w:val="18"/>
        </w:rPr>
        <w:t>2007</w:t>
      </w:r>
      <w:r>
        <w:rPr>
          <w:rFonts w:ascii="宋体" w:hAnsi="宋体" w:cs="宋体" w:eastAsia="宋体" w:hint="default"/>
          <w:sz w:val="18"/>
          <w:szCs w:val="18"/>
        </w:rPr>
        <w:t>年出具《加强未公开信息管理承诺函》中承诺：深圳市国资委将建立和完善已获 </w:t>
      </w:r>
      <w:r>
        <w:rPr>
          <w:rFonts w:ascii="宋体" w:hAnsi="宋体" w:cs="宋体" w:eastAsia="宋体" w:hint="default"/>
          <w:spacing w:val="-2"/>
          <w:sz w:val="18"/>
          <w:szCs w:val="18"/>
        </w:rPr>
        <w:t>取的上市公司未公开信息管理内控制度，督促深圳市国资委及实际控制人的相关信息知情人不利用公司未公开信息买卖公司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证券，不建议他人买卖公司证券，也不泄露公司未公开信息，并及时、真实、准确、完整地提供深圳市国资委及实际控制人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知悉公司未公开信息的知情人名单，由公司报送深圳证监局、证券交易所备案。</w:t>
      </w:r>
    </w:p>
    <w:p>
      <w:pPr>
        <w:spacing w:line="357" w:lineRule="auto" w:before="29"/>
        <w:ind w:left="152" w:right="1139" w:firstLine="346"/>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、经公司第八届董事会第二十二次会议及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年第一次临时股东大会审议通过了《关于按出资比例向参股公司武汉海 </w:t>
      </w:r>
      <w:r>
        <w:rPr>
          <w:rFonts w:ascii="宋体" w:hAnsi="宋体" w:cs="宋体" w:eastAsia="宋体" w:hint="default"/>
          <w:spacing w:val="-2"/>
          <w:sz w:val="18"/>
          <w:szCs w:val="18"/>
        </w:rPr>
        <w:t>吉星公司提供借款展期的议案》，公司承诺在对外提供财务资助事项发生起的十二个月内，不使用闲置募集资金暂时补充流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动资金、将募集资金投向变更为永久性补充流动资金、将超募资金永久性用于补充流动资金或者归还银行贷款。</w:t>
      </w:r>
    </w:p>
    <w:p>
      <w:pPr>
        <w:spacing w:line="348" w:lineRule="auto" w:before="36"/>
        <w:ind w:left="152" w:right="1131" w:firstLine="346"/>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日，公司原董事、总裁胡翔海先生生因组织调动，辞去公司董事、总裁等相关职务，辞职后不再担任公 </w:t>
      </w:r>
      <w:r>
        <w:rPr>
          <w:rFonts w:ascii="宋体" w:hAnsi="宋体" w:cs="宋体" w:eastAsia="宋体" w:hint="default"/>
          <w:spacing w:val="-3"/>
          <w:sz w:val="18"/>
          <w:szCs w:val="18"/>
        </w:rPr>
        <w:t>司其他职务，并承诺在离职后半年内不转让其所持有的公司股份；</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日前（原任期内及任期届满后</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个月内），每</w:t>
      </w:r>
      <w:r>
        <w:rPr>
          <w:rFonts w:ascii="宋体" w:hAnsi="宋体" w:cs="宋体" w:eastAsia="宋体" w:hint="default"/>
          <w:sz w:val="18"/>
          <w:szCs w:val="18"/>
        </w:rPr>
        <w:t> 年转让股份不超过其所持有公司股份总数的</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before="21"/>
        <w:ind w:left="498" w:right="0" w:firstLine="0"/>
        <w:jc w:val="left"/>
        <w:rPr>
          <w:rFonts w:ascii="宋体" w:hAnsi="宋体" w:cs="宋体" w:eastAsia="宋体" w:hint="default"/>
          <w:sz w:val="18"/>
          <w:szCs w:val="18"/>
        </w:rPr>
      </w:pPr>
      <w:r>
        <w:rPr>
          <w:rFonts w:ascii="宋体" w:hAnsi="宋体" w:cs="宋体" w:eastAsia="宋体" w:hint="default"/>
          <w:spacing w:val="1"/>
          <w:sz w:val="18"/>
          <w:szCs w:val="18"/>
        </w:rPr>
        <w:t>10</w:t>
      </w:r>
      <w:r>
        <w:rPr>
          <w:rFonts w:ascii="宋体" w:hAnsi="宋体" w:cs="宋体" w:eastAsia="宋体" w:hint="default"/>
          <w:spacing w:val="-39"/>
          <w:sz w:val="18"/>
          <w:szCs w:val="18"/>
        </w:rPr>
        <w:t>、</w:t>
      </w:r>
      <w:r>
        <w:rPr>
          <w:rFonts w:ascii="宋体" w:hAnsi="宋体" w:cs="宋体" w:eastAsia="宋体" w:hint="default"/>
          <w:sz w:val="18"/>
          <w:szCs w:val="18"/>
        </w:rPr>
        <w:t>深深宝重大资产重组</w:t>
      </w:r>
      <w:r>
        <w:rPr>
          <w:rFonts w:ascii="宋体" w:hAnsi="宋体" w:cs="宋体" w:eastAsia="宋体" w:hint="default"/>
          <w:spacing w:val="-1"/>
          <w:sz w:val="18"/>
          <w:szCs w:val="18"/>
        </w:rPr>
        <w:t>事</w:t>
      </w:r>
      <w:r>
        <w:rPr>
          <w:rFonts w:ascii="宋体" w:hAnsi="宋体" w:cs="宋体" w:eastAsia="宋体" w:hint="default"/>
          <w:spacing w:val="-3"/>
          <w:sz w:val="18"/>
          <w:szCs w:val="18"/>
        </w:rPr>
        <w:t>项</w:t>
      </w:r>
      <w:r>
        <w:rPr>
          <w:rFonts w:ascii="宋体" w:hAnsi="宋体" w:cs="宋体" w:eastAsia="宋体" w:hint="default"/>
          <w:sz w:val="18"/>
          <w:szCs w:val="18"/>
        </w:rPr>
        <w:t>公司的承诺详见公司于</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z w:val="18"/>
          <w:szCs w:val="18"/>
        </w:rPr>
        <w:t>日刊登</w:t>
      </w:r>
      <w:r>
        <w:rPr>
          <w:rFonts w:ascii="宋体" w:hAnsi="宋体" w:cs="宋体" w:eastAsia="宋体" w:hint="default"/>
          <w:spacing w:val="-39"/>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30"/>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中</w:t>
      </w:r>
      <w:r>
        <w:rPr>
          <w:rFonts w:ascii="宋体" w:hAnsi="宋体" w:cs="宋体" w:eastAsia="宋体" w:hint="default"/>
          <w:sz w:val="18"/>
          <w:szCs w:val="18"/>
        </w:rPr>
        <w:t>国证券报</w:t>
      </w:r>
      <w:r>
        <w:rPr>
          <w:rFonts w:ascii="宋体" w:hAnsi="宋体" w:cs="宋体" w:eastAsia="宋体" w:hint="default"/>
          <w:spacing w:val="-92"/>
          <w:sz w:val="18"/>
          <w:szCs w:val="18"/>
        </w:rPr>
        <w:t>》</w:t>
      </w:r>
      <w:r>
        <w:rPr>
          <w:rFonts w:ascii="宋体" w:hAnsi="宋体" w:cs="宋体" w:eastAsia="宋体" w:hint="default"/>
          <w:spacing w:val="-130"/>
          <w:sz w:val="18"/>
          <w:szCs w:val="18"/>
        </w:rPr>
        <w:t>、</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z w:val="18"/>
          <w:szCs w:val="18"/>
        </w:rPr>
        <w:t>、</w:t>
      </w:r>
    </w:p>
    <w:p>
      <w:pPr>
        <w:spacing w:line="367" w:lineRule="auto" w:before="111"/>
        <w:ind w:left="498" w:right="1138" w:hanging="347"/>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 </w:t>
      </w:r>
      <w:r>
        <w:rPr>
          <w:rFonts w:ascii="宋体" w:hAnsi="宋体" w:cs="宋体" w:eastAsia="宋体" w:hint="default"/>
          <w:sz w:val="18"/>
          <w:szCs w:val="18"/>
        </w:rPr>
        <w:t>11</w:t>
      </w:r>
      <w:r>
        <w:rPr>
          <w:rFonts w:ascii="宋体" w:hAnsi="宋体" w:cs="宋体" w:eastAsia="宋体" w:hint="default"/>
          <w:sz w:val="18"/>
          <w:szCs w:val="18"/>
        </w:rPr>
        <w:t>、公开挂牌转让中农网</w:t>
      </w:r>
      <w:r>
        <w:rPr>
          <w:rFonts w:ascii="宋体" w:hAnsi="宋体" w:cs="宋体" w:eastAsia="宋体" w:hint="default"/>
          <w:sz w:val="18"/>
          <w:szCs w:val="18"/>
        </w:rPr>
        <w:t>8.36%</w:t>
      </w:r>
      <w:r>
        <w:rPr>
          <w:rFonts w:ascii="宋体" w:hAnsi="宋体" w:cs="宋体" w:eastAsia="宋体" w:hint="default"/>
          <w:sz w:val="18"/>
          <w:szCs w:val="18"/>
        </w:rPr>
        <w:t>股权暨重大资产出售事项公司及相关方的承诺详见公司于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日刊登在巨潮资</w:t>
      </w:r>
    </w:p>
    <w:p>
      <w:pPr>
        <w:spacing w:before="5"/>
        <w:ind w:left="152" w:right="0" w:firstLine="0"/>
        <w:jc w:val="left"/>
        <w:rPr>
          <w:rFonts w:ascii="宋体" w:hAnsi="宋体" w:cs="宋体" w:eastAsia="宋体" w:hint="default"/>
          <w:sz w:val="18"/>
          <w:szCs w:val="18"/>
        </w:rPr>
      </w:pPr>
      <w:r>
        <w:rPr>
          <w:rFonts w:ascii="宋体" w:hAnsi="宋体" w:cs="宋体" w:eastAsia="宋体" w:hint="default"/>
          <w:sz w:val="18"/>
          <w:szCs w:val="18"/>
        </w:rPr>
        <w:t>讯网上的公告。</w:t>
      </w:r>
    </w:p>
    <w:p>
      <w:pPr>
        <w:spacing w:after="0"/>
        <w:jc w:val="left"/>
        <w:rPr>
          <w:rFonts w:ascii="宋体" w:hAnsi="宋体" w:cs="宋体" w:eastAsia="宋体" w:hint="default"/>
          <w:sz w:val="18"/>
          <w:szCs w:val="18"/>
        </w:rPr>
        <w:sectPr>
          <w:pgSz w:w="11910" w:h="16840"/>
          <w:pgMar w:header="877" w:footer="1265" w:top="1100" w:bottom="1460" w:left="980" w:right="0"/>
        </w:sectPr>
      </w:pPr>
    </w:p>
    <w:p>
      <w:pPr>
        <w:spacing w:line="240" w:lineRule="auto" w:before="3"/>
        <w:rPr>
          <w:rFonts w:ascii="宋体" w:hAnsi="宋体" w:cs="宋体" w:eastAsia="宋体" w:hint="default"/>
          <w:sz w:val="19"/>
          <w:szCs w:val="19"/>
        </w:rPr>
      </w:pPr>
    </w:p>
    <w:p>
      <w:pPr>
        <w:pStyle w:val="Heading6"/>
        <w:spacing w:line="335" w:lineRule="exact"/>
        <w:ind w:left="212" w:right="0"/>
        <w:jc w:val="both"/>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b w:val="0"/>
          <w:bCs w:val="0"/>
        </w:rPr>
      </w:r>
    </w:p>
    <w:p>
      <w:pPr>
        <w:pStyle w:val="Heading6"/>
        <w:spacing w:line="240" w:lineRule="auto" w:before="42"/>
        <w:ind w:left="212" w:right="0"/>
        <w:jc w:val="both"/>
        <w:rPr>
          <w:b w:val="0"/>
          <w:bCs w:val="0"/>
        </w:rPr>
      </w:pPr>
      <w:r>
        <w:rPr/>
        <w:t>其原因做出说明</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before="0"/>
        <w:ind w:left="2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四、控股股东及其关联方对上市公司的非经营性占用资金情况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2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338" w:lineRule="auto" w:before="139"/>
        <w:ind w:left="212" w:right="1124" w:firstLine="0"/>
        <w:jc w:val="left"/>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年度《控股股东及其他关联方占用资金 </w:t>
      </w:r>
      <w:r>
        <w:rPr>
          <w:rFonts w:ascii="宋体" w:hAnsi="宋体" w:cs="宋体" w:eastAsia="宋体" w:hint="default"/>
          <w:spacing w:val="-4"/>
          <w:sz w:val="18"/>
          <w:szCs w:val="18"/>
        </w:rPr>
        <w:t>情况的专项审计说明》（信会师报字</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ZE10334</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号）详见与本报告同日刊登在巨潮资讯网的公告。</w:t>
      </w:r>
    </w:p>
    <w:p>
      <w:pPr>
        <w:spacing w:line="240" w:lineRule="auto" w:before="13"/>
        <w:rPr>
          <w:rFonts w:ascii="宋体" w:hAnsi="宋体" w:cs="宋体" w:eastAsia="宋体" w:hint="default"/>
          <w:sz w:val="17"/>
          <w:szCs w:val="17"/>
        </w:rPr>
      </w:pPr>
    </w:p>
    <w:p>
      <w:pPr>
        <w:pStyle w:val="Heading4"/>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before="0"/>
        <w:ind w:left="2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15"/>
        <w:rPr>
          <w:rFonts w:ascii="Microsoft JhengHei" w:hAnsi="Microsoft JhengHei" w:cs="Microsoft JhengHei" w:eastAsia="Microsoft JhengHei" w:hint="default"/>
          <w:b/>
          <w:bCs/>
          <w:sz w:val="20"/>
          <w:szCs w:val="20"/>
        </w:rPr>
      </w:pPr>
    </w:p>
    <w:p>
      <w:pPr>
        <w:pStyle w:val="BodyText"/>
        <w:spacing w:line="297" w:lineRule="auto" w:before="0"/>
        <w:ind w:left="212" w:right="1316" w:firstLine="420"/>
        <w:jc w:val="both"/>
      </w:pPr>
      <w:r>
        <w:rPr/>
        <w:pict>
          <v:group style="position:absolute;margin-left:51pt;margin-top:-2.856338pt;width:482.05pt;height:369.55pt;mso-position-horizontal-relative:page;mso-position-vertical-relative:paragraph;z-index:-1637512" coordorigin="1020,-57" coordsize="9641,7391">
            <v:group style="position:absolute;left:1030;top:-48;width:9622;height:2" coordorigin="1030,-48" coordsize="9622,2">
              <v:shape style="position:absolute;left:1030;top:-48;width:9622;height:2" coordorigin="1030,-48" coordsize="9622,0" path="m1030,-48l10651,-48e" filled="false" stroked="true" strokeweight=".48001pt" strokecolor="#000000">
                <v:path arrowok="t"/>
              </v:shape>
            </v:group>
            <v:group style="position:absolute;left:1025;top:-52;width:2;height:7382" coordorigin="1025,-52" coordsize="2,7382">
              <v:shape style="position:absolute;left:1025;top:-52;width:2;height:7382" coordorigin="1025,-52" coordsize="0,7382" path="m1025,-52l1025,7329e" filled="false" stroked="true" strokeweight=".48pt" strokecolor="#000000">
                <v:path arrowok="t"/>
              </v:shape>
            </v:group>
            <v:group style="position:absolute;left:1030;top:7324;width:9622;height:2" coordorigin="1030,7324" coordsize="9622,2">
              <v:shape style="position:absolute;left:1030;top:7324;width:9622;height:2" coordorigin="1030,7324" coordsize="9622,0" path="m1030,7324l10651,7324e" filled="false" stroked="true" strokeweight=".47998pt" strokecolor="#000000">
                <v:path arrowok="t"/>
              </v:shape>
            </v:group>
            <v:group style="position:absolute;left:10656;top:-52;width:2;height:7382" coordorigin="10656,-52" coordsize="2,7382">
              <v:shape style="position:absolute;left:10656;top:-52;width:2;height:7382" coordorigin="10656,-52" coordsize="0,7382" path="m10656,-52l10656,7329e" filled="false" stroked="true" strokeweight=".47998pt" strokecolor="#000000">
                <v:path arrowok="t"/>
              </v:shape>
            </v:group>
            <w10:wrap type="none"/>
          </v:group>
        </w:pict>
      </w:r>
      <w:r>
        <w:rPr>
          <w:spacing w:val="-2"/>
          <w:w w:val="100"/>
        </w:rPr>
        <w:t>根据财政部《关于修订印发</w:t>
      </w:r>
      <w:r>
        <w:rPr>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spacing w:val="-6"/>
          <w:w w:val="100"/>
        </w:rPr>
        <w:t>年度一般企业财务报表格式的通知》（财会</w:t>
      </w:r>
      <w:r>
        <w:rPr>
          <w:rFonts w:ascii="Times New Roman" w:hAnsi="Times New Roman" w:cs="Times New Roman" w:eastAsia="Times New Roman" w:hint="default"/>
          <w:spacing w:val="-6"/>
          <w:w w:val="100"/>
        </w:rPr>
        <w:t>[2018]15</w:t>
      </w:r>
      <w:r>
        <w:rPr>
          <w:rFonts w:ascii="Times New Roman" w:hAnsi="Times New Roman" w:cs="Times New Roman" w:eastAsia="Times New Roman" w:hint="default"/>
          <w:spacing w:val="5"/>
          <w:w w:val="100"/>
        </w:rPr>
        <w:t> </w:t>
      </w:r>
      <w:r>
        <w:rPr>
          <w:spacing w:val="-19"/>
          <w:w w:val="100"/>
        </w:rPr>
        <w:t>号）（以下简</w:t>
      </w:r>
      <w:r>
        <w:rPr>
          <w:w w:val="100"/>
        </w:rPr>
        <w:t> </w:t>
      </w:r>
      <w:r>
        <w:rPr>
          <w:spacing w:val="-18"/>
          <w:w w:val="100"/>
        </w:rPr>
        <w:t>称“《修订报表格式通知》”）要求，公司</w:t>
      </w:r>
      <w:r>
        <w:rPr>
          <w:spacing w:val="-44"/>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spacing w:val="-2"/>
          <w:w w:val="100"/>
        </w:rPr>
        <w:t>年度及以后期间的财务报表需按照《修订报表格式通知》</w:t>
      </w:r>
      <w:r>
        <w:rPr>
          <w:spacing w:val="-103"/>
          <w:w w:val="100"/>
        </w:rPr>
        <w:t> </w:t>
      </w:r>
      <w:r>
        <w:rPr>
          <w:spacing w:val="-103"/>
          <w:w w:val="100"/>
        </w:rPr>
      </w:r>
      <w:r>
        <w:rPr/>
        <w:t>要求的修订后的一般企业财务报表格式来编制。本次变更涉及公司会计政策修订的内容如下：</w:t>
      </w:r>
    </w:p>
    <w:p>
      <w:pPr>
        <w:pStyle w:val="BodyText"/>
        <w:spacing w:line="240" w:lineRule="auto" w:before="73"/>
        <w:ind w:left="633" w:right="1115"/>
        <w:jc w:val="left"/>
      </w:pPr>
      <w:r>
        <w:rPr/>
        <w:t>（</w:t>
      </w:r>
      <w:r>
        <w:rPr>
          <w:rFonts w:ascii="Times New Roman" w:hAnsi="Times New Roman" w:cs="Times New Roman" w:eastAsia="Times New Roman" w:hint="default"/>
        </w:rPr>
        <w:t>1</w:t>
      </w:r>
      <w:r>
        <w:rPr/>
        <w:t>）资产负债表</w:t>
      </w:r>
    </w:p>
    <w:p>
      <w:pPr>
        <w:pStyle w:val="BodyText"/>
        <w:spacing w:line="240" w:lineRule="auto" w:before="110"/>
        <w:ind w:left="633" w:right="1115"/>
        <w:jc w:val="left"/>
      </w:pPr>
      <w:r>
        <w:rPr/>
        <w:t>①将原“应收票据”和“应收账款”项目合并为“应收票据及应收账款”项目；</w:t>
      </w:r>
    </w:p>
    <w:p>
      <w:pPr>
        <w:pStyle w:val="BodyText"/>
        <w:spacing w:line="240" w:lineRule="auto" w:before="123"/>
        <w:ind w:left="633" w:right="1115"/>
        <w:jc w:val="left"/>
      </w:pPr>
      <w:r>
        <w:rPr>
          <w:w w:val="100"/>
        </w:rPr>
        <w:t>②将</w:t>
      </w:r>
      <w:r>
        <w:rPr>
          <w:spacing w:val="-3"/>
          <w:w w:val="100"/>
        </w:rPr>
        <w:t>原</w:t>
      </w:r>
      <w:r>
        <w:rPr>
          <w:w w:val="100"/>
        </w:rPr>
        <w:t>“</w:t>
      </w:r>
      <w:r>
        <w:rPr>
          <w:spacing w:val="-3"/>
          <w:w w:val="100"/>
        </w:rPr>
        <w:t>应</w:t>
      </w:r>
      <w:r>
        <w:rPr>
          <w:w w:val="100"/>
        </w:rPr>
        <w:t>收</w:t>
      </w:r>
      <w:r>
        <w:rPr>
          <w:spacing w:val="-3"/>
          <w:w w:val="100"/>
        </w:rPr>
        <w:t>利</w:t>
      </w:r>
      <w:r>
        <w:rPr>
          <w:w w:val="100"/>
        </w:rPr>
        <w:t>息</w:t>
      </w:r>
      <w:r>
        <w:rPr>
          <w:spacing w:val="-106"/>
          <w:w w:val="100"/>
        </w:rPr>
        <w:t>”</w:t>
      </w:r>
      <w:r>
        <w:rPr>
          <w:spacing w:val="-108"/>
          <w:w w:val="100"/>
        </w:rPr>
        <w:t>、</w:t>
      </w:r>
      <w:r>
        <w:rPr>
          <w:w w:val="100"/>
        </w:rPr>
        <w:t>“</w:t>
      </w:r>
      <w:r>
        <w:rPr>
          <w:spacing w:val="-3"/>
          <w:w w:val="100"/>
        </w:rPr>
        <w:t>应</w:t>
      </w:r>
      <w:r>
        <w:rPr>
          <w:w w:val="100"/>
        </w:rPr>
        <w:t>收股</w:t>
      </w:r>
      <w:r>
        <w:rPr>
          <w:spacing w:val="-3"/>
          <w:w w:val="100"/>
        </w:rPr>
        <w:t>利</w:t>
      </w:r>
      <w:r>
        <w:rPr>
          <w:w w:val="100"/>
        </w:rPr>
        <w:t>”</w:t>
      </w:r>
      <w:r>
        <w:rPr>
          <w:spacing w:val="-3"/>
          <w:w w:val="100"/>
        </w:rPr>
        <w:t>和</w:t>
      </w:r>
      <w:r>
        <w:rPr>
          <w:w w:val="100"/>
        </w:rPr>
        <w:t>“</w:t>
      </w:r>
      <w:r>
        <w:rPr>
          <w:spacing w:val="-3"/>
          <w:w w:val="100"/>
        </w:rPr>
        <w:t>其</w:t>
      </w:r>
      <w:r>
        <w:rPr>
          <w:w w:val="100"/>
        </w:rPr>
        <w:t>他</w:t>
      </w:r>
      <w:r>
        <w:rPr>
          <w:spacing w:val="-3"/>
          <w:w w:val="100"/>
        </w:rPr>
        <w:t>应</w:t>
      </w:r>
      <w:r>
        <w:rPr>
          <w:w w:val="100"/>
        </w:rPr>
        <w:t>收</w:t>
      </w:r>
      <w:r>
        <w:rPr>
          <w:spacing w:val="-3"/>
          <w:w w:val="100"/>
        </w:rPr>
        <w:t>款</w:t>
      </w:r>
      <w:r>
        <w:rPr>
          <w:w w:val="100"/>
        </w:rPr>
        <w:t>”项</w:t>
      </w:r>
      <w:r>
        <w:rPr>
          <w:spacing w:val="-3"/>
          <w:w w:val="100"/>
        </w:rPr>
        <w:t>目</w:t>
      </w:r>
      <w:r>
        <w:rPr>
          <w:w w:val="100"/>
        </w:rPr>
        <w:t>合</w:t>
      </w:r>
      <w:r>
        <w:rPr>
          <w:spacing w:val="-3"/>
          <w:w w:val="100"/>
        </w:rPr>
        <w:t>并</w:t>
      </w:r>
      <w:r>
        <w:rPr>
          <w:w w:val="100"/>
        </w:rPr>
        <w:t>为</w:t>
      </w:r>
      <w:r>
        <w:rPr>
          <w:spacing w:val="-3"/>
          <w:w w:val="100"/>
        </w:rPr>
        <w:t>“</w:t>
      </w:r>
      <w:r>
        <w:rPr>
          <w:w w:val="100"/>
        </w:rPr>
        <w:t>其</w:t>
      </w:r>
      <w:r>
        <w:rPr>
          <w:spacing w:val="-3"/>
          <w:w w:val="100"/>
        </w:rPr>
        <w:t>他</w:t>
      </w:r>
      <w:r>
        <w:rPr>
          <w:w w:val="100"/>
        </w:rPr>
        <w:t>应</w:t>
      </w:r>
      <w:r>
        <w:rPr>
          <w:spacing w:val="-3"/>
          <w:w w:val="100"/>
        </w:rPr>
        <w:t>收</w:t>
      </w:r>
      <w:r>
        <w:rPr>
          <w:w w:val="100"/>
        </w:rPr>
        <w:t>款”</w:t>
      </w:r>
      <w:r>
        <w:rPr>
          <w:spacing w:val="-3"/>
          <w:w w:val="100"/>
        </w:rPr>
        <w:t>项</w:t>
      </w:r>
      <w:r>
        <w:rPr>
          <w:w w:val="100"/>
        </w:rPr>
        <w:t>目；</w:t>
      </w:r>
    </w:p>
    <w:p>
      <w:pPr>
        <w:pStyle w:val="BodyText"/>
        <w:spacing w:line="240" w:lineRule="auto" w:before="126"/>
        <w:ind w:left="633" w:right="1115"/>
        <w:jc w:val="left"/>
      </w:pPr>
      <w:r>
        <w:rPr/>
        <w:t>③将原“固定资产”和“固定资产清理”项目合并为“固定资产”项目；</w:t>
      </w:r>
    </w:p>
    <w:p>
      <w:pPr>
        <w:pStyle w:val="BodyText"/>
        <w:spacing w:line="240" w:lineRule="auto" w:before="126"/>
        <w:ind w:left="633" w:right="1115"/>
        <w:jc w:val="left"/>
      </w:pPr>
      <w:r>
        <w:rPr/>
        <w:t>④将原“在建工程”和“工程物资”项目合并为“在建工程”项目；</w:t>
      </w:r>
    </w:p>
    <w:p>
      <w:pPr>
        <w:pStyle w:val="BodyText"/>
        <w:spacing w:line="240" w:lineRule="auto" w:before="123"/>
        <w:ind w:left="633" w:right="1115"/>
        <w:jc w:val="left"/>
      </w:pPr>
      <w:r>
        <w:rPr/>
        <w:t>⑤将原“应付票据”和“应付账款”项目合并为“应付票据及应付账款”项目；</w:t>
      </w:r>
    </w:p>
    <w:p>
      <w:pPr>
        <w:pStyle w:val="BodyText"/>
        <w:spacing w:line="240" w:lineRule="auto" w:before="126"/>
        <w:ind w:left="633" w:right="1115"/>
        <w:jc w:val="left"/>
      </w:pPr>
      <w:r>
        <w:rPr>
          <w:w w:val="100"/>
        </w:rPr>
        <w:t>⑥将</w:t>
      </w:r>
      <w:r>
        <w:rPr>
          <w:spacing w:val="-3"/>
          <w:w w:val="100"/>
        </w:rPr>
        <w:t>原</w:t>
      </w:r>
      <w:r>
        <w:rPr>
          <w:w w:val="100"/>
        </w:rPr>
        <w:t>“</w:t>
      </w:r>
      <w:r>
        <w:rPr>
          <w:spacing w:val="-3"/>
          <w:w w:val="100"/>
        </w:rPr>
        <w:t>应</w:t>
      </w:r>
      <w:r>
        <w:rPr>
          <w:spacing w:val="-1"/>
          <w:w w:val="100"/>
        </w:rPr>
        <w:t>付</w:t>
      </w:r>
      <w:r>
        <w:rPr>
          <w:spacing w:val="-3"/>
          <w:w w:val="100"/>
        </w:rPr>
        <w:t>利</w:t>
      </w:r>
      <w:r>
        <w:rPr>
          <w:w w:val="100"/>
        </w:rPr>
        <w:t>息</w:t>
      </w:r>
      <w:r>
        <w:rPr>
          <w:spacing w:val="-106"/>
          <w:w w:val="100"/>
        </w:rPr>
        <w:t>”</w:t>
      </w:r>
      <w:r>
        <w:rPr>
          <w:spacing w:val="-108"/>
          <w:w w:val="100"/>
        </w:rPr>
        <w:t>、</w:t>
      </w:r>
      <w:r>
        <w:rPr>
          <w:w w:val="100"/>
        </w:rPr>
        <w:t>“</w:t>
      </w:r>
      <w:r>
        <w:rPr>
          <w:spacing w:val="-3"/>
          <w:w w:val="100"/>
        </w:rPr>
        <w:t>应</w:t>
      </w:r>
      <w:r>
        <w:rPr>
          <w:w w:val="100"/>
        </w:rPr>
        <w:t>付股</w:t>
      </w:r>
      <w:r>
        <w:rPr>
          <w:spacing w:val="-3"/>
          <w:w w:val="100"/>
        </w:rPr>
        <w:t>利</w:t>
      </w:r>
      <w:r>
        <w:rPr>
          <w:w w:val="100"/>
        </w:rPr>
        <w:t>”</w:t>
      </w:r>
      <w:r>
        <w:rPr>
          <w:spacing w:val="-3"/>
          <w:w w:val="100"/>
        </w:rPr>
        <w:t>和</w:t>
      </w:r>
      <w:r>
        <w:rPr>
          <w:w w:val="100"/>
        </w:rPr>
        <w:t>“</w:t>
      </w:r>
      <w:r>
        <w:rPr>
          <w:spacing w:val="-3"/>
          <w:w w:val="100"/>
        </w:rPr>
        <w:t>其</w:t>
      </w:r>
      <w:r>
        <w:rPr>
          <w:w w:val="100"/>
        </w:rPr>
        <w:t>他</w:t>
      </w:r>
      <w:r>
        <w:rPr>
          <w:spacing w:val="-3"/>
          <w:w w:val="100"/>
        </w:rPr>
        <w:t>应</w:t>
      </w:r>
      <w:r>
        <w:rPr>
          <w:w w:val="100"/>
        </w:rPr>
        <w:t>付</w:t>
      </w:r>
      <w:r>
        <w:rPr>
          <w:spacing w:val="-3"/>
          <w:w w:val="100"/>
        </w:rPr>
        <w:t>款</w:t>
      </w:r>
      <w:r>
        <w:rPr>
          <w:w w:val="100"/>
        </w:rPr>
        <w:t>”项</w:t>
      </w:r>
      <w:r>
        <w:rPr>
          <w:spacing w:val="-3"/>
          <w:w w:val="100"/>
        </w:rPr>
        <w:t>目</w:t>
      </w:r>
      <w:r>
        <w:rPr>
          <w:w w:val="100"/>
        </w:rPr>
        <w:t>合</w:t>
      </w:r>
      <w:r>
        <w:rPr>
          <w:spacing w:val="-3"/>
          <w:w w:val="100"/>
        </w:rPr>
        <w:t>并</w:t>
      </w:r>
      <w:r>
        <w:rPr>
          <w:w w:val="100"/>
        </w:rPr>
        <w:t>为</w:t>
      </w:r>
      <w:r>
        <w:rPr>
          <w:spacing w:val="-3"/>
          <w:w w:val="100"/>
        </w:rPr>
        <w:t>“</w:t>
      </w:r>
      <w:r>
        <w:rPr>
          <w:w w:val="100"/>
        </w:rPr>
        <w:t>其</w:t>
      </w:r>
      <w:r>
        <w:rPr>
          <w:spacing w:val="-3"/>
          <w:w w:val="100"/>
        </w:rPr>
        <w:t>他</w:t>
      </w:r>
      <w:r>
        <w:rPr>
          <w:w w:val="100"/>
        </w:rPr>
        <w:t>应</w:t>
      </w:r>
      <w:r>
        <w:rPr>
          <w:spacing w:val="-3"/>
          <w:w w:val="100"/>
        </w:rPr>
        <w:t>付</w:t>
      </w:r>
      <w:r>
        <w:rPr>
          <w:w w:val="100"/>
        </w:rPr>
        <w:t>款”</w:t>
      </w:r>
      <w:r>
        <w:rPr>
          <w:spacing w:val="-3"/>
          <w:w w:val="100"/>
        </w:rPr>
        <w:t>项</w:t>
      </w:r>
      <w:r>
        <w:rPr>
          <w:w w:val="100"/>
        </w:rPr>
        <w:t>目；</w:t>
      </w:r>
    </w:p>
    <w:p>
      <w:pPr>
        <w:pStyle w:val="BodyText"/>
        <w:spacing w:line="240" w:lineRule="auto" w:before="126"/>
        <w:ind w:left="633" w:right="1115"/>
        <w:jc w:val="left"/>
      </w:pPr>
      <w:r>
        <w:rPr/>
        <w:t>⑦将原“长期应付款”和“专项应付款”项目合并为“长期应付款”项目；</w:t>
      </w:r>
    </w:p>
    <w:p>
      <w:pPr>
        <w:pStyle w:val="BodyText"/>
        <w:spacing w:line="240" w:lineRule="auto" w:before="123"/>
        <w:ind w:left="633" w:right="1115"/>
        <w:jc w:val="left"/>
      </w:pPr>
      <w:r>
        <w:rPr/>
        <w:t>（</w:t>
      </w:r>
      <w:r>
        <w:rPr>
          <w:rFonts w:ascii="Times New Roman" w:hAnsi="Times New Roman" w:cs="Times New Roman" w:eastAsia="Times New Roman" w:hint="default"/>
        </w:rPr>
        <w:t>2</w:t>
      </w:r>
      <w:r>
        <w:rPr/>
        <w:t>）利润表</w:t>
      </w:r>
    </w:p>
    <w:p>
      <w:pPr>
        <w:pStyle w:val="BodyText"/>
        <w:spacing w:line="240" w:lineRule="auto" w:before="110"/>
        <w:ind w:left="633" w:right="1115"/>
        <w:jc w:val="left"/>
      </w:pPr>
      <w:r>
        <w:rPr/>
        <w:t>①将原“管理费用”项目拆分为“管理费用”和“研发费用”项目；</w:t>
      </w:r>
    </w:p>
    <w:p>
      <w:pPr>
        <w:pStyle w:val="BodyText"/>
        <w:spacing w:line="348" w:lineRule="auto" w:before="128"/>
        <w:ind w:left="633" w:right="1115"/>
        <w:jc w:val="left"/>
      </w:pPr>
      <w:r>
        <w:rPr/>
        <w:t>②在“财务费用”项目下列示“利息费用”和“利息收入”明细项目。</w:t>
      </w:r>
      <w:r>
        <w:rPr>
          <w:w w:val="100"/>
        </w:rPr>
        <w:t> </w:t>
      </w:r>
      <w:r>
        <w:rPr>
          <w:spacing w:val="-3"/>
        </w:rPr>
        <w:t>根据财政部《修订报表格式通知》的要求，公司财务报表格式调整仅对上述财务报表项目列示产生</w:t>
      </w:r>
    </w:p>
    <w:p>
      <w:pPr>
        <w:pStyle w:val="BodyText"/>
        <w:spacing w:line="302" w:lineRule="auto" w:before="0"/>
        <w:ind w:left="212" w:right="1354"/>
        <w:jc w:val="both"/>
      </w:pPr>
      <w:r>
        <w:rPr/>
        <w:t>影响，并调整可比会计期间的比较数据，不涉及对公司以前年度的追溯调整，对公司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年度的资产</w:t>
      </w:r>
      <w:r>
        <w:rPr>
          <w:w w:val="100"/>
        </w:rPr>
        <w:t> </w:t>
      </w:r>
      <w:r>
        <w:rPr>
          <w:spacing w:val="-3"/>
        </w:rPr>
        <w:t>总额、负债总额、所有者权益（净资产）以及净利润不产生影响。公司自《修订报表格式通知》规定的</w:t>
      </w:r>
      <w:r>
        <w:rPr>
          <w:spacing w:val="-23"/>
        </w:rPr>
        <w:t> </w:t>
      </w:r>
      <w:r>
        <w:rPr>
          <w:spacing w:val="-23"/>
        </w:rPr>
      </w:r>
      <w:r>
        <w:rPr>
          <w:spacing w:val="-12"/>
          <w:w w:val="100"/>
        </w:rPr>
        <w:t>时间开始执行。（详见公司于</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w w:val="100"/>
        </w:rPr>
        <w:t>年</w:t>
      </w:r>
      <w:r>
        <w:rPr>
          <w:spacing w:val="-56"/>
          <w:w w:val="100"/>
        </w:rPr>
        <w:t> </w:t>
      </w:r>
      <w:r>
        <w:rPr>
          <w:rFonts w:ascii="Times New Roman" w:hAnsi="Times New Roman" w:cs="Times New Roman" w:eastAsia="Times New Roman" w:hint="default"/>
          <w:w w:val="100"/>
        </w:rPr>
        <w:t>4 </w:t>
      </w:r>
      <w:r>
        <w:rPr>
          <w:w w:val="100"/>
        </w:rPr>
        <w:t>月</w:t>
      </w:r>
      <w:r>
        <w:rPr>
          <w:spacing w:val="-56"/>
          <w:w w:val="100"/>
        </w:rPr>
        <w:t> </w:t>
      </w:r>
      <w:r>
        <w:rPr>
          <w:rFonts w:ascii="Times New Roman" w:hAnsi="Times New Roman" w:cs="Times New Roman" w:eastAsia="Times New Roman" w:hint="default"/>
          <w:w w:val="100"/>
        </w:rPr>
        <w:t>27 </w:t>
      </w:r>
      <w:r>
        <w:rPr>
          <w:spacing w:val="-27"/>
          <w:w w:val="100"/>
        </w:rPr>
        <w:t>日刊登在《证券时报》、《中国证券报》、《上海证券报》、《证</w:t>
      </w:r>
      <w:r>
        <w:rPr>
          <w:w w:val="100"/>
        </w:rPr>
        <w:t> </w:t>
      </w:r>
      <w:r>
        <w:rPr/>
        <w:t>券日报》及巨潮资讯网上的公告）</w:t>
      </w:r>
    </w:p>
    <w:p>
      <w:pPr>
        <w:spacing w:after="0" w:line="302" w:lineRule="auto"/>
        <w:jc w:val="both"/>
        <w:sectPr>
          <w:pgSz w:w="11910" w:h="16840"/>
          <w:pgMar w:header="877" w:footer="1265" w:top="1100" w:bottom="1460" w:left="920" w:right="0"/>
        </w:sectPr>
      </w:pPr>
    </w:p>
    <w:p>
      <w:pPr>
        <w:spacing w:line="240" w:lineRule="auto" w:before="7"/>
        <w:rPr>
          <w:rFonts w:ascii="宋体" w:hAnsi="宋体" w:cs="宋体" w:eastAsia="宋体" w:hint="default"/>
          <w:sz w:val="19"/>
          <w:szCs w:val="19"/>
        </w:rPr>
      </w:pPr>
    </w:p>
    <w:p>
      <w:pPr>
        <w:pStyle w:val="Heading4"/>
        <w:spacing w:line="367" w:lineRule="exact"/>
        <w:ind w:right="1115"/>
        <w:jc w:val="left"/>
        <w:rPr>
          <w:b w:val="0"/>
          <w:bCs w:val="0"/>
        </w:rPr>
      </w:pPr>
      <w:r>
        <w:rPr/>
        <w:t>七、报告期内发生重大会计差错更正需追溯重述的情况说明</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line="376" w:lineRule="auto" w:before="0"/>
        <w:ind w:left="21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报告期，公司无重大会计差错更正需追溯重述的情况。</w:t>
      </w:r>
    </w:p>
    <w:p>
      <w:pPr>
        <w:spacing w:line="240" w:lineRule="auto" w:before="3"/>
        <w:rPr>
          <w:rFonts w:ascii="宋体" w:hAnsi="宋体" w:cs="宋体" w:eastAsia="宋体" w:hint="default"/>
          <w:sz w:val="17"/>
          <w:szCs w:val="17"/>
        </w:rPr>
      </w:pPr>
    </w:p>
    <w:p>
      <w:pPr>
        <w:pStyle w:val="Heading4"/>
        <w:spacing w:line="240" w:lineRule="auto"/>
        <w:ind w:right="1115"/>
        <w:jc w:val="left"/>
        <w:rPr>
          <w:b w:val="0"/>
          <w:bCs w:val="0"/>
        </w:rPr>
      </w:pPr>
      <w:r>
        <w:rPr/>
        <w:t>八、与上年度财务报告相比，合并报表范围发生变化的情况说明</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212" w:right="1115" w:firstLine="0"/>
        <w:jc w:val="left"/>
        <w:rPr>
          <w:rFonts w:ascii="宋体" w:hAnsi="宋体" w:cs="宋体" w:eastAsia="宋体" w:hint="default"/>
          <w:sz w:val="18"/>
          <w:szCs w:val="18"/>
        </w:rPr>
      </w:pPr>
      <w:r>
        <w:rPr>
          <w:rFonts w:ascii="宋体" w:hAnsi="宋体" w:cs="宋体" w:eastAsia="宋体" w:hint="default"/>
          <w:sz w:val="18"/>
          <w:szCs w:val="18"/>
        </w:rPr>
        <w:t>详见本报告 第四节 经营情况讨论与分析 二、主营业务分析 </w:t>
      </w:r>
      <w:r>
        <w:rPr>
          <w:rFonts w:ascii="Times New Roman" w:hAnsi="Times New Roman" w:cs="Times New Roman" w:eastAsia="Times New Roman" w:hint="default"/>
          <w:sz w:val="18"/>
          <w:szCs w:val="18"/>
        </w:rPr>
        <w:t>2</w:t>
      </w:r>
      <w:r>
        <w:rPr>
          <w:rFonts w:ascii="宋体" w:hAnsi="宋体" w:cs="宋体" w:eastAsia="宋体" w:hint="default"/>
          <w:sz w:val="18"/>
          <w:szCs w:val="18"/>
        </w:rPr>
        <w:t>、收入与成本</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）报告期合并范围是否发生变动</w:t>
      </w:r>
    </w:p>
    <w:p>
      <w:pPr>
        <w:spacing w:line="240" w:lineRule="auto" w:before="3"/>
        <w:rPr>
          <w:rFonts w:ascii="宋体" w:hAnsi="宋体" w:cs="宋体" w:eastAsia="宋体" w:hint="default"/>
          <w:sz w:val="15"/>
          <w:szCs w:val="15"/>
        </w:rPr>
      </w:pPr>
    </w:p>
    <w:p>
      <w:pPr>
        <w:pStyle w:val="Heading4"/>
        <w:spacing w:line="240" w:lineRule="auto"/>
        <w:ind w:right="1115"/>
        <w:jc w:val="left"/>
        <w:rPr>
          <w:b w:val="0"/>
          <w:bCs w:val="0"/>
        </w:rPr>
      </w:pPr>
      <w:r>
        <w:rPr/>
        <w:t>九、聘任、解聘会计师事务所情况</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年度聘任的会计师事务所（对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年度财务报表和内部控制情况发表审计意见）</w:t>
      </w:r>
    </w:p>
    <w:p>
      <w:pPr>
        <w:spacing w:line="240" w:lineRule="auto" w:before="5"/>
        <w:rPr>
          <w:rFonts w:ascii="宋体" w:hAnsi="宋体" w:cs="宋体" w:eastAsia="宋体" w:hint="default"/>
          <w:sz w:val="4"/>
          <w:szCs w:val="4"/>
        </w:rPr>
      </w:pPr>
    </w:p>
    <w:tbl>
      <w:tblPr>
        <w:tblW w:w="0" w:type="auto"/>
        <w:jc w:val="left"/>
        <w:tblInd w:w="209" w:type="dxa"/>
        <w:tblLayout w:type="fixed"/>
        <w:tblCellMar>
          <w:top w:w="0" w:type="dxa"/>
          <w:left w:w="0" w:type="dxa"/>
          <w:bottom w:w="0" w:type="dxa"/>
          <w:right w:w="0" w:type="dxa"/>
        </w:tblCellMar>
        <w:tblLook w:val="01E0"/>
      </w:tblPr>
      <w:tblGrid>
        <w:gridCol w:w="3875"/>
        <w:gridCol w:w="5695"/>
      </w:tblGrid>
      <w:tr>
        <w:trPr>
          <w:trHeight w:val="32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万元（含差旅费、编制报告费用）</w:t>
            </w:r>
          </w:p>
        </w:tc>
      </w:tr>
      <w:tr>
        <w:trPr>
          <w:trHeight w:val="32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祁涛、毛彦波</w:t>
            </w:r>
          </w:p>
        </w:tc>
      </w:tr>
    </w:tbl>
    <w:p>
      <w:pPr>
        <w:spacing w:before="8"/>
        <w:ind w:left="212" w:right="1115"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tabs>
          <w:tab w:pos="863" w:val="left" w:leader="none"/>
        </w:tabs>
        <w:spacing w:line="374" w:lineRule="auto" w:before="153"/>
        <w:ind w:left="212" w:right="62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是</w:t>
        <w:tab/>
      </w:r>
      <w:r>
        <w:rPr>
          <w:rFonts w:ascii="Times New Roman" w:hAnsi="Times New Roman" w:cs="Times New Roman" w:eastAsia="Times New Roman" w:hint="default"/>
          <w:sz w:val="18"/>
          <w:szCs w:val="18"/>
        </w:rPr>
        <w:t>√  </w:t>
      </w:r>
      <w:r>
        <w:rPr>
          <w:rFonts w:ascii="宋体" w:hAnsi="宋体" w:cs="宋体" w:eastAsia="宋体" w:hint="default"/>
          <w:sz w:val="18"/>
          <w:szCs w:val="18"/>
        </w:rPr>
        <w:t>否 聘请内部控制审计会计师事务所、财务顾问或保荐人情况</w:t>
      </w:r>
    </w:p>
    <w:p>
      <w:pPr>
        <w:spacing w:before="55"/>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4"/>
          <w:szCs w:val="4"/>
        </w:rPr>
      </w:pPr>
    </w:p>
    <w:p>
      <w:pPr>
        <w:spacing w:line="2011" w:lineRule="exact"/>
        <w:ind w:left="104" w:right="0" w:firstLine="0"/>
        <w:rPr>
          <w:rFonts w:ascii="宋体" w:hAnsi="宋体" w:cs="宋体" w:eastAsia="宋体" w:hint="default"/>
          <w:sz w:val="20"/>
          <w:szCs w:val="20"/>
        </w:rPr>
      </w:pPr>
      <w:r>
        <w:rPr>
          <w:rFonts w:ascii="宋体" w:hAnsi="宋体" w:cs="宋体" w:eastAsia="宋体" w:hint="default"/>
          <w:position w:val="-39"/>
          <w:sz w:val="20"/>
          <w:szCs w:val="20"/>
        </w:rPr>
        <w:pict>
          <v:shape style="width:481.55pt;height:100.6pt;mso-position-horizontal-relative:char;mso-position-vertical-relative:line" type="#_x0000_t202" filled="false" stroked="true" strokeweight=".47998pt" strokecolor="#000000">
            <w10:anchorlock/>
            <v:textbox inset="0,0,0,0">
              <w:txbxContent>
                <w:p>
                  <w:pPr>
                    <w:spacing w:line="384" w:lineRule="auto" w:before="109"/>
                    <w:ind w:left="463" w:right="12"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经第八届董事会第十九次会议及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年第一次临时股东大会审议通过，同意聘请立信会计师事务所（特殊普通合伙）</w:t>
                  </w:r>
                  <w:r>
                    <w:rPr>
                      <w:rFonts w:ascii="宋体" w:hAnsi="宋体" w:cs="宋体" w:eastAsia="宋体" w:hint="default"/>
                      <w:sz w:val="18"/>
                      <w:szCs w:val="18"/>
                    </w:rPr>
                    <w:t> 为公司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年度审计机构，对公司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年度财务报表和内部控制情况发表审计意见，年度审计报酬约为人民币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 </w:t>
                  </w:r>
                  <w:r>
                    <w:rPr>
                      <w:rFonts w:ascii="宋体" w:hAnsi="宋体" w:cs="宋体" w:eastAsia="宋体" w:hint="default"/>
                      <w:spacing w:val="-6"/>
                      <w:sz w:val="18"/>
                      <w:szCs w:val="18"/>
                    </w:rPr>
                    <w:t>万元（含差旅费、编制报告费用）。</w:t>
                  </w:r>
                </w:p>
                <w:p>
                  <w:pPr>
                    <w:spacing w:before="57"/>
                    <w:ind w:left="10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报告期，公司因公开挂牌转让中农网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股权暨重大资产出售的事项，聘请国信证券股份有限公司为本事项独立</w:t>
                  </w:r>
                </w:p>
                <w:p>
                  <w:pPr>
                    <w:spacing w:before="151"/>
                    <w:ind w:left="463" w:right="0" w:firstLine="0"/>
                    <w:jc w:val="left"/>
                    <w:rPr>
                      <w:rFonts w:ascii="宋体" w:hAnsi="宋体" w:cs="宋体" w:eastAsia="宋体" w:hint="default"/>
                      <w:sz w:val="18"/>
                      <w:szCs w:val="18"/>
                    </w:rPr>
                  </w:pPr>
                  <w:r>
                    <w:rPr>
                      <w:rFonts w:ascii="宋体" w:hAnsi="宋体" w:cs="宋体" w:eastAsia="宋体" w:hint="default"/>
                      <w:sz w:val="18"/>
                      <w:szCs w:val="18"/>
                    </w:rPr>
                    <w:t>财务顾问，财务顾问费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万元，报告期共支付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万元。</w:t>
                  </w:r>
                </w:p>
              </w:txbxContent>
            </v:textbox>
          </v:shape>
        </w:pict>
      </w:r>
      <w:r>
        <w:rPr>
          <w:rFonts w:ascii="宋体" w:hAnsi="宋体" w:cs="宋体" w:eastAsia="宋体" w:hint="default"/>
          <w:position w:val="-39"/>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4"/>
        <w:spacing w:line="367" w:lineRule="exact"/>
        <w:ind w:right="1115"/>
        <w:jc w:val="left"/>
        <w:rPr>
          <w:b w:val="0"/>
          <w:bCs w:val="0"/>
        </w:rPr>
      </w:pPr>
      <w:r>
        <w:rPr/>
        <w:t>十、年度报告披露后面临暂停上市和终止上市情况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5"/>
          <w:szCs w:val="15"/>
        </w:rPr>
      </w:pPr>
    </w:p>
    <w:p>
      <w:pPr>
        <w:pStyle w:val="Heading4"/>
        <w:spacing w:line="240" w:lineRule="auto"/>
        <w:ind w:right="1115"/>
        <w:jc w:val="left"/>
        <w:rPr>
          <w:b w:val="0"/>
          <w:bCs w:val="0"/>
        </w:rPr>
      </w:pPr>
      <w:r>
        <w:rPr/>
        <w:t>十一、破产重整相关事项</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line="343" w:lineRule="auto" w:before="0"/>
        <w:ind w:left="21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pStyle w:val="Heading4"/>
        <w:spacing w:line="240" w:lineRule="auto" w:before="133"/>
        <w:ind w:right="1115"/>
        <w:jc w:val="left"/>
        <w:rPr>
          <w:b w:val="0"/>
          <w:bCs w:val="0"/>
        </w:rPr>
      </w:pPr>
      <w:r>
        <w:rPr/>
        <w:t>十二、重大诉讼、仲裁事项</w:t>
      </w:r>
      <w:r>
        <w:rPr>
          <w:b w:val="0"/>
          <w:bCs w:val="0"/>
        </w:rPr>
      </w:r>
    </w:p>
    <w:p>
      <w:pPr>
        <w:spacing w:line="240" w:lineRule="auto" w:before="3"/>
        <w:rPr>
          <w:rFonts w:ascii="Microsoft JhengHei" w:hAnsi="Microsoft JhengHei" w:cs="Microsoft JhengHei" w:eastAsia="Microsoft JhengHei" w:hint="default"/>
          <w:b/>
          <w:bCs/>
          <w:sz w:val="16"/>
          <w:szCs w:val="16"/>
        </w:rPr>
      </w:pPr>
    </w:p>
    <w:p>
      <w:pPr>
        <w:spacing w:line="343" w:lineRule="auto" w:before="0"/>
        <w:ind w:left="2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公司报告期无重大诉讼、仲裁事项。</w:t>
      </w:r>
    </w:p>
    <w:p>
      <w:pPr>
        <w:spacing w:after="0" w:line="343" w:lineRule="auto"/>
        <w:jc w:val="left"/>
        <w:rPr>
          <w:rFonts w:ascii="宋体" w:hAnsi="宋体" w:cs="宋体" w:eastAsia="宋体" w:hint="default"/>
          <w:sz w:val="18"/>
          <w:szCs w:val="18"/>
        </w:rPr>
        <w:sectPr>
          <w:pgSz w:w="11910" w:h="16840"/>
          <w:pgMar w:header="877" w:footer="1265" w:top="1100" w:bottom="1460" w:left="920" w:right="0"/>
        </w:sectPr>
      </w:pPr>
    </w:p>
    <w:p>
      <w:pPr>
        <w:spacing w:line="240" w:lineRule="auto" w:before="7"/>
        <w:rPr>
          <w:rFonts w:ascii="宋体" w:hAnsi="宋体" w:cs="宋体" w:eastAsia="宋体" w:hint="default"/>
          <w:sz w:val="19"/>
          <w:szCs w:val="19"/>
        </w:rPr>
      </w:pPr>
    </w:p>
    <w:p>
      <w:pPr>
        <w:pStyle w:val="Heading4"/>
        <w:spacing w:line="367" w:lineRule="exact"/>
        <w:ind w:right="1115"/>
        <w:jc w:val="left"/>
        <w:rPr>
          <w:b w:val="0"/>
          <w:bCs w:val="0"/>
        </w:rPr>
      </w:pPr>
      <w:r>
        <w:rPr/>
        <w:t>十三、处罚及整改情况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line="343" w:lineRule="auto" w:before="0"/>
        <w:ind w:left="21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公司报告期不存在重大处罚及整改情况。</w:t>
      </w:r>
    </w:p>
    <w:p>
      <w:pPr>
        <w:pStyle w:val="Heading4"/>
        <w:spacing w:line="240" w:lineRule="auto" w:before="133"/>
        <w:ind w:right="1115"/>
        <w:jc w:val="left"/>
        <w:rPr>
          <w:b w:val="0"/>
          <w:bCs w:val="0"/>
        </w:rPr>
      </w:pPr>
      <w:r>
        <w:rPr/>
        <w:t>十四、公司及其控股股东、实际控制人的诚信状况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line="343" w:lineRule="auto" w:before="0"/>
        <w:ind w:left="212" w:right="28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公司报告期不存在未履行法院生效判决或者所负数量较大的债务到期未清偿等情况。</w:t>
      </w:r>
    </w:p>
    <w:p>
      <w:pPr>
        <w:spacing w:line="376" w:lineRule="auto" w:before="76"/>
        <w:ind w:left="212" w:right="1115" w:firstLine="0"/>
        <w:jc w:val="left"/>
        <w:rPr>
          <w:rFonts w:ascii="宋体" w:hAnsi="宋体" w:cs="宋体" w:eastAsia="宋体" w:hint="default"/>
          <w:sz w:val="18"/>
          <w:szCs w:val="18"/>
        </w:rPr>
      </w:pPr>
      <w:r>
        <w:rPr>
          <w:rFonts w:ascii="宋体" w:hAnsi="宋体" w:cs="宋体" w:eastAsia="宋体" w:hint="default"/>
          <w:sz w:val="18"/>
          <w:szCs w:val="18"/>
        </w:rPr>
        <w:t>公司实际控制人系深圳市人民政府国有资产监督管理委员会，为深圳市政府直属特设机构。 </w:t>
      </w:r>
      <w:r>
        <w:rPr>
          <w:rFonts w:ascii="宋体" w:hAnsi="宋体" w:cs="宋体" w:eastAsia="宋体" w:hint="default"/>
          <w:spacing w:val="-2"/>
          <w:sz w:val="18"/>
          <w:szCs w:val="18"/>
        </w:rPr>
        <w:t>公司控股股东福德资本系深圳市国资委的全资子公司，报告期不存在未履行法院生效判决或者所负数量较大的债务到期未清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偿等情况。</w:t>
      </w:r>
    </w:p>
    <w:p>
      <w:pPr>
        <w:spacing w:before="53"/>
        <w:ind w:left="212" w:right="1115" w:firstLine="0"/>
        <w:jc w:val="left"/>
        <w:rPr>
          <w:rFonts w:ascii="宋体" w:hAnsi="宋体" w:cs="宋体" w:eastAsia="宋体" w:hint="default"/>
          <w:sz w:val="18"/>
          <w:szCs w:val="18"/>
        </w:rPr>
      </w:pPr>
      <w:r>
        <w:rPr>
          <w:rFonts w:ascii="宋体" w:hAnsi="宋体" w:cs="宋体" w:eastAsia="宋体" w:hint="default"/>
          <w:sz w:val="18"/>
          <w:szCs w:val="18"/>
        </w:rPr>
        <w:t>注：相关情况详见本报告“第六节 股份变动及股东情况</w:t>
      </w:r>
      <w:r>
        <w:rPr>
          <w:rFonts w:ascii="宋体" w:hAnsi="宋体" w:cs="宋体" w:eastAsia="宋体" w:hint="default"/>
          <w:spacing w:val="-1"/>
          <w:sz w:val="18"/>
          <w:szCs w:val="18"/>
        </w:rPr>
        <w:t> </w:t>
      </w:r>
      <w:r>
        <w:rPr>
          <w:rFonts w:ascii="宋体" w:hAnsi="宋体" w:cs="宋体" w:eastAsia="宋体" w:hint="default"/>
          <w:sz w:val="18"/>
          <w:szCs w:val="18"/>
        </w:rPr>
        <w:t>三、股东和实际控制人情况”相关内容。</w:t>
      </w:r>
    </w:p>
    <w:p>
      <w:pPr>
        <w:spacing w:line="240" w:lineRule="auto" w:before="1"/>
        <w:rPr>
          <w:rFonts w:ascii="宋体" w:hAnsi="宋体" w:cs="宋体" w:eastAsia="宋体" w:hint="default"/>
          <w:sz w:val="25"/>
          <w:szCs w:val="25"/>
        </w:rPr>
      </w:pPr>
    </w:p>
    <w:p>
      <w:pPr>
        <w:pStyle w:val="Heading4"/>
        <w:spacing w:line="240" w:lineRule="auto"/>
        <w:ind w:right="1115"/>
        <w:jc w:val="left"/>
        <w:rPr>
          <w:b w:val="0"/>
          <w:bCs w:val="0"/>
        </w:rPr>
      </w:pPr>
      <w:r>
        <w:rPr/>
        <w:t>十五、公司股权激励计划、员工持股计划或其他员工激励措施的实施情况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line="343" w:lineRule="auto" w:before="0"/>
        <w:ind w:left="21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pStyle w:val="Heading4"/>
        <w:spacing w:line="240" w:lineRule="auto" w:before="134"/>
        <w:ind w:right="1115"/>
        <w:jc w:val="left"/>
        <w:rPr>
          <w:b w:val="0"/>
          <w:bCs w:val="0"/>
        </w:rPr>
      </w:pPr>
      <w:r>
        <w:rPr/>
        <w:t>十六、重大关联交易</w:t>
      </w:r>
      <w:r>
        <w:rPr>
          <w:b w:val="0"/>
          <w:bCs w:val="0"/>
        </w:rPr>
      </w:r>
    </w:p>
    <w:p>
      <w:pPr>
        <w:pStyle w:val="Heading6"/>
        <w:spacing w:line="240" w:lineRule="auto" w:before="212"/>
        <w:ind w:left="212" w:right="111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line="338" w:lineRule="auto" w:before="0"/>
        <w:ind w:left="21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pStyle w:val="Heading6"/>
        <w:spacing w:line="240" w:lineRule="auto" w:before="157"/>
        <w:ind w:left="212" w:right="111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line="343" w:lineRule="auto" w:before="0"/>
        <w:ind w:left="21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pStyle w:val="Heading6"/>
        <w:spacing w:line="240" w:lineRule="auto" w:before="151"/>
        <w:ind w:left="212" w:right="111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43" w:lineRule="auto" w:before="0"/>
        <w:ind w:left="21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pStyle w:val="Heading6"/>
        <w:spacing w:line="240" w:lineRule="auto" w:before="151"/>
        <w:ind w:left="212" w:right="111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spacing w:line="1725" w:lineRule="exact"/>
        <w:ind w:left="104" w:right="0" w:firstLine="0"/>
        <w:rPr>
          <w:rFonts w:ascii="宋体" w:hAnsi="宋体" w:cs="宋体" w:eastAsia="宋体" w:hint="default"/>
          <w:sz w:val="20"/>
          <w:szCs w:val="20"/>
        </w:rPr>
      </w:pPr>
      <w:r>
        <w:rPr>
          <w:rFonts w:ascii="宋体" w:hAnsi="宋体" w:cs="宋体" w:eastAsia="宋体" w:hint="default"/>
          <w:position w:val="-34"/>
          <w:sz w:val="20"/>
          <w:szCs w:val="20"/>
        </w:rPr>
        <w:pict>
          <v:shape style="width:481.55pt;height:86.3pt;mso-position-horizontal-relative:char;mso-position-vertical-relative:line" type="#_x0000_t202" filled="false" stroked="true" strokeweight=".47998pt" strokecolor="#000000">
            <w10:anchorlock/>
            <v:textbox inset="0,0,0,0">
              <w:txbxContent>
                <w:p>
                  <w:pPr>
                    <w:spacing w:line="305" w:lineRule="exact" w:before="0"/>
                    <w:ind w:left="52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）关于向深圳市国资委借入款项的事项</w:t>
                  </w:r>
                  <w:r>
                    <w:rPr>
                      <w:rFonts w:ascii="Microsoft JhengHei" w:hAnsi="Microsoft JhengHei" w:cs="Microsoft JhengHei" w:eastAsia="Microsoft JhengHei" w:hint="default"/>
                      <w:sz w:val="21"/>
                      <w:szCs w:val="21"/>
                    </w:rPr>
                  </w:r>
                </w:p>
                <w:p>
                  <w:pPr>
                    <w:pStyle w:val="BodyText"/>
                    <w:spacing w:line="240" w:lineRule="auto" w:before="150"/>
                    <w:ind w:left="523" w:right="0"/>
                    <w:jc w:val="left"/>
                  </w:pPr>
                  <w:r>
                    <w:rPr/>
                    <w:t>经公司第八届董事会第二十一次会议及</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年第一次临时股东大会审议通过，同意公司向实际控</w:t>
                  </w:r>
                </w:p>
                <w:p>
                  <w:pPr>
                    <w:pStyle w:val="BodyText"/>
                    <w:spacing w:line="240" w:lineRule="auto" w:before="117"/>
                    <w:ind w:left="103" w:right="0"/>
                    <w:jc w:val="left"/>
                  </w:pPr>
                  <w:r>
                    <w:rPr/>
                    <w:t>制人深圳市国资委借入款项 </w:t>
                  </w: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spacing w:val="-5"/>
                    </w:rPr>
                    <w:t>亿元，用于补充公司流动资金，借款期限为一年；资金占用费率按年利率</w:t>
                  </w:r>
                </w:p>
                <w:p>
                  <w:pPr>
                    <w:pStyle w:val="BodyText"/>
                    <w:spacing w:line="240" w:lineRule="auto" w:before="119"/>
                    <w:ind w:left="103" w:right="0"/>
                    <w:jc w:val="left"/>
                  </w:pPr>
                  <w:r>
                    <w:rPr>
                      <w:rFonts w:ascii="Times New Roman" w:hAnsi="Times New Roman" w:cs="Times New Roman" w:eastAsia="Times New Roman" w:hint="default"/>
                      <w:w w:val="100"/>
                    </w:rPr>
                    <w:t>2.175</w:t>
                  </w:r>
                  <w:r>
                    <w:rPr>
                      <w:rFonts w:ascii="Times New Roman" w:hAnsi="Times New Roman" w:cs="Times New Roman" w:eastAsia="Times New Roman" w:hint="default"/>
                      <w:spacing w:val="-3"/>
                      <w:w w:val="100"/>
                    </w:rPr>
                    <w:t>%</w:t>
                  </w:r>
                  <w:r>
                    <w:rPr>
                      <w:w w:val="100"/>
                    </w:rPr>
                    <w:t>计</w:t>
                  </w:r>
                  <w:r>
                    <w:rPr>
                      <w:spacing w:val="-3"/>
                      <w:w w:val="100"/>
                    </w:rPr>
                    <w:t>算</w:t>
                  </w:r>
                  <w:r>
                    <w:rPr>
                      <w:w w:val="100"/>
                    </w:rPr>
                    <w:t>，</w:t>
                  </w:r>
                  <w:r>
                    <w:rPr>
                      <w:spacing w:val="-3"/>
                      <w:w w:val="100"/>
                    </w:rPr>
                    <w:t>到</w:t>
                  </w:r>
                  <w:r>
                    <w:rPr>
                      <w:w w:val="100"/>
                    </w:rPr>
                    <w:t>期</w:t>
                  </w:r>
                  <w:r>
                    <w:rPr>
                      <w:spacing w:val="-3"/>
                      <w:w w:val="100"/>
                    </w:rPr>
                    <w:t>一</w:t>
                  </w:r>
                  <w:r>
                    <w:rPr>
                      <w:w w:val="100"/>
                    </w:rPr>
                    <w:t>次</w:t>
                  </w:r>
                  <w:r>
                    <w:rPr>
                      <w:spacing w:val="-3"/>
                      <w:w w:val="100"/>
                    </w:rPr>
                    <w:t>性</w:t>
                  </w:r>
                  <w:r>
                    <w:rPr>
                      <w:w w:val="100"/>
                    </w:rPr>
                    <w:t>支付</w:t>
                  </w:r>
                  <w:r>
                    <w:rPr>
                      <w:spacing w:val="-3"/>
                      <w:w w:val="100"/>
                    </w:rPr>
                    <w:t>本</w:t>
                  </w:r>
                  <w:r>
                    <w:rPr>
                      <w:w w:val="100"/>
                    </w:rPr>
                    <w:t>金</w:t>
                  </w:r>
                  <w:r>
                    <w:rPr>
                      <w:spacing w:val="-3"/>
                      <w:w w:val="100"/>
                    </w:rPr>
                    <w:t>和</w:t>
                  </w:r>
                  <w:r>
                    <w:rPr>
                      <w:w w:val="100"/>
                    </w:rPr>
                    <w:t>资</w:t>
                  </w:r>
                  <w:r>
                    <w:rPr>
                      <w:spacing w:val="-3"/>
                      <w:w w:val="100"/>
                    </w:rPr>
                    <w:t>金</w:t>
                  </w:r>
                  <w:r>
                    <w:rPr>
                      <w:w w:val="100"/>
                    </w:rPr>
                    <w:t>占</w:t>
                  </w:r>
                  <w:r>
                    <w:rPr>
                      <w:spacing w:val="-3"/>
                      <w:w w:val="100"/>
                    </w:rPr>
                    <w:t>用</w:t>
                  </w:r>
                  <w:r>
                    <w:rPr>
                      <w:w w:val="100"/>
                    </w:rPr>
                    <w:t>费</w:t>
                  </w:r>
                  <w:r>
                    <w:rPr>
                      <w:spacing w:val="-108"/>
                      <w:w w:val="100"/>
                    </w:rPr>
                    <w:t>。</w:t>
                  </w:r>
                  <w:r>
                    <w:rPr>
                      <w:spacing w:val="-3"/>
                      <w:w w:val="100"/>
                    </w:rPr>
                    <w:t>（</w:t>
                  </w:r>
                  <w:r>
                    <w:rPr>
                      <w:w w:val="100"/>
                    </w:rPr>
                    <w:t>详见</w:t>
                  </w:r>
                  <w:r>
                    <w:rPr>
                      <w:spacing w:val="-3"/>
                      <w:w w:val="100"/>
                    </w:rPr>
                    <w:t>公司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5"/>
                    </w:rPr>
                    <w:t> </w:t>
                  </w: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spacing w:val="-3"/>
                      <w:w w:val="100"/>
                    </w:rPr>
                    <w:t>日</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日</w:t>
                  </w:r>
                </w:p>
              </w:txbxContent>
            </v:textbox>
          </v:shape>
        </w:pict>
      </w:r>
      <w:r>
        <w:rPr>
          <w:rFonts w:ascii="宋体" w:hAnsi="宋体" w:cs="宋体" w:eastAsia="宋体" w:hint="default"/>
          <w:position w:val="-34"/>
          <w:sz w:val="20"/>
          <w:szCs w:val="20"/>
        </w:rPr>
      </w:r>
    </w:p>
    <w:p>
      <w:pPr>
        <w:spacing w:after="0" w:line="1725" w:lineRule="exact"/>
        <w:rPr>
          <w:rFonts w:ascii="宋体" w:hAnsi="宋体" w:cs="宋体" w:eastAsia="宋体" w:hint="default"/>
          <w:sz w:val="20"/>
          <w:szCs w:val="20"/>
        </w:rPr>
        <w:sectPr>
          <w:pgSz w:w="11910" w:h="16840"/>
          <w:pgMar w:header="877" w:footer="1265" w:top="1100" w:bottom="1460" w:left="920" w:right="0"/>
        </w:sectPr>
      </w:pPr>
    </w:p>
    <w:p>
      <w:pPr>
        <w:spacing w:line="240" w:lineRule="auto" w:before="13"/>
        <w:rPr>
          <w:rFonts w:ascii="宋体" w:hAnsi="宋体" w:cs="宋体" w:eastAsia="宋体" w:hint="default"/>
          <w:sz w:val="19"/>
          <w:szCs w:val="19"/>
        </w:rPr>
      </w:pPr>
    </w:p>
    <w:p>
      <w:pPr>
        <w:pStyle w:val="BodyText"/>
        <w:spacing w:line="336" w:lineRule="auto"/>
        <w:ind w:left="212" w:right="1115"/>
        <w:jc w:val="left"/>
      </w:pPr>
      <w:r>
        <w:rPr/>
        <w:pict>
          <v:group style="position:absolute;margin-left:51pt;margin-top:2.763657pt;width:482.05pt;height:317.95pt;mso-position-horizontal-relative:page;mso-position-vertical-relative:paragraph;z-index:-1637440" coordorigin="1020,55" coordsize="9641,6359">
            <v:group style="position:absolute;left:1030;top:65;width:9622;height:2" coordorigin="1030,65" coordsize="9622,2">
              <v:shape style="position:absolute;left:1030;top:65;width:9622;height:2" coordorigin="1030,65" coordsize="9622,0" path="m1030,65l10651,65e" filled="false" stroked="true" strokeweight=".48pt" strokecolor="#000000">
                <v:path arrowok="t"/>
              </v:shape>
            </v:group>
            <v:group style="position:absolute;left:1025;top:60;width:2;height:6350" coordorigin="1025,60" coordsize="2,6350">
              <v:shape style="position:absolute;left:1025;top:60;width:2;height:6350" coordorigin="1025,60" coordsize="0,6350" path="m1025,60l1025,6409e" filled="false" stroked="true" strokeweight=".48pt" strokecolor="#000000">
                <v:path arrowok="t"/>
              </v:shape>
            </v:group>
            <v:group style="position:absolute;left:1030;top:6405;width:9622;height:2" coordorigin="1030,6405" coordsize="9622,2">
              <v:shape style="position:absolute;left:1030;top:6405;width:9622;height:2" coordorigin="1030,6405" coordsize="9622,0" path="m1030,6405l10651,6405e" filled="false" stroked="true" strokeweight=".48001pt" strokecolor="#000000">
                <v:path arrowok="t"/>
              </v:shape>
            </v:group>
            <v:group style="position:absolute;left:10656;top:60;width:2;height:6350" coordorigin="10656,60" coordsize="2,6350">
              <v:shape style="position:absolute;left:10656;top:60;width:2;height:6350" coordorigin="10656,60" coordsize="0,6350" path="m10656,60l10656,6409e" filled="false" stroked="true" strokeweight=".47998pt" strokecolor="#000000">
                <v:path arrowok="t"/>
              </v:shape>
            </v:group>
            <w10:wrap type="none"/>
          </v:group>
        </w:pict>
      </w:r>
      <w:r>
        <w:rPr>
          <w:w w:val="100"/>
        </w:rPr>
        <w:t>刊登</w:t>
      </w:r>
      <w:r>
        <w:rPr>
          <w:spacing w:val="-3"/>
          <w:w w:val="100"/>
        </w:rPr>
        <w:t>在</w:t>
      </w:r>
      <w:r>
        <w:rPr>
          <w:w w:val="100"/>
        </w:rPr>
        <w:t>巨</w:t>
      </w:r>
      <w:r>
        <w:rPr>
          <w:spacing w:val="-3"/>
          <w:w w:val="100"/>
        </w:rPr>
        <w:t>潮</w:t>
      </w:r>
      <w:r>
        <w:rPr>
          <w:w w:val="100"/>
        </w:rPr>
        <w:t>资</w:t>
      </w:r>
      <w:r>
        <w:rPr>
          <w:spacing w:val="-3"/>
          <w:w w:val="100"/>
        </w:rPr>
        <w:t>讯网</w:t>
      </w:r>
      <w:r>
        <w:rPr>
          <w:w w:val="100"/>
        </w:rPr>
        <w:t>及</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年</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日</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2"/>
          <w:w w:val="100"/>
        </w:rPr>
        <w:t>日</w:t>
      </w:r>
      <w:r>
        <w:rPr>
          <w:w w:val="100"/>
        </w:rPr>
        <w:t>刊</w:t>
      </w:r>
      <w:r>
        <w:rPr>
          <w:spacing w:val="-3"/>
          <w:w w:val="100"/>
        </w:rPr>
        <w:t>登</w:t>
      </w:r>
      <w:r>
        <w:rPr>
          <w:spacing w:val="-1"/>
          <w:w w:val="100"/>
        </w:rPr>
        <w:t>在</w:t>
      </w:r>
      <w:r>
        <w:rPr>
          <w:spacing w:val="-3"/>
          <w:w w:val="100"/>
        </w:rPr>
        <w:t>《</w:t>
      </w:r>
      <w:r>
        <w:rPr>
          <w:w w:val="100"/>
        </w:rPr>
        <w:t>证</w:t>
      </w:r>
      <w:r>
        <w:rPr>
          <w:spacing w:val="-3"/>
          <w:w w:val="100"/>
        </w:rPr>
        <w:t>券</w:t>
      </w:r>
      <w:r>
        <w:rPr>
          <w:w w:val="100"/>
        </w:rPr>
        <w:t>时</w:t>
      </w:r>
      <w:r>
        <w:rPr>
          <w:spacing w:val="-3"/>
          <w:w w:val="100"/>
        </w:rPr>
        <w:t>报</w:t>
      </w:r>
      <w:r>
        <w:rPr>
          <w:spacing w:val="-108"/>
          <w:w w:val="100"/>
        </w:rPr>
        <w:t>》</w:t>
      </w:r>
      <w:r>
        <w:rPr>
          <w:spacing w:val="-106"/>
          <w:w w:val="100"/>
        </w:rPr>
        <w:t>、</w:t>
      </w:r>
      <w:r>
        <w:rPr>
          <w:w w:val="100"/>
        </w:rPr>
        <w:t>《</w:t>
      </w:r>
      <w:r>
        <w:rPr>
          <w:spacing w:val="-3"/>
          <w:w w:val="100"/>
        </w:rPr>
        <w:t>中</w:t>
      </w:r>
      <w:r>
        <w:rPr>
          <w:w w:val="100"/>
        </w:rPr>
        <w:t>国</w:t>
      </w:r>
      <w:r>
        <w:rPr>
          <w:spacing w:val="-3"/>
          <w:w w:val="100"/>
        </w:rPr>
        <w:t>证</w:t>
      </w:r>
      <w:r>
        <w:rPr>
          <w:w w:val="100"/>
        </w:rPr>
        <w:t>券报</w:t>
      </w:r>
      <w:r>
        <w:rPr>
          <w:spacing w:val="-108"/>
          <w:w w:val="100"/>
        </w:rPr>
        <w:t>》</w:t>
      </w:r>
      <w:r>
        <w:rPr>
          <w:spacing w:val="-106"/>
          <w:w w:val="100"/>
        </w:rPr>
        <w:t>、</w:t>
      </w:r>
      <w:r>
        <w:rPr>
          <w:spacing w:val="-3"/>
          <w:w w:val="100"/>
        </w:rPr>
        <w:t>《</w:t>
      </w:r>
      <w:r>
        <w:rPr>
          <w:w w:val="100"/>
        </w:rPr>
        <w:t>上海</w:t>
      </w:r>
      <w:r>
        <w:rPr>
          <w:w w:val="100"/>
        </w:rPr>
        <w:t> 证券</w:t>
      </w:r>
      <w:r>
        <w:rPr>
          <w:spacing w:val="-3"/>
          <w:w w:val="100"/>
        </w:rPr>
        <w:t>报</w:t>
      </w:r>
      <w:r>
        <w:rPr>
          <w:spacing w:val="-106"/>
          <w:w w:val="100"/>
        </w:rPr>
        <w:t>》、</w:t>
      </w:r>
      <w:r>
        <w:rPr>
          <w:spacing w:val="-3"/>
          <w:w w:val="100"/>
        </w:rPr>
        <w:t>《</w:t>
      </w:r>
      <w:r>
        <w:rPr>
          <w:w w:val="100"/>
        </w:rPr>
        <w:t>证</w:t>
      </w:r>
      <w:r>
        <w:rPr>
          <w:spacing w:val="-3"/>
          <w:w w:val="100"/>
        </w:rPr>
        <w:t>券</w:t>
      </w:r>
      <w:r>
        <w:rPr>
          <w:w w:val="100"/>
        </w:rPr>
        <w:t>日</w:t>
      </w:r>
      <w:r>
        <w:rPr>
          <w:spacing w:val="-3"/>
          <w:w w:val="100"/>
        </w:rPr>
        <w:t>报</w:t>
      </w:r>
      <w:r>
        <w:rPr>
          <w:spacing w:val="-1"/>
          <w:w w:val="100"/>
        </w:rPr>
        <w:t>》</w:t>
      </w:r>
      <w:r>
        <w:rPr>
          <w:spacing w:val="-3"/>
          <w:w w:val="100"/>
        </w:rPr>
        <w:t>的</w:t>
      </w:r>
      <w:r>
        <w:rPr>
          <w:w w:val="100"/>
        </w:rPr>
        <w:t>公告）</w:t>
      </w:r>
    </w:p>
    <w:p>
      <w:pPr>
        <w:pStyle w:val="Heading6"/>
        <w:spacing w:line="240" w:lineRule="auto" w:before="23"/>
        <w:ind w:left="635" w:right="1115"/>
        <w:jc w:val="left"/>
        <w:rPr>
          <w:b w:val="0"/>
          <w:bCs w:val="0"/>
        </w:rPr>
      </w:pPr>
      <w:r>
        <w:rPr/>
        <w:t>（</w:t>
      </w:r>
      <w:r>
        <w:rPr>
          <w:rFonts w:ascii="Times New Roman" w:hAnsi="Times New Roman" w:cs="Times New Roman" w:eastAsia="Times New Roman" w:hint="default"/>
        </w:rPr>
        <w:t>2</w:t>
      </w:r>
      <w:r>
        <w:rPr/>
        <w:t>）关于为参股公司合肥周谷堆公司提供借款的事项</w:t>
      </w:r>
      <w:r>
        <w:rPr>
          <w:b w:val="0"/>
          <w:bCs w:val="0"/>
        </w:rPr>
      </w:r>
    </w:p>
    <w:p>
      <w:pPr>
        <w:pStyle w:val="BodyText"/>
        <w:spacing w:line="343" w:lineRule="auto" w:before="152"/>
        <w:ind w:left="212" w:right="1354" w:firstLine="420"/>
        <w:jc w:val="both"/>
      </w:pPr>
      <w:r>
        <w:rPr/>
        <w:t>经公司第八届董事会第十七次会议及</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年第五次临时股东大会审议通过，同意公司继续与合肥</w:t>
      </w:r>
      <w:r>
        <w:rPr>
          <w:w w:val="100"/>
        </w:rPr>
        <w:t> </w:t>
      </w:r>
      <w:r>
        <w:rPr>
          <w:spacing w:val="-3"/>
        </w:rPr>
        <w:t>周谷堆公司控股股东合肥百货大楼集团股份有限公司共同为合肥周谷堆公司提供借款，其中，公司按不</w:t>
      </w:r>
      <w:r>
        <w:rPr>
          <w:spacing w:val="-17"/>
        </w:rPr>
        <w:t> </w:t>
      </w:r>
      <w:r>
        <w:rPr>
          <w:spacing w:val="-17"/>
        </w:rPr>
      </w:r>
      <w:r>
        <w:rPr>
          <w:spacing w:val="-3"/>
        </w:rPr>
        <w:t>超过持有合肥周谷堆公司的股权比例提供借款，借款金额不超过</w:t>
      </w:r>
      <w:r>
        <w:rPr>
          <w:spacing w:val="-37"/>
        </w:rPr>
        <w:t> </w:t>
      </w:r>
      <w:r>
        <w:rPr>
          <w:rFonts w:ascii="Times New Roman" w:hAnsi="Times New Roman" w:cs="Times New Roman" w:eastAsia="Times New Roman" w:hint="default"/>
        </w:rPr>
        <w:t>14,400</w:t>
      </w:r>
      <w:r>
        <w:rPr>
          <w:rFonts w:ascii="Times New Roman" w:hAnsi="Times New Roman" w:cs="Times New Roman" w:eastAsia="Times New Roman" w:hint="default"/>
          <w:spacing w:val="14"/>
        </w:rPr>
        <w:t> </w:t>
      </w:r>
      <w:r>
        <w:rPr>
          <w:spacing w:val="-6"/>
        </w:rPr>
        <w:t>万元，借款期限</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7"/>
        </w:rPr>
        <w:t>年。借款按照</w:t>
      </w:r>
      <w:r>
        <w:rPr>
          <w:spacing w:val="-98"/>
        </w:rPr>
        <w:t> </w:t>
      </w:r>
      <w:r>
        <w:rPr>
          <w:spacing w:val="-98"/>
        </w:rPr>
      </w:r>
      <w:r>
        <w:rPr>
          <w:spacing w:val="-5"/>
          <w:w w:val="100"/>
        </w:rPr>
        <w:t>公司银行融资成本计算资金占用成本（按季结），到期一次性支付本金。</w:t>
      </w:r>
    </w:p>
    <w:p>
      <w:pPr>
        <w:pStyle w:val="BodyText"/>
        <w:spacing w:line="343" w:lineRule="auto" w:before="86"/>
        <w:ind w:left="212" w:right="1352" w:firstLine="420"/>
        <w:jc w:val="both"/>
      </w:pPr>
      <w:r>
        <w:rPr>
          <w:spacing w:val="-3"/>
        </w:rPr>
        <w:t>报告期后，经公司第八届董事会第二十二次会议审议通过，同意与合肥周谷堆公司控股股东合肥百</w:t>
      </w:r>
      <w:r>
        <w:rPr>
          <w:w w:val="100"/>
        </w:rPr>
        <w:t> </w:t>
      </w:r>
      <w:r>
        <w:rPr/>
        <w:t>货大楼集团股份有限公司共同为合肥周谷堆公司提供借款</w:t>
      </w:r>
      <w:r>
        <w:rPr>
          <w:spacing w:val="-5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万元，借款期限半年，其中，公司为合</w:t>
      </w:r>
      <w:r>
        <w:rPr>
          <w:w w:val="100"/>
        </w:rPr>
        <w:t> </w:t>
      </w:r>
      <w:r>
        <w:rPr>
          <w:spacing w:val="-2"/>
          <w:w w:val="100"/>
        </w:rPr>
        <w:t>肥周谷堆公司提供借款</w:t>
      </w:r>
      <w:r>
        <w:rPr>
          <w:spacing w:val="-50"/>
          <w:w w:val="100"/>
        </w:rPr>
        <w:t> </w:t>
      </w:r>
      <w:r>
        <w:rPr>
          <w:rFonts w:ascii="Times New Roman" w:hAnsi="Times New Roman" w:cs="Times New Roman" w:eastAsia="Times New Roman" w:hint="default"/>
          <w:spacing w:val="-2"/>
          <w:w w:val="100"/>
        </w:rPr>
        <w:t>2,600</w:t>
      </w:r>
      <w:r>
        <w:rPr>
          <w:rFonts w:ascii="Times New Roman" w:hAnsi="Times New Roman" w:cs="Times New Roman" w:eastAsia="Times New Roman" w:hint="default"/>
          <w:spacing w:val="4"/>
          <w:w w:val="100"/>
        </w:rPr>
        <w:t> </w:t>
      </w:r>
      <w:r>
        <w:rPr>
          <w:spacing w:val="-2"/>
          <w:w w:val="100"/>
        </w:rPr>
        <w:t>万元（占上述全部借款金额的</w:t>
      </w:r>
      <w:r>
        <w:rPr>
          <w:spacing w:val="-50"/>
          <w:w w:val="100"/>
        </w:rPr>
        <w:t> </w:t>
      </w:r>
      <w:r>
        <w:rPr>
          <w:rFonts w:ascii="Times New Roman" w:hAnsi="Times New Roman" w:cs="Times New Roman" w:eastAsia="Times New Roman" w:hint="default"/>
          <w:spacing w:val="-6"/>
          <w:w w:val="100"/>
        </w:rPr>
        <w:t>43.33%</w:t>
      </w:r>
      <w:r>
        <w:rPr>
          <w:spacing w:val="-6"/>
          <w:w w:val="100"/>
        </w:rPr>
        <w:t>）。借款按照公司银行融资成本计算</w:t>
      </w:r>
      <w:r>
        <w:rPr>
          <w:spacing w:val="-100"/>
          <w:w w:val="100"/>
        </w:rPr>
        <w:t> </w:t>
      </w:r>
      <w:r>
        <w:rPr>
          <w:spacing w:val="-100"/>
          <w:w w:val="100"/>
        </w:rPr>
      </w:r>
      <w:r>
        <w:rPr/>
        <w:t>资金占用成本，按季度收取，到期一次性归还本金。</w:t>
      </w:r>
    </w:p>
    <w:p>
      <w:pPr>
        <w:pStyle w:val="BodyText"/>
        <w:spacing w:line="357" w:lineRule="auto" w:before="86"/>
        <w:ind w:left="212" w:right="1352" w:firstLine="420"/>
        <w:jc w:val="both"/>
      </w:pPr>
      <w:r>
        <w:rPr>
          <w:spacing w:val="-3"/>
        </w:rPr>
        <w:t>鉴于公司董事、副总裁陈小华先生兼任合肥周谷堆公司董事职务，根据深交所《股票上市规则》规</w:t>
      </w:r>
      <w:r>
        <w:rPr>
          <w:w w:val="100"/>
        </w:rPr>
        <w:t> </w:t>
      </w:r>
      <w:r>
        <w:rPr>
          <w:spacing w:val="-3"/>
        </w:rPr>
        <w:t>定，合肥周谷堆公司系公司的关联法人，上述借款事项属关联交易，公司已按深交所关于关联交易的相</w:t>
      </w:r>
      <w:r>
        <w:rPr>
          <w:spacing w:val="-24"/>
        </w:rPr>
        <w:t> </w:t>
      </w:r>
      <w:r>
        <w:rPr>
          <w:spacing w:val="-24"/>
        </w:rPr>
      </w:r>
      <w:r>
        <w:rPr/>
        <w:t>关规定履行相关决策程序和信息披露义务。（详见公司于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日和</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
        <w:ind w:left="212" w:right="1115"/>
        <w:jc w:val="left"/>
      </w:pPr>
      <w:r>
        <w:rPr>
          <w:rFonts w:ascii="Times New Roman" w:hAnsi="Times New Roman" w:cs="Times New Roman" w:eastAsia="Times New Roman" w:hint="default"/>
          <w:w w:val="100"/>
        </w:rPr>
        <w:t>30</w:t>
      </w:r>
      <w:r>
        <w:rPr>
          <w:rFonts w:ascii="Times New Roman" w:hAnsi="Times New Roman" w:cs="Times New Roman" w:eastAsia="Times New Roman" w:hint="default"/>
        </w:rPr>
        <w:t> </w:t>
      </w:r>
      <w:r>
        <w:rPr>
          <w:spacing w:val="-3"/>
          <w:w w:val="100"/>
        </w:rPr>
        <w:t>日</w:t>
      </w:r>
      <w:r>
        <w:rPr>
          <w:w w:val="100"/>
        </w:rPr>
        <w:t>刊</w:t>
      </w:r>
      <w:r>
        <w:rPr>
          <w:spacing w:val="-3"/>
          <w:w w:val="100"/>
        </w:rPr>
        <w:t>登</w:t>
      </w:r>
      <w:r>
        <w:rPr>
          <w:w w:val="100"/>
        </w:rPr>
        <w:t>在</w:t>
      </w:r>
      <w:r>
        <w:rPr>
          <w:spacing w:val="-3"/>
          <w:w w:val="100"/>
        </w:rPr>
        <w:t>《</w:t>
      </w:r>
      <w:r>
        <w:rPr>
          <w:w w:val="100"/>
        </w:rPr>
        <w:t>证</w:t>
      </w:r>
      <w:r>
        <w:rPr>
          <w:spacing w:val="-3"/>
          <w:w w:val="100"/>
        </w:rPr>
        <w:t>券</w:t>
      </w:r>
      <w:r>
        <w:rPr>
          <w:w w:val="100"/>
        </w:rPr>
        <w:t>时报</w:t>
      </w:r>
      <w:r>
        <w:rPr>
          <w:spacing w:val="-108"/>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上</w:t>
      </w:r>
      <w:r>
        <w:rPr>
          <w:w w:val="100"/>
        </w:rPr>
        <w:t>海</w:t>
      </w:r>
      <w:r>
        <w:rPr>
          <w:spacing w:val="-3"/>
          <w:w w:val="100"/>
        </w:rPr>
        <w:t>证</w:t>
      </w:r>
      <w:r>
        <w:rPr>
          <w:w w:val="100"/>
        </w:rPr>
        <w:t>券报</w:t>
      </w:r>
      <w:r>
        <w:rPr>
          <w:spacing w:val="-106"/>
          <w:w w:val="100"/>
        </w:rPr>
        <w:t>》</w:t>
      </w:r>
      <w:r>
        <w:rPr>
          <w:spacing w:val="-108"/>
          <w:w w:val="100"/>
        </w:rPr>
        <w:t>、</w:t>
      </w:r>
      <w:r>
        <w:rPr>
          <w:w w:val="100"/>
        </w:rPr>
        <w:t>《</w:t>
      </w:r>
      <w:r>
        <w:rPr>
          <w:spacing w:val="-3"/>
          <w:w w:val="100"/>
        </w:rPr>
        <w:t>证</w:t>
      </w:r>
      <w:r>
        <w:rPr>
          <w:w w:val="100"/>
        </w:rPr>
        <w:t>券</w:t>
      </w:r>
      <w:r>
        <w:rPr>
          <w:spacing w:val="-3"/>
          <w:w w:val="100"/>
        </w:rPr>
        <w:t>日</w:t>
      </w:r>
      <w:r>
        <w:rPr>
          <w:w w:val="100"/>
        </w:rPr>
        <w:t>报</w:t>
      </w:r>
      <w:r>
        <w:rPr>
          <w:spacing w:val="-3"/>
          <w:w w:val="100"/>
        </w:rPr>
        <w:t>》</w:t>
      </w:r>
      <w:r>
        <w:rPr>
          <w:w w:val="100"/>
        </w:rPr>
        <w:t>及</w:t>
      </w:r>
      <w:r>
        <w:rPr>
          <w:spacing w:val="-3"/>
          <w:w w:val="100"/>
        </w:rPr>
        <w:t>巨</w:t>
      </w:r>
      <w:r>
        <w:rPr>
          <w:w w:val="100"/>
        </w:rPr>
        <w:t>潮资</w:t>
      </w:r>
      <w:r>
        <w:rPr>
          <w:spacing w:val="-3"/>
          <w:w w:val="100"/>
        </w:rPr>
        <w:t>讯</w:t>
      </w:r>
      <w:r>
        <w:rPr>
          <w:w w:val="100"/>
        </w:rPr>
        <w:t>网</w:t>
      </w:r>
      <w:r>
        <w:rPr>
          <w:spacing w:val="-3"/>
          <w:w w:val="100"/>
        </w:rPr>
        <w:t>上</w:t>
      </w:r>
      <w:r>
        <w:rPr>
          <w:w w:val="100"/>
        </w:rPr>
        <w:t>的</w:t>
      </w:r>
      <w:r>
        <w:rPr>
          <w:spacing w:val="-3"/>
          <w:w w:val="100"/>
        </w:rPr>
        <w:t>公</w:t>
      </w:r>
      <w:r>
        <w:rPr>
          <w:w w:val="100"/>
        </w:rPr>
        <w:t>告）</w:t>
      </w:r>
    </w:p>
    <w:p>
      <w:pPr>
        <w:spacing w:line="240" w:lineRule="auto" w:before="0"/>
        <w:rPr>
          <w:rFonts w:ascii="宋体" w:hAnsi="宋体" w:cs="宋体" w:eastAsia="宋体" w:hint="default"/>
          <w:sz w:val="20"/>
          <w:szCs w:val="20"/>
        </w:rPr>
      </w:pPr>
    </w:p>
    <w:p>
      <w:pPr>
        <w:pStyle w:val="Heading6"/>
        <w:spacing w:line="240" w:lineRule="auto" w:before="141"/>
        <w:ind w:left="212" w:right="111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43" w:lineRule="auto" w:before="0"/>
        <w:ind w:left="21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pStyle w:val="Heading4"/>
        <w:spacing w:line="240" w:lineRule="auto" w:before="133"/>
        <w:ind w:right="1115"/>
        <w:jc w:val="left"/>
        <w:rPr>
          <w:b w:val="0"/>
          <w:bCs w:val="0"/>
        </w:rPr>
      </w:pPr>
      <w:r>
        <w:rPr/>
        <w:t>十七、重大合同及其履行情况</w:t>
      </w:r>
      <w:r>
        <w:rPr>
          <w:b w:val="0"/>
          <w:bCs w:val="0"/>
        </w:rPr>
      </w:r>
    </w:p>
    <w:p>
      <w:pPr>
        <w:pStyle w:val="Heading6"/>
        <w:spacing w:line="240" w:lineRule="auto" w:before="212"/>
        <w:ind w:left="212" w:right="111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6"/>
        <w:spacing w:line="240" w:lineRule="auto"/>
        <w:ind w:left="212" w:right="111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line="338" w:lineRule="auto" w:before="0"/>
        <w:ind w:left="21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pStyle w:val="Heading6"/>
        <w:spacing w:line="240" w:lineRule="auto" w:before="92"/>
        <w:ind w:left="212" w:right="111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line="338" w:lineRule="auto" w:before="0"/>
        <w:ind w:left="21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pStyle w:val="Heading6"/>
        <w:spacing w:line="240" w:lineRule="auto" w:before="93"/>
        <w:ind w:left="212" w:right="111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line="374" w:lineRule="auto" w:before="0"/>
        <w:ind w:left="21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after="0" w:line="374" w:lineRule="auto"/>
        <w:jc w:val="left"/>
        <w:rPr>
          <w:rFonts w:ascii="宋体" w:hAnsi="宋体" w:cs="宋体" w:eastAsia="宋体" w:hint="default"/>
          <w:sz w:val="18"/>
          <w:szCs w:val="18"/>
        </w:rPr>
        <w:sectPr>
          <w:pgSz w:w="11910" w:h="16840"/>
          <w:pgMar w:header="877" w:footer="1265" w:top="1100" w:bottom="1460" w:left="920" w:right="0"/>
        </w:sectPr>
      </w:pPr>
    </w:p>
    <w:p>
      <w:pPr>
        <w:pStyle w:val="Heading6"/>
        <w:spacing w:line="318" w:lineRule="exact"/>
        <w:ind w:left="140" w:right="134"/>
        <w:jc w:val="left"/>
        <w:rPr>
          <w:b w:val="0"/>
          <w:bCs w:val="0"/>
        </w:rPr>
      </w:pPr>
      <w:r>
        <w:rPr/>
        <w:pict>
          <v:group style="position:absolute;margin-left:70.559998pt;margin-top:2.322063pt;width:700.95pt;height:.1pt;mso-position-horizontal-relative:page;mso-position-vertical-relative:paragraph;z-index:-1637416" coordorigin="1411,46" coordsize="14019,2">
            <v:shape style="position:absolute;left:1411;top:46;width:14019;height:2" coordorigin="1411,46" coordsize="14019,0" path="m1411,46l15430,46e" filled="false" stroked="true" strokeweight=".72pt" strokecolor="#000000">
              <v:path arrowok="t"/>
            </v:shape>
            <w10:wrap type="none"/>
          </v:group>
        </w:pict>
      </w:r>
      <w:r>
        <w:rPr>
          <w:rFonts w:ascii="Times New Roman" w:hAnsi="Times New Roman" w:cs="Times New Roman" w:eastAsia="Times New Roman" w:hint="default"/>
        </w:rPr>
        <w:t>2</w:t>
      </w:r>
      <w:r>
        <w:rPr/>
        <w:t>、重大担保</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6"/>
        <w:spacing w:line="240" w:lineRule="auto"/>
        <w:ind w:left="140" w:right="134"/>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44"/>
        <w:ind w:left="0" w:right="135"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237"/>
        <w:gridCol w:w="1558"/>
        <w:gridCol w:w="1087"/>
        <w:gridCol w:w="1750"/>
        <w:gridCol w:w="1274"/>
        <w:gridCol w:w="1397"/>
        <w:gridCol w:w="2294"/>
        <w:gridCol w:w="1042"/>
        <w:gridCol w:w="1255"/>
      </w:tblGrid>
      <w:tr>
        <w:trPr>
          <w:trHeight w:val="714" w:hRule="exact"/>
        </w:trPr>
        <w:tc>
          <w:tcPr>
            <w:tcW w:w="1389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公司及其子公司对外担保情况（不包括对子公司的担保）</w:t>
            </w:r>
            <w:r>
              <w:rPr>
                <w:rFonts w:ascii="Microsoft JhengHei" w:hAnsi="Microsoft JhengHei" w:cs="Microsoft JhengHei" w:eastAsia="Microsoft JhengHei" w:hint="default"/>
                <w:sz w:val="18"/>
                <w:szCs w:val="18"/>
              </w:rPr>
            </w:r>
          </w:p>
        </w:tc>
      </w:tr>
      <w:tr>
        <w:trPr>
          <w:trHeight w:val="851"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412"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508" w:right="60" w:hanging="452"/>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64" w:right="65"/>
              <w:jc w:val="left"/>
              <w:rPr>
                <w:rFonts w:ascii="宋体" w:hAnsi="宋体" w:cs="宋体" w:eastAsia="宋体" w:hint="default"/>
                <w:sz w:val="18"/>
                <w:szCs w:val="18"/>
              </w:rPr>
            </w:pPr>
            <w:r>
              <w:rPr>
                <w:rFonts w:ascii="宋体" w:hAnsi="宋体" w:cs="宋体" w:eastAsia="宋体" w:hint="default"/>
                <w:sz w:val="18"/>
                <w:szCs w:val="18"/>
              </w:rPr>
              <w:t>报告期末是 否履行完毕</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441"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60"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2"/>
              <w:ind w:left="326" w:right="33" w:hanging="294"/>
              <w:jc w:val="left"/>
              <w:rPr>
                <w:rFonts w:ascii="宋体" w:hAnsi="宋体" w:cs="宋体" w:eastAsia="宋体" w:hint="default"/>
                <w:sz w:val="18"/>
                <w:szCs w:val="18"/>
              </w:rPr>
            </w:pPr>
            <w:r>
              <w:rPr>
                <w:rFonts w:ascii="宋体" w:hAnsi="宋体" w:cs="宋体" w:eastAsia="宋体" w:hint="default"/>
                <w:sz w:val="18"/>
                <w:szCs w:val="18"/>
              </w:rPr>
              <w:t>武汉城市圈海吉星农产品物 流有限公司（注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5,412</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5,002</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2017.7.31-2019.1.30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410</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2017.7.31-2018.7.26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2237"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10,209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7,093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2019.1.30-2029.1.9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14,320</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1,078</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2015.9.7-2025.7.12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23</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2015.9.7-2018.9.7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1,840</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2015.9.22-2025.7.12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38</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2015.9.22-2018.9.25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1,876</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2015.10.23-2025.7.12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39</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2015.10.23-2018.10.23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1,334</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2015.11.27-2025.7.12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28</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2015.11.27-2018.11.27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1978</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2016.1.30-2025.7.12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2016.1.30-2018.1.30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1,544</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2016.9.27-2025.7.12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16</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2016.9.27-2018.9.27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435</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2016.11.16-2025.7.12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2016.11.16-2018.11.16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640</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2017.1.26-2025.7.12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22"/>
          <w:footerReference w:type="default" r:id="rId23"/>
          <w:pgSz w:w="16840" w:h="11910" w:orient="landscape"/>
          <w:pgMar w:header="1206" w:footer="1265" w:top="1400" w:bottom="1500" w:left="1300" w:right="1300"/>
          <w:pgNumType w:start="30"/>
        </w:sectPr>
      </w:pPr>
    </w:p>
    <w:p>
      <w:pPr>
        <w:spacing w:line="240" w:lineRule="auto" w:before="11"/>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37"/>
        <w:gridCol w:w="1558"/>
        <w:gridCol w:w="1087"/>
        <w:gridCol w:w="1750"/>
        <w:gridCol w:w="1274"/>
        <w:gridCol w:w="1397"/>
        <w:gridCol w:w="2294"/>
        <w:gridCol w:w="1042"/>
        <w:gridCol w:w="1255"/>
      </w:tblGrid>
      <w:tr>
        <w:trPr>
          <w:trHeight w:val="336" w:hRule="exact"/>
        </w:trPr>
        <w:tc>
          <w:tcPr>
            <w:tcW w:w="2237" w:type="dxa"/>
            <w:vMerge w:val="restart"/>
            <w:tcBorders>
              <w:top w:val="single" w:sz="10" w:space="0" w:color="000000"/>
              <w:left w:val="single" w:sz="4" w:space="0" w:color="000000"/>
              <w:right w:val="single" w:sz="4" w:space="0" w:color="000000"/>
            </w:tcBorders>
          </w:tcPr>
          <w:p>
            <w:pPr/>
          </w:p>
        </w:tc>
        <w:tc>
          <w:tcPr>
            <w:tcW w:w="1558" w:type="dxa"/>
            <w:vMerge w:val="restart"/>
            <w:tcBorders>
              <w:top w:val="single" w:sz="10" w:space="0" w:color="000000"/>
              <w:left w:val="single" w:sz="4" w:space="0" w:color="000000"/>
              <w:right w:val="single" w:sz="4" w:space="0" w:color="000000"/>
            </w:tcBorders>
          </w:tcPr>
          <w:p>
            <w:pPr/>
          </w:p>
        </w:tc>
        <w:tc>
          <w:tcPr>
            <w:tcW w:w="1087" w:type="dxa"/>
            <w:vMerge w:val="restart"/>
            <w:tcBorders>
              <w:top w:val="single" w:sz="10" w:space="0" w:color="000000"/>
              <w:left w:val="single" w:sz="4" w:space="0" w:color="000000"/>
              <w:right w:val="single" w:sz="4" w:space="0" w:color="000000"/>
            </w:tcBorders>
          </w:tcPr>
          <w:p>
            <w:pPr/>
          </w:p>
        </w:tc>
        <w:tc>
          <w:tcPr>
            <w:tcW w:w="17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sz w:val="18"/>
              </w:rPr>
              <w:t>458</w:t>
            </w:r>
          </w:p>
        </w:tc>
        <w:tc>
          <w:tcPr>
            <w:tcW w:w="1397" w:type="dxa"/>
            <w:vMerge w:val="restart"/>
            <w:tcBorders>
              <w:top w:val="single" w:sz="10" w:space="0" w:color="000000"/>
              <w:left w:val="single" w:sz="4" w:space="0" w:color="000000"/>
              <w:right w:val="single" w:sz="4" w:space="0" w:color="000000"/>
            </w:tcBorders>
          </w:tcPr>
          <w:p>
            <w:pPr/>
          </w:p>
        </w:tc>
        <w:tc>
          <w:tcPr>
            <w:tcW w:w="22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18"/>
                <w:szCs w:val="18"/>
              </w:rPr>
            </w:pPr>
            <w:r>
              <w:rPr>
                <w:rFonts w:ascii="Times New Roman"/>
                <w:sz w:val="18"/>
              </w:rPr>
              <w:t>2017.3.1-2025.7.12</w:t>
            </w:r>
          </w:p>
        </w:tc>
        <w:tc>
          <w:tcPr>
            <w:tcW w:w="10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567</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2017.3.10-2025.7.12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487</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2017.6.8-2025.7.12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242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2017.9.8-2025.7.12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222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2017.9.12-2025.7.12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245</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2017.9.15-2025.7.12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245</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2017.9.19-2025.7.12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401</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2018.1.10-2025.7.12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8,200</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5,978</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2015.8.17-2020.8.17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738</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2015.8.17-2018.2.14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664</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2015.8.17-2018.8.14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223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36" w:right="0"/>
              <w:jc w:val="left"/>
              <w:rPr>
                <w:rFonts w:ascii="Times New Roman" w:hAnsi="Times New Roman" w:cs="Times New Roman" w:eastAsia="Times New Roman" w:hint="default"/>
                <w:sz w:val="18"/>
                <w:szCs w:val="18"/>
              </w:rPr>
            </w:pPr>
            <w:r>
              <w:rPr>
                <w:rFonts w:ascii="Times New Roman"/>
                <w:sz w:val="18"/>
              </w:rPr>
              <w:t>8,200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7"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云南天露高原果蔬有限公司</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8,000</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1,000</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2015.7.17-2019.11.25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500</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2015.7.17-2018.5.25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1,500</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2015.7.17-2018.11.23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223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2,000</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2016.1.20-2019.11.25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南昌深农冷链物流有限公司</w:t>
            </w:r>
          </w:p>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7,395</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1465</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2016.2.5-2024.12.29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2016.2.5-2018.1.8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302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2016.2.5-2018.4.20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132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2016.2.5-2018.8.14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732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2016.3.31-2024.12.29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53</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2016.3.31-2018.1.8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211</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2016.3.31-2018.4.20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2016.3.31-2018.8.14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732</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2016.6.22-2024.12.29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1206" w:footer="1265" w:top="1400" w:bottom="1520" w:left="130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37"/>
        <w:gridCol w:w="1558"/>
        <w:gridCol w:w="1087"/>
        <w:gridCol w:w="1750"/>
        <w:gridCol w:w="1274"/>
        <w:gridCol w:w="1397"/>
        <w:gridCol w:w="2294"/>
        <w:gridCol w:w="1042"/>
        <w:gridCol w:w="1255"/>
      </w:tblGrid>
      <w:tr>
        <w:trPr>
          <w:trHeight w:val="336" w:hRule="exact"/>
        </w:trPr>
        <w:tc>
          <w:tcPr>
            <w:tcW w:w="2237" w:type="dxa"/>
            <w:vMerge w:val="restart"/>
            <w:tcBorders>
              <w:top w:val="single" w:sz="10" w:space="0" w:color="000000"/>
              <w:left w:val="single" w:sz="4" w:space="0" w:color="000000"/>
              <w:right w:val="single" w:sz="4" w:space="0" w:color="000000"/>
            </w:tcBorders>
          </w:tcPr>
          <w:p>
            <w:pPr/>
          </w:p>
        </w:tc>
        <w:tc>
          <w:tcPr>
            <w:tcW w:w="1558" w:type="dxa"/>
            <w:vMerge w:val="restart"/>
            <w:tcBorders>
              <w:top w:val="single" w:sz="10" w:space="0" w:color="000000"/>
              <w:left w:val="single" w:sz="4" w:space="0" w:color="000000"/>
              <w:right w:val="single" w:sz="4" w:space="0" w:color="000000"/>
            </w:tcBorders>
          </w:tcPr>
          <w:p>
            <w:pPr/>
          </w:p>
        </w:tc>
        <w:tc>
          <w:tcPr>
            <w:tcW w:w="1087" w:type="dxa"/>
            <w:vMerge w:val="restart"/>
            <w:tcBorders>
              <w:top w:val="single" w:sz="10" w:space="0" w:color="000000"/>
              <w:left w:val="single" w:sz="4" w:space="0" w:color="000000"/>
              <w:right w:val="single" w:sz="4" w:space="0" w:color="000000"/>
            </w:tcBorders>
          </w:tcPr>
          <w:p>
            <w:pPr/>
          </w:p>
        </w:tc>
        <w:tc>
          <w:tcPr>
            <w:tcW w:w="1750" w:type="dxa"/>
            <w:vMerge w:val="restart"/>
            <w:tcBorders>
              <w:top w:val="single" w:sz="10" w:space="0" w:color="000000"/>
              <w:left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46</w:t>
            </w:r>
          </w:p>
        </w:tc>
        <w:tc>
          <w:tcPr>
            <w:tcW w:w="1397" w:type="dxa"/>
            <w:vMerge w:val="restart"/>
            <w:tcBorders>
              <w:top w:val="single" w:sz="10" w:space="0" w:color="000000"/>
              <w:left w:val="single" w:sz="4" w:space="0" w:color="000000"/>
              <w:right w:val="single" w:sz="4" w:space="0" w:color="000000"/>
            </w:tcBorders>
          </w:tcPr>
          <w:p>
            <w:pPr/>
          </w:p>
        </w:tc>
        <w:tc>
          <w:tcPr>
            <w:tcW w:w="22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436" w:right="0"/>
              <w:jc w:val="left"/>
              <w:rPr>
                <w:rFonts w:ascii="Times New Roman" w:hAnsi="Times New Roman" w:cs="Times New Roman" w:eastAsia="Times New Roman" w:hint="default"/>
                <w:sz w:val="18"/>
                <w:szCs w:val="18"/>
              </w:rPr>
            </w:pPr>
            <w:r>
              <w:rPr>
                <w:rFonts w:ascii="Times New Roman"/>
                <w:sz w:val="18"/>
              </w:rPr>
              <w:t>2016.6.22-2018.1.8</w:t>
            </w:r>
          </w:p>
        </w:tc>
        <w:tc>
          <w:tcPr>
            <w:tcW w:w="10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216</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88"/>
              <w:jc w:val="right"/>
              <w:rPr>
                <w:rFonts w:ascii="Times New Roman" w:hAnsi="Times New Roman" w:cs="Times New Roman" w:eastAsia="Times New Roman" w:hint="default"/>
                <w:sz w:val="18"/>
                <w:szCs w:val="18"/>
              </w:rPr>
            </w:pPr>
            <w:r>
              <w:rPr>
                <w:rFonts w:ascii="Times New Roman"/>
                <w:spacing w:val="-1"/>
                <w:sz w:val="18"/>
              </w:rPr>
              <w:t>2016.6.22-2018.4.20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8"/>
              <w:jc w:val="right"/>
              <w:rPr>
                <w:rFonts w:ascii="Times New Roman" w:hAnsi="Times New Roman" w:cs="Times New Roman" w:eastAsia="Times New Roman" w:hint="default"/>
                <w:sz w:val="18"/>
                <w:szCs w:val="18"/>
              </w:rPr>
            </w:pPr>
            <w:r>
              <w:rPr>
                <w:rFonts w:ascii="Times New Roman"/>
                <w:spacing w:val="-1"/>
                <w:sz w:val="18"/>
              </w:rPr>
              <w:t>2016.6.22-2018.8.14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599</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3"/>
              <w:jc w:val="right"/>
              <w:rPr>
                <w:rFonts w:ascii="Times New Roman" w:hAnsi="Times New Roman" w:cs="Times New Roman" w:eastAsia="Times New Roman" w:hint="default"/>
                <w:sz w:val="18"/>
                <w:szCs w:val="18"/>
              </w:rPr>
            </w:pPr>
            <w:r>
              <w:rPr>
                <w:rFonts w:ascii="Times New Roman"/>
                <w:spacing w:val="-1"/>
                <w:sz w:val="18"/>
              </w:rPr>
              <w:t>2016.8.23-2024.12.29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13</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6" w:right="0"/>
              <w:jc w:val="left"/>
              <w:rPr>
                <w:rFonts w:ascii="Times New Roman" w:hAnsi="Times New Roman" w:cs="Times New Roman" w:eastAsia="Times New Roman" w:hint="default"/>
                <w:sz w:val="18"/>
                <w:szCs w:val="18"/>
              </w:rPr>
            </w:pPr>
            <w:r>
              <w:rPr>
                <w:rFonts w:ascii="Times New Roman"/>
                <w:sz w:val="18"/>
              </w:rPr>
              <w:t>2016.8.23-2018.1.8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179</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88"/>
              <w:jc w:val="right"/>
              <w:rPr>
                <w:rFonts w:ascii="Times New Roman" w:hAnsi="Times New Roman" w:cs="Times New Roman" w:eastAsia="Times New Roman" w:hint="default"/>
                <w:sz w:val="18"/>
                <w:szCs w:val="18"/>
              </w:rPr>
            </w:pPr>
            <w:r>
              <w:rPr>
                <w:rFonts w:ascii="Times New Roman"/>
                <w:spacing w:val="-1"/>
                <w:sz w:val="18"/>
              </w:rPr>
              <w:t>2016.8.23-2018.4.20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26</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8"/>
              <w:jc w:val="right"/>
              <w:rPr>
                <w:rFonts w:ascii="Times New Roman" w:hAnsi="Times New Roman" w:cs="Times New Roman" w:eastAsia="Times New Roman" w:hint="default"/>
                <w:sz w:val="18"/>
                <w:szCs w:val="18"/>
              </w:rPr>
            </w:pPr>
            <w:r>
              <w:rPr>
                <w:rFonts w:ascii="Times New Roman"/>
                <w:spacing w:val="-1"/>
                <w:sz w:val="18"/>
              </w:rPr>
              <w:t>2016.8.23-2018.8.14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428</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0"/>
              <w:jc w:val="right"/>
              <w:rPr>
                <w:rFonts w:ascii="Times New Roman" w:hAnsi="Times New Roman" w:cs="Times New Roman" w:eastAsia="Times New Roman" w:hint="default"/>
                <w:sz w:val="18"/>
                <w:szCs w:val="18"/>
              </w:rPr>
            </w:pPr>
            <w:r>
              <w:rPr>
                <w:rFonts w:ascii="Times New Roman"/>
                <w:spacing w:val="-1"/>
                <w:sz w:val="18"/>
              </w:rPr>
              <w:t>2016.10.12-2024.12.29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128</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3"/>
              <w:jc w:val="right"/>
              <w:rPr>
                <w:rFonts w:ascii="Times New Roman" w:hAnsi="Times New Roman" w:cs="Times New Roman" w:eastAsia="Times New Roman" w:hint="default"/>
                <w:sz w:val="18"/>
                <w:szCs w:val="18"/>
              </w:rPr>
            </w:pPr>
            <w:r>
              <w:rPr>
                <w:rFonts w:ascii="Times New Roman"/>
                <w:spacing w:val="-1"/>
                <w:sz w:val="18"/>
              </w:rPr>
              <w:t>2016.10.12-2018.4.20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99</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3"/>
              <w:jc w:val="right"/>
              <w:rPr>
                <w:rFonts w:ascii="Times New Roman" w:hAnsi="Times New Roman" w:cs="Times New Roman" w:eastAsia="Times New Roman" w:hint="default"/>
                <w:sz w:val="18"/>
                <w:szCs w:val="18"/>
              </w:rPr>
            </w:pPr>
            <w:r>
              <w:rPr>
                <w:rFonts w:ascii="Times New Roman"/>
                <w:spacing w:val="-1"/>
                <w:sz w:val="18"/>
              </w:rPr>
              <w:t>2016.10.12-2018.8.14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233</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02"/>
              <w:jc w:val="right"/>
              <w:rPr>
                <w:rFonts w:ascii="Times New Roman" w:hAnsi="Times New Roman" w:cs="Times New Roman" w:eastAsia="Times New Roman" w:hint="default"/>
                <w:sz w:val="18"/>
                <w:szCs w:val="18"/>
              </w:rPr>
            </w:pPr>
            <w:r>
              <w:rPr>
                <w:rFonts w:ascii="Times New Roman"/>
                <w:spacing w:val="-1"/>
                <w:sz w:val="18"/>
              </w:rPr>
              <w:t>2016.11.17-2024.12.29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41</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3"/>
              <w:jc w:val="right"/>
              <w:rPr>
                <w:rFonts w:ascii="Times New Roman" w:hAnsi="Times New Roman" w:cs="Times New Roman" w:eastAsia="Times New Roman" w:hint="default"/>
                <w:sz w:val="18"/>
                <w:szCs w:val="18"/>
              </w:rPr>
            </w:pPr>
            <w:r>
              <w:rPr>
                <w:rFonts w:ascii="Times New Roman"/>
                <w:spacing w:val="-1"/>
                <w:sz w:val="18"/>
              </w:rPr>
              <w:t>2016.11.17-2018.1.8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112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7"/>
              <w:jc w:val="right"/>
              <w:rPr>
                <w:rFonts w:ascii="Times New Roman" w:hAnsi="Times New Roman" w:cs="Times New Roman" w:eastAsia="Times New Roman" w:hint="default"/>
                <w:sz w:val="18"/>
                <w:szCs w:val="18"/>
              </w:rPr>
            </w:pPr>
            <w:r>
              <w:rPr>
                <w:rFonts w:ascii="Times New Roman"/>
                <w:spacing w:val="-1"/>
                <w:sz w:val="18"/>
              </w:rPr>
              <w:t>2016.11.17-2018.4.20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112</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8"/>
              <w:jc w:val="right"/>
              <w:rPr>
                <w:rFonts w:ascii="Times New Roman" w:hAnsi="Times New Roman" w:cs="Times New Roman" w:eastAsia="Times New Roman" w:hint="default"/>
                <w:sz w:val="18"/>
                <w:szCs w:val="18"/>
              </w:rPr>
            </w:pPr>
            <w:r>
              <w:rPr>
                <w:rFonts w:ascii="Times New Roman"/>
                <w:spacing w:val="-1"/>
                <w:sz w:val="18"/>
              </w:rPr>
              <w:t>2016.11.17-2018.8.14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400</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9"/>
              <w:jc w:val="right"/>
              <w:rPr>
                <w:rFonts w:ascii="Times New Roman" w:hAnsi="Times New Roman" w:cs="Times New Roman" w:eastAsia="Times New Roman" w:hint="default"/>
                <w:sz w:val="18"/>
                <w:szCs w:val="18"/>
              </w:rPr>
            </w:pPr>
            <w:r>
              <w:rPr>
                <w:rFonts w:ascii="Times New Roman"/>
                <w:spacing w:val="-1"/>
                <w:sz w:val="18"/>
              </w:rPr>
              <w:t>2017.1.6-2024.12.29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3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127</w:t>
            </w:r>
          </w:p>
        </w:tc>
        <w:tc>
          <w:tcPr>
            <w:tcW w:w="1397"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6" w:right="0"/>
              <w:jc w:val="left"/>
              <w:rPr>
                <w:rFonts w:ascii="Times New Roman" w:hAnsi="Times New Roman" w:cs="Times New Roman" w:eastAsia="Times New Roman" w:hint="default"/>
                <w:sz w:val="18"/>
                <w:szCs w:val="18"/>
              </w:rPr>
            </w:pPr>
            <w:r>
              <w:rPr>
                <w:rFonts w:ascii="Times New Roman"/>
                <w:sz w:val="18"/>
              </w:rPr>
              <w:t>2017.1.6-2018.4.20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3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128</w:t>
            </w:r>
          </w:p>
        </w:tc>
        <w:tc>
          <w:tcPr>
            <w:tcW w:w="1397"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6" w:right="0"/>
              <w:jc w:val="left"/>
              <w:rPr>
                <w:rFonts w:ascii="Times New Roman" w:hAnsi="Times New Roman" w:cs="Times New Roman" w:eastAsia="Times New Roman" w:hint="default"/>
                <w:sz w:val="18"/>
                <w:szCs w:val="18"/>
              </w:rPr>
            </w:pPr>
            <w:r>
              <w:rPr>
                <w:rFonts w:ascii="Times New Roman"/>
                <w:sz w:val="18"/>
              </w:rPr>
              <w:t>2017.1.6-2018.8.14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595" w:right="33" w:hanging="562"/>
              <w:jc w:val="left"/>
              <w:rPr>
                <w:rFonts w:ascii="宋体" w:hAnsi="宋体" w:cs="宋体" w:eastAsia="宋体" w:hint="default"/>
                <w:sz w:val="18"/>
                <w:szCs w:val="18"/>
              </w:rPr>
            </w:pPr>
            <w:r>
              <w:rPr>
                <w:rFonts w:ascii="宋体" w:hAnsi="宋体" w:cs="宋体" w:eastAsia="宋体" w:hint="default"/>
                <w:sz w:val="18"/>
                <w:szCs w:val="18"/>
              </w:rPr>
              <w:t>桂林海吉星农产品集团有限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16,400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5445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33" w:right="152" w:hanging="180"/>
              <w:jc w:val="left"/>
              <w:rPr>
                <w:rFonts w:ascii="宋体" w:hAnsi="宋体" w:cs="宋体" w:eastAsia="宋体" w:hint="default"/>
                <w:sz w:val="18"/>
                <w:szCs w:val="18"/>
              </w:rPr>
            </w:pPr>
            <w:r>
              <w:rPr>
                <w:rFonts w:ascii="宋体" w:hAnsi="宋体" w:cs="宋体" w:eastAsia="宋体" w:hint="default"/>
                <w:sz w:val="18"/>
                <w:szCs w:val="18"/>
              </w:rPr>
              <w:t>连带责任担保 质押担保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2016.7.28-2018.4.9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1" w:right="0"/>
              <w:jc w:val="left"/>
              <w:rPr>
                <w:rFonts w:ascii="宋体" w:hAnsi="宋体" w:cs="宋体" w:eastAsia="宋体" w:hint="default"/>
                <w:sz w:val="18"/>
                <w:szCs w:val="18"/>
              </w:rPr>
            </w:pPr>
            <w:r>
              <w:rPr>
                <w:rFonts w:ascii="宋体" w:hAnsi="宋体" w:cs="宋体" w:eastAsia="宋体" w:hint="default"/>
                <w:sz w:val="18"/>
                <w:szCs w:val="18"/>
              </w:rPr>
              <w:t>报告期内审批对外担保额度合计（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837"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10,209</w:t>
            </w:r>
          </w:p>
        </w:tc>
        <w:tc>
          <w:tcPr>
            <w:tcW w:w="49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37"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297"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6"/>
              <w:jc w:val="center"/>
              <w:rPr>
                <w:rFonts w:ascii="Times New Roman" w:hAnsi="Times New Roman" w:cs="Times New Roman" w:eastAsia="Times New Roman" w:hint="default"/>
                <w:sz w:val="18"/>
                <w:szCs w:val="18"/>
              </w:rPr>
            </w:pPr>
            <w:r>
              <w:rPr>
                <w:rFonts w:ascii="Times New Roman"/>
                <w:sz w:val="18"/>
              </w:rPr>
              <w:t>401</w:t>
            </w:r>
          </w:p>
        </w:tc>
      </w:tr>
      <w:tr>
        <w:trPr>
          <w:trHeight w:val="323" w:hRule="exact"/>
        </w:trPr>
        <w:tc>
          <w:tcPr>
            <w:tcW w:w="3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1"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837"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53,536</w:t>
            </w:r>
          </w:p>
        </w:tc>
        <w:tc>
          <w:tcPr>
            <w:tcW w:w="49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8" w:right="0"/>
              <w:jc w:val="left"/>
              <w:rPr>
                <w:rFonts w:ascii="宋体" w:hAnsi="宋体" w:cs="宋体" w:eastAsia="宋体" w:hint="default"/>
                <w:sz w:val="18"/>
                <w:szCs w:val="18"/>
              </w:rPr>
            </w:pPr>
            <w:r>
              <w:rPr>
                <w:rFonts w:ascii="宋体" w:hAnsi="宋体" w:cs="宋体" w:eastAsia="宋体" w:hint="default"/>
                <w:sz w:val="18"/>
                <w:szCs w:val="18"/>
              </w:rPr>
              <w:t>报告期末对外实际担保余额合计（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297"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0"/>
              <w:jc w:val="center"/>
              <w:rPr>
                <w:rFonts w:ascii="Times New Roman" w:hAnsi="Times New Roman" w:cs="Times New Roman" w:eastAsia="Times New Roman" w:hint="default"/>
                <w:sz w:val="18"/>
                <w:szCs w:val="18"/>
              </w:rPr>
            </w:pPr>
            <w:r>
              <w:rPr>
                <w:rFonts w:ascii="Times New Roman"/>
                <w:sz w:val="18"/>
              </w:rPr>
              <w:t>32,161</w:t>
            </w:r>
          </w:p>
        </w:tc>
      </w:tr>
      <w:tr>
        <w:trPr>
          <w:trHeight w:val="244" w:hRule="exact"/>
        </w:trPr>
        <w:tc>
          <w:tcPr>
            <w:tcW w:w="13896" w:type="dxa"/>
            <w:gridSpan w:val="9"/>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0" w:hRule="exact"/>
        </w:trPr>
        <w:tc>
          <w:tcPr>
            <w:tcW w:w="13896" w:type="dxa"/>
            <w:gridSpan w:val="9"/>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公司与子公司之间担保情况</w:t>
            </w:r>
            <w:r>
              <w:rPr>
                <w:rFonts w:ascii="Microsoft JhengHei" w:hAnsi="Microsoft JhengHei" w:cs="Microsoft JhengHei" w:eastAsia="Microsoft JhengHei" w:hint="default"/>
                <w:sz w:val="18"/>
                <w:szCs w:val="18"/>
              </w:rPr>
            </w:r>
          </w:p>
        </w:tc>
      </w:tr>
      <w:tr>
        <w:trPr>
          <w:trHeight w:val="238" w:hRule="exact"/>
        </w:trPr>
        <w:tc>
          <w:tcPr>
            <w:tcW w:w="13896" w:type="dxa"/>
            <w:gridSpan w:val="9"/>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37" w:type="dxa"/>
            <w:vMerge w:val="restart"/>
            <w:tcBorders>
              <w:top w:val="single" w:sz="4" w:space="0" w:color="000000"/>
              <w:left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8" w:hRule="exact"/>
        </w:trPr>
        <w:tc>
          <w:tcPr>
            <w:tcW w:w="2237"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412"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87" w:type="dxa"/>
            <w:vMerge/>
            <w:tcBorders>
              <w:left w:val="single" w:sz="4" w:space="0" w:color="000000"/>
              <w:bottom w:val="nil" w:sz="6" w:space="0" w:color="auto"/>
              <w:right w:val="single" w:sz="4" w:space="0" w:color="000000"/>
            </w:tcBorders>
            <w:shd w:val="clear" w:color="auto" w:fill="D2D2D2"/>
          </w:tcPr>
          <w:p>
            <w:pPr/>
          </w:p>
        </w:tc>
        <w:tc>
          <w:tcPr>
            <w:tcW w:w="1750"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508" w:right="60" w:hanging="452"/>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1274" w:type="dxa"/>
            <w:vMerge/>
            <w:tcBorders>
              <w:left w:val="single" w:sz="4" w:space="0" w:color="000000"/>
              <w:bottom w:val="nil" w:sz="6" w:space="0" w:color="auto"/>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2294"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424" w:right="65"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255"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441"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12" w:hRule="exact"/>
        </w:trPr>
        <w:tc>
          <w:tcPr>
            <w:tcW w:w="22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558" w:type="dxa"/>
            <w:vMerge/>
            <w:tcBorders>
              <w:left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2" w:type="dxa"/>
            <w:vMerge/>
            <w:tcBorders>
              <w:left w:val="single" w:sz="4" w:space="0" w:color="000000"/>
              <w:right w:val="single" w:sz="4" w:space="0" w:color="000000"/>
            </w:tcBorders>
            <w:shd w:val="clear" w:color="auto" w:fill="D2D2D2"/>
          </w:tcPr>
          <w:p>
            <w:pPr/>
          </w:p>
        </w:tc>
        <w:tc>
          <w:tcPr>
            <w:tcW w:w="1255" w:type="dxa"/>
            <w:vMerge/>
            <w:tcBorders>
              <w:left w:val="single" w:sz="4" w:space="0" w:color="000000"/>
              <w:right w:val="single" w:sz="4" w:space="0" w:color="000000"/>
            </w:tcBorders>
            <w:shd w:val="clear" w:color="auto" w:fill="D2D2D2"/>
          </w:tcPr>
          <w:p>
            <w:pPr/>
          </w:p>
        </w:tc>
      </w:tr>
      <w:tr>
        <w:trPr>
          <w:trHeight w:val="118" w:hRule="exact"/>
        </w:trPr>
        <w:tc>
          <w:tcPr>
            <w:tcW w:w="2237"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
        </w:tc>
        <w:tc>
          <w:tcPr>
            <w:tcW w:w="1750"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
        </w:tc>
        <w:tc>
          <w:tcPr>
            <w:tcW w:w="2294" w:type="dxa"/>
            <w:vMerge w:val="restart"/>
            <w:tcBorders>
              <w:top w:val="nil" w:sz="6" w:space="0" w:color="auto"/>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125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237"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9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深圳市布吉海鲜市场有限公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700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1206" w:footer="1265" w:top="1400" w:bottom="1460" w:left="1300" w:right="1320"/>
        </w:sectPr>
      </w:pPr>
    </w:p>
    <w:p>
      <w:pPr>
        <w:spacing w:line="240" w:lineRule="auto" w:before="2"/>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43"/>
        <w:gridCol w:w="1549"/>
        <w:gridCol w:w="1097"/>
        <w:gridCol w:w="1745"/>
        <w:gridCol w:w="1274"/>
        <w:gridCol w:w="1397"/>
        <w:gridCol w:w="2291"/>
        <w:gridCol w:w="1046"/>
        <w:gridCol w:w="1255"/>
      </w:tblGrid>
      <w:tr>
        <w:trPr>
          <w:trHeight w:val="310" w:hRule="exact"/>
        </w:trPr>
        <w:tc>
          <w:tcPr>
            <w:tcW w:w="2243" w:type="dxa"/>
            <w:tcBorders>
              <w:top w:val="single" w:sz="10"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49" w:type="dxa"/>
            <w:tcBorders>
              <w:top w:val="single" w:sz="10" w:space="0" w:color="000000"/>
              <w:left w:val="single" w:sz="4" w:space="0" w:color="000000"/>
              <w:bottom w:val="single" w:sz="4" w:space="0" w:color="000000"/>
              <w:right w:val="single" w:sz="4" w:space="0" w:color="000000"/>
            </w:tcBorders>
          </w:tcPr>
          <w:p>
            <w:pPr/>
          </w:p>
        </w:tc>
        <w:tc>
          <w:tcPr>
            <w:tcW w:w="10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900</w:t>
            </w:r>
          </w:p>
        </w:tc>
        <w:tc>
          <w:tcPr>
            <w:tcW w:w="17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right="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2"/>
              <w:ind w:left="415" w:right="37" w:hanging="383"/>
              <w:jc w:val="left"/>
              <w:rPr>
                <w:rFonts w:ascii="宋体" w:hAnsi="宋体" w:cs="宋体" w:eastAsia="宋体" w:hint="default"/>
                <w:sz w:val="18"/>
                <w:szCs w:val="18"/>
              </w:rPr>
            </w:pPr>
            <w:r>
              <w:rPr>
                <w:rFonts w:ascii="宋体" w:hAnsi="宋体" w:cs="宋体" w:eastAsia="宋体" w:hint="default"/>
                <w:sz w:val="18"/>
                <w:szCs w:val="18"/>
              </w:rPr>
              <w:t>广西海吉星农产品国际物流 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18,800</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11,400</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2012.5.24-2027.5.23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43" w:type="dxa"/>
            <w:vMerge/>
            <w:tcBorders>
              <w:left w:val="single" w:sz="4" w:space="0" w:color="000000"/>
              <w:right w:val="single" w:sz="4" w:space="0" w:color="000000"/>
            </w:tcBorders>
          </w:tcPr>
          <w:p>
            <w:pPr/>
          </w:p>
        </w:tc>
        <w:tc>
          <w:tcPr>
            <w:tcW w:w="1549"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500</w:t>
            </w:r>
          </w:p>
        </w:tc>
        <w:tc>
          <w:tcPr>
            <w:tcW w:w="1397" w:type="dxa"/>
            <w:vMerge/>
            <w:tcBorders>
              <w:left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 w:right="0"/>
              <w:jc w:val="center"/>
              <w:rPr>
                <w:rFonts w:ascii="Times New Roman" w:hAnsi="Times New Roman" w:cs="Times New Roman" w:eastAsia="Times New Roman" w:hint="default"/>
                <w:sz w:val="18"/>
                <w:szCs w:val="18"/>
              </w:rPr>
            </w:pPr>
            <w:r>
              <w:rPr>
                <w:rFonts w:ascii="Times New Roman"/>
                <w:sz w:val="18"/>
              </w:rPr>
              <w:t>2012.5.24-2018.5.18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43" w:type="dxa"/>
            <w:vMerge/>
            <w:tcBorders>
              <w:left w:val="single" w:sz="4" w:space="0" w:color="000000"/>
              <w:right w:val="single" w:sz="4" w:space="0" w:color="000000"/>
            </w:tcBorders>
          </w:tcPr>
          <w:p>
            <w:pPr/>
          </w:p>
        </w:tc>
        <w:tc>
          <w:tcPr>
            <w:tcW w:w="1549"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400</w:t>
            </w:r>
          </w:p>
        </w:tc>
        <w:tc>
          <w:tcPr>
            <w:tcW w:w="1397" w:type="dxa"/>
            <w:vMerge/>
            <w:tcBorders>
              <w:left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2012.5.24-2018.11.19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43" w:type="dxa"/>
            <w:vMerge/>
            <w:tcBorders>
              <w:left w:val="single" w:sz="4" w:space="0" w:color="000000"/>
              <w:right w:val="single" w:sz="4" w:space="0" w:color="000000"/>
            </w:tcBorders>
          </w:tcPr>
          <w:p>
            <w:pPr/>
          </w:p>
        </w:tc>
        <w:tc>
          <w:tcPr>
            <w:tcW w:w="1549"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100</w:t>
            </w:r>
          </w:p>
        </w:tc>
        <w:tc>
          <w:tcPr>
            <w:tcW w:w="1397" w:type="dxa"/>
            <w:vMerge/>
            <w:tcBorders>
              <w:left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2012.5.24-2018.11.20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43" w:type="dxa"/>
            <w:vMerge/>
            <w:tcBorders>
              <w:left w:val="single" w:sz="4" w:space="0" w:color="000000"/>
              <w:right w:val="single" w:sz="4" w:space="0" w:color="000000"/>
            </w:tcBorders>
          </w:tcPr>
          <w:p>
            <w:pPr/>
          </w:p>
        </w:tc>
        <w:tc>
          <w:tcPr>
            <w:tcW w:w="1549"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1,000</w:t>
            </w:r>
          </w:p>
        </w:tc>
        <w:tc>
          <w:tcPr>
            <w:tcW w:w="1397" w:type="dxa"/>
            <w:vMerge/>
            <w:tcBorders>
              <w:left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2013.1.22-2027.5.23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243" w:type="dxa"/>
            <w:vMerge/>
            <w:tcBorders>
              <w:left w:val="single" w:sz="4" w:space="0" w:color="000000"/>
              <w:bottom w:val="single" w:sz="4" w:space="0" w:color="000000"/>
              <w:right w:val="single" w:sz="4" w:space="0" w:color="000000"/>
            </w:tcBorders>
          </w:tcPr>
          <w:p>
            <w:pPr/>
          </w:p>
        </w:tc>
        <w:tc>
          <w:tcPr>
            <w:tcW w:w="1549"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2,800</w:t>
            </w:r>
          </w:p>
        </w:tc>
        <w:tc>
          <w:tcPr>
            <w:tcW w:w="1397" w:type="dxa"/>
            <w:vMerge/>
            <w:tcBorders>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 w:right="0"/>
              <w:jc w:val="center"/>
              <w:rPr>
                <w:rFonts w:ascii="Times New Roman" w:hAnsi="Times New Roman" w:cs="Times New Roman" w:eastAsia="Times New Roman" w:hint="default"/>
                <w:sz w:val="18"/>
                <w:szCs w:val="18"/>
              </w:rPr>
            </w:pPr>
            <w:r>
              <w:rPr>
                <w:rFonts w:ascii="Times New Roman"/>
                <w:sz w:val="18"/>
              </w:rPr>
              <w:t>2013.2.05-2027.5.23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506" w:right="37" w:hanging="474"/>
              <w:jc w:val="left"/>
              <w:rPr>
                <w:rFonts w:ascii="宋体" w:hAnsi="宋体" w:cs="宋体" w:eastAsia="宋体" w:hint="default"/>
                <w:sz w:val="18"/>
                <w:szCs w:val="18"/>
              </w:rPr>
            </w:pPr>
            <w:r>
              <w:rPr>
                <w:rFonts w:ascii="宋体" w:hAnsi="宋体" w:cs="宋体" w:eastAsia="宋体" w:hint="default"/>
                <w:sz w:val="18"/>
                <w:szCs w:val="18"/>
              </w:rPr>
              <w:t>安庆海吉星农产品物流园有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2017.1.24-2025.12.23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235" w:right="38" w:hanging="203"/>
              <w:jc w:val="left"/>
              <w:rPr>
                <w:rFonts w:ascii="宋体" w:hAnsi="宋体" w:cs="宋体" w:eastAsia="宋体" w:hint="default"/>
                <w:sz w:val="18"/>
                <w:szCs w:val="18"/>
              </w:rPr>
            </w:pPr>
            <w:r>
              <w:rPr>
                <w:rFonts w:ascii="宋体" w:hAnsi="宋体" w:cs="宋体" w:eastAsia="宋体" w:hint="default"/>
                <w:sz w:val="18"/>
                <w:szCs w:val="18"/>
              </w:rPr>
              <w:t>青海海吉星国际农产品集配 中心有限公司（注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2018.11.05-2026.03.13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79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left="166"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841" w:type="dxa"/>
            <w:gridSpan w:val="2"/>
            <w:tcBorders>
              <w:top w:val="single" w:sz="4" w:space="0" w:color="000000"/>
              <w:left w:val="single" w:sz="10" w:space="0" w:color="BEBEBE"/>
              <w:bottom w:val="single" w:sz="4" w:space="0" w:color="000000"/>
              <w:right w:val="single" w:sz="10" w:space="0" w:color="BEBEBE"/>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5,100</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301" w:type="dxa"/>
            <w:gridSpan w:val="2"/>
            <w:tcBorders>
              <w:top w:val="single" w:sz="4" w:space="0" w:color="000000"/>
              <w:left w:val="single" w:sz="12" w:space="0" w:color="BEBEBE"/>
              <w:bottom w:val="single" w:sz="4" w:space="0" w:color="000000"/>
              <w:right w:val="single" w:sz="4" w:space="0" w:color="000000"/>
            </w:tcBorders>
          </w:tcPr>
          <w:p>
            <w:pPr>
              <w:pStyle w:val="TableParagraph"/>
              <w:spacing w:line="240" w:lineRule="auto" w:before="57"/>
              <w:ind w:right="4"/>
              <w:jc w:val="center"/>
              <w:rPr>
                <w:rFonts w:ascii="Times New Roman" w:hAnsi="Times New Roman" w:cs="Times New Roman" w:eastAsia="Times New Roman" w:hint="default"/>
                <w:sz w:val="18"/>
                <w:szCs w:val="18"/>
              </w:rPr>
            </w:pPr>
            <w:r>
              <w:rPr>
                <w:rFonts w:ascii="Times New Roman"/>
                <w:sz w:val="18"/>
              </w:rPr>
              <w:t>5,100</w:t>
            </w:r>
          </w:p>
        </w:tc>
      </w:tr>
      <w:tr>
        <w:trPr>
          <w:trHeight w:val="329" w:hRule="exact"/>
        </w:trPr>
        <w:tc>
          <w:tcPr>
            <w:tcW w:w="379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p>
        </w:tc>
        <w:tc>
          <w:tcPr>
            <w:tcW w:w="2841" w:type="dxa"/>
            <w:gridSpan w:val="2"/>
            <w:tcBorders>
              <w:top w:val="single" w:sz="4" w:space="0" w:color="000000"/>
              <w:left w:val="single" w:sz="10" w:space="0" w:color="BEBEBE"/>
              <w:bottom w:val="single" w:sz="4" w:space="0" w:color="000000"/>
              <w:right w:val="single" w:sz="10" w:space="0" w:color="BEBEBE"/>
            </w:tcBorders>
          </w:tcPr>
          <w:p>
            <w:pPr>
              <w:pStyle w:val="TableParagraph"/>
              <w:tabs>
                <w:tab w:pos="1163" w:val="left" w:leader="none"/>
              </w:tabs>
              <w:spacing w:line="240" w:lineRule="auto" w:before="17"/>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35,900</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301" w:type="dxa"/>
            <w:gridSpan w:val="2"/>
            <w:tcBorders>
              <w:top w:val="single" w:sz="4" w:space="0" w:color="000000"/>
              <w:left w:val="single" w:sz="12" w:space="0" w:color="BEBEBE"/>
              <w:bottom w:val="single" w:sz="4" w:space="0" w:color="000000"/>
              <w:right w:val="single" w:sz="4" w:space="0" w:color="000000"/>
            </w:tcBorders>
          </w:tcPr>
          <w:p>
            <w:pPr>
              <w:pStyle w:val="TableParagraph"/>
              <w:spacing w:line="240" w:lineRule="auto" w:before="57"/>
              <w:ind w:right="6"/>
              <w:jc w:val="center"/>
              <w:rPr>
                <w:rFonts w:ascii="Times New Roman" w:hAnsi="Times New Roman" w:cs="Times New Roman" w:eastAsia="Times New Roman" w:hint="default"/>
                <w:sz w:val="18"/>
                <w:szCs w:val="18"/>
              </w:rPr>
            </w:pPr>
            <w:r>
              <w:rPr>
                <w:rFonts w:ascii="Times New Roman"/>
                <w:sz w:val="18"/>
              </w:rPr>
              <w:t>32,300</w:t>
            </w:r>
          </w:p>
        </w:tc>
      </w:tr>
      <w:tr>
        <w:trPr>
          <w:trHeight w:val="149" w:hRule="exact"/>
        </w:trPr>
        <w:tc>
          <w:tcPr>
            <w:tcW w:w="13896" w:type="dxa"/>
            <w:gridSpan w:val="9"/>
            <w:tcBorders>
              <w:top w:val="single" w:sz="4" w:space="0" w:color="000000"/>
              <w:left w:val="single" w:sz="4" w:space="0" w:color="000000"/>
              <w:bottom w:val="nil" w:sz="6" w:space="0" w:color="auto"/>
              <w:right w:val="single" w:sz="4" w:space="0" w:color="000000"/>
            </w:tcBorders>
            <w:shd w:val="clear" w:color="auto" w:fill="BEBEBE"/>
          </w:tcPr>
          <w:p>
            <w:pPr/>
          </w:p>
        </w:tc>
      </w:tr>
      <w:tr>
        <w:trPr>
          <w:trHeight w:val="314" w:hRule="exact"/>
        </w:trPr>
        <w:tc>
          <w:tcPr>
            <w:tcW w:w="13896" w:type="dxa"/>
            <w:gridSpan w:val="9"/>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7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子公司与子公司之间担保情况</w:t>
            </w:r>
            <w:r>
              <w:rPr>
                <w:rFonts w:ascii="Microsoft JhengHei" w:hAnsi="Microsoft JhengHei" w:cs="Microsoft JhengHei" w:eastAsia="Microsoft JhengHei" w:hint="default"/>
                <w:sz w:val="18"/>
                <w:szCs w:val="18"/>
              </w:rPr>
            </w:r>
          </w:p>
        </w:tc>
      </w:tr>
      <w:tr>
        <w:trPr>
          <w:trHeight w:val="149" w:hRule="exact"/>
        </w:trPr>
        <w:tc>
          <w:tcPr>
            <w:tcW w:w="13896" w:type="dxa"/>
            <w:gridSpan w:val="9"/>
            <w:tcBorders>
              <w:top w:val="nil" w:sz="6" w:space="0" w:color="auto"/>
              <w:left w:val="single" w:sz="4" w:space="0" w:color="000000"/>
              <w:bottom w:val="single" w:sz="4" w:space="0" w:color="000000"/>
              <w:right w:val="single" w:sz="4" w:space="0" w:color="000000"/>
            </w:tcBorders>
            <w:shd w:val="clear" w:color="auto" w:fill="BEBEBE"/>
          </w:tcPr>
          <w:p>
            <w:pPr/>
          </w:p>
        </w:tc>
      </w:tr>
      <w:tr>
        <w:trPr>
          <w:trHeight w:val="127" w:hRule="exact"/>
        </w:trPr>
        <w:tc>
          <w:tcPr>
            <w:tcW w:w="2243" w:type="dxa"/>
            <w:tcBorders>
              <w:top w:val="single" w:sz="4" w:space="0" w:color="000000"/>
              <w:left w:val="single" w:sz="4" w:space="0" w:color="000000"/>
              <w:bottom w:val="nil" w:sz="6" w:space="0" w:color="auto"/>
              <w:right w:val="single" w:sz="4" w:space="0" w:color="000000"/>
            </w:tcBorders>
            <w:shd w:val="clear" w:color="auto" w:fill="BEBEBE"/>
          </w:tcPr>
          <w:p>
            <w:pPr/>
          </w:p>
        </w:tc>
        <w:tc>
          <w:tcPr>
            <w:tcW w:w="1549" w:type="dxa"/>
            <w:vMerge w:val="restart"/>
            <w:tcBorders>
              <w:top w:val="single" w:sz="4" w:space="0" w:color="000000"/>
              <w:left w:val="single" w:sz="4" w:space="0" w:color="000000"/>
              <w:right w:val="single" w:sz="4" w:space="0" w:color="000000"/>
            </w:tcBorders>
            <w:shd w:val="clear" w:color="auto" w:fill="BEBEBE"/>
          </w:tcPr>
          <w:p>
            <w:pPr>
              <w:pStyle w:val="TableParagraph"/>
              <w:spacing w:line="234" w:lineRule="exact" w:before="45"/>
              <w:ind w:left="407" w:right="49"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97" w:type="dxa"/>
            <w:tcBorders>
              <w:top w:val="single" w:sz="4" w:space="0" w:color="000000"/>
              <w:left w:val="single" w:sz="4" w:space="0" w:color="000000"/>
              <w:bottom w:val="nil" w:sz="6" w:space="0" w:color="auto"/>
              <w:right w:val="single" w:sz="4" w:space="0" w:color="000000"/>
            </w:tcBorders>
            <w:shd w:val="clear" w:color="auto" w:fill="BEBEBE"/>
          </w:tcPr>
          <w:p>
            <w:pPr/>
          </w:p>
        </w:tc>
        <w:tc>
          <w:tcPr>
            <w:tcW w:w="1745" w:type="dxa"/>
            <w:vMerge w:val="restart"/>
            <w:tcBorders>
              <w:top w:val="single" w:sz="4" w:space="0" w:color="000000"/>
              <w:left w:val="single" w:sz="4" w:space="0" w:color="000000"/>
              <w:right w:val="single" w:sz="4" w:space="0" w:color="000000"/>
            </w:tcBorders>
            <w:shd w:val="clear" w:color="auto" w:fill="BEBEBE"/>
          </w:tcPr>
          <w:p>
            <w:pPr>
              <w:pStyle w:val="TableParagraph"/>
              <w:spacing w:line="234" w:lineRule="exact" w:before="45"/>
              <w:ind w:left="503" w:right="60" w:hanging="452"/>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1274" w:type="dxa"/>
            <w:tcBorders>
              <w:top w:val="single" w:sz="4" w:space="0" w:color="000000"/>
              <w:left w:val="single" w:sz="4" w:space="0" w:color="000000"/>
              <w:bottom w:val="nil" w:sz="6" w:space="0" w:color="auto"/>
              <w:right w:val="single" w:sz="4" w:space="0" w:color="000000"/>
            </w:tcBorders>
            <w:shd w:val="clear" w:color="auto" w:fill="BEBEBE"/>
          </w:tcPr>
          <w:p>
            <w:pPr/>
          </w:p>
        </w:tc>
        <w:tc>
          <w:tcPr>
            <w:tcW w:w="1397" w:type="dxa"/>
            <w:tcBorders>
              <w:top w:val="single" w:sz="4" w:space="0" w:color="000000"/>
              <w:left w:val="single" w:sz="4" w:space="0" w:color="000000"/>
              <w:bottom w:val="nil" w:sz="6" w:space="0" w:color="auto"/>
              <w:right w:val="single" w:sz="4" w:space="0" w:color="000000"/>
            </w:tcBorders>
            <w:shd w:val="clear" w:color="auto" w:fill="BEBEBE"/>
          </w:tcPr>
          <w:p>
            <w:pPr/>
          </w:p>
        </w:tc>
        <w:tc>
          <w:tcPr>
            <w:tcW w:w="2291" w:type="dxa"/>
            <w:tcBorders>
              <w:top w:val="single" w:sz="4" w:space="0" w:color="000000"/>
              <w:left w:val="single" w:sz="4" w:space="0" w:color="000000"/>
              <w:bottom w:val="nil" w:sz="6" w:space="0" w:color="auto"/>
              <w:right w:val="single" w:sz="4" w:space="0" w:color="000000"/>
            </w:tcBorders>
            <w:shd w:val="clear" w:color="auto" w:fill="BEBEBE"/>
          </w:tcPr>
          <w:p>
            <w:pPr/>
          </w:p>
        </w:tc>
        <w:tc>
          <w:tcPr>
            <w:tcW w:w="1046" w:type="dxa"/>
            <w:vMerge w:val="restart"/>
            <w:tcBorders>
              <w:top w:val="single" w:sz="4" w:space="0" w:color="000000"/>
              <w:left w:val="single" w:sz="4" w:space="0" w:color="000000"/>
              <w:right w:val="single" w:sz="4" w:space="0" w:color="000000"/>
            </w:tcBorders>
            <w:shd w:val="clear" w:color="auto" w:fill="BEBEBE"/>
          </w:tcPr>
          <w:p>
            <w:pPr>
              <w:pStyle w:val="TableParagraph"/>
              <w:spacing w:line="234" w:lineRule="exact" w:before="45"/>
              <w:ind w:left="428" w:right="65"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255" w:type="dxa"/>
            <w:vMerge w:val="restart"/>
            <w:tcBorders>
              <w:top w:val="single" w:sz="4" w:space="0" w:color="000000"/>
              <w:left w:val="single" w:sz="4" w:space="0" w:color="000000"/>
              <w:right w:val="single" w:sz="4" w:space="0" w:color="000000"/>
            </w:tcBorders>
            <w:shd w:val="clear" w:color="auto" w:fill="BEBEBE"/>
          </w:tcPr>
          <w:p>
            <w:pPr>
              <w:pStyle w:val="TableParagraph"/>
              <w:spacing w:line="234" w:lineRule="exact" w:before="45"/>
              <w:ind w:left="441"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435" w:hRule="exact"/>
        </w:trPr>
        <w:tc>
          <w:tcPr>
            <w:tcW w:w="2243"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549" w:type="dxa"/>
            <w:vMerge/>
            <w:tcBorders>
              <w:left w:val="single" w:sz="4" w:space="0" w:color="000000"/>
              <w:bottom w:val="single" w:sz="4" w:space="0" w:color="000000"/>
              <w:right w:val="single" w:sz="4" w:space="0" w:color="000000"/>
            </w:tcBorders>
            <w:shd w:val="clear" w:color="auto" w:fill="BEBEBE"/>
          </w:tcPr>
          <w:p>
            <w:pPr/>
          </w:p>
        </w:tc>
        <w:tc>
          <w:tcPr>
            <w:tcW w:w="1097"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45" w:type="dxa"/>
            <w:vMerge/>
            <w:tcBorders>
              <w:left w:val="single" w:sz="4" w:space="0" w:color="000000"/>
              <w:bottom w:val="single" w:sz="4" w:space="0" w:color="000000"/>
              <w:right w:val="single" w:sz="4" w:space="0" w:color="000000"/>
            </w:tcBorders>
            <w:shd w:val="clear" w:color="auto" w:fill="BEBEBE"/>
          </w:tcPr>
          <w:p>
            <w:pPr/>
          </w:p>
        </w:tc>
        <w:tc>
          <w:tcPr>
            <w:tcW w:w="1274"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397"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291"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18"/>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6" w:type="dxa"/>
            <w:vMerge/>
            <w:tcBorders>
              <w:left w:val="single" w:sz="4" w:space="0" w:color="000000"/>
              <w:bottom w:val="single" w:sz="4" w:space="0" w:color="000000"/>
              <w:right w:val="single" w:sz="4" w:space="0" w:color="000000"/>
            </w:tcBorders>
            <w:shd w:val="clear" w:color="auto" w:fill="BEBEBE"/>
          </w:tcPr>
          <w:p>
            <w:pPr/>
          </w:p>
        </w:tc>
        <w:tc>
          <w:tcPr>
            <w:tcW w:w="1255" w:type="dxa"/>
            <w:vMerge/>
            <w:tcBorders>
              <w:left w:val="single" w:sz="4" w:space="0" w:color="000000"/>
              <w:bottom w:val="single" w:sz="4" w:space="0" w:color="000000"/>
              <w:right w:val="single" w:sz="4" w:space="0" w:color="000000"/>
            </w:tcBorders>
            <w:shd w:val="clear" w:color="auto" w:fill="BEBEBE"/>
          </w:tcPr>
          <w:p>
            <w:pPr/>
          </w:p>
        </w:tc>
      </w:tr>
      <w:tr>
        <w:trPr>
          <w:trHeight w:val="298" w:hRule="exact"/>
        </w:trPr>
        <w:tc>
          <w:tcPr>
            <w:tcW w:w="2243" w:type="dxa"/>
            <w:tcBorders>
              <w:top w:val="single" w:sz="51" w:space="0" w:color="BEBEBE"/>
              <w:left w:val="single" w:sz="4" w:space="0" w:color="000000"/>
              <w:bottom w:val="single" w:sz="4" w:space="0" w:color="000000"/>
              <w:right w:val="single" w:sz="4" w:space="0" w:color="000000"/>
            </w:tcBorders>
          </w:tcPr>
          <w:p>
            <w:pPr>
              <w:pStyle w:val="TableParagraph"/>
              <w:spacing w:line="191" w:lineRule="exact"/>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51" w:space="0" w:color="BEBEBE"/>
              <w:left w:val="single" w:sz="4" w:space="0" w:color="000000"/>
              <w:bottom w:val="single" w:sz="4" w:space="0" w:color="000000"/>
              <w:right w:val="single" w:sz="4" w:space="0" w:color="000000"/>
            </w:tcBorders>
          </w:tcPr>
          <w:p>
            <w:pPr>
              <w:pStyle w:val="TableParagraph"/>
              <w:spacing w:line="191" w:lineRule="exact"/>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51" w:space="0" w:color="BEBEBE"/>
              <w:left w:val="single" w:sz="4" w:space="0" w:color="000000"/>
              <w:bottom w:val="single" w:sz="4" w:space="0" w:color="000000"/>
              <w:right w:val="single" w:sz="4" w:space="0" w:color="000000"/>
            </w:tcBorders>
          </w:tcPr>
          <w:p>
            <w:pPr>
              <w:pStyle w:val="TableParagraph"/>
              <w:spacing w:line="191" w:lineRule="exact"/>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51" w:space="0" w:color="BEBEBE"/>
              <w:left w:val="single" w:sz="4" w:space="0" w:color="000000"/>
              <w:bottom w:val="single" w:sz="4" w:space="0" w:color="000000"/>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1" w:type="dxa"/>
            <w:tcBorders>
              <w:top w:val="single" w:sz="51" w:space="0" w:color="BEBEBE"/>
              <w:left w:val="single" w:sz="4" w:space="0" w:color="000000"/>
              <w:bottom w:val="single" w:sz="4" w:space="0" w:color="000000"/>
              <w:right w:val="single" w:sz="4" w:space="0" w:color="000000"/>
            </w:tcBorders>
          </w:tcPr>
          <w:p>
            <w:pPr>
              <w:pStyle w:val="TableParagraph"/>
              <w:spacing w:line="191" w:lineRule="exact"/>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79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166"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841" w:type="dxa"/>
            <w:gridSpan w:val="2"/>
            <w:tcBorders>
              <w:top w:val="single" w:sz="4" w:space="0" w:color="000000"/>
              <w:left w:val="single" w:sz="10" w:space="0" w:color="BEBEBE"/>
              <w:bottom w:val="single" w:sz="4" w:space="0" w:color="000000"/>
              <w:right w:val="single" w:sz="10" w:space="0" w:color="BEBEBE"/>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0</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301" w:type="dxa"/>
            <w:gridSpan w:val="2"/>
            <w:tcBorders>
              <w:top w:val="single" w:sz="4" w:space="0" w:color="000000"/>
              <w:left w:val="single" w:sz="12" w:space="0" w:color="BEBEBE"/>
              <w:bottom w:val="single" w:sz="4" w:space="0" w:color="000000"/>
              <w:right w:val="single" w:sz="4" w:space="0" w:color="000000"/>
            </w:tcBorders>
          </w:tcPr>
          <w:p>
            <w:pPr>
              <w:pStyle w:val="TableParagraph"/>
              <w:spacing w:line="240" w:lineRule="auto" w:before="55"/>
              <w:ind w:right="8"/>
              <w:jc w:val="center"/>
              <w:rPr>
                <w:rFonts w:ascii="Times New Roman" w:hAnsi="Times New Roman" w:cs="Times New Roman" w:eastAsia="Times New Roman" w:hint="default"/>
                <w:sz w:val="18"/>
                <w:szCs w:val="18"/>
              </w:rPr>
            </w:pPr>
            <w:r>
              <w:rPr>
                <w:rFonts w:ascii="Times New Roman"/>
                <w:sz w:val="18"/>
              </w:rPr>
              <w:t>0</w:t>
            </w:r>
          </w:p>
        </w:tc>
      </w:tr>
      <w:tr>
        <w:trPr>
          <w:trHeight w:val="368" w:hRule="exact"/>
        </w:trPr>
        <w:tc>
          <w:tcPr>
            <w:tcW w:w="379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C3</w:t>
            </w:r>
          </w:p>
        </w:tc>
        <w:tc>
          <w:tcPr>
            <w:tcW w:w="2841" w:type="dxa"/>
            <w:gridSpan w:val="2"/>
            <w:tcBorders>
              <w:top w:val="single" w:sz="4" w:space="0" w:color="000000"/>
              <w:left w:val="single" w:sz="10" w:space="0" w:color="BEBEBE"/>
              <w:bottom w:val="single" w:sz="39" w:space="0" w:color="BEBEBE"/>
              <w:right w:val="single" w:sz="10" w:space="0" w:color="BEBEBE"/>
            </w:tcBorders>
          </w:tcPr>
          <w:p>
            <w:pPr>
              <w:pStyle w:val="TableParagraph"/>
              <w:tabs>
                <w:tab w:pos="1364" w:val="left" w:leader="none"/>
              </w:tabs>
              <w:spacing w:line="240" w:lineRule="auto" w:before="17"/>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301" w:type="dxa"/>
            <w:gridSpan w:val="2"/>
            <w:tcBorders>
              <w:top w:val="single" w:sz="4" w:space="0" w:color="000000"/>
              <w:left w:val="single" w:sz="12" w:space="0" w:color="BEBEBE"/>
              <w:bottom w:val="single" w:sz="39" w:space="0" w:color="BEBEBE"/>
              <w:right w:val="single" w:sz="4" w:space="0" w:color="000000"/>
            </w:tcBorders>
          </w:tcPr>
          <w:p>
            <w:pPr>
              <w:pStyle w:val="TableParagraph"/>
              <w:spacing w:line="240" w:lineRule="auto" w:before="57"/>
              <w:ind w:right="8"/>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13896"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公司担保总额（即前三大项的合计）</w:t>
            </w:r>
            <w:r>
              <w:rPr>
                <w:rFonts w:ascii="Microsoft JhengHei" w:hAnsi="Microsoft JhengHei" w:cs="Microsoft JhengHei" w:eastAsia="Microsoft JhengHei" w:hint="default"/>
                <w:sz w:val="18"/>
                <w:szCs w:val="18"/>
              </w:rPr>
            </w:r>
          </w:p>
        </w:tc>
      </w:tr>
      <w:tr>
        <w:trPr>
          <w:trHeight w:val="373" w:hRule="exact"/>
        </w:trPr>
        <w:tc>
          <w:tcPr>
            <w:tcW w:w="379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7"/>
              <w:ind w:left="2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841" w:type="dxa"/>
            <w:gridSpan w:val="2"/>
            <w:tcBorders>
              <w:top w:val="single" w:sz="36" w:space="0" w:color="BEBEBE"/>
              <w:left w:val="single" w:sz="10" w:space="0" w:color="BEBEBE"/>
              <w:bottom w:val="single" w:sz="4" w:space="0" w:color="000000"/>
              <w:right w:val="single" w:sz="10" w:space="0" w:color="BEBEBE"/>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15,309</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7"/>
              <w:ind w:left="70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301" w:type="dxa"/>
            <w:gridSpan w:val="2"/>
            <w:tcBorders>
              <w:top w:val="single" w:sz="36" w:space="0" w:color="BEBEBE"/>
              <w:left w:val="single" w:sz="12" w:space="0" w:color="BEBEBE"/>
              <w:bottom w:val="single" w:sz="4" w:space="0" w:color="000000"/>
              <w:right w:val="single" w:sz="4" w:space="0" w:color="000000"/>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5,501</w:t>
            </w:r>
          </w:p>
        </w:tc>
      </w:tr>
      <w:tr>
        <w:trPr>
          <w:trHeight w:val="323" w:hRule="exact"/>
        </w:trPr>
        <w:tc>
          <w:tcPr>
            <w:tcW w:w="379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841" w:type="dxa"/>
            <w:gridSpan w:val="2"/>
            <w:tcBorders>
              <w:top w:val="single" w:sz="4" w:space="0" w:color="000000"/>
              <w:left w:val="single" w:sz="10" w:space="0" w:color="BEBEBE"/>
              <w:bottom w:val="single" w:sz="4" w:space="0" w:color="000000"/>
              <w:right w:val="single" w:sz="10" w:space="0" w:color="BEBEBE"/>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89,436</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796"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301" w:type="dxa"/>
            <w:gridSpan w:val="2"/>
            <w:tcBorders>
              <w:top w:val="single" w:sz="4" w:space="0" w:color="000000"/>
              <w:left w:val="single" w:sz="12" w:space="0" w:color="BEBEBE"/>
              <w:bottom w:val="single" w:sz="4" w:space="0" w:color="000000"/>
              <w:right w:val="single" w:sz="4" w:space="0" w:color="000000"/>
            </w:tcBorders>
          </w:tcPr>
          <w:p>
            <w:pPr>
              <w:pStyle w:val="TableParagraph"/>
              <w:spacing w:line="240" w:lineRule="auto" w:before="55"/>
              <w:ind w:right="6"/>
              <w:jc w:val="center"/>
              <w:rPr>
                <w:rFonts w:ascii="Times New Roman" w:hAnsi="Times New Roman" w:cs="Times New Roman" w:eastAsia="Times New Roman" w:hint="default"/>
                <w:sz w:val="18"/>
                <w:szCs w:val="18"/>
              </w:rPr>
            </w:pPr>
            <w:r>
              <w:rPr>
                <w:rFonts w:ascii="Times New Roman"/>
                <w:sz w:val="18"/>
              </w:rPr>
              <w:t>64,461</w:t>
            </w:r>
          </w:p>
        </w:tc>
      </w:tr>
      <w:tr>
        <w:trPr>
          <w:trHeight w:val="328" w:hRule="exact"/>
        </w:trPr>
        <w:tc>
          <w:tcPr>
            <w:tcW w:w="663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9"/>
              <w:ind w:left="1245"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7263" w:type="dxa"/>
            <w:gridSpan w:val="5"/>
            <w:tcBorders>
              <w:top w:val="single" w:sz="4" w:space="0" w:color="000000"/>
              <w:left w:val="single" w:sz="10" w:space="0" w:color="BEBEBE"/>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13.08%</w:t>
            </w:r>
          </w:p>
        </w:tc>
      </w:tr>
      <w:tr>
        <w:trPr>
          <w:trHeight w:val="314" w:hRule="exact"/>
        </w:trPr>
        <w:tc>
          <w:tcPr>
            <w:tcW w:w="13896"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9" w:hRule="exact"/>
        </w:trPr>
        <w:tc>
          <w:tcPr>
            <w:tcW w:w="663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9" w:lineRule="exact"/>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为股东、实际控制人及其关联方提供担保的余额（</w:t>
            </w:r>
            <w:r>
              <w:rPr>
                <w:rFonts w:ascii="Times New Roman" w:hAnsi="Times New Roman" w:cs="Times New Roman" w:eastAsia="Times New Roman" w:hint="default"/>
                <w:b/>
                <w:bCs/>
                <w:sz w:val="18"/>
                <w:szCs w:val="18"/>
              </w:rPr>
              <w:t>D</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0" w:space="0" w:color="BEBEBE"/>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663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直</w:t>
            </w:r>
            <w:r>
              <w:rPr>
                <w:rFonts w:ascii="Microsoft JhengHei" w:hAnsi="Microsoft JhengHei" w:cs="Microsoft JhengHei" w:eastAsia="Microsoft JhengHei" w:hint="default"/>
                <w:b/>
                <w:bCs/>
                <w:sz w:val="18"/>
                <w:szCs w:val="18"/>
              </w:rPr>
              <w:t>接或间</w:t>
            </w:r>
            <w:r>
              <w:rPr>
                <w:rFonts w:ascii="Microsoft JhengHei" w:hAnsi="Microsoft JhengHei" w:cs="Microsoft JhengHei" w:eastAsia="Microsoft JhengHei" w:hint="default"/>
                <w:b/>
                <w:bCs/>
                <w:spacing w:val="2"/>
                <w:sz w:val="18"/>
                <w:szCs w:val="18"/>
              </w:rPr>
              <w:t>接</w:t>
            </w:r>
            <w:r>
              <w:rPr>
                <w:rFonts w:ascii="Microsoft JhengHei" w:hAnsi="Microsoft JhengHei" w:cs="Microsoft JhengHei" w:eastAsia="Microsoft JhengHei" w:hint="default"/>
                <w:b/>
                <w:bCs/>
                <w:sz w:val="18"/>
                <w:szCs w:val="18"/>
              </w:rPr>
              <w:t>为资</w:t>
            </w:r>
            <w:r>
              <w:rPr>
                <w:rFonts w:ascii="Microsoft JhengHei" w:hAnsi="Microsoft JhengHei" w:cs="Microsoft JhengHei" w:eastAsia="Microsoft JhengHei" w:hint="default"/>
                <w:b/>
                <w:bCs/>
                <w:spacing w:val="2"/>
                <w:sz w:val="18"/>
                <w:szCs w:val="18"/>
              </w:rPr>
              <w:t>产</w:t>
            </w: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b/>
                <w:bCs/>
                <w:spacing w:val="2"/>
                <w:sz w:val="18"/>
                <w:szCs w:val="18"/>
              </w:rPr>
              <w:t>率</w:t>
            </w:r>
            <w:r>
              <w:rPr>
                <w:rFonts w:ascii="Microsoft JhengHei" w:hAnsi="Microsoft JhengHei" w:cs="Microsoft JhengHei" w:eastAsia="Microsoft JhengHei" w:hint="default"/>
                <w:b/>
                <w:bCs/>
                <w:sz w:val="18"/>
                <w:szCs w:val="18"/>
              </w:rPr>
              <w:t>超过</w:t>
            </w:r>
            <w:r>
              <w:rPr>
                <w:rFonts w:ascii="Microsoft JhengHei" w:hAnsi="Microsoft JhengHei" w:cs="Microsoft JhengHei" w:eastAsia="Microsoft JhengHei" w:hint="default"/>
                <w:b/>
                <w:bCs/>
                <w:spacing w:val="1"/>
                <w:sz w:val="18"/>
                <w:szCs w:val="18"/>
              </w:rPr>
              <w:t> </w:t>
            </w:r>
            <w:r>
              <w:rPr>
                <w:rFonts w:ascii="Times New Roman" w:hAnsi="Times New Roman" w:cs="Times New Roman" w:eastAsia="Times New Roman" w:hint="default"/>
                <w:b/>
                <w:bCs/>
                <w:spacing w:val="1"/>
                <w:sz w:val="18"/>
                <w:szCs w:val="18"/>
              </w:rPr>
              <w:t>70</w:t>
            </w:r>
            <w:r>
              <w:rPr>
                <w:rFonts w:ascii="Times New Roman" w:hAnsi="Times New Roman" w:cs="Times New Roman" w:eastAsia="Times New Roman" w:hint="default"/>
                <w:b/>
                <w:bCs/>
                <w:spacing w:val="-5"/>
                <w:sz w:val="18"/>
                <w:szCs w:val="18"/>
              </w:rPr>
              <w:t>%</w:t>
            </w:r>
            <w:r>
              <w:rPr>
                <w:rFonts w:ascii="Microsoft JhengHei" w:hAnsi="Microsoft JhengHei" w:cs="Microsoft JhengHei" w:eastAsia="Microsoft JhengHei" w:hint="default"/>
                <w:b/>
                <w:bCs/>
                <w:spacing w:val="2"/>
                <w:sz w:val="18"/>
                <w:szCs w:val="18"/>
              </w:rPr>
              <w:t>的被</w:t>
            </w:r>
            <w:r>
              <w:rPr>
                <w:rFonts w:ascii="Microsoft JhengHei" w:hAnsi="Microsoft JhengHei" w:cs="Microsoft JhengHei" w:eastAsia="Microsoft JhengHei" w:hint="default"/>
                <w:b/>
                <w:bCs/>
                <w:sz w:val="18"/>
                <w:szCs w:val="18"/>
              </w:rPr>
              <w:t>担</w:t>
            </w:r>
            <w:r>
              <w:rPr>
                <w:rFonts w:ascii="Microsoft JhengHei" w:hAnsi="Microsoft JhengHei" w:cs="Microsoft JhengHei" w:eastAsia="Microsoft JhengHei" w:hint="default"/>
                <w:b/>
                <w:bCs/>
                <w:spacing w:val="2"/>
                <w:sz w:val="18"/>
                <w:szCs w:val="18"/>
              </w:rPr>
              <w:t>保</w:t>
            </w:r>
            <w:r>
              <w:rPr>
                <w:rFonts w:ascii="Microsoft JhengHei" w:hAnsi="Microsoft JhengHei" w:cs="Microsoft JhengHei" w:eastAsia="Microsoft JhengHei" w:hint="default"/>
                <w:b/>
                <w:bCs/>
                <w:sz w:val="18"/>
                <w:szCs w:val="18"/>
              </w:rPr>
              <w:t>对象提</w:t>
            </w:r>
            <w:r>
              <w:rPr>
                <w:rFonts w:ascii="Microsoft JhengHei" w:hAnsi="Microsoft JhengHei" w:cs="Microsoft JhengHei" w:eastAsia="Microsoft JhengHei" w:hint="default"/>
                <w:b/>
                <w:bCs/>
                <w:spacing w:val="2"/>
                <w:sz w:val="18"/>
                <w:szCs w:val="18"/>
              </w:rPr>
              <w:t>供</w:t>
            </w:r>
            <w:r>
              <w:rPr>
                <w:rFonts w:ascii="Microsoft JhengHei" w:hAnsi="Microsoft JhengHei" w:cs="Microsoft JhengHei" w:eastAsia="Microsoft JhengHei" w:hint="default"/>
                <w:b/>
                <w:bCs/>
                <w:sz w:val="18"/>
                <w:szCs w:val="18"/>
              </w:rPr>
              <w:t>的债务</w:t>
            </w:r>
            <w:r>
              <w:rPr>
                <w:rFonts w:ascii="Microsoft JhengHei" w:hAnsi="Microsoft JhengHei" w:cs="Microsoft JhengHei" w:eastAsia="Microsoft JhengHei" w:hint="default"/>
                <w:b/>
                <w:bCs/>
                <w:spacing w:val="2"/>
                <w:sz w:val="18"/>
                <w:szCs w:val="18"/>
              </w:rPr>
              <w:t>担</w:t>
            </w:r>
            <w:r>
              <w:rPr>
                <w:rFonts w:ascii="Microsoft JhengHei" w:hAnsi="Microsoft JhengHei" w:cs="Microsoft JhengHei" w:eastAsia="Microsoft JhengHei" w:hint="default"/>
                <w:b/>
                <w:bCs/>
                <w:sz w:val="18"/>
                <w:szCs w:val="18"/>
              </w:rPr>
              <w:t>保余额</w:t>
            </w:r>
            <w:r>
              <w:rPr>
                <w:rFonts w:ascii="Microsoft JhengHei" w:hAnsi="Microsoft JhengHei" w:cs="Microsoft JhengHei" w:eastAsia="Microsoft JhengHei" w:hint="default"/>
                <w:b/>
                <w:bCs/>
                <w:spacing w:val="4"/>
                <w:sz w:val="18"/>
                <w:szCs w:val="18"/>
              </w:rPr>
              <w:t>（</w:t>
            </w:r>
            <w:r>
              <w:rPr>
                <w:rFonts w:ascii="Times New Roman" w:hAnsi="Times New Roman" w:cs="Times New Roman" w:eastAsia="Times New Roman" w:hint="default"/>
                <w:b/>
                <w:bCs/>
                <w:spacing w:val="-1"/>
                <w:sz w:val="18"/>
                <w:szCs w:val="18"/>
              </w:rPr>
              <w:t>E</w:t>
            </w:r>
            <w:r>
              <w:rPr>
                <w:rFonts w:ascii="Microsoft JhengHei" w:hAnsi="Microsoft JhengHei" w:cs="Microsoft JhengHei" w:eastAsia="Microsoft JhengHei" w:hint="default"/>
                <w:b/>
                <w:bCs/>
                <w:spacing w:val="-92"/>
                <w:sz w:val="18"/>
                <w:szCs w:val="18"/>
              </w:rPr>
              <w:t>）</w:t>
            </w:r>
            <w:r>
              <w:rPr>
                <w:rFonts w:ascii="Microsoft JhengHei" w:hAnsi="Microsoft JhengHei" w:cs="Microsoft JhengHei" w:eastAsia="Microsoft JhengHei" w:hint="default"/>
                <w:b/>
                <w:bCs/>
                <w:spacing w:val="2"/>
                <w:sz w:val="18"/>
                <w:szCs w:val="18"/>
              </w:rPr>
              <w:t>（</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1"/>
                <w:sz w:val="18"/>
                <w:szCs w:val="18"/>
              </w:rPr>
              <w:t> </w:t>
            </w:r>
            <w:r>
              <w:rPr>
                <w:rFonts w:ascii="Times New Roman" w:hAnsi="Times New Roman" w:cs="Times New Roman" w:eastAsia="Times New Roman" w:hint="default"/>
                <w:b/>
                <w:bCs/>
                <w:spacing w:val="-2"/>
                <w:sz w:val="18"/>
                <w:szCs w:val="18"/>
              </w:rPr>
              <w:t>9</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0" w:space="0" w:color="BEBEBE"/>
              <w:bottom w:val="single" w:sz="4" w:space="0" w:color="000000"/>
              <w:right w:val="single" w:sz="4" w:space="0" w:color="000000"/>
            </w:tcBorders>
          </w:tcPr>
          <w:p>
            <w:pPr>
              <w:pStyle w:val="TableParagraph"/>
              <w:spacing w:line="240" w:lineRule="auto" w:before="55"/>
              <w:ind w:right="4"/>
              <w:jc w:val="center"/>
              <w:rPr>
                <w:rFonts w:ascii="Times New Roman" w:hAnsi="Times New Roman" w:cs="Times New Roman" w:eastAsia="Times New Roman" w:hint="default"/>
                <w:sz w:val="18"/>
                <w:szCs w:val="18"/>
              </w:rPr>
            </w:pPr>
            <w:r>
              <w:rPr>
                <w:rFonts w:ascii="Times New Roman"/>
                <w:sz w:val="18"/>
              </w:rPr>
              <w:t>29,163</w:t>
            </w:r>
          </w:p>
        </w:tc>
      </w:tr>
      <w:tr>
        <w:trPr>
          <w:trHeight w:val="323" w:hRule="exact"/>
        </w:trPr>
        <w:tc>
          <w:tcPr>
            <w:tcW w:w="663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5" w:lineRule="exact"/>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担保总额超过净资产</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z w:val="18"/>
                <w:szCs w:val="18"/>
              </w:rPr>
              <w:t>50%</w:t>
            </w:r>
            <w:r>
              <w:rPr>
                <w:rFonts w:ascii="Microsoft JhengHei" w:hAnsi="Microsoft JhengHei" w:cs="Microsoft JhengHei" w:eastAsia="Microsoft JhengHei" w:hint="default"/>
                <w:b/>
                <w:bCs/>
                <w:sz w:val="18"/>
                <w:szCs w:val="18"/>
              </w:rPr>
              <w:t>部分的金额（</w:t>
            </w:r>
            <w:r>
              <w:rPr>
                <w:rFonts w:ascii="Times New Roman" w:hAnsi="Times New Roman" w:cs="Times New Roman" w:eastAsia="Times New Roman" w:hint="default"/>
                <w:b/>
                <w:bCs/>
                <w:sz w:val="18"/>
                <w:szCs w:val="18"/>
              </w:rPr>
              <w:t>F</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0" w:space="0" w:color="BEBEBE"/>
              <w:bottom w:val="single" w:sz="4" w:space="0" w:color="000000"/>
              <w:right w:val="single" w:sz="4" w:space="0" w:color="000000"/>
            </w:tcBorders>
          </w:tcPr>
          <w:p>
            <w:pPr>
              <w:pStyle w:val="TableParagraph"/>
              <w:spacing w:line="240" w:lineRule="auto" w:before="56"/>
              <w:ind w:right="6"/>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1206" w:footer="1265" w:top="1400" w:bottom="1560" w:left="130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633"/>
        <w:gridCol w:w="7263"/>
      </w:tblGrid>
      <w:tr>
        <w:trPr>
          <w:trHeight w:val="336" w:hRule="exact"/>
        </w:trPr>
        <w:tc>
          <w:tcPr>
            <w:tcW w:w="6633" w:type="dxa"/>
            <w:tcBorders>
              <w:top w:val="single" w:sz="10"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上述三项担保金额合计（</w:t>
            </w:r>
            <w:r>
              <w:rPr>
                <w:rFonts w:ascii="Times New Roman" w:hAnsi="Times New Roman" w:cs="Times New Roman" w:eastAsia="Times New Roman" w:hint="default"/>
                <w:b/>
                <w:bCs/>
                <w:sz w:val="18"/>
                <w:szCs w:val="18"/>
              </w:rPr>
              <w:t>D+E+F</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29,163</w:t>
            </w:r>
          </w:p>
        </w:tc>
      </w:tr>
      <w:tr>
        <w:trPr>
          <w:trHeight w:val="557" w:hRule="exact"/>
        </w:trPr>
        <w:tc>
          <w:tcPr>
            <w:tcW w:w="66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7" w:lineRule="auto" w:before="20"/>
              <w:ind w:left="23" w:right="9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对未到期担保，报告期内已发生担保责任或可能承担连带清偿责任的情况说明（如</w:t>
            </w:r>
            <w:r>
              <w:rPr>
                <w:rFonts w:ascii="Microsoft JhengHei" w:hAnsi="Microsoft JhengHei" w:cs="Microsoft JhengHei" w:eastAsia="Microsoft JhengHei" w:hint="default"/>
                <w:b/>
                <w:bCs/>
                <w:spacing w:val="-24"/>
                <w:sz w:val="18"/>
                <w:szCs w:val="18"/>
              </w:rPr>
              <w:t> </w:t>
            </w:r>
            <w:r>
              <w:rPr>
                <w:rFonts w:ascii="Microsoft JhengHei" w:hAnsi="Microsoft JhengHei" w:cs="Microsoft JhengHei" w:eastAsia="Microsoft JhengHei" w:hint="default"/>
                <w:b/>
                <w:bCs/>
                <w:spacing w:val="-24"/>
                <w:sz w:val="18"/>
                <w:szCs w:val="18"/>
              </w:rPr>
            </w:r>
            <w:r>
              <w:rPr>
                <w:rFonts w:ascii="Microsoft JhengHei" w:hAnsi="Microsoft JhengHei" w:cs="Microsoft JhengHei" w:eastAsia="Microsoft JhengHei" w:hint="default"/>
                <w:b/>
                <w:bCs/>
                <w:sz w:val="18"/>
                <w:szCs w:val="18"/>
              </w:rPr>
              <w:t>有）</w:t>
            </w:r>
            <w:r>
              <w:rPr>
                <w:rFonts w:ascii="Microsoft JhengHei" w:hAnsi="Microsoft JhengHei" w:cs="Microsoft JhengHei" w:eastAsia="Microsoft JhengHei" w:hint="default"/>
                <w:sz w:val="18"/>
                <w:szCs w:val="18"/>
              </w:rPr>
            </w:r>
          </w:p>
        </w:tc>
        <w:tc>
          <w:tcPr>
            <w:tcW w:w="7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66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违反规定程序对外提供担保的说明（如有）</w:t>
            </w:r>
            <w:r>
              <w:rPr>
                <w:rFonts w:ascii="Microsoft JhengHei" w:hAnsi="Microsoft JhengHei" w:cs="Microsoft JhengHei" w:eastAsia="Microsoft JhengHei" w:hint="default"/>
                <w:sz w:val="18"/>
                <w:szCs w:val="18"/>
              </w:rPr>
            </w:r>
          </w:p>
        </w:tc>
        <w:tc>
          <w:tcPr>
            <w:tcW w:w="7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94"/>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）经公司</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第</w:t>
      </w:r>
      <w:r>
        <w:rPr>
          <w:rFonts w:ascii="宋体" w:hAnsi="宋体" w:cs="宋体" w:eastAsia="宋体" w:hint="default"/>
          <w:sz w:val="18"/>
          <w:szCs w:val="18"/>
        </w:rPr>
        <w:t>二次临时股东大会审议通过，同意与武汉海吉星其他股东方按出资比例共同为武汉海吉星向工商银行申请展期贷款</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万元提供连带责任担保，</w:t>
      </w:r>
    </w:p>
    <w:p>
      <w:pPr>
        <w:spacing w:before="13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其中，公司提供担保金额为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万元，担保期限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个月。截至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日，武汉海吉星实际贷款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5,002</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日，武汉海吉星已偿还上述全部贷款，公司已解除上述贷款全部担保责任。</w:t>
      </w:r>
    </w:p>
    <w:p>
      <w:pPr>
        <w:spacing w:line="364" w:lineRule="auto" w:before="133"/>
        <w:ind w:left="140" w:right="99"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）经公司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年第四次临时股东大会审议通过，同意与武汉海吉星其他股东方武汉联投公司和深圳豪腾公司共同按出资比例为武汉海吉星向中国工商银行股份有限公司武 汉东湖开发区支行申请的不超过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万元贷款提供连带责任担保，担保期限不超过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年；其中，公司为武汉海吉星提供连带责任担保金额不超过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10,209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万元。截至本报告披露</w:t>
      </w:r>
    </w:p>
    <w:p>
      <w:pPr>
        <w:spacing w:before="26"/>
        <w:ind w:left="140" w:right="0" w:firstLine="0"/>
        <w:jc w:val="left"/>
        <w:rPr>
          <w:rFonts w:ascii="宋体" w:hAnsi="宋体" w:cs="宋体" w:eastAsia="宋体" w:hint="default"/>
          <w:sz w:val="18"/>
          <w:szCs w:val="18"/>
        </w:rPr>
      </w:pPr>
      <w:r>
        <w:rPr>
          <w:rFonts w:ascii="宋体" w:hAnsi="宋体" w:cs="宋体" w:eastAsia="宋体" w:hint="default"/>
          <w:sz w:val="18"/>
          <w:szCs w:val="18"/>
        </w:rPr>
        <w:t>日，武汉海吉星实际贷款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17,300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7,093 </w:t>
      </w:r>
      <w:r>
        <w:rPr>
          <w:rFonts w:ascii="宋体" w:hAnsi="宋体" w:cs="宋体" w:eastAsia="宋体" w:hint="default"/>
          <w:sz w:val="18"/>
          <w:szCs w:val="18"/>
        </w:rPr>
        <w:t>万元。</w:t>
      </w:r>
    </w:p>
    <w:p>
      <w:pPr>
        <w:spacing w:line="364" w:lineRule="auto" w:before="132"/>
        <w:ind w:left="140" w:right="98"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）经公司第七届董事会第二十次会议审议通过，同意与武汉海吉星另一股东湖北省联合发展投资集团有限公司各按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的比例为武汉海吉星向中国农业银行股份有限公司 武汉江夏支行申请“项目贷款”</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万元的抵押物不足部分，即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28,640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年。其中，公司提供担保金额为</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14,320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p>
    <w:p>
      <w:pPr>
        <w:spacing w:before="26"/>
        <w:ind w:left="140"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日，公司与武汉海吉星其他股东方实际为武汉海吉星上述贷款提供担保金额为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万元，其中，公司为武汉海吉星本项贷款承担担保责任金额为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13,593 </w:t>
      </w:r>
      <w:r>
        <w:rPr>
          <w:rFonts w:ascii="宋体" w:hAnsi="宋体" w:cs="宋体" w:eastAsia="宋体" w:hint="default"/>
          <w:sz w:val="18"/>
          <w:szCs w:val="18"/>
        </w:rPr>
        <w:t>万元。</w:t>
      </w:r>
    </w:p>
    <w:p>
      <w:pPr>
        <w:spacing w:line="364" w:lineRule="auto" w:before="133"/>
        <w:ind w:left="140" w:right="10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）经公司第七届董事会第二十二次会议审议通过，同意和武汉海吉星另两名股东湖北省联合发展投资集团有限公司和深圳市豪腾投资有限公司分别按出资比例为武汉海吉 星向招商银行股份有限公司武汉武昌支行申请贷款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年。其中，公司提供担保金额为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日，武汉海吉星</w:t>
      </w:r>
    </w:p>
    <w:p>
      <w:pPr>
        <w:spacing w:before="26"/>
        <w:ind w:left="140" w:right="0" w:firstLine="0"/>
        <w:jc w:val="left"/>
        <w:rPr>
          <w:rFonts w:ascii="宋体" w:hAnsi="宋体" w:cs="宋体" w:eastAsia="宋体" w:hint="default"/>
          <w:sz w:val="18"/>
          <w:szCs w:val="18"/>
        </w:rPr>
      </w:pPr>
      <w:r>
        <w:rPr>
          <w:rFonts w:ascii="宋体" w:hAnsi="宋体" w:cs="宋体" w:eastAsia="宋体" w:hint="default"/>
          <w:sz w:val="18"/>
          <w:szCs w:val="18"/>
        </w:rPr>
        <w:t>实际贷款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14,580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5,978 </w:t>
      </w:r>
      <w:r>
        <w:rPr>
          <w:rFonts w:ascii="宋体" w:hAnsi="宋体" w:cs="宋体" w:eastAsia="宋体" w:hint="default"/>
          <w:sz w:val="18"/>
          <w:szCs w:val="18"/>
        </w:rPr>
        <w:t>万元。</w:t>
      </w:r>
    </w:p>
    <w:p>
      <w:pPr>
        <w:spacing w:before="132"/>
        <w:ind w:left="500" w:right="0"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）经公司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年度股东大会审议通过，同意与武汉海吉星其他股东武汉联投公司和深圳豪腾公司按出资比例共同为武汉海吉星向招商银行股份有限公司申请的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亿元“结</w:t>
      </w:r>
    </w:p>
    <w:p>
      <w:pPr>
        <w:spacing w:line="364" w:lineRule="auto" w:before="130"/>
        <w:ind w:left="140" w:right="110" w:firstLine="0"/>
        <w:jc w:val="left"/>
        <w:rPr>
          <w:rFonts w:ascii="宋体" w:hAnsi="宋体" w:cs="宋体" w:eastAsia="宋体" w:hint="default"/>
          <w:sz w:val="18"/>
          <w:szCs w:val="18"/>
        </w:rPr>
      </w:pPr>
      <w:r>
        <w:rPr>
          <w:rFonts w:ascii="宋体" w:hAnsi="宋体" w:cs="宋体" w:eastAsia="宋体" w:hint="default"/>
          <w:sz w:val="18"/>
          <w:szCs w:val="18"/>
        </w:rPr>
        <w:t>构化融资贷款”提供连带责任担保，担保期限</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年。其中，公司提供担保金额为</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万元。报告期武汉海吉星未向银行申请本项贷款，截至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日，该决策有效期 一年已满。</w:t>
      </w:r>
    </w:p>
    <w:p>
      <w:pPr>
        <w:spacing w:before="52"/>
        <w:ind w:left="5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、经公司第七届董事会第二十二次会议审议通过，同意全资子公司果菜公司为其参股公司云南天露公司向中国农业发展银行泸西县支行申请贷款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万元提供连带责任担</w:t>
      </w:r>
    </w:p>
    <w:p>
      <w:pPr>
        <w:spacing w:before="130"/>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保，担保期限</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年。云南天露公司其他三家股东公司的自然人股东郭敏、赵家清、黄华忠、郭镇柳、熊爱水分别向果菜公司提供反担保，并将其持有的股东公司股权质押给果菜公</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日，云南天露公司实际贷款为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万元，果菜公司实际为云南天露公司本项贷款承担担保责任金额为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32"/>
        <w:ind w:left="50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、经公司第七届董事会第二十九次会议审议通过，同意控股子公司南昌公司（公司持股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）为其参股公司南昌冷链公司向中国建设银行江西分行青云谱支行申请贷款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14,500</w:t>
      </w:r>
    </w:p>
    <w:p>
      <w:pPr>
        <w:spacing w:before="130"/>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万元提供连带责任担保，担保期限</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年。南昌冷链公司其他三名股东：广西海吉星冻品市场管理有限公司、深圳市深农国际物流发展有限公司、深圳市利民好贸易有限公司分别向</w:t>
      </w:r>
    </w:p>
    <w:p>
      <w:pPr>
        <w:spacing w:after="0"/>
        <w:jc w:val="left"/>
        <w:rPr>
          <w:rFonts w:ascii="宋体" w:hAnsi="宋体" w:cs="宋体" w:eastAsia="宋体" w:hint="default"/>
          <w:sz w:val="18"/>
          <w:szCs w:val="18"/>
        </w:rPr>
        <w:sectPr>
          <w:pgSz w:w="16840" w:h="11910" w:orient="landscape"/>
          <w:pgMar w:header="1206" w:footer="1265" w:top="1400" w:bottom="1460" w:left="1300" w:right="132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364" w:lineRule="auto" w:before="89"/>
        <w:ind w:left="140" w:right="188" w:firstLine="0"/>
        <w:jc w:val="left"/>
        <w:rPr>
          <w:rFonts w:ascii="宋体" w:hAnsi="宋体" w:cs="宋体" w:eastAsia="宋体" w:hint="default"/>
          <w:sz w:val="18"/>
          <w:szCs w:val="18"/>
        </w:rPr>
      </w:pPr>
      <w:r>
        <w:rPr>
          <w:rFonts w:ascii="宋体" w:hAnsi="宋体" w:cs="宋体" w:eastAsia="宋体" w:hint="default"/>
          <w:sz w:val="18"/>
          <w:szCs w:val="18"/>
        </w:rPr>
        <w:t>南昌公司提供反担保，即分别将其持有的南昌冷链公司股权质押给南昌公司。鉴于公司持有南昌公司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股权，故公司间接对南昌冷链公司向中国建设银行申请贷款提供连带担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保责任金额为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7,395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日，南昌冷链公司实际贷款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万元，南昌公司实际为南昌冷链公司本项贷款承担担保责任金额为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万元。公司实际间接对</w:t>
      </w:r>
    </w:p>
    <w:p>
      <w:pPr>
        <w:spacing w:before="28"/>
        <w:ind w:left="140" w:right="188" w:firstLine="0"/>
        <w:jc w:val="left"/>
        <w:rPr>
          <w:rFonts w:ascii="宋体" w:hAnsi="宋体" w:cs="宋体" w:eastAsia="宋体" w:hint="default"/>
          <w:sz w:val="18"/>
          <w:szCs w:val="18"/>
        </w:rPr>
      </w:pPr>
      <w:r>
        <w:rPr>
          <w:rFonts w:ascii="宋体" w:hAnsi="宋体" w:cs="宋体" w:eastAsia="宋体" w:hint="default"/>
          <w:sz w:val="18"/>
          <w:szCs w:val="18"/>
        </w:rPr>
        <w:t>南昌冷链公司承担担保责任金额为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4,590 </w:t>
      </w:r>
      <w:r>
        <w:rPr>
          <w:rFonts w:ascii="宋体" w:hAnsi="宋体" w:cs="宋体" w:eastAsia="宋体" w:hint="default"/>
          <w:sz w:val="18"/>
          <w:szCs w:val="18"/>
        </w:rPr>
        <w:t>万元。</w:t>
      </w:r>
    </w:p>
    <w:p>
      <w:pPr>
        <w:spacing w:before="130"/>
        <w:ind w:left="5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、经公司第七届董事会第三十次会议审议通过，同意公司与桂林海吉星另一名股东深圳市正奥投资集团有限公司共同为桂林海吉星向上海银行申请贷款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万元提供连带</w:t>
      </w:r>
    </w:p>
    <w:p>
      <w:pPr>
        <w:spacing w:before="13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责任担保，担保期限</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年；其中公司为桂林海吉星提供担保金额为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16,400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万元。同时，公司同意与桂林海吉星另两名股东分别以持有桂林海吉星的股权，即合计桂林海吉星</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p>
    <w:p>
      <w:pPr>
        <w:spacing w:before="132"/>
        <w:ind w:left="140" w:right="188" w:firstLine="0"/>
        <w:jc w:val="left"/>
        <w:rPr>
          <w:rFonts w:ascii="宋体" w:hAnsi="宋体" w:cs="宋体" w:eastAsia="宋体" w:hint="default"/>
          <w:sz w:val="18"/>
          <w:szCs w:val="18"/>
        </w:rPr>
      </w:pPr>
      <w:r>
        <w:rPr>
          <w:rFonts w:ascii="宋体" w:hAnsi="宋体" w:cs="宋体" w:eastAsia="宋体" w:hint="default"/>
          <w:sz w:val="18"/>
          <w:szCs w:val="18"/>
        </w:rPr>
        <w:t>的股权，为上述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万元贷款向上海银行提供质押担保，担保期限亦为三年。本报告期，桂林海吉星已偿还上述全部贷款，公司已解除上述贷款全部担保责任。</w:t>
      </w:r>
    </w:p>
    <w:p>
      <w:pPr>
        <w:spacing w:before="130"/>
        <w:ind w:left="50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）经公司第八届董事会第九次会议审议通过，同意为布吉海鲜公司向中国银行股份有限公司深圳布吉支行申请贷款</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万元提供连带责任担保</w:t>
      </w:r>
      <w:r>
        <w:rPr>
          <w:rFonts w:ascii="宋体" w:hAnsi="宋体" w:cs="宋体" w:eastAsia="宋体" w:hint="default"/>
          <w:spacing w:val="-3"/>
          <w:sz w:val="18"/>
          <w:szCs w:val="18"/>
        </w:rPr>
        <w:t>，</w:t>
      </w:r>
      <w:r>
        <w:rPr>
          <w:rFonts w:ascii="宋体" w:hAnsi="宋体" w:cs="宋体" w:eastAsia="宋体" w:hint="default"/>
          <w:sz w:val="18"/>
          <w:szCs w:val="18"/>
        </w:rPr>
        <w:t>担保期限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年。报告期</w:t>
      </w:r>
    </w:p>
    <w:p>
      <w:pPr>
        <w:spacing w:before="130"/>
        <w:ind w:left="140" w:right="188" w:firstLine="0"/>
        <w:jc w:val="left"/>
        <w:rPr>
          <w:rFonts w:ascii="宋体" w:hAnsi="宋体" w:cs="宋体" w:eastAsia="宋体" w:hint="default"/>
          <w:sz w:val="18"/>
          <w:szCs w:val="18"/>
        </w:rPr>
      </w:pPr>
      <w:r>
        <w:rPr>
          <w:rFonts w:ascii="宋体" w:hAnsi="宋体" w:cs="宋体" w:eastAsia="宋体" w:hint="default"/>
          <w:sz w:val="18"/>
          <w:szCs w:val="18"/>
        </w:rPr>
        <w:t>布吉海鲜公司未向银行申请贷款，截至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日，该决策有效期一年已满。</w:t>
      </w:r>
    </w:p>
    <w:p>
      <w:pPr>
        <w:spacing w:before="132"/>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）经公司第八届董事会第九次会议审议通过，同意为布吉海鲜公司向招商银行股份有限公司深圳分行申请贷款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年。报告期布吉海</w:t>
      </w:r>
    </w:p>
    <w:p>
      <w:pPr>
        <w:spacing w:before="130"/>
        <w:ind w:left="140" w:right="188" w:firstLine="0"/>
        <w:jc w:val="left"/>
        <w:rPr>
          <w:rFonts w:ascii="宋体" w:hAnsi="宋体" w:cs="宋体" w:eastAsia="宋体" w:hint="default"/>
          <w:sz w:val="18"/>
          <w:szCs w:val="18"/>
        </w:rPr>
      </w:pPr>
      <w:r>
        <w:rPr>
          <w:rFonts w:ascii="宋体" w:hAnsi="宋体" w:cs="宋体" w:eastAsia="宋体" w:hint="default"/>
          <w:sz w:val="18"/>
          <w:szCs w:val="18"/>
        </w:rPr>
        <w:t>鲜公司未向银行申请贷款，截至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日，该决策有效期一年已满。</w:t>
      </w:r>
    </w:p>
    <w:p>
      <w:pPr>
        <w:spacing w:before="130"/>
        <w:ind w:left="5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、经公司第六届董事会第十六次会议审议通过，同意为广西海吉星向国家开发银行深圳市分行申请长期贷款</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亿提供担保，担保期限不高于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年，担保方式为连带责任担保。</w:t>
      </w:r>
    </w:p>
    <w:p>
      <w:pPr>
        <w:spacing w:before="132"/>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年，公司与国家开发银行深圳分行协议将上述长期贷款担保额度缩减为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日，广西海吉星实际贷款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万元，公司实际为广西海吉星本项</w:t>
      </w:r>
    </w:p>
    <w:p>
      <w:pPr>
        <w:spacing w:before="130"/>
        <w:ind w:left="140" w:right="188" w:firstLine="0"/>
        <w:jc w:val="left"/>
        <w:rPr>
          <w:rFonts w:ascii="宋体" w:hAnsi="宋体" w:cs="宋体" w:eastAsia="宋体" w:hint="default"/>
          <w:sz w:val="18"/>
          <w:szCs w:val="18"/>
        </w:rPr>
      </w:pPr>
      <w:r>
        <w:rPr>
          <w:rFonts w:ascii="宋体" w:hAnsi="宋体" w:cs="宋体" w:eastAsia="宋体" w:hint="default"/>
          <w:sz w:val="18"/>
          <w:szCs w:val="18"/>
        </w:rPr>
        <w:t>贷款承担担保责任金额为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15,200 </w:t>
      </w:r>
      <w:r>
        <w:rPr>
          <w:rFonts w:ascii="宋体" w:hAnsi="宋体" w:cs="宋体" w:eastAsia="宋体" w:hint="default"/>
          <w:sz w:val="18"/>
          <w:szCs w:val="18"/>
        </w:rPr>
        <w:t>万元。</w:t>
      </w:r>
    </w:p>
    <w:p>
      <w:pPr>
        <w:spacing w:line="367" w:lineRule="auto" w:before="130"/>
        <w:ind w:left="140"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、经公司第七届董事会第三十六次会议审议通过，同意按持股比例（即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）为安庆市同安实业有限公司向其股东方同安公司借款</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万元提供连带责任担保，担保期限 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日止；其中，公司为安庆海吉星提供担保金额为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日，安庆海吉星实际借款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万元，公司实际为</w:t>
      </w:r>
    </w:p>
    <w:p>
      <w:pPr>
        <w:spacing w:before="24"/>
        <w:ind w:left="140" w:right="188" w:firstLine="0"/>
        <w:jc w:val="left"/>
        <w:rPr>
          <w:rFonts w:ascii="宋体" w:hAnsi="宋体" w:cs="宋体" w:eastAsia="宋体" w:hint="default"/>
          <w:sz w:val="18"/>
          <w:szCs w:val="18"/>
        </w:rPr>
      </w:pPr>
      <w:r>
        <w:rPr>
          <w:rFonts w:ascii="宋体" w:hAnsi="宋体" w:cs="宋体" w:eastAsia="宋体" w:hint="default"/>
          <w:sz w:val="18"/>
          <w:szCs w:val="18"/>
        </w:rPr>
        <w:t>安庆海吉星本项借款承担担保责任金额为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7" w:lineRule="auto" w:before="130"/>
        <w:ind w:left="140" w:right="17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、经公司第八届董事会第二十次会议审议通过，同意按持有青海海吉星股权比例（即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）为青海海吉星向另一股东方海东丝路商贸物流发展有限公司借款</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万元提供 连带责任担保，即公司为青海海吉星该笔借款提供连带责任担保金额不超过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万元，担保期限至借款期满后六个月即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日，青海海吉</w:t>
      </w:r>
    </w:p>
    <w:p>
      <w:pPr>
        <w:spacing w:before="24"/>
        <w:ind w:left="140" w:right="188" w:firstLine="0"/>
        <w:jc w:val="left"/>
        <w:rPr>
          <w:rFonts w:ascii="宋体" w:hAnsi="宋体" w:cs="宋体" w:eastAsia="宋体" w:hint="default"/>
          <w:sz w:val="18"/>
          <w:szCs w:val="18"/>
        </w:rPr>
      </w:pPr>
      <w:r>
        <w:rPr>
          <w:rFonts w:ascii="宋体" w:hAnsi="宋体" w:cs="宋体" w:eastAsia="宋体" w:hint="default"/>
          <w:sz w:val="18"/>
          <w:szCs w:val="18"/>
        </w:rPr>
        <w:t>星实际借款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万元，公司实际为青海海吉星本项借款承担担保责任金额为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7" w:lineRule="auto" w:before="130"/>
        <w:ind w:left="140" w:right="190"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、公司直接或间接为资产负债率超过</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的被担保对象提供的债务担保余额系以报告期末被担保对象的资产负债率为计算依据，即报告期末公司提供担保的对象中资产负债 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的公司为武汉海吉星和南昌冷链公司。</w:t>
      </w:r>
    </w:p>
    <w:p>
      <w:pPr>
        <w:spacing w:after="0" w:line="367" w:lineRule="auto"/>
        <w:jc w:val="left"/>
        <w:rPr>
          <w:rFonts w:ascii="宋体" w:hAnsi="宋体" w:cs="宋体" w:eastAsia="宋体" w:hint="default"/>
          <w:sz w:val="18"/>
          <w:szCs w:val="18"/>
        </w:rPr>
        <w:sectPr>
          <w:pgSz w:w="16840" w:h="11910" w:orient="landscape"/>
          <w:pgMar w:header="1206" w:footer="1265" w:top="1400" w:bottom="1460" w:left="1300" w:right="124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335" w:lineRule="exact"/>
        <w:ind w:left="140" w:right="134"/>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43" w:lineRule="auto" w:before="0"/>
        <w:ind w:left="140" w:right="113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43" w:lineRule="auto"/>
        <w:jc w:val="left"/>
        <w:rPr>
          <w:rFonts w:ascii="宋体" w:hAnsi="宋体" w:cs="宋体" w:eastAsia="宋体" w:hint="default"/>
          <w:sz w:val="18"/>
          <w:szCs w:val="18"/>
        </w:rPr>
        <w:sectPr>
          <w:headerReference w:type="default" r:id="rId24"/>
          <w:pgSz w:w="16840" w:h="11910" w:orient="landscape"/>
          <w:pgMar w:header="867" w:footer="1265" w:top="1060" w:bottom="1460" w:left="1300" w:right="1300"/>
        </w:sectPr>
      </w:pPr>
    </w:p>
    <w:p>
      <w:pPr>
        <w:pStyle w:val="Heading6"/>
        <w:spacing w:line="331" w:lineRule="exact"/>
        <w:ind w:left="140" w:right="134"/>
        <w:jc w:val="left"/>
        <w:rPr>
          <w:b w:val="0"/>
          <w:bCs w:val="0"/>
        </w:rPr>
      </w:pPr>
      <w:r>
        <w:rPr/>
        <w:pict>
          <v:group style="position:absolute;margin-left:70.559998pt;margin-top:2.202064pt;width:700.95pt;height:.1pt;mso-position-horizontal-relative:page;mso-position-vertical-relative:paragraph;z-index:-1637344"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6"/>
        <w:spacing w:line="240" w:lineRule="auto"/>
        <w:ind w:left="140" w:right="13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185" w:type="dxa"/>
        <w:tblLayout w:type="fixed"/>
        <w:tblCellMar>
          <w:top w:w="0" w:type="dxa"/>
          <w:left w:w="0" w:type="dxa"/>
          <w:bottom w:w="0" w:type="dxa"/>
          <w:right w:w="0" w:type="dxa"/>
        </w:tblCellMar>
        <w:tblLook w:val="01E0"/>
      </w:tblPr>
      <w:tblGrid>
        <w:gridCol w:w="944"/>
        <w:gridCol w:w="566"/>
        <w:gridCol w:w="991"/>
        <w:gridCol w:w="569"/>
        <w:gridCol w:w="708"/>
        <w:gridCol w:w="991"/>
        <w:gridCol w:w="852"/>
        <w:gridCol w:w="850"/>
        <w:gridCol w:w="850"/>
        <w:gridCol w:w="569"/>
        <w:gridCol w:w="566"/>
        <w:gridCol w:w="709"/>
        <w:gridCol w:w="710"/>
        <w:gridCol w:w="708"/>
        <w:gridCol w:w="708"/>
        <w:gridCol w:w="2568"/>
      </w:tblGrid>
      <w:tr>
        <w:trPr>
          <w:trHeight w:val="978" w:hRule="exact"/>
        </w:trPr>
        <w:tc>
          <w:tcPr>
            <w:tcW w:w="13860"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募集资金投资银行保本理财产品列表</w:t>
            </w:r>
            <w:r>
              <w:rPr>
                <w:rFonts w:ascii="Microsoft JhengHei" w:hAnsi="Microsoft JhengHei" w:cs="Microsoft JhengHei" w:eastAsia="Microsoft JhengHei" w:hint="default"/>
                <w:sz w:val="22"/>
                <w:szCs w:val="22"/>
              </w:rPr>
            </w:r>
          </w:p>
        </w:tc>
      </w:tr>
      <w:tr>
        <w:trPr>
          <w:trHeight w:val="4374" w:hRule="exact"/>
        </w:trPr>
        <w:tc>
          <w:tcPr>
            <w:tcW w:w="13860"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七</w:t>
            </w:r>
            <w:r>
              <w:rPr>
                <w:rFonts w:ascii="宋体" w:hAnsi="宋体" w:cs="宋体" w:eastAsia="宋体" w:hint="default"/>
                <w:sz w:val="18"/>
                <w:szCs w:val="18"/>
              </w:rPr>
              <w:t>届董事会第三十三次会议审议通过了《关于使用部分闲置募集资金投资银行保本理财产品的议案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，本着股东利益最大</w:t>
            </w:r>
            <w:r>
              <w:rPr>
                <w:rFonts w:ascii="宋体" w:hAnsi="宋体" w:cs="宋体" w:eastAsia="宋体" w:hint="default"/>
                <w:spacing w:val="2"/>
                <w:sz w:val="18"/>
                <w:szCs w:val="18"/>
              </w:rPr>
              <w:t>化</w:t>
            </w:r>
            <w:r>
              <w:rPr>
                <w:rFonts w:ascii="宋体" w:hAnsi="宋体" w:cs="宋体" w:eastAsia="宋体" w:hint="default"/>
                <w:sz w:val="18"/>
                <w:szCs w:val="18"/>
              </w:rPr>
              <w:t>原则，为提高募集资</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金使用效率，在确保不影响募集资金项目建设和募集资金使用的情况下，同意公司在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个月内使用最高额度不超过人民币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亿元的部分闲置募集资金适时进行现金管理，投</w:t>
            </w:r>
          </w:p>
          <w:p>
            <w:pPr>
              <w:pStyle w:val="TableParagraph"/>
              <w:spacing w:line="338" w:lineRule="auto" w:before="101"/>
              <w:ind w:left="22" w:right="23"/>
              <w:jc w:val="left"/>
              <w:rPr>
                <w:rFonts w:ascii="宋体" w:hAnsi="宋体" w:cs="宋体" w:eastAsia="宋体" w:hint="default"/>
                <w:sz w:val="18"/>
                <w:szCs w:val="18"/>
              </w:rPr>
            </w:pPr>
            <w:r>
              <w:rPr>
                <w:rFonts w:ascii="宋体" w:hAnsi="宋体" w:cs="宋体" w:eastAsia="宋体" w:hint="default"/>
                <w:sz w:val="18"/>
                <w:szCs w:val="18"/>
              </w:rPr>
              <w:t>资于安全性高</w:t>
            </w:r>
            <w:r>
              <w:rPr>
                <w:rFonts w:ascii="宋体" w:hAnsi="宋体" w:cs="宋体" w:eastAsia="宋体" w:hint="default"/>
                <w:spacing w:val="-22"/>
                <w:sz w:val="18"/>
                <w:szCs w:val="18"/>
              </w:rPr>
              <w:t>、</w:t>
            </w:r>
            <w:r>
              <w:rPr>
                <w:rFonts w:ascii="宋体" w:hAnsi="宋体" w:cs="宋体" w:eastAsia="宋体" w:hint="default"/>
                <w:sz w:val="18"/>
                <w:szCs w:val="18"/>
              </w:rPr>
              <w:t>流动性好</w:t>
            </w:r>
            <w:r>
              <w:rPr>
                <w:rFonts w:ascii="宋体" w:hAnsi="宋体" w:cs="宋体" w:eastAsia="宋体" w:hint="default"/>
                <w:spacing w:val="-22"/>
                <w:sz w:val="18"/>
                <w:szCs w:val="18"/>
              </w:rPr>
              <w:t>、</w:t>
            </w:r>
            <w:r>
              <w:rPr>
                <w:rFonts w:ascii="宋体" w:hAnsi="宋体" w:cs="宋体" w:eastAsia="宋体" w:hint="default"/>
                <w:sz w:val="18"/>
                <w:szCs w:val="18"/>
              </w:rPr>
              <w:t>有保本承诺的银行理财产品</w:t>
            </w:r>
            <w:r>
              <w:rPr>
                <w:rFonts w:ascii="宋体" w:hAnsi="宋体" w:cs="宋体" w:eastAsia="宋体" w:hint="default"/>
                <w:spacing w:val="-22"/>
                <w:sz w:val="18"/>
                <w:szCs w:val="18"/>
              </w:rPr>
              <w:t>，</w:t>
            </w:r>
            <w:r>
              <w:rPr>
                <w:rFonts w:ascii="宋体" w:hAnsi="宋体" w:cs="宋体" w:eastAsia="宋体" w:hint="default"/>
                <w:sz w:val="18"/>
                <w:szCs w:val="18"/>
              </w:rPr>
              <w:t>有效期一年</w:t>
            </w:r>
            <w:r>
              <w:rPr>
                <w:rFonts w:ascii="宋体" w:hAnsi="宋体" w:cs="宋体" w:eastAsia="宋体" w:hint="default"/>
                <w:spacing w:val="-22"/>
                <w:sz w:val="18"/>
                <w:szCs w:val="18"/>
              </w:rPr>
              <w:t>；</w:t>
            </w:r>
            <w:r>
              <w:rPr>
                <w:rFonts w:ascii="宋体" w:hAnsi="宋体" w:cs="宋体" w:eastAsia="宋体" w:hint="default"/>
                <w:sz w:val="18"/>
                <w:szCs w:val="18"/>
              </w:rPr>
              <w:t>在上述额度和有效期内</w:t>
            </w:r>
            <w:r>
              <w:rPr>
                <w:rFonts w:ascii="宋体" w:hAnsi="宋体" w:cs="宋体" w:eastAsia="宋体" w:hint="default"/>
                <w:spacing w:val="-22"/>
                <w:sz w:val="18"/>
                <w:szCs w:val="18"/>
              </w:rPr>
              <w:t>，</w:t>
            </w:r>
            <w:r>
              <w:rPr>
                <w:rFonts w:ascii="宋体" w:hAnsi="宋体" w:cs="宋体" w:eastAsia="宋体" w:hint="default"/>
                <w:sz w:val="18"/>
                <w:szCs w:val="18"/>
              </w:rPr>
              <w:t>资金可以滚动投资银行保本承诺理财产品</w:t>
            </w:r>
            <w:r>
              <w:rPr>
                <w:rFonts w:ascii="宋体" w:hAnsi="宋体" w:cs="宋体" w:eastAsia="宋体" w:hint="default"/>
                <w:spacing w:val="-113"/>
                <w:sz w:val="18"/>
                <w:szCs w:val="18"/>
              </w:rPr>
              <w:t>。</w:t>
            </w:r>
            <w:r>
              <w:rPr>
                <w:rFonts w:ascii="宋体" w:hAnsi="宋体" w:cs="宋体" w:eastAsia="宋体" w:hint="default"/>
                <w:sz w:val="18"/>
                <w:szCs w:val="18"/>
              </w:rPr>
              <w:t>（详</w:t>
            </w:r>
            <w:r>
              <w:rPr>
                <w:rFonts w:ascii="宋体" w:hAnsi="宋体" w:cs="宋体" w:eastAsia="宋体" w:hint="default"/>
                <w:spacing w:val="1"/>
                <w:sz w:val="18"/>
                <w:szCs w:val="18"/>
              </w:rPr>
              <w:t>见</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在</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海证券报</w:t>
            </w:r>
            <w:r>
              <w:rPr>
                <w:rFonts w:ascii="宋体" w:hAnsi="宋体" w:cs="宋体" w:eastAsia="宋体" w:hint="default"/>
                <w:spacing w:val="-92"/>
                <w:sz w:val="18"/>
                <w:szCs w:val="18"/>
              </w:rPr>
              <w:t>》、</w:t>
            </w:r>
            <w:r>
              <w:rPr>
                <w:rFonts w:ascii="宋体" w:hAnsi="宋体" w:cs="宋体" w:eastAsia="宋体" w:hint="default"/>
                <w:sz w:val="18"/>
                <w:szCs w:val="18"/>
              </w:rPr>
              <w:t>《证券日报》及</w:t>
            </w:r>
            <w:r>
              <w:rPr>
                <w:rFonts w:ascii="宋体" w:hAnsi="宋体" w:cs="宋体" w:eastAsia="宋体" w:hint="default"/>
                <w:spacing w:val="2"/>
                <w:sz w:val="18"/>
                <w:szCs w:val="18"/>
              </w:rPr>
              <w:t>巨</w:t>
            </w:r>
            <w:r>
              <w:rPr>
                <w:rFonts w:ascii="宋体" w:hAnsi="宋体" w:cs="宋体" w:eastAsia="宋体" w:hint="default"/>
                <w:sz w:val="18"/>
                <w:szCs w:val="18"/>
              </w:rPr>
              <w:t>潮资讯网上刊登的公告）</w:t>
            </w:r>
          </w:p>
          <w:p>
            <w:pPr>
              <w:pStyle w:val="TableParagraph"/>
              <w:spacing w:line="240" w:lineRule="auto" w:before="79"/>
              <w:ind w:left="38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八</w:t>
            </w:r>
            <w:r>
              <w:rPr>
                <w:rFonts w:ascii="宋体" w:hAnsi="宋体" w:cs="宋体" w:eastAsia="宋体" w:hint="default"/>
                <w:sz w:val="18"/>
                <w:szCs w:val="18"/>
              </w:rPr>
              <w:t>届董事会第四次会议审议通过了《关于使用部分闲置募集资金投资银行保本理财产品的议案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。本着股东利益最大化原</w:t>
            </w:r>
            <w:r>
              <w:rPr>
                <w:rFonts w:ascii="宋体" w:hAnsi="宋体" w:cs="宋体" w:eastAsia="宋体" w:hint="default"/>
                <w:spacing w:val="2"/>
                <w:sz w:val="18"/>
                <w:szCs w:val="18"/>
              </w:rPr>
              <w:t>则</w:t>
            </w:r>
            <w:r>
              <w:rPr>
                <w:rFonts w:ascii="宋体" w:hAnsi="宋体" w:cs="宋体" w:eastAsia="宋体" w:hint="default"/>
                <w:sz w:val="18"/>
                <w:szCs w:val="18"/>
              </w:rPr>
              <w:t>，为提高募集资金使</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用效率，在确保不影响募集资金项目建设和募集资金使用的情况下，同意公司在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个月内使用最高额度不超过人民币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亿元的部分闲置募集资金适时进行现金管理，投资于</w:t>
            </w:r>
          </w:p>
          <w:p>
            <w:pPr>
              <w:pStyle w:val="TableParagraph"/>
              <w:spacing w:line="338" w:lineRule="auto" w:before="101"/>
              <w:ind w:left="22" w:right="50"/>
              <w:jc w:val="left"/>
              <w:rPr>
                <w:rFonts w:ascii="宋体" w:hAnsi="宋体" w:cs="宋体" w:eastAsia="宋体" w:hint="default"/>
                <w:sz w:val="18"/>
                <w:szCs w:val="18"/>
              </w:rPr>
            </w:pPr>
            <w:r>
              <w:rPr>
                <w:rFonts w:ascii="宋体" w:hAnsi="宋体" w:cs="宋体" w:eastAsia="宋体" w:hint="default"/>
                <w:sz w:val="18"/>
                <w:szCs w:val="18"/>
              </w:rPr>
              <w:t>安全性高、流动性好、有</w:t>
            </w:r>
            <w:r>
              <w:rPr>
                <w:rFonts w:ascii="宋体" w:hAnsi="宋体" w:cs="宋体" w:eastAsia="宋体" w:hint="default"/>
                <w:spacing w:val="-1"/>
                <w:sz w:val="18"/>
                <w:szCs w:val="18"/>
              </w:rPr>
              <w:t>保</w:t>
            </w:r>
            <w:r>
              <w:rPr>
                <w:rFonts w:ascii="宋体" w:hAnsi="宋体" w:cs="宋体" w:eastAsia="宋体" w:hint="default"/>
                <w:sz w:val="18"/>
                <w:szCs w:val="18"/>
              </w:rPr>
              <w:t>本承诺的银行理财产品，有效期一年；在上述额度和有效期内，资金可以滚动投资银行保本承诺理财产品</w:t>
            </w:r>
            <w:r>
              <w:rPr>
                <w:rFonts w:ascii="宋体" w:hAnsi="宋体" w:cs="宋体" w:eastAsia="宋体" w:hint="default"/>
                <w:spacing w:val="-92"/>
                <w:sz w:val="18"/>
                <w:szCs w:val="18"/>
              </w:rPr>
              <w:t>。</w:t>
            </w:r>
            <w:r>
              <w:rPr>
                <w:rFonts w:ascii="宋体" w:hAnsi="宋体" w:cs="宋体" w:eastAsia="宋体" w:hint="default"/>
                <w:sz w:val="18"/>
                <w:szCs w:val="18"/>
              </w:rPr>
              <w:t>（详见公</w:t>
            </w:r>
            <w:r>
              <w:rPr>
                <w:rFonts w:ascii="宋体" w:hAnsi="宋体" w:cs="宋体" w:eastAsia="宋体" w:hint="default"/>
                <w:spacing w:val="1"/>
                <w:sz w:val="18"/>
                <w:szCs w:val="18"/>
              </w:rPr>
              <w:t>司</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日在《证券 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证券报</w:t>
            </w:r>
            <w:r>
              <w:rPr>
                <w:rFonts w:ascii="宋体" w:hAnsi="宋体" w:cs="宋体" w:eastAsia="宋体" w:hint="default"/>
                <w:spacing w:val="-92"/>
                <w:sz w:val="18"/>
                <w:szCs w:val="18"/>
              </w:rPr>
              <w:t>》、</w:t>
            </w:r>
            <w:r>
              <w:rPr>
                <w:rFonts w:ascii="宋体" w:hAnsi="宋体" w:cs="宋体" w:eastAsia="宋体" w:hint="default"/>
                <w:sz w:val="18"/>
                <w:szCs w:val="18"/>
              </w:rPr>
              <w:t>《证券日报》及巨</w:t>
            </w:r>
            <w:r>
              <w:rPr>
                <w:rFonts w:ascii="宋体" w:hAnsi="宋体" w:cs="宋体" w:eastAsia="宋体" w:hint="default"/>
                <w:spacing w:val="2"/>
                <w:sz w:val="18"/>
                <w:szCs w:val="18"/>
              </w:rPr>
              <w:t>潮</w:t>
            </w:r>
            <w:r>
              <w:rPr>
                <w:rFonts w:ascii="宋体" w:hAnsi="宋体" w:cs="宋体" w:eastAsia="宋体" w:hint="default"/>
                <w:sz w:val="18"/>
                <w:szCs w:val="18"/>
              </w:rPr>
              <w:t>资讯网上刊登的公告）</w:t>
            </w:r>
          </w:p>
          <w:p>
            <w:pPr>
              <w:pStyle w:val="TableParagraph"/>
              <w:spacing w:line="240" w:lineRule="auto" w:before="82"/>
              <w:ind w:left="38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八</w:t>
            </w:r>
            <w:r>
              <w:rPr>
                <w:rFonts w:ascii="宋体" w:hAnsi="宋体" w:cs="宋体" w:eastAsia="宋体" w:hint="default"/>
                <w:sz w:val="18"/>
                <w:szCs w:val="18"/>
              </w:rPr>
              <w:t>届董事会第十八次会议审议通过了《关于使用部分闲置募集资金投资银行保本理财产品的议案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。本着股东利益最大化</w:t>
            </w:r>
            <w:r>
              <w:rPr>
                <w:rFonts w:ascii="宋体" w:hAnsi="宋体" w:cs="宋体" w:eastAsia="宋体" w:hint="default"/>
                <w:spacing w:val="2"/>
                <w:sz w:val="18"/>
                <w:szCs w:val="18"/>
              </w:rPr>
              <w:t>原</w:t>
            </w:r>
            <w:r>
              <w:rPr>
                <w:rFonts w:ascii="宋体" w:hAnsi="宋体" w:cs="宋体" w:eastAsia="宋体" w:hint="default"/>
                <w:sz w:val="18"/>
                <w:szCs w:val="18"/>
              </w:rPr>
              <w:t>则，为提高募集资金</w:t>
            </w:r>
          </w:p>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使用效率，在确保不影响募集资金项目建设和募集资金使用的情况下，同意公司在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个月内使用最高额度不超过人民币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亿元的部分闲置募集资金适时进行现金管理，投资</w:t>
            </w:r>
          </w:p>
          <w:p>
            <w:pPr>
              <w:pStyle w:val="TableParagraph"/>
              <w:spacing w:line="338" w:lineRule="auto" w:before="99"/>
              <w:ind w:left="22" w:right="50"/>
              <w:jc w:val="left"/>
              <w:rPr>
                <w:rFonts w:ascii="宋体" w:hAnsi="宋体" w:cs="宋体" w:eastAsia="宋体" w:hint="default"/>
                <w:sz w:val="18"/>
                <w:szCs w:val="18"/>
              </w:rPr>
            </w:pPr>
            <w:r>
              <w:rPr>
                <w:rFonts w:ascii="宋体" w:hAnsi="宋体" w:cs="宋体" w:eastAsia="宋体" w:hint="default"/>
                <w:sz w:val="18"/>
                <w:szCs w:val="18"/>
              </w:rPr>
              <w:t>于安全性高、流动性好、有保本承诺的银行理财产品，有效期一年；在上述额度和有效期内，资金可以滚动投资银行保本承诺理财产品</w:t>
            </w:r>
            <w:r>
              <w:rPr>
                <w:rFonts w:ascii="宋体" w:hAnsi="宋体" w:cs="宋体" w:eastAsia="宋体" w:hint="default"/>
                <w:spacing w:val="-92"/>
                <w:sz w:val="18"/>
                <w:szCs w:val="18"/>
              </w:rPr>
              <w:t>。</w:t>
            </w:r>
            <w:r>
              <w:rPr>
                <w:rFonts w:ascii="宋体" w:hAnsi="宋体" w:cs="宋体" w:eastAsia="宋体" w:hint="default"/>
                <w:sz w:val="18"/>
                <w:szCs w:val="18"/>
              </w:rPr>
              <w:t>（详见公</w:t>
            </w:r>
            <w:r>
              <w:rPr>
                <w:rFonts w:ascii="宋体" w:hAnsi="宋体" w:cs="宋体" w:eastAsia="宋体" w:hint="default"/>
                <w:spacing w:val="3"/>
                <w:sz w:val="18"/>
                <w:szCs w:val="18"/>
              </w:rPr>
              <w:t>司</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日在《证 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海证券报</w:t>
            </w:r>
            <w:r>
              <w:rPr>
                <w:rFonts w:ascii="宋体" w:hAnsi="宋体" w:cs="宋体" w:eastAsia="宋体" w:hint="default"/>
                <w:spacing w:val="-92"/>
                <w:sz w:val="18"/>
                <w:szCs w:val="18"/>
              </w:rPr>
              <w:t>》、</w:t>
            </w:r>
            <w:r>
              <w:rPr>
                <w:rFonts w:ascii="宋体" w:hAnsi="宋体" w:cs="宋体" w:eastAsia="宋体" w:hint="default"/>
                <w:sz w:val="18"/>
                <w:szCs w:val="18"/>
              </w:rPr>
              <w:t>《证券日报》及</w:t>
            </w:r>
            <w:r>
              <w:rPr>
                <w:rFonts w:ascii="宋体" w:hAnsi="宋体" w:cs="宋体" w:eastAsia="宋体" w:hint="default"/>
                <w:spacing w:val="2"/>
                <w:sz w:val="18"/>
                <w:szCs w:val="18"/>
              </w:rPr>
              <w:t>巨</w:t>
            </w:r>
            <w:r>
              <w:rPr>
                <w:rFonts w:ascii="宋体" w:hAnsi="宋体" w:cs="宋体" w:eastAsia="宋体" w:hint="default"/>
                <w:sz w:val="18"/>
                <w:szCs w:val="18"/>
              </w:rPr>
              <w:t>潮资讯网上刊登的公告）</w:t>
            </w:r>
          </w:p>
        </w:tc>
      </w:tr>
      <w:tr>
        <w:trPr>
          <w:trHeight w:val="1491"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37" w:lineRule="auto"/>
              <w:ind w:left="22" w:right="9" w:firstLine="84"/>
              <w:jc w:val="left"/>
              <w:rPr>
                <w:rFonts w:ascii="宋体" w:hAnsi="宋体" w:cs="宋体" w:eastAsia="宋体" w:hint="default"/>
                <w:sz w:val="18"/>
                <w:szCs w:val="18"/>
              </w:rPr>
            </w:pPr>
            <w:r>
              <w:rPr>
                <w:rFonts w:ascii="宋体" w:hAnsi="宋体" w:cs="宋体" w:eastAsia="宋体" w:hint="default"/>
                <w:sz w:val="18"/>
                <w:szCs w:val="18"/>
              </w:rPr>
              <w:t>受托机构 </w:t>
            </w:r>
            <w:r>
              <w:rPr>
                <w:rFonts w:ascii="宋体" w:hAnsi="宋体" w:cs="宋体" w:eastAsia="宋体" w:hint="default"/>
                <w:spacing w:val="-3"/>
                <w:sz w:val="18"/>
                <w:szCs w:val="18"/>
              </w:rPr>
              <w:t>名称（或受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托人姓名）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6" w:right="9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237" w:lineRule="auto"/>
              <w:ind w:left="21" w:right="23" w:hanging="3"/>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10"/>
                <w:sz w:val="18"/>
                <w:szCs w:val="18"/>
              </w:rPr>
              <w:t>人）类</w:t>
            </w:r>
            <w:r>
              <w:rPr>
                <w:rFonts w:ascii="宋体" w:hAnsi="宋体" w:cs="宋体" w:eastAsia="宋体" w:hint="default"/>
                <w:sz w:val="18"/>
                <w:szCs w:val="18"/>
              </w:rPr>
              <w:t> 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0" w:lineRule="exact" w:before="26"/>
              <w:ind w:left="98" w:right="99"/>
              <w:jc w:val="left"/>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32" w:lineRule="exact"/>
              <w:ind w:left="256"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32" w:lineRule="exact"/>
              <w:ind w:left="240" w:right="59"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37" w:lineRule="auto"/>
              <w:ind w:left="98" w:right="98"/>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95" w:right="98"/>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230" w:lineRule="exact" w:before="26"/>
              <w:ind w:left="187" w:right="98" w:hanging="92"/>
              <w:jc w:val="left"/>
              <w:rPr>
                <w:rFonts w:ascii="宋体" w:hAnsi="宋体" w:cs="宋体" w:eastAsia="宋体" w:hint="default"/>
                <w:sz w:val="18"/>
                <w:szCs w:val="18"/>
              </w:rPr>
            </w:pPr>
            <w:r>
              <w:rPr>
                <w:rFonts w:ascii="宋体" w:hAnsi="宋体" w:cs="宋体" w:eastAsia="宋体" w:hint="default"/>
                <w:sz w:val="18"/>
                <w:szCs w:val="18"/>
              </w:rPr>
              <w:t>（如 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76" w:right="80"/>
              <w:jc w:val="both"/>
              <w:rPr>
                <w:rFonts w:ascii="宋体" w:hAnsi="宋体" w:cs="宋体" w:eastAsia="宋体" w:hint="default"/>
                <w:sz w:val="18"/>
                <w:szCs w:val="18"/>
              </w:rPr>
            </w:pPr>
            <w:r>
              <w:rPr>
                <w:rFonts w:ascii="宋体" w:hAnsi="宋体" w:cs="宋体" w:eastAsia="宋体" w:hint="default"/>
                <w:sz w:val="18"/>
                <w:szCs w:val="18"/>
              </w:rPr>
              <w:t>报告期 实际损 益金额</w:t>
            </w:r>
          </w:p>
          <w:p>
            <w:pPr>
              <w:pStyle w:val="TableParagraph"/>
              <w:spacing w:line="230" w:lineRule="exact"/>
              <w:ind w:left="21"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24" w:right="21" w:hanging="3"/>
              <w:jc w:val="center"/>
              <w:rPr>
                <w:rFonts w:ascii="宋体" w:hAnsi="宋体" w:cs="宋体" w:eastAsia="宋体" w:hint="default"/>
                <w:sz w:val="18"/>
                <w:szCs w:val="18"/>
              </w:rPr>
            </w:pPr>
            <w:r>
              <w:rPr>
                <w:rFonts w:ascii="宋体" w:hAnsi="宋体" w:cs="宋体" w:eastAsia="宋体" w:hint="default"/>
                <w:sz w:val="18"/>
                <w:szCs w:val="18"/>
              </w:rPr>
              <w:t>报告期 损益实 际收回 </w:t>
            </w:r>
            <w:r>
              <w:rPr>
                <w:rFonts w:ascii="宋体" w:hAnsi="宋体" w:cs="宋体" w:eastAsia="宋体" w:hint="default"/>
                <w:spacing w:val="-17"/>
                <w:sz w:val="18"/>
                <w:szCs w:val="18"/>
              </w:rPr>
              <w:t>情况（万</w:t>
            </w:r>
            <w:r>
              <w:rPr>
                <w:rFonts w:ascii="宋体" w:hAnsi="宋体" w:cs="宋体" w:eastAsia="宋体" w:hint="default"/>
                <w:sz w:val="18"/>
                <w:szCs w:val="18"/>
              </w:rPr>
              <w:t>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37" w:lineRule="auto"/>
              <w:ind w:left="21" w:right="21" w:hanging="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37"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32" w:lineRule="exact"/>
              <w:ind w:left="1099" w:right="106" w:hanging="990"/>
              <w:jc w:val="left"/>
              <w:rPr>
                <w:rFonts w:ascii="宋体" w:hAnsi="宋体" w:cs="宋体" w:eastAsia="宋体" w:hint="default"/>
                <w:sz w:val="18"/>
                <w:szCs w:val="18"/>
              </w:rPr>
            </w:pPr>
            <w:r>
              <w:rPr>
                <w:rFonts w:ascii="宋体" w:hAnsi="宋体" w:cs="宋体" w:eastAsia="宋体" w:hint="default"/>
                <w:sz w:val="18"/>
                <w:szCs w:val="18"/>
              </w:rPr>
              <w:t>事项概述及相关查询索引（如 有）</w:t>
            </w: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11" w:right="38" w:hanging="272"/>
              <w:jc w:val="left"/>
              <w:rPr>
                <w:rFonts w:ascii="宋体" w:hAnsi="宋体" w:cs="宋体" w:eastAsia="宋体" w:hint="default"/>
                <w:sz w:val="18"/>
                <w:szCs w:val="18"/>
              </w:rPr>
            </w:pPr>
            <w:r>
              <w:rPr>
                <w:rFonts w:ascii="宋体" w:hAnsi="宋体" w:cs="宋体" w:eastAsia="宋体" w:hint="default"/>
                <w:sz w:val="18"/>
                <w:szCs w:val="18"/>
              </w:rPr>
              <w:t>保证收益型 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117.96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117.96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val="restart"/>
            <w:tcBorders>
              <w:top w:val="single" w:sz="4" w:space="0" w:color="000000"/>
              <w:left w:val="single" w:sz="4" w:space="0" w:color="000000"/>
              <w:right w:val="single" w:sz="4" w:space="0" w:color="000000"/>
            </w:tcBorders>
          </w:tcPr>
          <w:p>
            <w:pPr>
              <w:pStyle w:val="TableParagraph"/>
              <w:spacing w:line="242" w:lineRule="exact" w:before="73"/>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Times New Roman" w:hAnsi="Times New Roman" w:cs="Times New Roman" w:eastAsia="Times New Roman" w:hint="default"/>
                <w:sz w:val="18"/>
                <w:szCs w:val="18"/>
              </w:rPr>
              <w:t>9</w:t>
            </w: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11" w:right="38" w:hanging="272"/>
              <w:jc w:val="left"/>
              <w:rPr>
                <w:rFonts w:ascii="宋体" w:hAnsi="宋体" w:cs="宋体" w:eastAsia="宋体" w:hint="default"/>
                <w:sz w:val="18"/>
                <w:szCs w:val="18"/>
              </w:rPr>
            </w:pPr>
            <w:r>
              <w:rPr>
                <w:rFonts w:ascii="宋体" w:hAnsi="宋体" w:cs="宋体" w:eastAsia="宋体" w:hint="default"/>
                <w:sz w:val="18"/>
                <w:szCs w:val="18"/>
              </w:rPr>
              <w:t>保证收益型 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2"/>
                <w:w w:val="95"/>
                <w:sz w:val="18"/>
              </w:rPr>
              <w:t>111.51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2"/>
                <w:w w:val="95"/>
                <w:sz w:val="18"/>
              </w:rPr>
              <w:t>111.51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1265" w:top="1060" w:bottom="1460" w:left="1300" w:right="130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74.279999pt;margin-top:55.200008pt;width:693.75pt;height:462.6pt;mso-position-horizontal-relative:page;mso-position-vertical-relative:page;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4"/>
                    <w:gridCol w:w="566"/>
                    <w:gridCol w:w="991"/>
                    <w:gridCol w:w="569"/>
                    <w:gridCol w:w="708"/>
                    <w:gridCol w:w="991"/>
                    <w:gridCol w:w="852"/>
                    <w:gridCol w:w="850"/>
                    <w:gridCol w:w="850"/>
                    <w:gridCol w:w="569"/>
                    <w:gridCol w:w="566"/>
                    <w:gridCol w:w="709"/>
                    <w:gridCol w:w="710"/>
                    <w:gridCol w:w="708"/>
                    <w:gridCol w:w="708"/>
                    <w:gridCol w:w="2568"/>
                  </w:tblGrid>
                  <w:tr>
                    <w:trPr>
                      <w:trHeight w:val="574" w:hRule="exact"/>
                    </w:trPr>
                    <w:tc>
                      <w:tcPr>
                        <w:tcW w:w="9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32" w:lineRule="exact" w:before="35"/>
                          <w:ind w:left="131" w:right="38" w:hanging="92"/>
                          <w:jc w:val="left"/>
                          <w:rPr>
                            <w:rFonts w:ascii="宋体" w:hAnsi="宋体" w:cs="宋体" w:eastAsia="宋体" w:hint="default"/>
                            <w:sz w:val="18"/>
                            <w:szCs w:val="18"/>
                          </w:rPr>
                        </w:pPr>
                        <w:r>
                          <w:rPr>
                            <w:rFonts w:ascii="宋体" w:hAnsi="宋体" w:cs="宋体" w:eastAsia="宋体" w:hint="default"/>
                            <w:sz w:val="18"/>
                            <w:szCs w:val="18"/>
                          </w:rPr>
                          <w:t>保本浮动收 益型产品</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32" w:lineRule="exact" w:before="35"/>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before="1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32" w:lineRule="exact" w:before="35"/>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4.30%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127.23</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127.23</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val="restart"/>
                        <w:tcBorders>
                          <w:top w:val="single" w:sz="6" w:space="0" w:color="000000"/>
                          <w:left w:val="single" w:sz="4" w:space="0" w:color="000000"/>
                          <w:right w:val="single" w:sz="4" w:space="0" w:color="000000"/>
                        </w:tcBorders>
                      </w:tcPr>
                      <w:p>
                        <w:pPr>
                          <w:pStyle w:val="TableParagraph"/>
                          <w:spacing w:line="226"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32" w:lineRule="exact" w:before="16"/>
                          <w:ind w:left="24"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w:t>
                        </w:r>
                        <w:r>
                          <w:rPr>
                            <w:rFonts w:ascii="宋体" w:hAnsi="宋体" w:cs="宋体" w:eastAsia="宋体" w:hint="default"/>
                            <w:spacing w:val="-13"/>
                            <w:sz w:val="18"/>
                            <w:szCs w:val="18"/>
                          </w:rPr>
                          <w:t>刊登在《证券时报》、《中国证券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报》、《上海证券报》、《证券日报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和巨潮资讯网上的相关公告。</w:t>
                        </w: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31" w:right="38" w:hanging="92"/>
                          <w:jc w:val="left"/>
                          <w:rPr>
                            <w:rFonts w:ascii="宋体" w:hAnsi="宋体" w:cs="宋体" w:eastAsia="宋体" w:hint="default"/>
                            <w:sz w:val="18"/>
                            <w:szCs w:val="18"/>
                          </w:rPr>
                        </w:pPr>
                        <w:r>
                          <w:rPr>
                            <w:rFonts w:ascii="宋体" w:hAnsi="宋体" w:cs="宋体" w:eastAsia="宋体" w:hint="default"/>
                            <w:sz w:val="18"/>
                            <w:szCs w:val="18"/>
                          </w:rPr>
                          <w:t>保本浮动收 益型产品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11" w:right="38" w:hanging="272"/>
                          <w:jc w:val="left"/>
                          <w:rPr>
                            <w:rFonts w:ascii="宋体" w:hAnsi="宋体" w:cs="宋体" w:eastAsia="宋体" w:hint="default"/>
                            <w:sz w:val="18"/>
                            <w:szCs w:val="18"/>
                          </w:rPr>
                        </w:pPr>
                        <w:r>
                          <w:rPr>
                            <w:rFonts w:ascii="宋体" w:hAnsi="宋体" w:cs="宋体" w:eastAsia="宋体" w:hint="default"/>
                            <w:sz w:val="18"/>
                            <w:szCs w:val="18"/>
                          </w:rPr>
                          <w:t>保证收益型 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67.27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11" w:right="38" w:hanging="272"/>
                          <w:jc w:val="left"/>
                          <w:rPr>
                            <w:rFonts w:ascii="宋体" w:hAnsi="宋体" w:cs="宋体" w:eastAsia="宋体" w:hint="default"/>
                            <w:sz w:val="18"/>
                            <w:szCs w:val="18"/>
                          </w:rPr>
                        </w:pPr>
                        <w:r>
                          <w:rPr>
                            <w:rFonts w:ascii="宋体" w:hAnsi="宋体" w:cs="宋体" w:eastAsia="宋体" w:hint="default"/>
                            <w:sz w:val="18"/>
                            <w:szCs w:val="18"/>
                          </w:rPr>
                          <w:t>保证收益型 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127.73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127.73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311" w:right="38"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117.18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广发银行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11" w:right="38"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68.81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31" w:right="38" w:hanging="92"/>
                          <w:jc w:val="left"/>
                          <w:rPr>
                            <w:rFonts w:ascii="宋体" w:hAnsi="宋体" w:cs="宋体" w:eastAsia="宋体" w:hint="default"/>
                            <w:sz w:val="18"/>
                            <w:szCs w:val="18"/>
                          </w:rPr>
                        </w:pPr>
                        <w:r>
                          <w:rPr>
                            <w:rFonts w:ascii="宋体" w:hAnsi="宋体" w:cs="宋体" w:eastAsia="宋体" w:hint="default"/>
                            <w:sz w:val="18"/>
                            <w:szCs w:val="18"/>
                          </w:rPr>
                          <w:t>保本浮动收 益型产品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69.53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浙商银行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11" w:right="38"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1" w:lineRule="exact"/>
                          <w:ind w:left="15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95"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311" w:right="38"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11" w:right="38" w:hanging="272"/>
                          <w:jc w:val="left"/>
                          <w:rPr>
                            <w:rFonts w:ascii="宋体" w:hAnsi="宋体" w:cs="宋体" w:eastAsia="宋体" w:hint="default"/>
                            <w:sz w:val="18"/>
                            <w:szCs w:val="18"/>
                          </w:rPr>
                        </w:pPr>
                        <w:r>
                          <w:rPr>
                            <w:rFonts w:ascii="宋体" w:hAnsi="宋体" w:cs="宋体" w:eastAsia="宋体" w:hint="default"/>
                            <w:sz w:val="18"/>
                            <w:szCs w:val="18"/>
                          </w:rPr>
                          <w:t>保证收益型 产品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9"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11" w:right="38"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bottom w:val="single" w:sz="4" w:space="0" w:color="000000"/>
                          <w:right w:val="single" w:sz="4" w:space="0" w:color="000000"/>
                        </w:tcBorders>
                      </w:tcPr>
                      <w:p>
                        <w:pPr/>
                      </w:p>
                    </w:tc>
                  </w:tr>
                  <w:tr>
                    <w:trPr>
                      <w:trHeight w:val="322"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年公司非公开发行股票募集资金中暂时闲置的募集资金</w:t>
                        </w:r>
                      </w:p>
                    </w:tc>
                  </w:tr>
                  <w:tr>
                    <w:trPr>
                      <w:trHeight w:val="324"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委托理财审批董事会公告披露日期（如有）</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委托理财审批股东大会公告披露日期（如有）</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30"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6" w:lineRule="auto" w:before="1"/>
                          <w:ind w:left="23" w:right="111"/>
                          <w:jc w:val="both"/>
                          <w:rPr>
                            <w:rFonts w:ascii="宋体" w:hAnsi="宋体" w:cs="宋体" w:eastAsia="宋体" w:hint="default"/>
                            <w:sz w:val="18"/>
                            <w:szCs w:val="18"/>
                          </w:rPr>
                        </w:pPr>
                        <w:r>
                          <w:rPr>
                            <w:rFonts w:ascii="宋体" w:hAnsi="宋体" w:cs="宋体" w:eastAsia="宋体" w:hint="default"/>
                            <w:spacing w:val="-2"/>
                            <w:sz w:val="18"/>
                            <w:szCs w:val="18"/>
                          </w:rPr>
                          <w:t>第八届董事会第十八次会议审议通过了《关于使用部分闲置募集资金投资银行保本理财产品的议案》，同意公司在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个月内使用最高额度不超过人民币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亿元的部分闲置募集资金适时进行现金管理，投资于安全性高、流动性好 有保本承诺的银行理财产品，有效期一年；在上述额度和有效期内，资金可以滚动投资银行保本承诺理财产品。</w:t>
                        </w:r>
                      </w:p>
                    </w:tc>
                  </w:tr>
                  <w:tr>
                    <w:trPr>
                      <w:trHeight w:val="598" w:hRule="exact"/>
                    </w:trPr>
                    <w:tc>
                      <w:tcPr>
                        <w:tcW w:w="47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9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、截至报告期末，公司使用募集资金投资银行保本理财产品的余额为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、报告期，公司使用募集资金投资银行保本理财产品取得收益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6"/>
        <w:rPr>
          <w:rFonts w:ascii="Microsoft JhengHei" w:hAnsi="Microsoft JhengHei" w:cs="Microsoft JhengHei" w:eastAsia="Microsoft JhengHei" w:hint="default"/>
          <w:b/>
          <w:bCs/>
          <w:sz w:val="20"/>
          <w:szCs w:val="20"/>
        </w:rPr>
      </w:pPr>
    </w:p>
    <w:p>
      <w:pPr>
        <w:spacing w:before="44"/>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1265" w:top="1060" w:bottom="1540" w:left="1380" w:right="1320"/>
        </w:sectPr>
      </w:pPr>
    </w:p>
    <w:p>
      <w:pPr>
        <w:spacing w:line="240" w:lineRule="auto" w:before="11"/>
        <w:rPr>
          <w:rFonts w:ascii="宋体" w:hAnsi="宋体" w:cs="宋体" w:eastAsia="宋体" w:hint="default"/>
          <w:sz w:val="2"/>
          <w:szCs w:val="2"/>
        </w:rPr>
      </w:pPr>
    </w:p>
    <w:p>
      <w:pPr>
        <w:spacing w:line="562" w:lineRule="exact"/>
        <w:ind w:left="1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701.65pt;height:28.1pt;mso-position-horizontal-relative:char;mso-position-vertical-relative:line" coordorigin="0,0" coordsize="14033,562">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style="position:absolute;left:91;top:41;width:4761;height:507" coordorigin="91,41" coordsize="4761,507">
              <v:shape style="position:absolute;left:91;top:41;width:4761;height:507" coordorigin="91,41" coordsize="4761,507" path="m91,548l4851,548,4851,41,91,41,91,548xe" filled="true" fillcolor="#d2d2d2" stroked="false">
                <v:path arrowok="t"/>
                <v:fill type="solid"/>
              </v:shape>
            </v:group>
            <v:group style="position:absolute;left:91;top:34;width:4761;height:2" coordorigin="91,34" coordsize="4761,2">
              <v:shape style="position:absolute;left:91;top:34;width:4761;height:2" coordorigin="91,34" coordsize="4761,0" path="m91,34l4851,34e" filled="false" stroked="true" strokeweight=".48pt" strokecolor="#000000">
                <v:path arrowok="t"/>
              </v:shape>
            </v:group>
            <v:group style="position:absolute;left:4861;top:34;width:9081;height:2" coordorigin="4861,34" coordsize="9081,2">
              <v:shape style="position:absolute;left:4861;top:34;width:9081;height:2" coordorigin="4861,34" coordsize="9081,0" path="m4861,34l13942,34e" filled="false" stroked="true" strokeweight=".48pt" strokecolor="#000000">
                <v:path arrowok="t"/>
              </v:shape>
            </v:group>
            <v:group style="position:absolute;left:86;top:29;width:2;height:529" coordorigin="86,29" coordsize="2,529">
              <v:shape style="position:absolute;left:86;top:29;width:2;height:529" coordorigin="86,29" coordsize="0,529" path="m86,29l86,557e" filled="false" stroked="true" strokeweight=".48pt" strokecolor="#000000">
                <v:path arrowok="t"/>
              </v:shape>
            </v:group>
            <v:group style="position:absolute;left:91;top:552;width:4761;height:2" coordorigin="91,552" coordsize="4761,2">
              <v:shape style="position:absolute;left:91;top:552;width:4761;height:2" coordorigin="91,552" coordsize="4761,0" path="m91,552l4851,552e" filled="false" stroked="true" strokeweight=".48pt" strokecolor="#000000">
                <v:path arrowok="t"/>
              </v:shape>
            </v:group>
            <v:group style="position:absolute;left:4856;top:29;width:2;height:529" coordorigin="4856,29" coordsize="2,529">
              <v:shape style="position:absolute;left:4856;top:29;width:2;height:529" coordorigin="4856,29" coordsize="0,529" path="m4856,29l4856,557e" filled="false" stroked="true" strokeweight=".48001pt" strokecolor="#000000">
                <v:path arrowok="t"/>
              </v:shape>
            </v:group>
            <v:group style="position:absolute;left:4861;top:552;width:9081;height:2" coordorigin="4861,552" coordsize="9081,2">
              <v:shape style="position:absolute;left:4861;top:552;width:9081;height:2" coordorigin="4861,552" coordsize="9081,0" path="m4861,552l13942,552e" filled="false" stroked="true" strokeweight=".48pt" strokecolor="#000000">
                <v:path arrowok="t"/>
              </v:shape>
            </v:group>
            <v:group style="position:absolute;left:13946;top:29;width:2;height:529" coordorigin="13946,29" coordsize="2,529">
              <v:shape style="position:absolute;left:13946;top:29;width:2;height:529" coordorigin="13946,29" coordsize="0,529" path="m13946,29l13946,557e" filled="false" stroked="true" strokeweight=".47998pt" strokecolor="#000000">
                <v:path arrowok="t"/>
              </v:shape>
              <v:shape style="position:absolute;left:4856;top:19;width:9091;height:534" type="#_x0000_t202" filled="false" stroked="false">
                <v:textbox inset="0,0,0,0">
                  <w:txbxContent>
                    <w:p>
                      <w:pPr>
                        <w:spacing w:line="232" w:lineRule="exact" w:before="0"/>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、报告期后到期的浙商银行、中国银行、建设银行等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项募集资金投资的银行保本理财产品所取得的收益合计为</w:t>
                      </w:r>
                    </w:p>
                    <w:p>
                      <w:pPr>
                        <w:spacing w:line="240" w:lineRule="exact" w:before="0"/>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435.04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10"/>
          <w:sz w:val="20"/>
          <w:szCs w:val="20"/>
        </w:rPr>
      </w:r>
    </w:p>
    <w:p>
      <w:pPr>
        <w:spacing w:before="82"/>
        <w:ind w:left="140" w:right="134"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38"/>
        <w:ind w:left="140" w:right="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6"/>
        <w:spacing w:line="240" w:lineRule="auto"/>
        <w:ind w:left="140" w:right="13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line="343" w:lineRule="auto" w:before="0"/>
        <w:ind w:left="140" w:right="11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pStyle w:val="Heading6"/>
        <w:spacing w:line="240" w:lineRule="auto" w:before="152"/>
        <w:ind w:left="140" w:right="13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43" w:lineRule="auto" w:before="0"/>
        <w:ind w:left="140" w:right="113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343" w:lineRule="auto"/>
        <w:jc w:val="left"/>
        <w:rPr>
          <w:rFonts w:ascii="宋体" w:hAnsi="宋体" w:cs="宋体" w:eastAsia="宋体" w:hint="default"/>
          <w:sz w:val="18"/>
          <w:szCs w:val="18"/>
        </w:rPr>
        <w:sectPr>
          <w:pgSz w:w="16840" w:h="11910" w:orient="landscape"/>
          <w:pgMar w:header="867" w:footer="1265" w:top="1060" w:bottom="1460" w:left="1300" w:right="1300"/>
        </w:sectPr>
      </w:pPr>
    </w:p>
    <w:p>
      <w:pPr>
        <w:spacing w:line="240" w:lineRule="auto" w:before="7"/>
        <w:rPr>
          <w:rFonts w:ascii="宋体" w:hAnsi="宋体" w:cs="宋体" w:eastAsia="宋体" w:hint="default"/>
          <w:sz w:val="19"/>
          <w:szCs w:val="19"/>
        </w:rPr>
      </w:pPr>
    </w:p>
    <w:p>
      <w:pPr>
        <w:pStyle w:val="Heading4"/>
        <w:spacing w:line="367" w:lineRule="exact"/>
        <w:ind w:right="1115"/>
        <w:jc w:val="left"/>
        <w:rPr>
          <w:b w:val="0"/>
          <w:bCs w:val="0"/>
        </w:rPr>
      </w:pPr>
      <w:r>
        <w:rPr/>
        <w:t>十八、社会责任情况</w:t>
      </w:r>
      <w:r>
        <w:rPr>
          <w:b w:val="0"/>
          <w:bCs w:val="0"/>
        </w:rPr>
      </w:r>
    </w:p>
    <w:p>
      <w:pPr>
        <w:pStyle w:val="Heading6"/>
        <w:spacing w:line="240" w:lineRule="auto" w:before="210"/>
        <w:ind w:left="212" w:right="1115"/>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0"/>
        <w:ind w:left="633" w:right="1115"/>
        <w:jc w:val="left"/>
      </w:pPr>
      <w:r>
        <w:rPr>
          <w:spacing w:val="-2"/>
        </w:rPr>
        <w:t>详见与本报告同日刊登在巨潮资讯网的《</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年度社会责任报告》</w:t>
      </w:r>
    </w:p>
    <w:p>
      <w:pPr>
        <w:spacing w:line="240" w:lineRule="auto" w:before="7"/>
        <w:rPr>
          <w:rFonts w:ascii="宋体" w:hAnsi="宋体" w:cs="宋体" w:eastAsia="宋体" w:hint="default"/>
          <w:sz w:val="16"/>
          <w:szCs w:val="16"/>
        </w:rPr>
      </w:pPr>
    </w:p>
    <w:p>
      <w:pPr>
        <w:pStyle w:val="Heading6"/>
        <w:spacing w:line="240" w:lineRule="auto"/>
        <w:ind w:left="212" w:right="1115"/>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BodyText"/>
        <w:spacing w:line="420" w:lineRule="auto" w:before="0"/>
        <w:ind w:left="633" w:right="1115" w:hanging="421"/>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）精准扶贫规划</w:t>
      </w:r>
      <w:r>
        <w:rPr>
          <w:rFonts w:ascii="Microsoft JhengHei" w:hAnsi="Microsoft JhengHei" w:cs="Microsoft JhengHei" w:eastAsia="Microsoft JhengHei" w:hint="default"/>
          <w:b/>
          <w:bCs/>
          <w:spacing w:val="-44"/>
        </w:rPr>
        <w:t> </w:t>
      </w:r>
      <w:r>
        <w:rPr>
          <w:spacing w:val="2"/>
          <w:w w:val="100"/>
        </w:rPr>
        <w:t>根据《中共广东省委、广东省人民政府关于新时期精准扶贫精准脱贫三年攻坚实施意见》（粤办发</w:t>
      </w:r>
    </w:p>
    <w:p>
      <w:pPr>
        <w:pStyle w:val="BodyText"/>
        <w:spacing w:line="266" w:lineRule="exact" w:before="0"/>
        <w:ind w:left="212" w:right="0"/>
        <w:jc w:val="left"/>
      </w:pP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13</w:t>
      </w:r>
      <w:r>
        <w:rPr>
          <w:rFonts w:ascii="Times New Roman" w:hAnsi="Times New Roman" w:cs="Times New Roman" w:eastAsia="Times New Roman" w:hint="default"/>
          <w:spacing w:val="-2"/>
        </w:rPr>
        <w:t> </w:t>
      </w:r>
      <w:r>
        <w:rPr>
          <w:w w:val="100"/>
        </w:rPr>
        <w:t>号</w:t>
      </w:r>
      <w:r>
        <w:rPr>
          <w:spacing w:val="-106"/>
          <w:w w:val="100"/>
        </w:rPr>
        <w:t>）</w:t>
      </w:r>
      <w:r>
        <w:rPr>
          <w:spacing w:val="-108"/>
          <w:w w:val="100"/>
        </w:rPr>
        <w:t>、</w:t>
      </w:r>
      <w:r>
        <w:rPr>
          <w:spacing w:val="-3"/>
          <w:w w:val="100"/>
        </w:rPr>
        <w:t>《</w:t>
      </w:r>
      <w:r>
        <w:rPr>
          <w:w w:val="100"/>
        </w:rPr>
        <w:t>中</w:t>
      </w:r>
      <w:r>
        <w:rPr>
          <w:spacing w:val="-3"/>
          <w:w w:val="100"/>
        </w:rPr>
        <w:t>共</w:t>
      </w:r>
      <w:r>
        <w:rPr>
          <w:w w:val="100"/>
        </w:rPr>
        <w:t>深</w:t>
      </w:r>
      <w:r>
        <w:rPr>
          <w:spacing w:val="-3"/>
          <w:w w:val="100"/>
        </w:rPr>
        <w:t>圳</w:t>
      </w:r>
      <w:r>
        <w:rPr>
          <w:w w:val="100"/>
        </w:rPr>
        <w:t>市委</w:t>
      </w:r>
      <w:r>
        <w:rPr>
          <w:spacing w:val="-5"/>
          <w:w w:val="100"/>
        </w:rPr>
        <w:t>、</w:t>
      </w:r>
      <w:r>
        <w:rPr>
          <w:w w:val="100"/>
        </w:rPr>
        <w:t>深</w:t>
      </w:r>
      <w:r>
        <w:rPr>
          <w:spacing w:val="-3"/>
          <w:w w:val="100"/>
        </w:rPr>
        <w:t>圳</w:t>
      </w:r>
      <w:r>
        <w:rPr>
          <w:w w:val="100"/>
        </w:rPr>
        <w:t>市</w:t>
      </w:r>
      <w:r>
        <w:rPr>
          <w:spacing w:val="-3"/>
          <w:w w:val="100"/>
        </w:rPr>
        <w:t>人</w:t>
      </w:r>
      <w:r>
        <w:rPr>
          <w:w w:val="100"/>
        </w:rPr>
        <w:t>民</w:t>
      </w:r>
      <w:r>
        <w:rPr>
          <w:spacing w:val="-3"/>
          <w:w w:val="100"/>
        </w:rPr>
        <w:t>政</w:t>
      </w:r>
      <w:r>
        <w:rPr>
          <w:w w:val="100"/>
        </w:rPr>
        <w:t>府</w:t>
      </w:r>
      <w:r>
        <w:rPr>
          <w:spacing w:val="-3"/>
          <w:w w:val="100"/>
        </w:rPr>
        <w:t>关</w:t>
      </w:r>
      <w:r>
        <w:rPr>
          <w:w w:val="100"/>
        </w:rPr>
        <w:t>于新</w:t>
      </w:r>
      <w:r>
        <w:rPr>
          <w:spacing w:val="-3"/>
          <w:w w:val="100"/>
        </w:rPr>
        <w:t>时</w:t>
      </w:r>
      <w:r>
        <w:rPr>
          <w:w w:val="100"/>
        </w:rPr>
        <w:t>期</w:t>
      </w:r>
      <w:r>
        <w:rPr>
          <w:spacing w:val="-3"/>
          <w:w w:val="100"/>
        </w:rPr>
        <w:t>精</w:t>
      </w:r>
      <w:r>
        <w:rPr>
          <w:w w:val="100"/>
        </w:rPr>
        <w:t>准</w:t>
      </w:r>
      <w:r>
        <w:rPr>
          <w:spacing w:val="-3"/>
          <w:w w:val="100"/>
        </w:rPr>
        <w:t>扶</w:t>
      </w:r>
      <w:r>
        <w:rPr>
          <w:w w:val="100"/>
        </w:rPr>
        <w:t>贫</w:t>
      </w:r>
      <w:r>
        <w:rPr>
          <w:spacing w:val="-3"/>
          <w:w w:val="100"/>
        </w:rPr>
        <w:t>精</w:t>
      </w:r>
      <w:r>
        <w:rPr>
          <w:w w:val="100"/>
        </w:rPr>
        <w:t>准</w:t>
      </w:r>
      <w:r>
        <w:rPr>
          <w:spacing w:val="-3"/>
          <w:w w:val="100"/>
        </w:rPr>
        <w:t>脱</w:t>
      </w:r>
      <w:r>
        <w:rPr>
          <w:w w:val="100"/>
        </w:rPr>
        <w:t>贫三</w:t>
      </w:r>
      <w:r>
        <w:rPr>
          <w:spacing w:val="-3"/>
          <w:w w:val="100"/>
        </w:rPr>
        <w:t>年</w:t>
      </w:r>
      <w:r>
        <w:rPr>
          <w:w w:val="100"/>
        </w:rPr>
        <w:t>攻</w:t>
      </w:r>
      <w:r>
        <w:rPr>
          <w:spacing w:val="-3"/>
          <w:w w:val="100"/>
        </w:rPr>
        <w:t>坚</w:t>
      </w:r>
      <w:r>
        <w:rPr>
          <w:w w:val="100"/>
        </w:rPr>
        <w:t>的</w:t>
      </w:r>
      <w:r>
        <w:rPr>
          <w:spacing w:val="-3"/>
          <w:w w:val="100"/>
        </w:rPr>
        <w:t>实</w:t>
      </w:r>
      <w:r>
        <w:rPr>
          <w:w w:val="100"/>
        </w:rPr>
        <w:t>施</w:t>
      </w:r>
      <w:r>
        <w:rPr>
          <w:spacing w:val="-3"/>
          <w:w w:val="100"/>
        </w:rPr>
        <w:t>方</w:t>
      </w:r>
      <w:r>
        <w:rPr>
          <w:w w:val="100"/>
        </w:rPr>
        <w:t>案</w:t>
      </w:r>
      <w:r>
        <w:rPr>
          <w:spacing w:val="-5"/>
          <w:w w:val="100"/>
        </w:rPr>
        <w:t>》</w:t>
      </w:r>
      <w:r>
        <w:rPr>
          <w:w w:val="100"/>
        </w:rPr>
        <w:t>等相</w:t>
      </w:r>
    </w:p>
    <w:p>
      <w:pPr>
        <w:pStyle w:val="BodyText"/>
        <w:spacing w:line="393" w:lineRule="auto" w:before="115"/>
        <w:ind w:left="633" w:right="1115" w:hanging="421"/>
        <w:jc w:val="left"/>
      </w:pPr>
      <w:r>
        <w:rPr/>
        <w:t>关工作安排，公司积极参与新时期精准扶贫工作，对口帮扶广东省河源市龙川县登云镇梅花村。</w:t>
      </w:r>
      <w:r>
        <w:rPr>
          <w:w w:val="100"/>
        </w:rPr>
        <w:t> </w:t>
      </w:r>
      <w:r>
        <w:rPr>
          <w:spacing w:val="-2"/>
        </w:rPr>
        <w:t>公司结合梅花村实际及公司的行业特点，充分发挥公司在产业发展、市场环境等方面的优势，对梅花</w:t>
      </w:r>
    </w:p>
    <w:p>
      <w:pPr>
        <w:pStyle w:val="BodyText"/>
        <w:spacing w:line="350" w:lineRule="auto" w:before="0"/>
        <w:ind w:left="212" w:right="1126"/>
        <w:jc w:val="both"/>
      </w:pPr>
      <w:r>
        <w:rPr>
          <w:spacing w:val="-2"/>
        </w:rPr>
        <w:t>村实施精准扶贫精准脱贫举措，通过产业发展扶贫、教育扶贫、农村危房改造、医疗救助保障、农村人居</w:t>
      </w:r>
      <w:r>
        <w:rPr>
          <w:spacing w:val="-42"/>
        </w:rPr>
        <w:t> </w:t>
      </w:r>
      <w:r>
        <w:rPr>
          <w:spacing w:val="-42"/>
        </w:rPr>
      </w:r>
      <w:r>
        <w:rPr>
          <w:spacing w:val="-2"/>
        </w:rPr>
        <w:t>环境改善等举措，增强梅花村“造血”功能，着力提升帮扶梅花村集体经济实力，发展环境和社会民生事</w:t>
      </w:r>
      <w:r>
        <w:rPr>
          <w:spacing w:val="-43"/>
        </w:rPr>
        <w:t> </w:t>
      </w:r>
      <w:r>
        <w:rPr>
          <w:spacing w:val="-43"/>
        </w:rPr>
      </w:r>
      <w:r>
        <w:rPr>
          <w:spacing w:val="-2"/>
          <w:w w:val="100"/>
        </w:rPr>
        <w:t>业水平，增加扶贫开发对象收入，到</w:t>
      </w:r>
      <w:r>
        <w:rPr>
          <w:spacing w:val="-51"/>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5"/>
          <w:w w:val="100"/>
        </w:rPr>
        <w:t> </w:t>
      </w:r>
      <w:r>
        <w:rPr>
          <w:spacing w:val="-6"/>
          <w:w w:val="100"/>
        </w:rPr>
        <w:t>年，稳定实现“两不愁三保障一相当”（即稳定实现农村贫困人</w:t>
      </w:r>
      <w:r>
        <w:rPr>
          <w:spacing w:val="-103"/>
          <w:w w:val="100"/>
        </w:rPr>
        <w:t> </w:t>
      </w:r>
      <w:r>
        <w:rPr>
          <w:spacing w:val="-103"/>
          <w:w w:val="100"/>
        </w:rPr>
      </w:r>
      <w:r>
        <w:rPr>
          <w:spacing w:val="-2"/>
        </w:rPr>
        <w:t>口不愁吃、不愁穿，义务教育、基本医疗和住房安全有保障，基本公共服务主要领域指标相当于全省平均</w:t>
      </w:r>
      <w:r>
        <w:rPr>
          <w:spacing w:val="-47"/>
        </w:rPr>
        <w:t> </w:t>
      </w:r>
      <w:r>
        <w:rPr>
          <w:spacing w:val="-47"/>
        </w:rPr>
      </w:r>
      <w:r>
        <w:rPr>
          <w:spacing w:val="-27"/>
          <w:w w:val="100"/>
        </w:rPr>
        <w:t>水平）。</w:t>
      </w:r>
    </w:p>
    <w:p>
      <w:pPr>
        <w:spacing w:line="240" w:lineRule="auto" w:before="13"/>
        <w:rPr>
          <w:rFonts w:ascii="宋体" w:hAnsi="宋体" w:cs="宋体" w:eastAsia="宋体" w:hint="default"/>
          <w:sz w:val="20"/>
          <w:szCs w:val="20"/>
        </w:rPr>
      </w:pPr>
    </w:p>
    <w:p>
      <w:pPr>
        <w:pStyle w:val="Heading6"/>
        <w:spacing w:line="240" w:lineRule="auto"/>
        <w:ind w:left="212" w:right="1115"/>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6051"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0"/>
          <w:sz w:val="20"/>
          <w:szCs w:val="20"/>
        </w:rPr>
        <w:pict>
          <v:shape style="width:481.55pt;height:302.6pt;mso-position-horizontal-relative:char;mso-position-vertical-relative:line" type="#_x0000_t202" filled="false" stroked="true" strokeweight=".47998pt" strokecolor="#000000">
            <w10:anchorlock/>
            <v:textbox inset="0,0,0,0">
              <w:txbxContent>
                <w:p>
                  <w:pPr>
                    <w:pStyle w:val="BodyText"/>
                    <w:spacing w:line="240" w:lineRule="auto" w:before="81"/>
                    <w:ind w:left="52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年度公司精准扶贫主要完成工作情况如下：</w:t>
                  </w:r>
                </w:p>
                <w:p>
                  <w:pPr>
                    <w:pStyle w:val="BodyText"/>
                    <w:spacing w:line="295" w:lineRule="auto" w:before="112"/>
                    <w:ind w:left="103" w:right="163" w:firstLine="420"/>
                    <w:jc w:val="left"/>
                  </w:pPr>
                  <w:r>
                    <w:rPr>
                      <w:rFonts w:ascii="Times New Roman" w:hAnsi="Times New Roman" w:cs="Times New Roman" w:eastAsia="Times New Roman" w:hint="default"/>
                    </w:rPr>
                    <w:t>1</w:t>
                  </w:r>
                  <w:r>
                    <w:rPr/>
                    <w:t>、落实扶贫资金：</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年公司共拨付</w:t>
                  </w:r>
                  <w:r>
                    <w:rPr>
                      <w:spacing w:val="-54"/>
                    </w:rPr>
                    <w:t> </w:t>
                  </w:r>
                  <w:r>
                    <w:rPr>
                      <w:rFonts w:ascii="Times New Roman" w:hAnsi="Times New Roman" w:cs="Times New Roman" w:eastAsia="Times New Roman" w:hint="default"/>
                    </w:rPr>
                    <w:t>149.1</w:t>
                  </w:r>
                  <w:r>
                    <w:rPr>
                      <w:rFonts w:ascii="Times New Roman" w:hAnsi="Times New Roman" w:cs="Times New Roman" w:eastAsia="Times New Roman" w:hint="default"/>
                      <w:spacing w:val="-4"/>
                    </w:rPr>
                    <w:t> </w:t>
                  </w:r>
                  <w:r>
                    <w:rPr/>
                    <w:t>万元扶贫资金至龙川县扶贫办共管账户，明确资金使</w:t>
                  </w:r>
                  <w:r>
                    <w:rPr>
                      <w:w w:val="100"/>
                    </w:rPr>
                    <w:t> </w:t>
                  </w:r>
                  <w:r>
                    <w:rPr/>
                    <w:t>用计划，并加强扶贫专项资金的督管，确保扶贫资金用到实处。</w:t>
                  </w:r>
                </w:p>
                <w:p>
                  <w:pPr>
                    <w:pStyle w:val="BodyText"/>
                    <w:spacing w:line="295" w:lineRule="auto" w:before="77"/>
                    <w:ind w:left="103" w:right="-5" w:firstLine="420"/>
                    <w:jc w:val="left"/>
                  </w:pPr>
                  <w:r>
                    <w:rPr>
                      <w:rFonts w:ascii="Times New Roman" w:hAnsi="Times New Roman" w:cs="Times New Roman" w:eastAsia="Times New Roman" w:hint="default"/>
                      <w:spacing w:val="-4"/>
                    </w:rPr>
                    <w:t>2</w:t>
                  </w:r>
                  <w:r>
                    <w:rPr>
                      <w:spacing w:val="-4"/>
                    </w:rPr>
                    <w:t>、人居环境改善：</w:t>
                  </w:r>
                  <w:r>
                    <w:rPr>
                      <w:rFonts w:ascii="Times New Roman" w:hAnsi="Times New Roman" w:cs="Times New Roman" w:eastAsia="Times New Roman" w:hint="default"/>
                      <w:spacing w:val="-4"/>
                    </w:rPr>
                    <w:t>2018 </w:t>
                  </w:r>
                  <w:r>
                    <w:rPr/>
                    <w:t>年累计使用 </w:t>
                  </w:r>
                  <w:r>
                    <w:rPr>
                      <w:rFonts w:ascii="Times New Roman" w:hAnsi="Times New Roman" w:cs="Times New Roman" w:eastAsia="Times New Roman" w:hint="default"/>
                    </w:rPr>
                    <w:t>145</w:t>
                  </w:r>
                  <w:r>
                    <w:rPr>
                      <w:rFonts w:ascii="Times New Roman" w:hAnsi="Times New Roman" w:cs="Times New Roman" w:eastAsia="Times New Roman" w:hint="default"/>
                      <w:spacing w:val="-1"/>
                    </w:rPr>
                    <w:t> </w:t>
                  </w:r>
                  <w:r>
                    <w:rPr>
                      <w:spacing w:val="-4"/>
                    </w:rPr>
                    <w:t>万元改善环境卫生、建设村卫生站、文化广场、危房改造、</w:t>
                  </w:r>
                  <w:r>
                    <w:rPr>
                      <w:w w:val="100"/>
                    </w:rPr>
                    <w:t> </w:t>
                  </w:r>
                  <w:r>
                    <w:rPr/>
                    <w:t>村道亮化、绿化工程等。</w:t>
                  </w:r>
                </w:p>
                <w:p>
                  <w:pPr>
                    <w:pStyle w:val="BodyText"/>
                    <w:spacing w:line="240" w:lineRule="auto" w:before="80"/>
                    <w:ind w:left="523" w:right="-5"/>
                    <w:jc w:val="left"/>
                  </w:pPr>
                  <w:r>
                    <w:rPr>
                      <w:rFonts w:ascii="Times New Roman" w:hAnsi="Times New Roman" w:cs="Times New Roman" w:eastAsia="Times New Roman" w:hint="default"/>
                      <w:spacing w:val="-3"/>
                    </w:rPr>
                    <w:t>3</w:t>
                  </w:r>
                  <w:r>
                    <w:rPr>
                      <w:spacing w:val="-3"/>
                    </w:rPr>
                    <w:t>、产业发展扶贫：继续推进以“禽畜养殖”为主的产业扶贫项目，打造“造血式”长期脱贫机制。</w:t>
                  </w:r>
                </w:p>
                <w:p>
                  <w:pPr>
                    <w:pStyle w:val="BodyText"/>
                    <w:spacing w:line="240" w:lineRule="auto" w:before="69"/>
                    <w:ind w:left="103" w:right="0"/>
                    <w:jc w:val="both"/>
                    <w:rPr>
                      <w:rFonts w:ascii="Times New Roman" w:hAnsi="Times New Roman" w:cs="Times New Roman" w:eastAsia="Times New Roman" w:hint="default"/>
                    </w:rPr>
                  </w:pPr>
                  <w:r>
                    <w:rPr>
                      <w:w w:val="100"/>
                    </w:rPr>
                    <w:t>①通</w:t>
                  </w:r>
                  <w:r>
                    <w:rPr>
                      <w:spacing w:val="-3"/>
                      <w:w w:val="100"/>
                    </w:rPr>
                    <w:t>过</w:t>
                  </w:r>
                  <w:r>
                    <w:rPr>
                      <w:w w:val="100"/>
                    </w:rPr>
                    <w:t>成</w:t>
                  </w:r>
                  <w:r>
                    <w:rPr>
                      <w:spacing w:val="-34"/>
                      <w:w w:val="100"/>
                    </w:rPr>
                    <w:t>立</w:t>
                  </w:r>
                  <w:r>
                    <w:rPr>
                      <w:w w:val="100"/>
                    </w:rPr>
                    <w:t>“</w:t>
                  </w:r>
                  <w:r>
                    <w:rPr>
                      <w:spacing w:val="-3"/>
                      <w:w w:val="100"/>
                    </w:rPr>
                    <w:t>龙</w:t>
                  </w:r>
                  <w:r>
                    <w:rPr>
                      <w:w w:val="100"/>
                    </w:rPr>
                    <w:t>川</w:t>
                  </w:r>
                  <w:r>
                    <w:rPr>
                      <w:spacing w:val="-3"/>
                      <w:w w:val="100"/>
                    </w:rPr>
                    <w:t>县</w:t>
                  </w:r>
                  <w:r>
                    <w:rPr>
                      <w:w w:val="100"/>
                    </w:rPr>
                    <w:t>兴</w:t>
                  </w:r>
                  <w:r>
                    <w:rPr>
                      <w:spacing w:val="-3"/>
                      <w:w w:val="100"/>
                    </w:rPr>
                    <w:t>梅</w:t>
                  </w:r>
                  <w:r>
                    <w:rPr>
                      <w:w w:val="100"/>
                    </w:rPr>
                    <w:t>种养</w:t>
                  </w:r>
                  <w:r>
                    <w:rPr>
                      <w:spacing w:val="-3"/>
                      <w:w w:val="100"/>
                    </w:rPr>
                    <w:t>农</w:t>
                  </w:r>
                  <w:r>
                    <w:rPr>
                      <w:w w:val="100"/>
                    </w:rPr>
                    <w:t>民</w:t>
                  </w:r>
                  <w:r>
                    <w:rPr>
                      <w:spacing w:val="-3"/>
                      <w:w w:val="100"/>
                    </w:rPr>
                    <w:t>专</w:t>
                  </w:r>
                  <w:r>
                    <w:rPr>
                      <w:w w:val="100"/>
                    </w:rPr>
                    <w:t>业</w:t>
                  </w:r>
                  <w:r>
                    <w:rPr>
                      <w:spacing w:val="-3"/>
                      <w:w w:val="100"/>
                    </w:rPr>
                    <w:t>合</w:t>
                  </w:r>
                  <w:r>
                    <w:rPr>
                      <w:w w:val="100"/>
                    </w:rPr>
                    <w:t>作</w:t>
                  </w:r>
                  <w:r>
                    <w:rPr>
                      <w:spacing w:val="-3"/>
                      <w:w w:val="100"/>
                    </w:rPr>
                    <w:t>社</w:t>
                  </w:r>
                  <w:r>
                    <w:rPr>
                      <w:spacing w:val="-106"/>
                      <w:w w:val="100"/>
                    </w:rPr>
                    <w:t>”</w:t>
                  </w:r>
                  <w:r>
                    <w:rPr>
                      <w:spacing w:val="-32"/>
                      <w:w w:val="100"/>
                    </w:rPr>
                    <w:t>，</w:t>
                  </w:r>
                  <w:r>
                    <w:rPr>
                      <w:spacing w:val="-3"/>
                      <w:w w:val="100"/>
                    </w:rPr>
                    <w:t>投</w:t>
                  </w:r>
                  <w:r>
                    <w:rPr>
                      <w:w w:val="100"/>
                    </w:rPr>
                    <w:t>资建</w:t>
                  </w:r>
                  <w:r>
                    <w:rPr>
                      <w:spacing w:val="-3"/>
                      <w:w w:val="100"/>
                    </w:rPr>
                    <w:t>设</w:t>
                  </w:r>
                  <w:r>
                    <w:rPr>
                      <w:w w:val="100"/>
                    </w:rPr>
                    <w:t>占</w:t>
                  </w:r>
                  <w:r>
                    <w:rPr>
                      <w:spacing w:val="-3"/>
                      <w:w w:val="100"/>
                    </w:rPr>
                    <w:t>地</w:t>
                  </w:r>
                  <w:r>
                    <w:rPr>
                      <w:w w:val="100"/>
                    </w:rPr>
                    <w:t>面</w:t>
                  </w:r>
                  <w:r>
                    <w:rPr>
                      <w:spacing w:val="-3"/>
                      <w:w w:val="100"/>
                    </w:rPr>
                    <w:t>积</w:t>
                  </w:r>
                  <w:r>
                    <w:rPr>
                      <w:w w:val="100"/>
                    </w:rPr>
                    <w:t>约</w:t>
                  </w:r>
                  <w:r>
                    <w:rPr>
                      <w:spacing w:val="-52"/>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亩的</w:t>
                  </w:r>
                  <w:r>
                    <w:rPr>
                      <w:w w:val="100"/>
                    </w:rPr>
                    <w:t>养殖</w:t>
                  </w:r>
                  <w:r>
                    <w:rPr>
                      <w:spacing w:val="-3"/>
                      <w:w w:val="100"/>
                    </w:rPr>
                    <w:t>场</w:t>
                  </w:r>
                  <w:r>
                    <w:rPr>
                      <w:spacing w:val="-32"/>
                      <w:w w:val="100"/>
                    </w:rPr>
                    <w:t>，</w:t>
                  </w:r>
                  <w:r>
                    <w:rPr>
                      <w:spacing w:val="-3"/>
                      <w:w w:val="100"/>
                    </w:rPr>
                    <w:t>建</w:t>
                  </w:r>
                  <w:r>
                    <w:rPr>
                      <w:w w:val="100"/>
                    </w:rPr>
                    <w:t>有</w:t>
                  </w:r>
                  <w:r>
                    <w:rPr>
                      <w:spacing w:val="-3"/>
                      <w:w w:val="100"/>
                    </w:rPr>
                    <w:t>鸡</w:t>
                  </w:r>
                  <w:r>
                    <w:rPr>
                      <w:w w:val="100"/>
                    </w:rPr>
                    <w:t>舍约</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000</w:t>
                  </w:r>
                </w:p>
                <w:p>
                  <w:pPr>
                    <w:pStyle w:val="BodyText"/>
                    <w:spacing w:line="302" w:lineRule="auto" w:before="69"/>
                    <w:ind w:left="103" w:right="98"/>
                    <w:jc w:val="both"/>
                  </w:pPr>
                  <w:r>
                    <w:rPr/>
                    <w:t>平方米，鱼塘约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亩，同时打通运输、加工、销售等环节，提供成鸡供应，有效推动农村产业结构优</w:t>
                  </w:r>
                  <w:r>
                    <w:rPr>
                      <w:w w:val="100"/>
                    </w:rPr>
                    <w:t> </w:t>
                  </w:r>
                  <w:r>
                    <w:rPr>
                      <w:spacing w:val="-3"/>
                    </w:rPr>
                    <w:t>化升级；②除了打造“造血式”长期脱贫机制，公司还结合“短平快”产业扶贫项目，为贫困户发放牛</w:t>
                  </w:r>
                  <w:r>
                    <w:rPr>
                      <w:spacing w:val="-23"/>
                    </w:rPr>
                    <w:t> </w:t>
                  </w:r>
                  <w:r>
                    <w:rPr>
                      <w:spacing w:val="-23"/>
                    </w:rPr>
                  </w:r>
                  <w:r>
                    <w:rPr/>
                    <w:t>崽，快速增加贫困户收入；③公司投入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万元资金入股深圳宝安产业转移园（以梅花村委会为申请主</w:t>
                  </w:r>
                  <w:r>
                    <w:rPr>
                      <w:w w:val="100"/>
                    </w:rPr>
                    <w:t> </w:t>
                  </w:r>
                  <w:r>
                    <w:rPr>
                      <w:spacing w:val="-13"/>
                    </w:rPr>
                    <w:t>体），产业园以每年</w:t>
                  </w:r>
                  <w:r>
                    <w:rPr>
                      <w:spacing w:val="-42"/>
                    </w:rPr>
                    <w:t> </w:t>
                  </w:r>
                  <w:r>
                    <w:rPr>
                      <w:rFonts w:ascii="Times New Roman" w:hAnsi="Times New Roman" w:cs="Times New Roman" w:eastAsia="Times New Roman" w:hint="default"/>
                    </w:rPr>
                    <w:t>12%</w:t>
                  </w:r>
                  <w:r>
                    <w:rPr/>
                    <w:t>的红利返还村集体，增加村集体收入。</w:t>
                  </w:r>
                </w:p>
                <w:p>
                  <w:pPr>
                    <w:pStyle w:val="BodyText"/>
                    <w:spacing w:line="304" w:lineRule="auto" w:before="52"/>
                    <w:ind w:left="103" w:right="98" w:firstLine="420"/>
                    <w:jc w:val="both"/>
                  </w:pPr>
                  <w:r>
                    <w:rPr>
                      <w:rFonts w:ascii="Times New Roman" w:hAnsi="Times New Roman" w:cs="Times New Roman" w:eastAsia="Times New Roman" w:hint="default"/>
                    </w:rPr>
                    <w:t>4</w:t>
                  </w:r>
                  <w:r>
                    <w:rPr/>
                    <w:t>、教育扶贫：公司海吉星支教团队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次到梅花村小学开展义务支教活动，并为学校带去紧缺的物</w:t>
                  </w:r>
                  <w:r>
                    <w:rPr>
                      <w:w w:val="100"/>
                    </w:rPr>
                    <w:t> </w:t>
                  </w:r>
                  <w:r>
                    <w:rPr>
                      <w:spacing w:val="-3"/>
                    </w:rPr>
                    <w:t>资物品；公司工会积极开展爱心捐赠活动，为梅花村小学募集爱心捐款，购买教学用品；公司积极协助</w:t>
                  </w:r>
                  <w:r>
                    <w:rPr>
                      <w:spacing w:val="-19"/>
                    </w:rPr>
                    <w:t> </w:t>
                  </w:r>
                  <w:r>
                    <w:rPr>
                      <w:spacing w:val="-19"/>
                    </w:rPr>
                  </w:r>
                  <w:r>
                    <w:rPr/>
                    <w:t>落实贫困户家庭子女补助政策，为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6"/>
                    </w:rPr>
                    <w:t>名贫困学生申请到“深圳市国资委慈善基金贫困资金补助”。</w:t>
                  </w:r>
                </w:p>
                <w:p>
                  <w:pPr>
                    <w:pStyle w:val="BodyText"/>
                    <w:spacing w:line="240" w:lineRule="auto" w:before="45"/>
                    <w:ind w:left="523" w:right="-5"/>
                    <w:jc w:val="left"/>
                  </w:pPr>
                  <w:r>
                    <w:rPr>
                      <w:rFonts w:ascii="Times New Roman" w:hAnsi="Times New Roman" w:cs="Times New Roman" w:eastAsia="Times New Roman" w:hint="default"/>
                      <w:spacing w:val="-4"/>
                    </w:rPr>
                    <w:t>5</w:t>
                  </w:r>
                  <w:r>
                    <w:rPr>
                      <w:spacing w:val="-4"/>
                    </w:rPr>
                    <w:t>、卫生站建设：投入</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万元建设建筑面积约</w:t>
                  </w:r>
                  <w:r>
                    <w:rPr>
                      <w:spacing w:val="-37"/>
                    </w:rPr>
                    <w:t> </w:t>
                  </w:r>
                  <w:r>
                    <w:rPr>
                      <w:rFonts w:ascii="Times New Roman" w:hAnsi="Times New Roman" w:cs="Times New Roman" w:eastAsia="Times New Roman" w:hint="default"/>
                    </w:rPr>
                    <w:t>140</w:t>
                  </w:r>
                  <w:r>
                    <w:rPr>
                      <w:rFonts w:ascii="Times New Roman" w:hAnsi="Times New Roman" w:cs="Times New Roman" w:eastAsia="Times New Roman" w:hint="default"/>
                      <w:spacing w:val="15"/>
                    </w:rPr>
                    <w:t> </w:t>
                  </w:r>
                  <w:r>
                    <w:rPr>
                      <w:spacing w:val="-3"/>
                    </w:rPr>
                    <w:t>平方米的标准化卫生站，改善村民卫生医疗条件。</w:t>
                  </w:r>
                </w:p>
                <w:p>
                  <w:pPr>
                    <w:pStyle w:val="BodyText"/>
                    <w:spacing w:line="240" w:lineRule="auto" w:before="112"/>
                    <w:ind w:left="523" w:right="0"/>
                    <w:jc w:val="left"/>
                  </w:pPr>
                  <w:r>
                    <w:rPr>
                      <w:rFonts w:ascii="Times New Roman" w:hAnsi="Times New Roman" w:cs="Times New Roman" w:eastAsia="Times New Roman" w:hint="default"/>
                      <w:spacing w:val="-3"/>
                    </w:rPr>
                    <w:t>6</w:t>
                  </w:r>
                  <w:r>
                    <w:rPr>
                      <w:spacing w:val="-3"/>
                    </w:rPr>
                    <w:t>、危房改造：在梅花村危房改造方面，公司根据《十三五贫困户农改名单》要求，截至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年年</w:t>
                  </w:r>
                </w:p>
              </w:txbxContent>
            </v:textbox>
          </v:shape>
        </w:pict>
      </w:r>
      <w:r>
        <w:rPr>
          <w:rFonts w:ascii="Microsoft JhengHei" w:hAnsi="Microsoft JhengHei" w:cs="Microsoft JhengHei" w:eastAsia="Microsoft JhengHei" w:hint="default"/>
          <w:position w:val="-120"/>
          <w:sz w:val="20"/>
          <w:szCs w:val="20"/>
        </w:rPr>
      </w:r>
    </w:p>
    <w:p>
      <w:pPr>
        <w:spacing w:after="0" w:line="6051" w:lineRule="exact"/>
        <w:rPr>
          <w:rFonts w:ascii="Microsoft JhengHei" w:hAnsi="Microsoft JhengHei" w:cs="Microsoft JhengHei" w:eastAsia="Microsoft JhengHei" w:hint="default"/>
          <w:sz w:val="20"/>
          <w:szCs w:val="20"/>
        </w:rPr>
        <w:sectPr>
          <w:headerReference w:type="default" r:id="rId25"/>
          <w:footerReference w:type="default" r:id="rId26"/>
          <w:pgSz w:w="11910" w:h="16840"/>
          <w:pgMar w:header="877" w:footer="1265" w:top="1100" w:bottom="1460" w:left="920" w:right="0"/>
          <w:pgNumType w:start="40"/>
        </w:sectPr>
      </w:pPr>
    </w:p>
    <w:p>
      <w:pPr>
        <w:spacing w:line="240" w:lineRule="auto" w:before="13"/>
        <w:rPr>
          <w:rFonts w:ascii="Microsoft JhengHei" w:hAnsi="Microsoft JhengHei" w:cs="Microsoft JhengHei" w:eastAsia="Microsoft JhengHei" w:hint="default"/>
          <w:b/>
          <w:bCs/>
          <w:sz w:val="18"/>
          <w:szCs w:val="18"/>
        </w:rPr>
      </w:pPr>
    </w:p>
    <w:p>
      <w:pPr>
        <w:spacing w:line="1130"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2"/>
          <w:sz w:val="20"/>
          <w:szCs w:val="20"/>
        </w:rPr>
        <w:pict>
          <v:shape style="width:481.55pt;height:56.55pt;mso-position-horizontal-relative:char;mso-position-vertical-relative:line" type="#_x0000_t202" filled="false" stroked="true" strokeweight=".47998pt" strokecolor="#000000">
            <w10:anchorlock/>
            <v:textbox inset="0,0,0,0">
              <w:txbxContent>
                <w:p>
                  <w:pPr>
                    <w:pStyle w:val="BodyText"/>
                    <w:spacing w:line="240" w:lineRule="auto" w:before="40"/>
                    <w:ind w:left="103" w:right="0"/>
                    <w:jc w:val="left"/>
                  </w:pPr>
                  <w:r>
                    <w:rPr/>
                    <w:t>底共改造</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户，验收</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户，并投入</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万元用于危房改造补助。</w:t>
                  </w:r>
                </w:p>
                <w:p>
                  <w:pPr>
                    <w:pStyle w:val="BodyText"/>
                    <w:spacing w:line="297" w:lineRule="auto" w:before="112"/>
                    <w:ind w:left="103" w:right="100" w:firstLine="434"/>
                    <w:jc w:val="left"/>
                  </w:pPr>
                  <w:r>
                    <w:rPr>
                      <w:rFonts w:ascii="Times New Roman" w:hAnsi="Times New Roman" w:cs="Times New Roman" w:eastAsia="Times New Roman" w:hint="default"/>
                    </w:rPr>
                    <w:t>7</w:t>
                  </w:r>
                  <w:r>
                    <w:rPr/>
                    <w:t>、落实领导责任：公司扶贫小组成员多次前往梅花村，通过召开扶贫工作会议，走访梅花村致富</w:t>
                  </w:r>
                  <w:r>
                    <w:rPr>
                      <w:w w:val="100"/>
                    </w:rPr>
                    <w:t> </w:t>
                  </w:r>
                  <w:r>
                    <w:rPr/>
                    <w:t>带头人等方式，深入开展指导调研工作，坚持落实开发扶贫。</w:t>
                  </w:r>
                </w:p>
              </w:txbxContent>
            </v:textbox>
          </v:shape>
        </w:pict>
      </w:r>
      <w:r>
        <w:rPr>
          <w:rFonts w:ascii="Microsoft JhengHei" w:hAnsi="Microsoft JhengHei" w:cs="Microsoft JhengHei" w:eastAsia="Microsoft JhengHei" w:hint="default"/>
          <w:position w:val="-22"/>
          <w:sz w:val="20"/>
          <w:szCs w:val="20"/>
        </w:rPr>
      </w:r>
    </w:p>
    <w:p>
      <w:pPr>
        <w:spacing w:line="240" w:lineRule="auto" w:before="15"/>
        <w:rPr>
          <w:rFonts w:ascii="Microsoft JhengHei" w:hAnsi="Microsoft JhengHei" w:cs="Microsoft JhengHei" w:eastAsia="Microsoft JhengHei" w:hint="default"/>
          <w:b/>
          <w:bCs/>
          <w:sz w:val="27"/>
          <w:szCs w:val="27"/>
        </w:rPr>
      </w:pPr>
    </w:p>
    <w:p>
      <w:pPr>
        <w:pStyle w:val="Heading6"/>
        <w:spacing w:line="335" w:lineRule="exact"/>
        <w:ind w:left="212" w:right="1115"/>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1"/>
        <w:rPr>
          <w:rFonts w:ascii="Microsoft JhengHei" w:hAnsi="Microsoft JhengHei" w:cs="Microsoft JhengHei" w:eastAsia="Microsoft JhengHei" w:hint="default"/>
          <w:b/>
          <w:bCs/>
          <w:sz w:val="17"/>
          <w:szCs w:val="17"/>
        </w:rPr>
      </w:pPr>
    </w:p>
    <w:tbl>
      <w:tblPr>
        <w:tblW w:w="0" w:type="auto"/>
        <w:jc w:val="left"/>
        <w:tblInd w:w="220" w:type="dxa"/>
        <w:tblLayout w:type="fixed"/>
        <w:tblCellMar>
          <w:top w:w="0" w:type="dxa"/>
          <w:left w:w="0" w:type="dxa"/>
          <w:bottom w:w="0" w:type="dxa"/>
          <w:right w:w="0" w:type="dxa"/>
        </w:tblCellMar>
        <w:tblLook w:val="01E0"/>
      </w:tblPr>
      <w:tblGrid>
        <w:gridCol w:w="5379"/>
        <w:gridCol w:w="1313"/>
        <w:gridCol w:w="2867"/>
      </w:tblGrid>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1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9"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9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5" w:space="0" w:color="D2D2D2"/>
              <w:left w:val="single" w:sz="12"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222.3</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4.35</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4" w:space="0" w:color="000000"/>
              <w:left w:val="single" w:sz="12" w:space="0" w:color="D2D2D2"/>
              <w:bottom w:val="single" w:sz="5" w:space="0" w:color="D2D2D2"/>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53</w:t>
            </w:r>
          </w:p>
        </w:tc>
      </w:tr>
      <w:tr>
        <w:trPr>
          <w:trHeight w:val="317"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二、分项投入（注）</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17"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4"/>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 </w:t>
            </w:r>
            <w:r>
              <w:rPr>
                <w:rFonts w:ascii="宋体" w:hAnsi="宋体" w:cs="宋体" w:eastAsia="宋体" w:hint="default"/>
                <w:sz w:val="18"/>
                <w:szCs w:val="18"/>
              </w:rPr>
              <w:t>产业发展脱贫项目类型</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z w:val="18"/>
                <w:szCs w:val="18"/>
              </w:rPr>
              <w:t>禽类养殖项目、产业转移园</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77.3</w:t>
            </w:r>
          </w:p>
        </w:tc>
      </w:tr>
      <w:tr>
        <w:trPr>
          <w:trHeight w:val="329"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4" w:space="0" w:color="000000"/>
              <w:left w:val="single" w:sz="12" w:space="0" w:color="D2D2D2"/>
              <w:bottom w:val="single" w:sz="6" w:space="0" w:color="D2D2D2"/>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53</w:t>
            </w:r>
          </w:p>
        </w:tc>
      </w:tr>
      <w:tr>
        <w:trPr>
          <w:trHeight w:val="31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4"/>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2.1 </w:t>
            </w:r>
            <w:r>
              <w:rPr>
                <w:rFonts w:ascii="宋体" w:hAnsi="宋体" w:cs="宋体" w:eastAsia="宋体" w:hint="default"/>
                <w:sz w:val="18"/>
                <w:szCs w:val="18"/>
              </w:rPr>
              <w:t>职业技能培训投入金额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职业技能培训人数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帮助建档立卡贫困户实现就业人数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4" w:space="0" w:color="000000"/>
              <w:left w:val="single" w:sz="12" w:space="0" w:color="D2D2D2"/>
              <w:bottom w:val="single" w:sz="10" w:space="0" w:color="D2D2D2"/>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7"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4"/>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3.1 </w:t>
            </w:r>
            <w:r>
              <w:rPr>
                <w:rFonts w:ascii="宋体" w:hAnsi="宋体" w:cs="宋体" w:eastAsia="宋体" w:hint="default"/>
                <w:sz w:val="18"/>
                <w:szCs w:val="18"/>
              </w:rPr>
              <w:t>帮助搬迁户就业人数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5" w:space="0" w:color="D2D2D2"/>
              <w:left w:val="single" w:sz="12" w:space="0" w:color="D2D2D2"/>
              <w:bottom w:val="single" w:sz="6" w:space="0" w:color="D2D2D2"/>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教育脱贫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6" w:space="0" w:color="D2D2D2"/>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10" w:space="0" w:color="D2D2D2"/>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6"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92" w:val="left" w:leader="none"/>
              </w:tabs>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 </w:t>
            </w:r>
            <w:r>
              <w:rPr>
                <w:rFonts w:ascii="宋体" w:hAnsi="宋体" w:cs="宋体" w:eastAsia="宋体" w:hint="default"/>
                <w:sz w:val="18"/>
                <w:szCs w:val="18"/>
              </w:rPr>
              <w:t>贫困地区医疗卫生资源投入金额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10" w:space="0" w:color="D2D2D2"/>
              <w:left w:val="single" w:sz="12" w:space="0" w:color="D2D2D2"/>
              <w:bottom w:val="single" w:sz="10"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w:t>
            </w:r>
          </w:p>
        </w:tc>
      </w:tr>
      <w:tr>
        <w:trPr>
          <w:trHeight w:val="31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4"/>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项目类型</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9" w:space="0" w:color="D2D2D2"/>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86</w:t>
            </w:r>
          </w:p>
        </w:tc>
      </w:tr>
      <w:tr>
        <w:trPr>
          <w:trHeight w:val="31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9"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6" w:space="0" w:color="D2D2D2"/>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帮助</w:t>
            </w:r>
            <w:r>
              <w:rPr>
                <w:rFonts w:ascii="Times New Roman" w:hAnsi="Times New Roman" w:cs="Times New Roman" w:eastAsia="Times New Roman" w:hint="default"/>
                <w:sz w:val="18"/>
                <w:szCs w:val="18"/>
              </w:rPr>
              <w:t>“</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 </w:t>
            </w:r>
            <w:r>
              <w:rPr>
                <w:rFonts w:ascii="宋体" w:hAnsi="宋体" w:cs="宋体" w:eastAsia="宋体" w:hint="default"/>
                <w:sz w:val="18"/>
                <w:szCs w:val="18"/>
              </w:rPr>
              <w:t>贫困残疾人投入金额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 </w:t>
            </w:r>
            <w:r>
              <w:rPr>
                <w:rFonts w:ascii="宋体" w:hAnsi="宋体" w:cs="宋体" w:eastAsia="宋体" w:hint="default"/>
                <w:sz w:val="18"/>
                <w:szCs w:val="18"/>
              </w:rPr>
              <w:t>帮助贫困残疾人数</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7" w:type="dxa"/>
            <w:tcBorders>
              <w:top w:val="single" w:sz="4" w:space="0" w:color="000000"/>
              <w:left w:val="single" w:sz="12" w:space="0" w:color="D2D2D2"/>
              <w:bottom w:val="single" w:sz="9" w:space="0" w:color="D2D2D2"/>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9"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8.1 </w:t>
            </w:r>
            <w:r>
              <w:rPr>
                <w:rFonts w:ascii="宋体" w:hAnsi="宋体" w:cs="宋体" w:eastAsia="宋体" w:hint="default"/>
                <w:sz w:val="18"/>
                <w:szCs w:val="18"/>
              </w:rPr>
              <w:t>东西部扶贫协作投入金额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 </w:t>
            </w:r>
            <w:r>
              <w:rPr>
                <w:rFonts w:ascii="宋体" w:hAnsi="宋体" w:cs="宋体" w:eastAsia="宋体" w:hint="default"/>
                <w:sz w:val="18"/>
                <w:szCs w:val="18"/>
              </w:rPr>
              <w:t>扶贫公益基金投入金额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5" w:top="1100" w:bottom="1460" w:left="920" w:right="0"/>
        </w:sectPr>
      </w:pPr>
    </w:p>
    <w:p>
      <w:pPr>
        <w:spacing w:line="240" w:lineRule="auto" w:before="16"/>
        <w:rPr>
          <w:rFonts w:ascii="Microsoft JhengHei" w:hAnsi="Microsoft JhengHei" w:cs="Microsoft JhengHei" w:eastAsia="Microsoft JhengHei" w:hint="default"/>
          <w:b/>
          <w:bCs/>
          <w:sz w:val="18"/>
          <w:szCs w:val="18"/>
        </w:rPr>
      </w:pPr>
    </w:p>
    <w:tbl>
      <w:tblPr>
        <w:tblW w:w="0" w:type="auto"/>
        <w:jc w:val="left"/>
        <w:tblInd w:w="220" w:type="dxa"/>
        <w:tblLayout w:type="fixed"/>
        <w:tblCellMar>
          <w:top w:w="0" w:type="dxa"/>
          <w:left w:w="0" w:type="dxa"/>
          <w:bottom w:w="0" w:type="dxa"/>
          <w:right w:w="0" w:type="dxa"/>
        </w:tblCellMar>
        <w:tblLook w:val="01E0"/>
      </w:tblPr>
      <w:tblGrid>
        <w:gridCol w:w="5395"/>
        <w:gridCol w:w="1301"/>
        <w:gridCol w:w="2863"/>
      </w:tblGrid>
      <w:tr>
        <w:trPr>
          <w:trHeight w:val="310" w:hRule="exact"/>
        </w:trPr>
        <w:tc>
          <w:tcPr>
            <w:tcW w:w="5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1" w:hRule="exact"/>
        </w:trPr>
        <w:tc>
          <w:tcPr>
            <w:tcW w:w="5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2863" w:type="dxa"/>
            <w:tcBorders>
              <w:top w:val="single" w:sz="10" w:space="0" w:color="D2D2D2"/>
              <w:left w:val="single" w:sz="12"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8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52</w:t>
            </w:r>
          </w:p>
        </w:tc>
      </w:tr>
      <w:tr>
        <w:trPr>
          <w:trHeight w:val="331" w:hRule="exact"/>
        </w:trPr>
        <w:tc>
          <w:tcPr>
            <w:tcW w:w="5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863" w:type="dxa"/>
            <w:tcBorders>
              <w:top w:val="single" w:sz="4" w:space="0" w:color="000000"/>
              <w:left w:val="single" w:sz="12" w:space="0" w:color="D2D2D2"/>
              <w:bottom w:val="single" w:sz="10" w:space="0" w:color="D2D2D2"/>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53</w:t>
            </w:r>
          </w:p>
        </w:tc>
      </w:tr>
      <w:tr>
        <w:trPr>
          <w:trHeight w:val="310" w:hRule="exact"/>
        </w:trPr>
        <w:tc>
          <w:tcPr>
            <w:tcW w:w="5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15"/>
        <w:ind w:left="212" w:right="1115" w:firstLine="0"/>
        <w:jc w:val="left"/>
        <w:rPr>
          <w:rFonts w:ascii="宋体" w:hAnsi="宋体" w:cs="宋体" w:eastAsia="宋体" w:hint="default"/>
          <w:sz w:val="18"/>
          <w:szCs w:val="18"/>
        </w:rPr>
      </w:pPr>
      <w:r>
        <w:rPr>
          <w:rFonts w:ascii="宋体" w:hAnsi="宋体" w:cs="宋体" w:eastAsia="宋体" w:hint="default"/>
          <w:sz w:val="18"/>
          <w:szCs w:val="18"/>
        </w:rPr>
        <w:t>注：上述资金投入金额为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年精准扶贫实际使用情况。</w:t>
      </w:r>
    </w:p>
    <w:p>
      <w:pPr>
        <w:spacing w:line="240" w:lineRule="auto" w:before="8"/>
        <w:rPr>
          <w:rFonts w:ascii="宋体" w:hAnsi="宋体" w:cs="宋体" w:eastAsia="宋体" w:hint="default"/>
          <w:sz w:val="16"/>
          <w:szCs w:val="16"/>
        </w:rPr>
      </w:pPr>
    </w:p>
    <w:p>
      <w:pPr>
        <w:pStyle w:val="Heading6"/>
        <w:spacing w:line="240" w:lineRule="auto"/>
        <w:ind w:left="212" w:right="1115"/>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5770"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14"/>
          <w:sz w:val="20"/>
          <w:szCs w:val="20"/>
        </w:rPr>
        <w:pict>
          <v:shape style="width:481.55pt;height:288.55pt;mso-position-horizontal-relative:char;mso-position-vertical-relative:line" type="#_x0000_t202" filled="false" stroked="true" strokeweight=".47998pt" strokecolor="#000000">
            <w10:anchorlock/>
            <v:textbox inset="0,0,0,0">
              <w:txbxContent>
                <w:p>
                  <w:pPr>
                    <w:spacing w:before="15"/>
                    <w:ind w:left="52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工作计划：</w:t>
                  </w:r>
                  <w:r>
                    <w:rPr>
                      <w:rFonts w:ascii="Microsoft JhengHei" w:hAnsi="Microsoft JhengHei" w:cs="Microsoft JhengHei" w:eastAsia="Microsoft JhengHei" w:hint="default"/>
                      <w:sz w:val="21"/>
                      <w:szCs w:val="21"/>
                    </w:rPr>
                  </w:r>
                </w:p>
                <w:p>
                  <w:pPr>
                    <w:pStyle w:val="BodyText"/>
                    <w:spacing w:line="278" w:lineRule="auto" w:before="35"/>
                    <w:ind w:left="103" w:right="154" w:firstLine="422"/>
                    <w:jc w:val="both"/>
                  </w:pPr>
                  <w:r>
                    <w:rPr>
                      <w:rFonts w:ascii="Times New Roman" w:hAnsi="Times New Roman" w:cs="Times New Roman" w:eastAsia="Times New Roman" w:hint="default"/>
                      <w:b/>
                      <w:bCs/>
                      <w:spacing w:val="-2"/>
                    </w:rPr>
                    <w:t>1</w:t>
                  </w:r>
                  <w:r>
                    <w:rPr>
                      <w:rFonts w:ascii="Microsoft JhengHei" w:hAnsi="Microsoft JhengHei" w:cs="Microsoft JhengHei" w:eastAsia="Microsoft JhengHei" w:hint="default"/>
                      <w:b/>
                      <w:bCs/>
                      <w:spacing w:val="-2"/>
                    </w:rPr>
                    <w:t>、产业扶贫建设：</w:t>
                  </w:r>
                  <w:r>
                    <w:rPr>
                      <w:spacing w:val="-2"/>
                    </w:rPr>
                    <w:t>发展产业多样化，通过规模化养殖走地鸡、打造“精品走地鸡”品牌、拓宽下</w:t>
                  </w:r>
                  <w:r>
                    <w:rPr>
                      <w:w w:val="100"/>
                    </w:rPr>
                    <w:t> </w:t>
                  </w:r>
                  <w:r>
                    <w:rPr/>
                    <w:t>游渠道、给贫困户发放牛崽等方式打造造血式长效扶贫机制，带动村民脱贫致富。</w:t>
                  </w:r>
                </w:p>
                <w:p>
                  <w:pPr>
                    <w:spacing w:before="25"/>
                    <w:ind w:left="5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、基础工程建设：</w:t>
                  </w:r>
                  <w:r>
                    <w:rPr>
                      <w:rFonts w:ascii="宋体" w:hAnsi="宋体" w:cs="宋体" w:eastAsia="宋体" w:hint="default"/>
                      <w:sz w:val="21"/>
                      <w:szCs w:val="21"/>
                    </w:rPr>
                    <w:t>建设农田水利灌溉工程等基础建设工程。</w:t>
                  </w:r>
                </w:p>
                <w:p>
                  <w:pPr>
                    <w:pStyle w:val="BodyText"/>
                    <w:spacing w:line="278" w:lineRule="auto" w:before="37"/>
                    <w:ind w:left="103" w:right="156" w:firstLine="422"/>
                    <w:jc w:val="both"/>
                  </w:pPr>
                  <w:r>
                    <w:rPr>
                      <w:rFonts w:ascii="Times New Roman" w:hAnsi="Times New Roman" w:cs="Times New Roman" w:eastAsia="Times New Roman" w:hint="default"/>
                      <w:b/>
                      <w:bCs/>
                      <w:spacing w:val="-2"/>
                    </w:rPr>
                    <w:t>3</w:t>
                  </w:r>
                  <w:r>
                    <w:rPr>
                      <w:spacing w:val="-2"/>
                    </w:rPr>
                    <w:t>、</w:t>
                  </w:r>
                  <w:r>
                    <w:rPr>
                      <w:rFonts w:ascii="Microsoft JhengHei" w:hAnsi="Microsoft JhengHei" w:cs="Microsoft JhengHei" w:eastAsia="Microsoft JhengHei" w:hint="default"/>
                      <w:b/>
                      <w:bCs/>
                      <w:spacing w:val="-2"/>
                    </w:rPr>
                    <w:t>新农村建设：</w:t>
                  </w:r>
                  <w:r>
                    <w:rPr>
                      <w:spacing w:val="-2"/>
                    </w:rPr>
                    <w:t>继续提供或协调资源，协助梅花村村务有关管理工作的进步提升，协调配合做好</w:t>
                  </w:r>
                  <w:r>
                    <w:rPr>
                      <w:w w:val="100"/>
                    </w:rPr>
                    <w:t> </w:t>
                  </w:r>
                  <w:r>
                    <w:rPr/>
                    <w:t>新农村建设和乡村振兴工作。</w:t>
                  </w:r>
                </w:p>
                <w:p>
                  <w:pPr>
                    <w:spacing w:line="264" w:lineRule="auto" w:before="23"/>
                    <w:ind w:left="526" w:right="1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、生态保护扶贫：</w:t>
                  </w:r>
                  <w:r>
                    <w:rPr>
                      <w:rFonts w:ascii="宋体" w:hAnsi="宋体" w:cs="宋体" w:eastAsia="宋体" w:hint="default"/>
                      <w:sz w:val="21"/>
                      <w:szCs w:val="21"/>
                    </w:rPr>
                    <w:t>继续跟进危房改造项目、环境卫生改善项目、村主路挡土墙工程等。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Microsoft JhengHei" w:hAnsi="Microsoft JhengHei" w:cs="Microsoft JhengHei" w:eastAsia="Microsoft JhengHei" w:hint="default"/>
                      <w:b/>
                      <w:bCs/>
                      <w:sz w:val="21"/>
                      <w:szCs w:val="21"/>
                    </w:rPr>
                    <w:t>保障措施：</w:t>
                  </w:r>
                  <w:r>
                    <w:rPr>
                      <w:rFonts w:ascii="Microsoft JhengHei" w:hAnsi="Microsoft JhengHei" w:cs="Microsoft JhengHei" w:eastAsia="Microsoft JhengHei" w:hint="default"/>
                      <w:b/>
                      <w:bCs/>
                      <w:spacing w:val="-47"/>
                      <w:sz w:val="21"/>
                      <w:szCs w:val="21"/>
                    </w:rPr>
                    <w:t> </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、加强领导，提高认识：</w:t>
                  </w:r>
                  <w:r>
                    <w:rPr>
                      <w:rFonts w:ascii="宋体" w:hAnsi="宋体" w:cs="宋体" w:eastAsia="宋体" w:hint="default"/>
                      <w:sz w:val="21"/>
                      <w:szCs w:val="21"/>
                    </w:rPr>
                    <w:t>精准扶贫工作领导小组将继续深入调研工作，落实责任，确保扶贫工作</w:t>
                  </w:r>
                </w:p>
                <w:p>
                  <w:pPr>
                    <w:pStyle w:val="BodyText"/>
                    <w:spacing w:line="240" w:lineRule="auto" w:before="31"/>
                    <w:ind w:left="103" w:right="0"/>
                    <w:jc w:val="left"/>
                  </w:pPr>
                  <w:r>
                    <w:rPr/>
                    <w:t>务实、脱贫过程扎实、脱贫结果真实。</w:t>
                  </w:r>
                </w:p>
                <w:p>
                  <w:pPr>
                    <w:pStyle w:val="BodyText"/>
                    <w:spacing w:line="295" w:lineRule="auto" w:before="59"/>
                    <w:ind w:left="103" w:right="99" w:firstLine="422"/>
                    <w:jc w:val="both"/>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、多方参与，确保投入：</w:t>
                  </w:r>
                  <w:r>
                    <w:rPr/>
                    <w:t>在积极争取上级资金支持的同时，全面整合项目、资金、技能等资源，</w:t>
                  </w:r>
                  <w:r>
                    <w:rPr>
                      <w:w w:val="100"/>
                    </w:rPr>
                    <w:t> </w:t>
                  </w:r>
                  <w:r>
                    <w:rPr>
                      <w:spacing w:val="-3"/>
                    </w:rPr>
                    <w:t>建立多方参与的多元化投入机制，充分调动村民参与的积极性，鼓励和引导农民对直接受益的公共设施</w:t>
                  </w:r>
                  <w:r>
                    <w:rPr>
                      <w:spacing w:val="-19"/>
                    </w:rPr>
                    <w:t> </w:t>
                  </w:r>
                  <w:r>
                    <w:rPr>
                      <w:spacing w:val="-19"/>
                    </w:rPr>
                  </w:r>
                  <w:r>
                    <w:rPr/>
                    <w:t>建设投资、投劳。</w:t>
                  </w:r>
                </w:p>
                <w:p>
                  <w:pPr>
                    <w:spacing w:line="280" w:lineRule="auto" w:before="13"/>
                    <w:ind w:left="103" w:right="98" w:firstLine="422"/>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、落实贫困户保障工作：</w:t>
                  </w:r>
                  <w:r>
                    <w:rPr>
                      <w:rFonts w:ascii="宋体" w:hAnsi="宋体" w:cs="宋体" w:eastAsia="宋体" w:hint="default"/>
                      <w:sz w:val="21"/>
                      <w:szCs w:val="21"/>
                    </w:rPr>
                    <w:t>积极沟通，加强脱贫人口的慰问和保障工作，转变作风不懈怠，防止返</w:t>
                  </w:r>
                  <w:r>
                    <w:rPr>
                      <w:rFonts w:ascii="宋体" w:hAnsi="宋体" w:cs="宋体" w:eastAsia="宋体" w:hint="default"/>
                      <w:w w:val="100"/>
                      <w:sz w:val="21"/>
                      <w:szCs w:val="21"/>
                    </w:rPr>
                    <w:t> </w:t>
                  </w:r>
                  <w:r>
                    <w:rPr>
                      <w:rFonts w:ascii="宋体" w:hAnsi="宋体" w:cs="宋体" w:eastAsia="宋体" w:hint="default"/>
                      <w:sz w:val="21"/>
                      <w:szCs w:val="21"/>
                    </w:rPr>
                    <w:t>贫现象与新贫困人口的出现。</w:t>
                  </w:r>
                </w:p>
              </w:txbxContent>
            </v:textbox>
          </v:shape>
        </w:pict>
      </w:r>
      <w:r>
        <w:rPr>
          <w:rFonts w:ascii="Microsoft JhengHei" w:hAnsi="Microsoft JhengHei" w:cs="Microsoft JhengHei" w:eastAsia="Microsoft JhengHei" w:hint="default"/>
          <w:position w:val="-114"/>
          <w:sz w:val="20"/>
          <w:szCs w:val="20"/>
        </w:rPr>
      </w:r>
    </w:p>
    <w:p>
      <w:pPr>
        <w:spacing w:line="240" w:lineRule="auto" w:before="15"/>
        <w:rPr>
          <w:rFonts w:ascii="Microsoft JhengHei" w:hAnsi="Microsoft JhengHei" w:cs="Microsoft JhengHei" w:eastAsia="Microsoft JhengHei" w:hint="default"/>
          <w:b/>
          <w:bCs/>
          <w:sz w:val="27"/>
          <w:szCs w:val="27"/>
        </w:rPr>
      </w:pPr>
    </w:p>
    <w:p>
      <w:pPr>
        <w:pStyle w:val="Heading6"/>
        <w:spacing w:line="335" w:lineRule="exact"/>
        <w:ind w:left="212" w:right="1115"/>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212" w:right="1115"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w:t>
      </w:r>
    </w:p>
    <w:p>
      <w:pPr>
        <w:spacing w:before="117"/>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18"/>
          <w:szCs w:val="18"/>
        </w:rPr>
      </w:pPr>
    </w:p>
    <w:p>
      <w:pPr>
        <w:spacing w:line="232" w:lineRule="exact" w:before="0"/>
        <w:ind w:left="212" w:right="1115"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r>
        <w:rPr>
          <w:rFonts w:ascii="宋体" w:hAnsi="宋体" w:cs="宋体" w:eastAsia="宋体" w:hint="default"/>
          <w:spacing w:val="-82"/>
          <w:sz w:val="18"/>
          <w:szCs w:val="18"/>
        </w:rPr>
        <w:t>，</w:t>
      </w:r>
      <w:r>
        <w:rPr>
          <w:rFonts w:ascii="宋体" w:hAnsi="宋体" w:cs="宋体" w:eastAsia="宋体" w:hint="default"/>
          <w:sz w:val="18"/>
          <w:szCs w:val="18"/>
        </w:rPr>
        <w:t>公司具体环境保护工作情况详</w:t>
      </w:r>
      <w:r>
        <w:rPr>
          <w:rFonts w:ascii="宋体" w:hAnsi="宋体" w:cs="宋体" w:eastAsia="宋体" w:hint="default"/>
          <w:spacing w:val="1"/>
          <w:sz w:val="18"/>
          <w:szCs w:val="18"/>
        </w:rPr>
        <w:t>见</w:t>
      </w:r>
      <w:r>
        <w:rPr>
          <w:rFonts w:ascii="宋体" w:hAnsi="宋体" w:cs="宋体" w:eastAsia="宋体" w:hint="default"/>
          <w:sz w:val="18"/>
          <w:szCs w:val="18"/>
        </w:rPr>
        <w:t>与本报告同日刊登在巨潮资讯网上</w:t>
      </w:r>
      <w:r>
        <w:rPr>
          <w:rFonts w:ascii="宋体" w:hAnsi="宋体" w:cs="宋体" w:eastAsia="宋体" w:hint="default"/>
          <w:sz w:val="18"/>
          <w:szCs w:val="18"/>
        </w:rPr>
        <w:t> 的《</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年度社会责任报告</w:t>
      </w:r>
      <w:r>
        <w:rPr>
          <w:rFonts w:ascii="宋体" w:hAnsi="宋体" w:cs="宋体" w:eastAsia="宋体" w:hint="default"/>
          <w:spacing w:val="-94"/>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4"/>
        <w:spacing w:line="240" w:lineRule="auto"/>
        <w:ind w:right="1115"/>
        <w:jc w:val="left"/>
        <w:rPr>
          <w:b w:val="0"/>
          <w:bCs w:val="0"/>
        </w:rPr>
      </w:pPr>
      <w:r>
        <w:rPr/>
        <w:t>十九、其他重大事项的说明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spacing w:line="1517"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9"/>
          <w:sz w:val="20"/>
          <w:szCs w:val="20"/>
        </w:rPr>
        <w:pict>
          <v:shape style="width:481.55pt;height:75.9pt;mso-position-horizontal-relative:char;mso-position-vertical-relative:line" type="#_x0000_t202" filled="false" stroked="true" strokeweight=".47998pt" strokecolor="#000000">
            <w10:anchorlock/>
            <v:textbox inset="0,0,0,0">
              <w:txbxContent>
                <w:p>
                  <w:pPr>
                    <w:spacing w:before="139"/>
                    <w:ind w:left="52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、关于增补董事、选举董事长、聘任总裁的事项</w:t>
                  </w:r>
                  <w:r>
                    <w:rPr>
                      <w:rFonts w:ascii="Microsoft JhengHei" w:hAnsi="Microsoft JhengHei" w:cs="Microsoft JhengHei" w:eastAsia="Microsoft JhengHei" w:hint="default"/>
                      <w:sz w:val="21"/>
                      <w:szCs w:val="21"/>
                    </w:rPr>
                  </w:r>
                </w:p>
                <w:p>
                  <w:pPr>
                    <w:pStyle w:val="BodyText"/>
                    <w:spacing w:line="336" w:lineRule="auto" w:before="150"/>
                    <w:ind w:left="103" w:right="-5" w:firstLine="420"/>
                    <w:jc w:val="left"/>
                  </w:pPr>
                  <w:r>
                    <w:rPr/>
                    <w:t>报告期，经公司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年第三次临时股东大会审议通过，选举何建锋先生、黄明先生为公司第八届</w:t>
                  </w:r>
                  <w:r>
                    <w:rPr>
                      <w:w w:val="100"/>
                    </w:rPr>
                    <w:t> </w:t>
                  </w:r>
                  <w:r>
                    <w:rPr>
                      <w:spacing w:val="-5"/>
                    </w:rPr>
                    <w:t>董事会董事；经公司第八届董事会第十五次会议审议通过，选举何建锋先生为公司第八届董事会董事长，</w:t>
                  </w:r>
                </w:p>
              </w:txbxContent>
            </v:textbox>
          </v:shape>
        </w:pict>
      </w:r>
      <w:r>
        <w:rPr>
          <w:rFonts w:ascii="Microsoft JhengHei" w:hAnsi="Microsoft JhengHei" w:cs="Microsoft JhengHei" w:eastAsia="Microsoft JhengHei" w:hint="default"/>
          <w:position w:val="-29"/>
          <w:sz w:val="20"/>
          <w:szCs w:val="20"/>
        </w:rPr>
      </w:r>
    </w:p>
    <w:p>
      <w:pPr>
        <w:spacing w:after="0" w:line="1517" w:lineRule="exact"/>
        <w:rPr>
          <w:rFonts w:ascii="Microsoft JhengHei" w:hAnsi="Microsoft JhengHei" w:cs="Microsoft JhengHei" w:eastAsia="Microsoft JhengHei" w:hint="default"/>
          <w:sz w:val="20"/>
          <w:szCs w:val="20"/>
        </w:rPr>
        <w:sectPr>
          <w:pgSz w:w="11910" w:h="16840"/>
          <w:pgMar w:header="877" w:footer="1265" w:top="1100" w:bottom="1460" w:left="920" w:right="0"/>
        </w:sectPr>
      </w:pPr>
    </w:p>
    <w:p>
      <w:pPr>
        <w:spacing w:line="240" w:lineRule="auto" w:before="0"/>
        <w:rPr>
          <w:rFonts w:ascii="Microsoft JhengHei" w:hAnsi="Microsoft JhengHei" w:cs="Microsoft JhengHei" w:eastAsia="Microsoft JhengHei" w:hint="default"/>
          <w:b/>
          <w:bCs/>
          <w:sz w:val="15"/>
          <w:szCs w:val="15"/>
        </w:rPr>
      </w:pPr>
      <w:r>
        <w:rPr/>
        <w:pict>
          <v:group style="position:absolute;margin-left:51pt;margin-top:71.759979pt;width:482.05pt;height:695.65pt;mso-position-horizontal-relative:page;mso-position-vertical-relative:page;z-index:-1637152" coordorigin="1020,1435" coordsize="9641,13913">
            <v:group style="position:absolute;left:1030;top:1445;width:9622;height:2" coordorigin="1030,1445" coordsize="9622,2">
              <v:shape style="position:absolute;left:1030;top:1445;width:9622;height:2" coordorigin="1030,1445" coordsize="9622,0" path="m1030,1445l10651,1445e" filled="false" stroked="true" strokeweight=".48pt" strokecolor="#000000">
                <v:path arrowok="t"/>
              </v:shape>
            </v:group>
            <v:group style="position:absolute;left:1025;top:1440;width:2;height:13904" coordorigin="1025,1440" coordsize="2,13904">
              <v:shape style="position:absolute;left:1025;top:1440;width:2;height:13904" coordorigin="1025,1440" coordsize="0,13904" path="m1025,1440l1025,15343e" filled="false" stroked="true" strokeweight=".48pt" strokecolor="#000000">
                <v:path arrowok="t"/>
              </v:shape>
            </v:group>
            <v:group style="position:absolute;left:1030;top:15338;width:9622;height:2" coordorigin="1030,15338" coordsize="9622,2">
              <v:shape style="position:absolute;left:1030;top:15338;width:9622;height:2" coordorigin="1030,15338" coordsize="9622,0" path="m1030,15338l10651,15338e" filled="false" stroked="true" strokeweight=".48004pt" strokecolor="#000000">
                <v:path arrowok="t"/>
              </v:shape>
            </v:group>
            <v:group style="position:absolute;left:10656;top:1440;width:2;height:13904" coordorigin="10656,1440" coordsize="2,13904">
              <v:shape style="position:absolute;left:10656;top:1440;width:2;height:13904" coordorigin="10656,1440" coordsize="0,13904" path="m10656,1440l10656,15343e" filled="false" stroked="true" strokeweight=".47998pt" strokecolor="#000000">
                <v:path arrowok="t"/>
              </v:shape>
            </v:group>
            <w10:wrap type="none"/>
          </v:group>
        </w:pict>
      </w:r>
    </w:p>
    <w:p>
      <w:pPr>
        <w:pStyle w:val="BodyText"/>
        <w:spacing w:line="355" w:lineRule="auto"/>
        <w:ind w:left="212" w:right="1315"/>
        <w:jc w:val="both"/>
      </w:pPr>
      <w:r>
        <w:rPr>
          <w:spacing w:val="-2"/>
        </w:rPr>
        <w:t>根据公司《章程》规定，公司董事长系公司法定代表人；经公司第八届董事会第十四次会议审议通过，</w:t>
      </w:r>
      <w:r>
        <w:rPr>
          <w:spacing w:val="-24"/>
        </w:rPr>
        <w:t> </w:t>
      </w:r>
      <w:r>
        <w:rPr>
          <w:spacing w:val="-24"/>
        </w:rPr>
      </w:r>
      <w:r>
        <w:rPr>
          <w:spacing w:val="-3"/>
        </w:rPr>
        <w:t>聘任黄明先生为公司总裁。何建锋先生、黄明先生的任期与公司第八届董事会相同（自相关会议审议通</w:t>
      </w:r>
      <w:r>
        <w:rPr>
          <w:spacing w:val="-19"/>
        </w:rPr>
        <w:t> </w:t>
      </w:r>
      <w:r>
        <w:rPr>
          <w:spacing w:val="-19"/>
        </w:rPr>
      </w:r>
      <w:r>
        <w:rPr>
          <w:spacing w:val="-1"/>
          <w:w w:val="100"/>
        </w:rPr>
        <w:t>过之日起至</w:t>
      </w:r>
      <w:r>
        <w:rPr>
          <w:spacing w:val="-53"/>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w w:val="100"/>
        </w:rPr>
        <w:t> </w:t>
      </w:r>
      <w:r>
        <w:rPr>
          <w:w w:val="100"/>
        </w:rPr>
        <w:t>年</w:t>
      </w:r>
      <w:r>
        <w:rPr>
          <w:spacing w:val="-55"/>
          <w:w w:val="100"/>
        </w:rPr>
        <w:t> </w:t>
      </w:r>
      <w:r>
        <w:rPr>
          <w:rFonts w:ascii="Times New Roman" w:hAnsi="Times New Roman" w:cs="Times New Roman" w:eastAsia="Times New Roman" w:hint="default"/>
          <w:w w:val="100"/>
        </w:rPr>
        <w:t>4 </w:t>
      </w:r>
      <w:r>
        <w:rPr>
          <w:w w:val="100"/>
        </w:rPr>
        <w:t>月</w:t>
      </w:r>
      <w:r>
        <w:rPr>
          <w:spacing w:val="-55"/>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spacing w:val="-28"/>
          <w:w w:val="100"/>
        </w:rPr>
        <w:t>日止）。</w:t>
      </w:r>
    </w:p>
    <w:p>
      <w:pPr>
        <w:pStyle w:val="BodyText"/>
        <w:spacing w:line="240" w:lineRule="auto" w:before="46"/>
        <w:ind w:left="633" w:right="1115"/>
        <w:jc w:val="left"/>
      </w:pPr>
      <w:r>
        <w:rPr/>
        <w:t>经公司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年第五次临时股东大会审议通过，选举陈穗生先生为公司第八届董事会董事，任期与</w:t>
      </w:r>
    </w:p>
    <w:p>
      <w:pPr>
        <w:pStyle w:val="BodyText"/>
        <w:spacing w:line="240" w:lineRule="auto" w:before="117"/>
        <w:ind w:left="212" w:right="1115"/>
        <w:jc w:val="left"/>
      </w:pPr>
      <w:r>
        <w:rPr>
          <w:w w:val="100"/>
        </w:rPr>
        <w:t>公司</w:t>
      </w:r>
      <w:r>
        <w:rPr>
          <w:spacing w:val="-3"/>
          <w:w w:val="100"/>
        </w:rPr>
        <w:t>第</w:t>
      </w:r>
      <w:r>
        <w:rPr>
          <w:w w:val="100"/>
        </w:rPr>
        <w:t>八</w:t>
      </w:r>
      <w:r>
        <w:rPr>
          <w:spacing w:val="-3"/>
          <w:w w:val="100"/>
        </w:rPr>
        <w:t>届</w:t>
      </w:r>
      <w:r>
        <w:rPr>
          <w:w w:val="100"/>
        </w:rPr>
        <w:t>董</w:t>
      </w:r>
      <w:r>
        <w:rPr>
          <w:spacing w:val="-3"/>
          <w:w w:val="100"/>
        </w:rPr>
        <w:t>事</w:t>
      </w:r>
      <w:r>
        <w:rPr>
          <w:w w:val="100"/>
        </w:rPr>
        <w:t>会</w:t>
      </w:r>
      <w:r>
        <w:rPr>
          <w:spacing w:val="-3"/>
          <w:w w:val="100"/>
        </w:rPr>
        <w:t>相</w:t>
      </w:r>
      <w:r>
        <w:rPr>
          <w:w w:val="100"/>
        </w:rPr>
        <w:t>同</w:t>
      </w:r>
      <w:r>
        <w:rPr>
          <w:spacing w:val="-3"/>
          <w:w w:val="100"/>
        </w:rPr>
        <w:t>（</w:t>
      </w:r>
      <w:r>
        <w:rPr>
          <w:w w:val="100"/>
        </w:rPr>
        <w:t>自</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spacing w:val="-3"/>
          <w:w w:val="100"/>
        </w:rPr>
        <w:t>日起</w:t>
      </w:r>
      <w:r>
        <w:rPr>
          <w:w w:val="100"/>
        </w:rPr>
        <w:t>至</w:t>
      </w:r>
      <w:r>
        <w:rPr>
          <w:spacing w:val="-55"/>
        </w:rPr>
        <w:t> </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3"/>
        </w:rPr>
        <w:t> </w:t>
      </w:r>
      <w:r>
        <w:rPr>
          <w:w w:val="100"/>
        </w:rPr>
        <w:t>年</w:t>
      </w:r>
      <w:r>
        <w:rPr>
          <w:spacing w:val="-52"/>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日</w:t>
      </w:r>
      <w:r>
        <w:rPr>
          <w:spacing w:val="-3"/>
          <w:w w:val="100"/>
        </w:rPr>
        <w:t>止</w:t>
      </w:r>
      <w:r>
        <w:rPr>
          <w:spacing w:val="-106"/>
          <w:w w:val="100"/>
        </w:rPr>
        <w:t>）</w:t>
      </w:r>
      <w:r>
        <w:rPr>
          <w:w w:val="100"/>
        </w:rPr>
        <w:t>。</w:t>
      </w:r>
    </w:p>
    <w:p>
      <w:pPr>
        <w:pStyle w:val="BodyText"/>
        <w:spacing w:line="240" w:lineRule="auto" w:before="160"/>
        <w:ind w:left="633" w:right="1115"/>
        <w:jc w:val="left"/>
      </w:pPr>
      <w:r>
        <w:rPr/>
        <w:t>经公司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年第六次临时股东大会审议通过，选举王立先生为公司第八届董事会董事，任期与公</w:t>
      </w:r>
    </w:p>
    <w:p>
      <w:pPr>
        <w:pStyle w:val="BodyText"/>
        <w:spacing w:line="240" w:lineRule="auto" w:before="115"/>
        <w:ind w:left="212" w:right="1115"/>
        <w:jc w:val="left"/>
      </w:pPr>
      <w:r>
        <w:rPr>
          <w:w w:val="100"/>
        </w:rPr>
        <w:t>司第</w:t>
      </w:r>
      <w:r>
        <w:rPr>
          <w:spacing w:val="-3"/>
          <w:w w:val="100"/>
        </w:rPr>
        <w:t>八</w:t>
      </w:r>
      <w:r>
        <w:rPr>
          <w:w w:val="100"/>
        </w:rPr>
        <w:t>届</w:t>
      </w:r>
      <w:r>
        <w:rPr>
          <w:spacing w:val="-3"/>
          <w:w w:val="100"/>
        </w:rPr>
        <w:t>董</w:t>
      </w:r>
      <w:r>
        <w:rPr>
          <w:w w:val="100"/>
        </w:rPr>
        <w:t>事</w:t>
      </w:r>
      <w:r>
        <w:rPr>
          <w:spacing w:val="-3"/>
          <w:w w:val="100"/>
        </w:rPr>
        <w:t>会</w:t>
      </w:r>
      <w:r>
        <w:rPr>
          <w:w w:val="100"/>
        </w:rPr>
        <w:t>相</w:t>
      </w:r>
      <w:r>
        <w:rPr>
          <w:spacing w:val="-3"/>
          <w:w w:val="100"/>
        </w:rPr>
        <w:t>同（</w:t>
      </w:r>
      <w:r>
        <w:rPr>
          <w:w w:val="100"/>
        </w:rPr>
        <w:t>自</w:t>
      </w:r>
      <w:r>
        <w:rPr>
          <w:spacing w:val="-55"/>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rPr>
        <w:t> </w:t>
      </w:r>
      <w:r>
        <w:rPr>
          <w:w w:val="100"/>
        </w:rPr>
        <w:t>日</w:t>
      </w:r>
      <w:r>
        <w:rPr>
          <w:spacing w:val="-3"/>
          <w:w w:val="100"/>
        </w:rPr>
        <w:t>起</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02</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日</w:t>
      </w:r>
      <w:r>
        <w:rPr>
          <w:w w:val="100"/>
        </w:rPr>
        <w:t>止</w:t>
      </w:r>
      <w:r>
        <w:rPr>
          <w:spacing w:val="-106"/>
          <w:w w:val="100"/>
        </w:rPr>
        <w:t>）</w:t>
      </w:r>
      <w:r>
        <w:rPr>
          <w:w w:val="100"/>
        </w:rPr>
        <w:t>。</w:t>
      </w:r>
    </w:p>
    <w:p>
      <w:pPr>
        <w:pStyle w:val="BodyText"/>
        <w:spacing w:line="240" w:lineRule="auto" w:before="161"/>
        <w:ind w:left="633" w:right="1115"/>
        <w:jc w:val="left"/>
      </w:pPr>
      <w:r>
        <w:rPr/>
        <w:t>（详见公司于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日和</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日刊登在</w:t>
      </w:r>
    </w:p>
    <w:p>
      <w:pPr>
        <w:pStyle w:val="BodyText"/>
        <w:spacing w:line="240" w:lineRule="auto" w:before="115"/>
        <w:ind w:left="212" w:right="1115"/>
        <w:jc w:val="left"/>
      </w:pPr>
      <w:r>
        <w:rPr>
          <w:w w:val="100"/>
        </w:rPr>
        <w:t>《证</w:t>
      </w:r>
      <w:r>
        <w:rPr>
          <w:spacing w:val="-3"/>
          <w:w w:val="100"/>
        </w:rPr>
        <w:t>券</w:t>
      </w:r>
      <w:r>
        <w:rPr>
          <w:w w:val="100"/>
        </w:rPr>
        <w:t>时</w:t>
      </w:r>
      <w:r>
        <w:rPr>
          <w:spacing w:val="-3"/>
          <w:w w:val="100"/>
        </w:rPr>
        <w:t>报</w:t>
      </w:r>
      <w:r>
        <w:rPr>
          <w:spacing w:val="-106"/>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3"/>
          <w:w w:val="100"/>
        </w:rPr>
        <w:t>《</w:t>
      </w:r>
      <w:r>
        <w:rPr>
          <w:w w:val="100"/>
        </w:rPr>
        <w:t>上</w:t>
      </w:r>
      <w:r>
        <w:rPr>
          <w:spacing w:val="-3"/>
          <w:w w:val="100"/>
        </w:rPr>
        <w:t>海</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证</w:t>
      </w:r>
      <w:r>
        <w:rPr>
          <w:w w:val="100"/>
        </w:rPr>
        <w:t>券日</w:t>
      </w:r>
      <w:r>
        <w:rPr>
          <w:spacing w:val="-3"/>
          <w:w w:val="100"/>
        </w:rPr>
        <w:t>报</w:t>
      </w:r>
      <w:r>
        <w:rPr>
          <w:w w:val="100"/>
        </w:rPr>
        <w:t>》</w:t>
      </w:r>
      <w:r>
        <w:rPr>
          <w:spacing w:val="-3"/>
          <w:w w:val="100"/>
        </w:rPr>
        <w:t>及</w:t>
      </w:r>
      <w:r>
        <w:rPr>
          <w:w w:val="100"/>
        </w:rPr>
        <w:t>巨</w:t>
      </w:r>
      <w:r>
        <w:rPr>
          <w:spacing w:val="-3"/>
          <w:w w:val="100"/>
        </w:rPr>
        <w:t>潮</w:t>
      </w:r>
      <w:r>
        <w:rPr>
          <w:w w:val="100"/>
        </w:rPr>
        <w:t>资</w:t>
      </w:r>
      <w:r>
        <w:rPr>
          <w:spacing w:val="-3"/>
          <w:w w:val="100"/>
        </w:rPr>
        <w:t>讯</w:t>
      </w:r>
      <w:r>
        <w:rPr>
          <w:w w:val="100"/>
        </w:rPr>
        <w:t>网</w:t>
      </w:r>
      <w:r>
        <w:rPr>
          <w:spacing w:val="-3"/>
          <w:w w:val="100"/>
        </w:rPr>
        <w:t>上</w:t>
      </w:r>
      <w:r>
        <w:rPr>
          <w:w w:val="100"/>
        </w:rPr>
        <w:t>的公</w:t>
      </w:r>
      <w:r>
        <w:rPr>
          <w:spacing w:val="-3"/>
          <w:w w:val="100"/>
        </w:rPr>
        <w:t>告</w:t>
      </w:r>
      <w:r>
        <w:rPr>
          <w:w w:val="100"/>
        </w:rPr>
        <w:t>）</w:t>
      </w:r>
    </w:p>
    <w:p>
      <w:pPr>
        <w:pStyle w:val="Heading6"/>
        <w:spacing w:line="240" w:lineRule="auto" w:before="107"/>
        <w:ind w:left="635" w:right="1115"/>
        <w:jc w:val="left"/>
        <w:rPr>
          <w:b w:val="0"/>
          <w:bCs w:val="0"/>
        </w:rPr>
      </w:pPr>
      <w:r>
        <w:rPr>
          <w:rFonts w:ascii="Times New Roman" w:hAnsi="Times New Roman" w:cs="Times New Roman" w:eastAsia="Times New Roman" w:hint="default"/>
        </w:rPr>
        <w:t>2</w:t>
      </w:r>
      <w:r>
        <w:rPr/>
        <w:t>、关于修订《公司章程》的事项</w:t>
      </w:r>
      <w:r>
        <w:rPr>
          <w:b w:val="0"/>
          <w:bCs w:val="0"/>
        </w:rPr>
      </w:r>
    </w:p>
    <w:p>
      <w:pPr>
        <w:pStyle w:val="BodyText"/>
        <w:spacing w:line="240" w:lineRule="auto" w:before="152"/>
        <w:ind w:left="633" w:right="1115"/>
        <w:jc w:val="left"/>
      </w:pPr>
      <w:r>
        <w:rPr>
          <w:w w:val="100"/>
        </w:rPr>
        <w:t>报告</w:t>
      </w:r>
      <w:r>
        <w:rPr>
          <w:spacing w:val="-3"/>
          <w:w w:val="100"/>
        </w:rPr>
        <w:t>期</w:t>
      </w:r>
      <w:r>
        <w:rPr>
          <w:spacing w:val="-1"/>
          <w:w w:val="100"/>
        </w:rPr>
        <w:t>，</w:t>
      </w:r>
      <w:r>
        <w:rPr>
          <w:spacing w:val="-3"/>
          <w:w w:val="100"/>
        </w:rPr>
        <w:t>经公</w:t>
      </w:r>
      <w:r>
        <w:rPr>
          <w:w w:val="100"/>
        </w:rPr>
        <w:t>司</w:t>
      </w:r>
      <w:r>
        <w:rPr>
          <w:spacing w:val="-19"/>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spacing w:val="-3"/>
          <w:w w:val="100"/>
        </w:rPr>
        <w:t>年</w:t>
      </w:r>
      <w:r>
        <w:rPr>
          <w:w w:val="100"/>
        </w:rPr>
        <w:t>第二</w:t>
      </w:r>
      <w:r>
        <w:rPr>
          <w:spacing w:val="-3"/>
          <w:w w:val="100"/>
        </w:rPr>
        <w:t>次</w:t>
      </w:r>
      <w:r>
        <w:rPr>
          <w:w w:val="100"/>
        </w:rPr>
        <w:t>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通过</w:t>
      </w:r>
      <w:r>
        <w:rPr>
          <w:spacing w:val="-3"/>
          <w:w w:val="100"/>
        </w:rPr>
        <w:t>，</w:t>
      </w:r>
      <w:r>
        <w:rPr>
          <w:w w:val="100"/>
        </w:rPr>
        <w:t>为</w:t>
      </w:r>
      <w:r>
        <w:rPr>
          <w:spacing w:val="-3"/>
          <w:w w:val="100"/>
        </w:rPr>
        <w:t>进</w:t>
      </w:r>
      <w:r>
        <w:rPr>
          <w:w w:val="100"/>
        </w:rPr>
        <w:t>一</w:t>
      </w:r>
      <w:r>
        <w:rPr>
          <w:spacing w:val="-3"/>
          <w:w w:val="100"/>
        </w:rPr>
        <w:t>步</w:t>
      </w:r>
      <w:r>
        <w:rPr>
          <w:w w:val="100"/>
        </w:rPr>
        <w:t>完</w:t>
      </w:r>
      <w:r>
        <w:rPr>
          <w:spacing w:val="-3"/>
          <w:w w:val="100"/>
        </w:rPr>
        <w:t>善</w:t>
      </w:r>
      <w:r>
        <w:rPr>
          <w:w w:val="100"/>
        </w:rPr>
        <w:t>公</w:t>
      </w:r>
      <w:r>
        <w:rPr>
          <w:spacing w:val="-3"/>
          <w:w w:val="100"/>
        </w:rPr>
        <w:t>司</w:t>
      </w:r>
      <w:r>
        <w:rPr>
          <w:w w:val="100"/>
        </w:rPr>
        <w:t>治理</w:t>
      </w:r>
      <w:r>
        <w:rPr>
          <w:spacing w:val="-3"/>
          <w:w w:val="100"/>
        </w:rPr>
        <w:t>，</w:t>
      </w:r>
      <w:r>
        <w:rPr>
          <w:w w:val="100"/>
        </w:rPr>
        <w:t>根</w:t>
      </w:r>
      <w:r>
        <w:rPr>
          <w:spacing w:val="-3"/>
          <w:w w:val="100"/>
        </w:rPr>
        <w:t>据</w:t>
      </w:r>
      <w:r>
        <w:rPr>
          <w:w w:val="100"/>
        </w:rPr>
        <w:t>《</w:t>
      </w:r>
      <w:r>
        <w:rPr>
          <w:spacing w:val="-3"/>
          <w:w w:val="100"/>
        </w:rPr>
        <w:t>公</w:t>
      </w:r>
      <w:r>
        <w:rPr>
          <w:w w:val="100"/>
        </w:rPr>
        <w:t>司</w:t>
      </w:r>
      <w:r>
        <w:rPr>
          <w:spacing w:val="-3"/>
          <w:w w:val="100"/>
        </w:rPr>
        <w:t>法</w:t>
      </w:r>
      <w:r>
        <w:rPr>
          <w:spacing w:val="-106"/>
          <w:w w:val="100"/>
        </w:rPr>
        <w:t>》</w:t>
      </w:r>
      <w:r>
        <w:rPr>
          <w:w w:val="100"/>
        </w:rPr>
        <w:t>、</w:t>
      </w:r>
    </w:p>
    <w:p>
      <w:pPr>
        <w:pStyle w:val="BodyText"/>
        <w:spacing w:line="336" w:lineRule="auto" w:before="117"/>
        <w:ind w:left="212" w:right="1115"/>
        <w:jc w:val="left"/>
      </w:pPr>
      <w:r>
        <w:rPr>
          <w:spacing w:val="-3"/>
          <w:w w:val="100"/>
        </w:rPr>
        <w:t>《上市公司章程指引（</w:t>
      </w:r>
      <w:r>
        <w:rPr>
          <w:rFonts w:ascii="Times New Roman" w:hAnsi="Times New Roman" w:cs="Times New Roman" w:eastAsia="Times New Roman" w:hint="default"/>
          <w:spacing w:val="-3"/>
          <w:w w:val="100"/>
        </w:rPr>
        <w:t>2016</w:t>
      </w:r>
      <w:r>
        <w:rPr>
          <w:rFonts w:ascii="Times New Roman" w:hAnsi="Times New Roman" w:cs="Times New Roman" w:eastAsia="Times New Roman" w:hint="default"/>
          <w:w w:val="100"/>
        </w:rPr>
        <w:t> </w:t>
      </w:r>
      <w:r>
        <w:rPr>
          <w:spacing w:val="-7"/>
          <w:w w:val="100"/>
        </w:rPr>
        <w:t>年修订）》等法律法规及规范性文件的规定，结合公司实际，对《公司章程》</w:t>
      </w:r>
      <w:r>
        <w:rPr>
          <w:spacing w:val="-87"/>
          <w:w w:val="100"/>
        </w:rPr>
        <w:t> </w:t>
      </w:r>
      <w:r>
        <w:rPr>
          <w:spacing w:val="-87"/>
          <w:w w:val="100"/>
        </w:rPr>
      </w:r>
      <w:r>
        <w:rPr>
          <w:spacing w:val="-12"/>
          <w:w w:val="100"/>
        </w:rPr>
        <w:t>进行修订。（《公司章程》及《公司章程修订对比表》详见公司于</w:t>
      </w:r>
      <w:r>
        <w:rPr>
          <w:spacing w:val="-50"/>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2"/>
          <w:w w:val="100"/>
        </w:rPr>
        <w:t> </w:t>
      </w:r>
      <w:r>
        <w:rPr>
          <w:spacing w:val="-8"/>
          <w:w w:val="100"/>
        </w:rPr>
        <w:t>日、</w:t>
      </w:r>
      <w:r>
        <w:rPr>
          <w:rFonts w:ascii="Times New Roman" w:hAnsi="Times New Roman" w:cs="Times New Roman" w:eastAsia="Times New Roman" w:hint="default"/>
          <w:spacing w:val="-8"/>
          <w:w w:val="100"/>
        </w:rPr>
        <w:t>4</w:t>
      </w:r>
      <w:r>
        <w:rPr>
          <w:rFonts w:ascii="Times New Roman" w:hAnsi="Times New Roman" w:cs="Times New Roman" w:eastAsia="Times New Roman" w:hint="default"/>
          <w:spacing w:val="2"/>
          <w:w w:val="100"/>
        </w:rPr>
        <w:t> </w:t>
      </w:r>
      <w:r>
        <w:rPr>
          <w:w w:val="100"/>
        </w:rPr>
        <w:t>月</w:t>
      </w:r>
      <w:r>
        <w:rPr>
          <w:spacing w:val="-51"/>
          <w:w w:val="100"/>
        </w:rPr>
        <w:t> </w:t>
      </w:r>
      <w:r>
        <w:rPr>
          <w:rFonts w:ascii="Times New Roman" w:hAnsi="Times New Roman" w:cs="Times New Roman" w:eastAsia="Times New Roman" w:hint="default"/>
          <w:spacing w:val="-2"/>
          <w:w w:val="100"/>
        </w:rPr>
        <w:t>17</w:t>
      </w:r>
      <w:r>
        <w:rPr>
          <w:rFonts w:ascii="Times New Roman" w:hAnsi="Times New Roman" w:cs="Times New Roman" w:eastAsia="Times New Roman" w:hint="default"/>
          <w:spacing w:val="2"/>
          <w:w w:val="100"/>
        </w:rPr>
        <w:t> </w:t>
      </w:r>
      <w:r>
        <w:rPr>
          <w:spacing w:val="-2"/>
          <w:w w:val="100"/>
        </w:rPr>
        <w:t>日刊登在巨</w:t>
      </w:r>
      <w:r>
        <w:rPr>
          <w:spacing w:val="-99"/>
          <w:w w:val="100"/>
        </w:rPr>
        <w:t> </w:t>
      </w:r>
      <w:r>
        <w:rPr>
          <w:spacing w:val="-99"/>
          <w:w w:val="100"/>
        </w:rPr>
      </w:r>
      <w:r>
        <w:rPr/>
        <w:t>潮资讯网上的公告）</w:t>
      </w:r>
    </w:p>
    <w:p>
      <w:pPr>
        <w:spacing w:line="312" w:lineRule="auto" w:before="26"/>
        <w:ind w:left="633" w:right="111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、关于变更公司名称暨修订《公司章程》的事项</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3"/>
          <w:sz w:val="21"/>
          <w:szCs w:val="21"/>
        </w:rPr>
        <w:t>报告期，经公司</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年第六次临时股东大会审议通过，同意将公司中文名称“深圳市农产品股份有</w:t>
      </w:r>
    </w:p>
    <w:p>
      <w:pPr>
        <w:pStyle w:val="BodyText"/>
        <w:spacing w:line="336" w:lineRule="auto" w:before="50"/>
        <w:ind w:left="212" w:right="1115"/>
        <w:jc w:val="left"/>
      </w:pPr>
      <w:r>
        <w:rPr>
          <w:spacing w:val="10"/>
        </w:rPr>
        <w:t>限公司”变更为“深圳市农产品集团股份有限公司”，英文名称“</w:t>
      </w:r>
      <w:r>
        <w:rPr>
          <w:rFonts w:ascii="Times New Roman" w:hAnsi="Times New Roman" w:cs="Times New Roman" w:eastAsia="Times New Roman" w:hint="default"/>
          <w:spacing w:val="10"/>
        </w:rPr>
        <w:t>SHENZHEN </w:t>
      </w:r>
      <w:r>
        <w:rPr>
          <w:rFonts w:ascii="Times New Roman" w:hAnsi="Times New Roman" w:cs="Times New Roman" w:eastAsia="Times New Roman" w:hint="default"/>
        </w:rPr>
        <w:t>AGRICULTURAL</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rFonts w:ascii="Times New Roman" w:hAnsi="Times New Roman" w:cs="Times New Roman" w:eastAsia="Times New Roman" w:hint="default"/>
        </w:rPr>
        <w:t>PRODUCTS </w:t>
      </w:r>
      <w:r>
        <w:rPr>
          <w:rFonts w:ascii="Times New Roman" w:hAnsi="Times New Roman" w:cs="Times New Roman" w:eastAsia="Times New Roman" w:hint="default"/>
          <w:spacing w:val="-4"/>
        </w:rPr>
        <w:t>CO.,LTD</w:t>
      </w:r>
      <w:r>
        <w:rPr>
          <w:spacing w:val="-4"/>
        </w:rPr>
        <w:t>”变更为“</w:t>
      </w:r>
      <w:r>
        <w:rPr>
          <w:rFonts w:ascii="Times New Roman" w:hAnsi="Times New Roman" w:cs="Times New Roman" w:eastAsia="Times New Roman" w:hint="default"/>
          <w:spacing w:val="-4"/>
        </w:rPr>
        <w:t>SHENZHEN </w:t>
      </w:r>
      <w:r>
        <w:rPr>
          <w:rFonts w:ascii="Times New Roman" w:hAnsi="Times New Roman" w:cs="Times New Roman" w:eastAsia="Times New Roman" w:hint="default"/>
        </w:rPr>
        <w:t>AGRICULTURAL PRODUCTS GROUP</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6"/>
        </w:rPr>
        <w:t>CO.,LTD</w:t>
      </w:r>
      <w:r>
        <w:rPr>
          <w:spacing w:val="-6"/>
        </w:rPr>
        <w:t>”，同时，</w:t>
      </w:r>
    </w:p>
    <w:p>
      <w:pPr>
        <w:pStyle w:val="BodyText"/>
        <w:spacing w:line="343" w:lineRule="auto" w:before="24"/>
        <w:ind w:left="212" w:right="1115"/>
        <w:jc w:val="left"/>
      </w:pPr>
      <w:r>
        <w:rPr>
          <w:spacing w:val="-3"/>
        </w:rPr>
        <w:t>对应修改《公司章程》中涉及公司名称的相关条款。本次公司名称变更系公司中文全称和英文全称的变</w:t>
      </w:r>
      <w:r>
        <w:rPr>
          <w:spacing w:val="-19"/>
        </w:rPr>
        <w:t> </w:t>
      </w:r>
      <w:r>
        <w:rPr>
          <w:spacing w:val="-19"/>
        </w:rPr>
      </w:r>
      <w:r>
        <w:rPr>
          <w:spacing w:val="-9"/>
        </w:rPr>
        <w:t>更，不涉及公司证券代码和证券简称变更，公司证券代码仍为“</w:t>
      </w:r>
      <w:r>
        <w:rPr>
          <w:rFonts w:ascii="Times New Roman" w:hAnsi="Times New Roman" w:cs="Times New Roman" w:eastAsia="Times New Roman" w:hint="default"/>
          <w:spacing w:val="-9"/>
        </w:rPr>
        <w:t>000061</w:t>
      </w:r>
      <w:r>
        <w:rPr>
          <w:spacing w:val="-9"/>
        </w:rPr>
        <w:t>”，公司证券简称仍为“农产品”。</w:t>
      </w:r>
      <w:r>
        <w:rPr>
          <w:spacing w:val="-18"/>
        </w:rPr>
        <w:t> </w:t>
      </w:r>
      <w:r>
        <w:rPr>
          <w:spacing w:val="-18"/>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日，相关工商变更登记已完成。（相关情况详见公司于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日和</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8"/>
        </w:rPr>
        <w:t> </w:t>
      </w:r>
      <w:r>
        <w:rPr/>
        <w:t>日在《证券时报》、《中国证券报》、《上海证券报》、《证券日报》和巨潮资讯网上刊登的公告）</w:t>
      </w:r>
    </w:p>
    <w:p>
      <w:pPr>
        <w:pStyle w:val="Heading6"/>
        <w:spacing w:line="268" w:lineRule="auto" w:before="15"/>
        <w:ind w:left="212" w:right="1348" w:firstLine="422"/>
        <w:jc w:val="left"/>
        <w:rPr>
          <w:b w:val="0"/>
          <w:bCs w:val="0"/>
        </w:rPr>
      </w:pPr>
      <w:r>
        <w:rPr>
          <w:rFonts w:ascii="Times New Roman" w:hAnsi="Times New Roman" w:cs="Times New Roman" w:eastAsia="Times New Roman" w:hint="default"/>
          <w:spacing w:val="-3"/>
          <w:w w:val="100"/>
        </w:rPr>
        <w:t>4</w:t>
      </w:r>
      <w:r>
        <w:rPr>
          <w:spacing w:val="-13"/>
          <w:w w:val="100"/>
        </w:rPr>
        <w:t>、</w:t>
      </w:r>
      <w:r>
        <w:rPr>
          <w:w w:val="100"/>
        </w:rPr>
        <w:t>关于修</w:t>
      </w:r>
      <w:r>
        <w:rPr>
          <w:spacing w:val="-13"/>
          <w:w w:val="100"/>
        </w:rPr>
        <w:t>订</w:t>
      </w:r>
      <w:r>
        <w:rPr>
          <w:w w:val="100"/>
        </w:rPr>
        <w:t>《公司财务</w:t>
      </w:r>
      <w:r>
        <w:rPr>
          <w:spacing w:val="-3"/>
          <w:w w:val="100"/>
        </w:rPr>
        <w:t>管</w:t>
      </w:r>
      <w:r>
        <w:rPr>
          <w:w w:val="100"/>
        </w:rPr>
        <w:t>理制度</w:t>
      </w:r>
      <w:r>
        <w:rPr>
          <w:spacing w:val="-106"/>
          <w:w w:val="100"/>
        </w:rPr>
        <w:t>》</w:t>
      </w:r>
      <w:r>
        <w:rPr>
          <w:spacing w:val="-118"/>
          <w:w w:val="100"/>
        </w:rPr>
        <w:t>、</w:t>
      </w:r>
      <w:r>
        <w:rPr>
          <w:w w:val="100"/>
        </w:rPr>
        <w:t>《公司</w:t>
      </w:r>
      <w:r>
        <w:rPr>
          <w:spacing w:val="-3"/>
          <w:w w:val="100"/>
        </w:rPr>
        <w:t>融</w:t>
      </w:r>
      <w:r>
        <w:rPr>
          <w:w w:val="100"/>
        </w:rPr>
        <w:t>资管</w:t>
      </w:r>
      <w:r>
        <w:rPr>
          <w:spacing w:val="-3"/>
          <w:w w:val="100"/>
        </w:rPr>
        <w:t>理</w:t>
      </w:r>
      <w:r>
        <w:rPr>
          <w:w w:val="100"/>
        </w:rPr>
        <w:t>办法</w:t>
      </w:r>
      <w:r>
        <w:rPr>
          <w:spacing w:val="-106"/>
          <w:w w:val="100"/>
        </w:rPr>
        <w:t>》</w:t>
      </w:r>
      <w:r>
        <w:rPr>
          <w:spacing w:val="-118"/>
          <w:w w:val="100"/>
        </w:rPr>
        <w:t>、</w:t>
      </w:r>
      <w:r>
        <w:rPr>
          <w:w w:val="100"/>
        </w:rPr>
        <w:t>《公司对</w:t>
      </w:r>
      <w:r>
        <w:rPr>
          <w:spacing w:val="-3"/>
          <w:w w:val="100"/>
        </w:rPr>
        <w:t>外</w:t>
      </w:r>
      <w:r>
        <w:rPr>
          <w:w w:val="100"/>
        </w:rPr>
        <w:t>担保</w:t>
      </w:r>
      <w:r>
        <w:rPr>
          <w:spacing w:val="-3"/>
          <w:w w:val="100"/>
        </w:rPr>
        <w:t>管</w:t>
      </w:r>
      <w:r>
        <w:rPr>
          <w:w w:val="100"/>
        </w:rPr>
        <w:t>理办法</w:t>
      </w:r>
      <w:r>
        <w:rPr>
          <w:spacing w:val="-106"/>
          <w:w w:val="100"/>
        </w:rPr>
        <w:t>》</w:t>
      </w:r>
      <w:r>
        <w:rPr>
          <w:spacing w:val="-13"/>
          <w:w w:val="100"/>
        </w:rPr>
        <w:t>，</w:t>
      </w:r>
      <w:r>
        <w:rPr>
          <w:w w:val="100"/>
        </w:rPr>
        <w:t>制</w:t>
      </w:r>
      <w:r>
        <w:rPr>
          <w:spacing w:val="-15"/>
          <w:w w:val="100"/>
        </w:rPr>
        <w:t>定</w:t>
      </w:r>
      <w:r>
        <w:rPr>
          <w:w w:val="100"/>
        </w:rPr>
        <w:t>《公司</w:t>
      </w:r>
      <w:r>
        <w:rPr>
          <w:w w:val="100"/>
        </w:rPr>
        <w:t> 内部企业借款管理</w:t>
      </w:r>
      <w:r>
        <w:rPr>
          <w:spacing w:val="-3"/>
          <w:w w:val="100"/>
        </w:rPr>
        <w:t>办</w:t>
      </w:r>
      <w:r>
        <w:rPr>
          <w:w w:val="100"/>
        </w:rPr>
        <w:t>法</w:t>
      </w:r>
      <w:r>
        <w:rPr>
          <w:spacing w:val="-106"/>
          <w:w w:val="100"/>
        </w:rPr>
        <w:t>》</w:t>
      </w:r>
      <w:r>
        <w:rPr>
          <w:spacing w:val="-108"/>
          <w:w w:val="100"/>
        </w:rPr>
        <w:t>、</w:t>
      </w:r>
      <w:r>
        <w:rPr>
          <w:w w:val="100"/>
        </w:rPr>
        <w:t>《公司产权变动管</w:t>
      </w:r>
      <w:r>
        <w:rPr>
          <w:spacing w:val="-3"/>
          <w:w w:val="100"/>
        </w:rPr>
        <w:t>理</w:t>
      </w:r>
      <w:r>
        <w:rPr>
          <w:w w:val="100"/>
        </w:rPr>
        <w:t>规</w:t>
      </w:r>
      <w:r>
        <w:rPr>
          <w:spacing w:val="-3"/>
          <w:w w:val="100"/>
        </w:rPr>
        <w:t>定</w:t>
      </w:r>
      <w:r>
        <w:rPr>
          <w:w w:val="100"/>
        </w:rPr>
        <w:t>》的事项</w:t>
      </w:r>
      <w:r>
        <w:rPr>
          <w:b w:val="0"/>
          <w:bCs w:val="0"/>
          <w:w w:val="100"/>
        </w:rPr>
      </w:r>
    </w:p>
    <w:p>
      <w:pPr>
        <w:pStyle w:val="BodyText"/>
        <w:spacing w:line="355" w:lineRule="auto" w:before="119"/>
        <w:ind w:left="212" w:right="1315" w:firstLine="420"/>
        <w:jc w:val="both"/>
      </w:pPr>
      <w:r>
        <w:rPr>
          <w:spacing w:val="-3"/>
        </w:rPr>
        <w:t>报告期，经公司第八届董事会第十一次会议审议通过，为强化公司财务管控，规范融资行为、对外</w:t>
      </w:r>
      <w:r>
        <w:rPr>
          <w:w w:val="100"/>
        </w:rPr>
        <w:t> </w:t>
      </w:r>
      <w:r>
        <w:rPr>
          <w:spacing w:val="-12"/>
          <w:w w:val="100"/>
        </w:rPr>
        <w:t>担保管理工作，提高资金使用效率，公司修订了《公司财务管理制度》、《公司融资管理办法》、《公司对</w:t>
      </w:r>
      <w:r>
        <w:rPr>
          <w:spacing w:val="-75"/>
          <w:w w:val="100"/>
        </w:rPr>
        <w:t> </w:t>
      </w:r>
      <w:r>
        <w:rPr>
          <w:spacing w:val="-75"/>
          <w:w w:val="100"/>
        </w:rPr>
      </w:r>
      <w:r>
        <w:rPr>
          <w:spacing w:val="-7"/>
          <w:w w:val="100"/>
        </w:rPr>
        <w:t>外担保管理办法》，制定了《公司内部企业借款管理办法》。为加强公司产权变动事项的管理，公司制定</w:t>
      </w:r>
      <w:r>
        <w:rPr>
          <w:spacing w:val="-98"/>
          <w:w w:val="100"/>
        </w:rPr>
        <w:t> </w:t>
      </w:r>
      <w:r>
        <w:rPr>
          <w:spacing w:val="-98"/>
          <w:w w:val="100"/>
        </w:rPr>
      </w:r>
      <w:r>
        <w:rPr>
          <w:spacing w:val="-12"/>
          <w:w w:val="100"/>
        </w:rPr>
        <w:t>了《公司产权变动管理规定》。（详见公司于</w:t>
      </w:r>
      <w:r>
        <w:rPr>
          <w:spacing w:val="-51"/>
          <w:w w:val="100"/>
        </w:rPr>
        <w:t> </w:t>
      </w:r>
      <w:r>
        <w:rPr>
          <w:rFonts w:ascii="Times New Roman" w:hAnsi="Times New Roman" w:cs="Times New Roman" w:eastAsia="Times New Roman" w:hint="default"/>
          <w:spacing w:val="-1"/>
          <w:w w:val="100"/>
        </w:rPr>
        <w:t>2018 </w:t>
      </w:r>
      <w:r>
        <w:rPr>
          <w:w w:val="100"/>
        </w:rPr>
        <w:t>年</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24 </w:t>
      </w:r>
      <w:r>
        <w:rPr>
          <w:spacing w:val="-2"/>
          <w:w w:val="100"/>
        </w:rPr>
        <w:t>日刊登在《证券时报》、《中国证券报》、</w:t>
      </w:r>
    </w:p>
    <w:p>
      <w:pPr>
        <w:pStyle w:val="BodyText"/>
        <w:spacing w:line="240" w:lineRule="auto" w:before="5"/>
        <w:ind w:left="212" w:right="1115"/>
        <w:jc w:val="left"/>
      </w:pPr>
      <w:r>
        <w:rPr/>
        <w:t>《上海证券报》、《证券日报》及巨潮资讯网的公告）</w:t>
      </w:r>
    </w:p>
    <w:p>
      <w:pPr>
        <w:pStyle w:val="Heading6"/>
        <w:spacing w:line="240" w:lineRule="auto" w:before="105"/>
        <w:ind w:left="635" w:right="1115"/>
        <w:jc w:val="left"/>
        <w:rPr>
          <w:b w:val="0"/>
          <w:bCs w:val="0"/>
        </w:rPr>
      </w:pPr>
      <w:r>
        <w:rPr>
          <w:rFonts w:ascii="Times New Roman" w:hAnsi="Times New Roman" w:cs="Times New Roman" w:eastAsia="Times New Roman" w:hint="default"/>
        </w:rPr>
        <w:t>5</w:t>
      </w:r>
      <w:r>
        <w:rPr/>
        <w:t>、关于超短期融资券及中期票据事项</w:t>
      </w:r>
      <w:r>
        <w:rPr>
          <w:b w:val="0"/>
          <w:bCs w:val="0"/>
        </w:rPr>
      </w:r>
    </w:p>
    <w:p>
      <w:pPr>
        <w:pStyle w:val="BodyText"/>
        <w:spacing w:line="240" w:lineRule="auto" w:before="152"/>
        <w:ind w:left="633" w:right="1115"/>
        <w:jc w:val="left"/>
      </w:pPr>
      <w:r>
        <w:rPr/>
        <w:t>报告期，经公司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年第二次临时股东大会审议通过，为保障公司经营发展资金需求，优化融资</w:t>
      </w:r>
    </w:p>
    <w:p>
      <w:pPr>
        <w:pStyle w:val="BodyText"/>
        <w:spacing w:line="240" w:lineRule="auto" w:before="117"/>
        <w:ind w:left="212" w:right="1115"/>
        <w:jc w:val="left"/>
      </w:pPr>
      <w:r>
        <w:rPr/>
        <w:t>结构，公司拟向中国银行间市场交易商协会申请注册发行不超过</w:t>
      </w:r>
      <w:r>
        <w:rPr>
          <w:spacing w:val="-52"/>
        </w:rPr>
        <w:t> </w:t>
      </w:r>
      <w:r>
        <w:rPr>
          <w:rFonts w:ascii="Times New Roman" w:hAnsi="Times New Roman" w:cs="Times New Roman" w:eastAsia="Times New Roman" w:hint="default"/>
        </w:rPr>
        <w:t>20 </w:t>
      </w:r>
      <w:r>
        <w:rPr>
          <w:spacing w:val="-5"/>
        </w:rPr>
        <w:t>亿元（含</w:t>
      </w:r>
      <w:r>
        <w:rPr>
          <w:spacing w:val="-55"/>
        </w:rPr>
        <w:t> </w:t>
      </w:r>
      <w:r>
        <w:rPr>
          <w:rFonts w:ascii="Times New Roman" w:hAnsi="Times New Roman" w:cs="Times New Roman" w:eastAsia="Times New Roman" w:hint="default"/>
        </w:rPr>
        <w:t>20 </w:t>
      </w:r>
      <w:r>
        <w:rPr>
          <w:spacing w:val="-3"/>
        </w:rPr>
        <w:t>亿元）的超短期融资券</w:t>
      </w:r>
    </w:p>
    <w:p>
      <w:pPr>
        <w:pStyle w:val="BodyText"/>
        <w:spacing w:line="240" w:lineRule="auto" w:before="119"/>
        <w:ind w:left="212" w:right="1115"/>
        <w:jc w:val="left"/>
      </w:pPr>
      <w:r>
        <w:rPr>
          <w:w w:val="100"/>
        </w:rPr>
        <w:t>及不</w:t>
      </w:r>
      <w:r>
        <w:rPr>
          <w:spacing w:val="-3"/>
          <w:w w:val="100"/>
        </w:rPr>
        <w:t>超</w:t>
      </w:r>
      <w:r>
        <w:rPr>
          <w:w w:val="100"/>
        </w:rPr>
        <w:t>过</w:t>
      </w:r>
      <w:r>
        <w:rPr>
          <w:spacing w:val="-4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7"/>
        </w:rPr>
        <w:t> </w:t>
      </w:r>
      <w:r>
        <w:rPr>
          <w:spacing w:val="-3"/>
          <w:w w:val="100"/>
        </w:rPr>
        <w:t>亿</w:t>
      </w:r>
      <w:r>
        <w:rPr>
          <w:w w:val="100"/>
        </w:rPr>
        <w:t>元（含</w:t>
      </w:r>
      <w:r>
        <w:rPr>
          <w:spacing w:val="-4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7"/>
        </w:rPr>
        <w:t> </w:t>
      </w:r>
      <w:r>
        <w:rPr>
          <w:w w:val="100"/>
        </w:rPr>
        <w:t>亿元</w:t>
      </w:r>
      <w:r>
        <w:rPr>
          <w:spacing w:val="-3"/>
          <w:w w:val="100"/>
        </w:rPr>
        <w:t>）</w:t>
      </w:r>
      <w:r>
        <w:rPr>
          <w:w w:val="100"/>
        </w:rPr>
        <w:t>的</w:t>
      </w:r>
      <w:r>
        <w:rPr>
          <w:spacing w:val="-3"/>
          <w:w w:val="100"/>
        </w:rPr>
        <w:t>中</w:t>
      </w:r>
      <w:r>
        <w:rPr>
          <w:w w:val="100"/>
        </w:rPr>
        <w:t>期</w:t>
      </w:r>
      <w:r>
        <w:rPr>
          <w:spacing w:val="-3"/>
          <w:w w:val="100"/>
        </w:rPr>
        <w:t>票</w:t>
      </w:r>
      <w:r>
        <w:rPr>
          <w:w w:val="100"/>
        </w:rPr>
        <w:t>据</w:t>
      </w:r>
      <w:r>
        <w:rPr>
          <w:spacing w:val="-3"/>
          <w:w w:val="100"/>
        </w:rPr>
        <w:t>。</w:t>
      </w:r>
      <w:r>
        <w:rPr>
          <w:w w:val="100"/>
        </w:rPr>
        <w:t>超</w:t>
      </w:r>
      <w:r>
        <w:rPr>
          <w:spacing w:val="-3"/>
          <w:w w:val="100"/>
        </w:rPr>
        <w:t>短</w:t>
      </w:r>
      <w:r>
        <w:rPr>
          <w:w w:val="100"/>
        </w:rPr>
        <w:t>期融</w:t>
      </w:r>
      <w:r>
        <w:rPr>
          <w:spacing w:val="-3"/>
          <w:w w:val="100"/>
        </w:rPr>
        <w:t>资</w:t>
      </w:r>
      <w:r>
        <w:rPr>
          <w:w w:val="100"/>
        </w:rPr>
        <w:t>券</w:t>
      </w:r>
      <w:r>
        <w:rPr>
          <w:spacing w:val="-3"/>
          <w:w w:val="100"/>
        </w:rPr>
        <w:t>期</w:t>
      </w:r>
      <w:r>
        <w:rPr>
          <w:w w:val="100"/>
        </w:rPr>
        <w:t>限</w:t>
      </w:r>
      <w:r>
        <w:rPr>
          <w:spacing w:val="-3"/>
          <w:w w:val="100"/>
        </w:rPr>
        <w:t>不</w:t>
      </w:r>
      <w:r>
        <w:rPr>
          <w:w w:val="100"/>
        </w:rPr>
        <w:t>超过</w:t>
      </w:r>
      <w:r>
        <w:rPr>
          <w:spacing w:val="-4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70</w:t>
      </w:r>
      <w:r>
        <w:rPr>
          <w:rFonts w:ascii="Times New Roman" w:hAnsi="Times New Roman" w:cs="Times New Roman" w:eastAsia="Times New Roman" w:hint="default"/>
          <w:spacing w:val="7"/>
        </w:rPr>
        <w:t> </w:t>
      </w:r>
      <w:r>
        <w:rPr>
          <w:w w:val="100"/>
        </w:rPr>
        <w:t>天（含</w:t>
      </w:r>
      <w:r>
        <w:rPr>
          <w:spacing w:val="-4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70</w:t>
      </w:r>
      <w:r>
        <w:rPr>
          <w:rFonts w:ascii="Times New Roman" w:hAnsi="Times New Roman" w:cs="Times New Roman" w:eastAsia="Times New Roman" w:hint="default"/>
          <w:spacing w:val="8"/>
        </w:rPr>
        <w:t> </w:t>
      </w:r>
      <w:r>
        <w:rPr>
          <w:w w:val="100"/>
        </w:rPr>
        <w:t>天</w:t>
      </w:r>
      <w:r>
        <w:rPr>
          <w:spacing w:val="-108"/>
          <w:w w:val="100"/>
        </w:rPr>
        <w:t>）</w:t>
      </w:r>
      <w:r>
        <w:rPr>
          <w:w w:val="100"/>
        </w:rPr>
        <w:t>，</w:t>
      </w:r>
      <w:r>
        <w:rPr>
          <w:spacing w:val="-3"/>
          <w:w w:val="100"/>
        </w:rPr>
        <w:t>中</w:t>
      </w:r>
      <w:r>
        <w:rPr>
          <w:w w:val="100"/>
        </w:rPr>
        <w:t>期</w:t>
      </w:r>
      <w:r>
        <w:rPr>
          <w:spacing w:val="-3"/>
          <w:w w:val="100"/>
        </w:rPr>
        <w:t>票</w:t>
      </w:r>
      <w:r>
        <w:rPr>
          <w:w w:val="100"/>
        </w:rPr>
        <w:t>据</w:t>
      </w:r>
    </w:p>
    <w:p>
      <w:pPr>
        <w:spacing w:after="0" w:line="240" w:lineRule="auto"/>
        <w:jc w:val="left"/>
        <w:sectPr>
          <w:pgSz w:w="11910" w:h="16840"/>
          <w:pgMar w:header="877" w:footer="1265" w:top="1100" w:bottom="1460" w:left="920" w:right="0"/>
        </w:sectPr>
      </w:pPr>
    </w:p>
    <w:p>
      <w:pPr>
        <w:spacing w:line="240" w:lineRule="auto" w:before="10"/>
        <w:rPr>
          <w:rFonts w:ascii="宋体" w:hAnsi="宋体" w:cs="宋体" w:eastAsia="宋体" w:hint="default"/>
          <w:sz w:val="19"/>
          <w:szCs w:val="19"/>
        </w:rPr>
      </w:pPr>
      <w:r>
        <w:rPr/>
        <w:pict>
          <v:group style="position:absolute;margin-left:51pt;margin-top:71.759979pt;width:482.05pt;height:693.6pt;mso-position-horizontal-relative:page;mso-position-vertical-relative:page;z-index:-1637128" coordorigin="1020,1435" coordsize="9641,13872">
            <v:group style="position:absolute;left:1030;top:1445;width:9622;height:2" coordorigin="1030,1445" coordsize="9622,2">
              <v:shape style="position:absolute;left:1030;top:1445;width:9622;height:2" coordorigin="1030,1445" coordsize="9622,0" path="m1030,1445l10651,1445e" filled="false" stroked="true" strokeweight=".48pt" strokecolor="#000000">
                <v:path arrowok="t"/>
              </v:shape>
            </v:group>
            <v:group style="position:absolute;left:1025;top:1440;width:2;height:13863" coordorigin="1025,1440" coordsize="2,13863">
              <v:shape style="position:absolute;left:1025;top:1440;width:2;height:13863" coordorigin="1025,1440" coordsize="0,13863" path="m1025,1440l1025,15302e" filled="false" stroked="true" strokeweight=".48pt" strokecolor="#000000">
                <v:path arrowok="t"/>
              </v:shape>
            </v:group>
            <v:group style="position:absolute;left:1030;top:15298;width:9622;height:2" coordorigin="1030,15298" coordsize="9622,2">
              <v:shape style="position:absolute;left:1030;top:15298;width:9622;height:2" coordorigin="1030,15298" coordsize="9622,0" path="m1030,15298l10651,15298e" filled="false" stroked="true" strokeweight=".47998pt" strokecolor="#000000">
                <v:path arrowok="t"/>
              </v:shape>
            </v:group>
            <v:group style="position:absolute;left:10656;top:1440;width:2;height:13863" coordorigin="10656,1440" coordsize="2,13863">
              <v:shape style="position:absolute;left:10656;top:1440;width:2;height:13863" coordorigin="10656,1440" coordsize="0,13863" path="m10656,1440l10656,15302e" filled="false" stroked="true" strokeweight=".47998pt" strokecolor="#000000">
                <v:path arrowok="t"/>
              </v:shape>
            </v:group>
            <w10:wrap type="none"/>
          </v:group>
        </w:pict>
      </w:r>
    </w:p>
    <w:p>
      <w:pPr>
        <w:pStyle w:val="BodyText"/>
        <w:spacing w:line="372" w:lineRule="auto"/>
        <w:ind w:left="633" w:right="1348" w:hanging="421"/>
        <w:jc w:val="left"/>
        <w:rPr>
          <w:rFonts w:ascii="Times New Roman" w:hAnsi="Times New Roman" w:cs="Times New Roman" w:eastAsia="Times New Roman" w:hint="default"/>
        </w:rPr>
      </w:pPr>
      <w:r>
        <w:rPr>
          <w:w w:val="100"/>
        </w:rPr>
        <w:t>期限</w:t>
      </w:r>
      <w:r>
        <w:rPr>
          <w:spacing w:val="-3"/>
          <w:w w:val="100"/>
        </w:rPr>
        <w:t>不超</w:t>
      </w:r>
      <w:r>
        <w:rPr>
          <w:w w:val="100"/>
        </w:rPr>
        <w:t>过</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年（</w:t>
      </w:r>
      <w:r>
        <w:rPr>
          <w:w w:val="100"/>
        </w:rPr>
        <w:t>含</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年</w:t>
      </w:r>
      <w:r>
        <w:rPr>
          <w:spacing w:val="-108"/>
          <w:w w:val="100"/>
        </w:rPr>
        <w:t>）</w:t>
      </w:r>
      <w:r>
        <w:rPr>
          <w:w w:val="100"/>
        </w:rPr>
        <w:t>。</w:t>
      </w:r>
      <w:r>
        <w:rPr>
          <w:w w:val="100"/>
        </w:rPr>
        <w:t> 报告</w:t>
      </w:r>
      <w:r>
        <w:rPr>
          <w:spacing w:val="-3"/>
          <w:w w:val="100"/>
        </w:rPr>
        <w:t>期</w:t>
      </w:r>
      <w:r>
        <w:rPr>
          <w:spacing w:val="-41"/>
          <w:w w:val="100"/>
        </w:rPr>
        <w:t>，</w:t>
      </w:r>
      <w:r>
        <w:rPr>
          <w:spacing w:val="-3"/>
          <w:w w:val="100"/>
        </w:rPr>
        <w:t>公</w:t>
      </w:r>
      <w:r>
        <w:rPr>
          <w:w w:val="100"/>
        </w:rPr>
        <w:t>司</w:t>
      </w:r>
      <w:r>
        <w:rPr>
          <w:spacing w:val="-3"/>
          <w:w w:val="100"/>
        </w:rPr>
        <w:t>收</w:t>
      </w:r>
      <w:r>
        <w:rPr>
          <w:w w:val="100"/>
        </w:rPr>
        <w:t>到</w:t>
      </w:r>
      <w:r>
        <w:rPr>
          <w:spacing w:val="-3"/>
          <w:w w:val="100"/>
        </w:rPr>
        <w:t>中</w:t>
      </w:r>
      <w:r>
        <w:rPr>
          <w:w w:val="100"/>
        </w:rPr>
        <w:t>国</w:t>
      </w:r>
      <w:r>
        <w:rPr>
          <w:spacing w:val="-3"/>
          <w:w w:val="100"/>
        </w:rPr>
        <w:t>银</w:t>
      </w:r>
      <w:r>
        <w:rPr>
          <w:w w:val="100"/>
        </w:rPr>
        <w:t>行间</w:t>
      </w:r>
      <w:r>
        <w:rPr>
          <w:spacing w:val="-3"/>
          <w:w w:val="100"/>
        </w:rPr>
        <w:t>市</w:t>
      </w:r>
      <w:r>
        <w:rPr>
          <w:w w:val="100"/>
        </w:rPr>
        <w:t>场</w:t>
      </w:r>
      <w:r>
        <w:rPr>
          <w:spacing w:val="-3"/>
          <w:w w:val="100"/>
        </w:rPr>
        <w:t>交</w:t>
      </w:r>
      <w:r>
        <w:rPr>
          <w:w w:val="100"/>
        </w:rPr>
        <w:t>易</w:t>
      </w:r>
      <w:r>
        <w:rPr>
          <w:spacing w:val="-3"/>
          <w:w w:val="100"/>
        </w:rPr>
        <w:t>商</w:t>
      </w:r>
      <w:r>
        <w:rPr>
          <w:w w:val="100"/>
        </w:rPr>
        <w:t>协</w:t>
      </w:r>
      <w:r>
        <w:rPr>
          <w:spacing w:val="-3"/>
          <w:w w:val="100"/>
        </w:rPr>
        <w:t>会</w:t>
      </w:r>
      <w:r>
        <w:rPr>
          <w:w w:val="100"/>
        </w:rPr>
        <w:t>出</w:t>
      </w:r>
      <w:r>
        <w:rPr>
          <w:spacing w:val="-3"/>
          <w:w w:val="100"/>
        </w:rPr>
        <w:t>具</w:t>
      </w:r>
      <w:r>
        <w:rPr>
          <w:spacing w:val="-41"/>
          <w:w w:val="100"/>
        </w:rPr>
        <w:t>的</w:t>
      </w:r>
      <w:r>
        <w:rPr>
          <w:w w:val="100"/>
        </w:rPr>
        <w:t>《</w:t>
      </w:r>
      <w:r>
        <w:rPr>
          <w:spacing w:val="-3"/>
          <w:w w:val="100"/>
        </w:rPr>
        <w:t>接</w:t>
      </w:r>
      <w:r>
        <w:rPr>
          <w:w w:val="100"/>
        </w:rPr>
        <w:t>受</w:t>
      </w:r>
      <w:r>
        <w:rPr>
          <w:spacing w:val="-3"/>
          <w:w w:val="100"/>
        </w:rPr>
        <w:t>注</w:t>
      </w:r>
      <w:r>
        <w:rPr>
          <w:w w:val="100"/>
        </w:rPr>
        <w:t>册</w:t>
      </w:r>
      <w:r>
        <w:rPr>
          <w:spacing w:val="-3"/>
          <w:w w:val="100"/>
        </w:rPr>
        <w:t>通</w:t>
      </w:r>
      <w:r>
        <w:rPr>
          <w:w w:val="100"/>
        </w:rPr>
        <w:t>知书</w:t>
      </w:r>
      <w:r>
        <w:rPr>
          <w:spacing w:val="-149"/>
          <w:w w:val="100"/>
        </w:rPr>
        <w:t>》</w:t>
      </w:r>
      <w:r>
        <w:rPr>
          <w:w w:val="100"/>
        </w:rPr>
        <w:t>（</w:t>
      </w:r>
      <w:r>
        <w:rPr>
          <w:spacing w:val="-3"/>
          <w:w w:val="100"/>
        </w:rPr>
        <w:t>中</w:t>
      </w:r>
      <w:r>
        <w:rPr>
          <w:w w:val="100"/>
        </w:rPr>
        <w:t>市协</w:t>
      </w:r>
      <w:r>
        <w:rPr>
          <w:spacing w:val="-44"/>
          <w:w w:val="100"/>
        </w:rPr>
        <w:t>注</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spacing w:val="-41"/>
          <w:w w:val="100"/>
        </w:rPr>
        <w:t>】</w:t>
      </w:r>
      <w:r>
        <w:rPr>
          <w:rFonts w:ascii="Times New Roman" w:hAnsi="Times New Roman" w:cs="Times New Roman" w:eastAsia="Times New Roman" w:hint="default"/>
          <w:spacing w:val="-3"/>
          <w:w w:val="100"/>
        </w:rPr>
        <w:t>S</w:t>
      </w:r>
      <w:r>
        <w:rPr>
          <w:rFonts w:ascii="Times New Roman" w:hAnsi="Times New Roman" w:cs="Times New Roman" w:eastAsia="Times New Roman" w:hint="default"/>
          <w:spacing w:val="-2"/>
          <w:w w:val="100"/>
        </w:rPr>
        <w:t>C</w:t>
      </w:r>
      <w:r>
        <w:rPr>
          <w:rFonts w:ascii="Times New Roman" w:hAnsi="Times New Roman" w:cs="Times New Roman" w:eastAsia="Times New Roman" w:hint="default"/>
          <w:w w:val="100"/>
        </w:rPr>
        <w:t>P345</w:t>
      </w:r>
    </w:p>
    <w:p>
      <w:pPr>
        <w:pStyle w:val="BodyText"/>
        <w:spacing w:line="280" w:lineRule="exact" w:before="0"/>
        <w:ind w:left="212" w:right="1115"/>
        <w:jc w:val="left"/>
      </w:pPr>
      <w:r>
        <w:rPr>
          <w:w w:val="100"/>
        </w:rPr>
        <w:t>号</w:t>
      </w:r>
      <w:r>
        <w:rPr>
          <w:spacing w:val="-106"/>
          <w:w w:val="100"/>
        </w:rPr>
        <w:t>）</w:t>
      </w:r>
      <w:r>
        <w:rPr>
          <w:spacing w:val="-10"/>
          <w:w w:val="100"/>
        </w:rPr>
        <w:t>，</w:t>
      </w:r>
      <w:r>
        <w:rPr>
          <w:w w:val="100"/>
        </w:rPr>
        <w:t>同</w:t>
      </w:r>
      <w:r>
        <w:rPr>
          <w:spacing w:val="-3"/>
          <w:w w:val="100"/>
        </w:rPr>
        <w:t>意</w:t>
      </w:r>
      <w:r>
        <w:rPr>
          <w:w w:val="100"/>
        </w:rPr>
        <w:t>接</w:t>
      </w:r>
      <w:r>
        <w:rPr>
          <w:spacing w:val="-3"/>
          <w:w w:val="100"/>
        </w:rPr>
        <w:t>受</w:t>
      </w:r>
      <w:r>
        <w:rPr>
          <w:w w:val="100"/>
        </w:rPr>
        <w:t>公</w:t>
      </w:r>
      <w:r>
        <w:rPr>
          <w:spacing w:val="-3"/>
          <w:w w:val="100"/>
        </w:rPr>
        <w:t>司</w:t>
      </w:r>
      <w:r>
        <w:rPr>
          <w:w w:val="100"/>
        </w:rPr>
        <w:t>超</w:t>
      </w:r>
      <w:r>
        <w:rPr>
          <w:spacing w:val="-3"/>
          <w:w w:val="100"/>
        </w:rPr>
        <w:t>短期</w:t>
      </w:r>
      <w:r>
        <w:rPr>
          <w:w w:val="100"/>
        </w:rPr>
        <w:t>融资</w:t>
      </w:r>
      <w:r>
        <w:rPr>
          <w:spacing w:val="-3"/>
          <w:w w:val="100"/>
        </w:rPr>
        <w:t>券</w:t>
      </w:r>
      <w:r>
        <w:rPr>
          <w:w w:val="100"/>
        </w:rPr>
        <w:t>的</w:t>
      </w:r>
      <w:r>
        <w:rPr>
          <w:spacing w:val="-3"/>
          <w:w w:val="100"/>
        </w:rPr>
        <w:t>注册</w:t>
      </w:r>
      <w:r>
        <w:rPr>
          <w:spacing w:val="-8"/>
          <w:w w:val="100"/>
        </w:rPr>
        <w:t>，</w:t>
      </w:r>
      <w:r>
        <w:rPr>
          <w:spacing w:val="-3"/>
          <w:w w:val="100"/>
        </w:rPr>
        <w:t>注</w:t>
      </w:r>
      <w:r>
        <w:rPr>
          <w:w w:val="100"/>
        </w:rPr>
        <w:t>册</w:t>
      </w:r>
      <w:r>
        <w:rPr>
          <w:spacing w:val="-3"/>
          <w:w w:val="100"/>
        </w:rPr>
        <w:t>金额</w:t>
      </w:r>
      <w:r>
        <w:rPr>
          <w:w w:val="100"/>
        </w:rPr>
        <w:t>为</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rPr>
        <w:t> </w:t>
      </w:r>
      <w:r>
        <w:rPr>
          <w:w w:val="100"/>
        </w:rPr>
        <w:t>亿</w:t>
      </w:r>
      <w:r>
        <w:rPr>
          <w:spacing w:val="-3"/>
          <w:w w:val="100"/>
        </w:rPr>
        <w:t>元</w:t>
      </w:r>
      <w:r>
        <w:rPr>
          <w:spacing w:val="-8"/>
          <w:w w:val="100"/>
        </w:rPr>
        <w:t>，</w:t>
      </w:r>
      <w:r>
        <w:rPr>
          <w:spacing w:val="-3"/>
          <w:w w:val="100"/>
        </w:rPr>
        <w:t>注</w:t>
      </w:r>
      <w:r>
        <w:rPr>
          <w:w w:val="100"/>
        </w:rPr>
        <w:t>册</w:t>
      </w:r>
      <w:r>
        <w:rPr>
          <w:spacing w:val="-3"/>
          <w:w w:val="100"/>
        </w:rPr>
        <w:t>额</w:t>
      </w:r>
      <w:r>
        <w:rPr>
          <w:w w:val="100"/>
        </w:rPr>
        <w:t>度</w:t>
      </w:r>
      <w:r>
        <w:rPr>
          <w:spacing w:val="-10"/>
          <w:w w:val="100"/>
        </w:rPr>
        <w:t>自</w:t>
      </w:r>
      <w:r>
        <w:rPr>
          <w:spacing w:val="-3"/>
          <w:w w:val="100"/>
        </w:rPr>
        <w:t>《</w:t>
      </w:r>
      <w:r>
        <w:rPr>
          <w:w w:val="100"/>
        </w:rPr>
        <w:t>接受</w:t>
      </w:r>
      <w:r>
        <w:rPr>
          <w:spacing w:val="-3"/>
          <w:w w:val="100"/>
        </w:rPr>
        <w:t>注</w:t>
      </w:r>
      <w:r>
        <w:rPr>
          <w:w w:val="100"/>
        </w:rPr>
        <w:t>册</w:t>
      </w:r>
      <w:r>
        <w:rPr>
          <w:spacing w:val="-3"/>
          <w:w w:val="100"/>
        </w:rPr>
        <w:t>通</w:t>
      </w:r>
      <w:r>
        <w:rPr>
          <w:w w:val="100"/>
        </w:rPr>
        <w:t>知</w:t>
      </w:r>
      <w:r>
        <w:rPr>
          <w:spacing w:val="-3"/>
          <w:w w:val="100"/>
        </w:rPr>
        <w:t>书</w:t>
      </w:r>
      <w:r>
        <w:rPr>
          <w:spacing w:val="-10"/>
          <w:w w:val="100"/>
        </w:rPr>
        <w:t>》</w:t>
      </w:r>
      <w:r>
        <w:rPr>
          <w:w w:val="100"/>
        </w:rPr>
        <w:t>落</w:t>
      </w:r>
      <w:r>
        <w:rPr>
          <w:spacing w:val="-3"/>
          <w:w w:val="100"/>
        </w:rPr>
        <w:t>款</w:t>
      </w:r>
      <w:r>
        <w:rPr>
          <w:w w:val="100"/>
        </w:rPr>
        <w:t>之</w:t>
      </w:r>
    </w:p>
    <w:p>
      <w:pPr>
        <w:pStyle w:val="BodyText"/>
        <w:spacing w:line="240" w:lineRule="auto" w:before="117"/>
        <w:ind w:left="212" w:right="1115"/>
        <w:jc w:val="left"/>
      </w:pPr>
      <w:r>
        <w:rPr/>
        <w:t>日起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spacing w:val="-3"/>
        </w:rPr>
        <w:t>年内有效，由中国农业银行股份有限公司和中国民生银行股份有限公司联席主承销，在注册有效</w:t>
      </w:r>
    </w:p>
    <w:p>
      <w:pPr>
        <w:pStyle w:val="BodyText"/>
        <w:spacing w:line="240" w:lineRule="auto" w:before="119"/>
        <w:ind w:left="212" w:right="1115"/>
        <w:jc w:val="left"/>
      </w:pPr>
      <w:r>
        <w:rPr/>
        <w:t>期内可分期发行超短期融资券。根据公司资金计划安排和银行间市场情况，</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日，公司发</w:t>
      </w:r>
    </w:p>
    <w:p>
      <w:pPr>
        <w:pStyle w:val="BodyText"/>
        <w:spacing w:line="336" w:lineRule="auto" w:before="117"/>
        <w:ind w:left="212" w:right="1115"/>
        <w:jc w:val="left"/>
      </w:pPr>
      <w:r>
        <w:rPr>
          <w:w w:val="100"/>
        </w:rPr>
        <w:t>行了</w:t>
      </w:r>
      <w:r>
        <w:rPr>
          <w:spacing w:val="-5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spacing w:val="-11"/>
          <w:w w:val="100"/>
        </w:rPr>
        <w:t>年第一期超短期融资券。（详见公司于</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w w:val="100"/>
        </w:rPr>
        <w:t> </w:t>
      </w:r>
      <w:r>
        <w:rPr>
          <w:spacing w:val="-16"/>
          <w:w w:val="100"/>
        </w:rPr>
        <w:t>日、</w:t>
      </w:r>
      <w:r>
        <w:rPr>
          <w:rFonts w:ascii="Times New Roman" w:hAnsi="Times New Roman" w:cs="Times New Roman" w:eastAsia="Times New Roman" w:hint="default"/>
          <w:spacing w:val="-16"/>
          <w:w w:val="100"/>
        </w:rPr>
        <w:t>4</w:t>
      </w:r>
      <w:r>
        <w:rPr>
          <w:rFonts w:ascii="Times New Roman" w:hAnsi="Times New Roman" w:cs="Times New Roman" w:eastAsia="Times New Roman" w:hint="default"/>
          <w:w w:val="100"/>
        </w:rPr>
        <w:t> </w:t>
      </w:r>
      <w:r>
        <w:rPr>
          <w:w w:val="100"/>
        </w:rPr>
        <w:t>月</w:t>
      </w:r>
      <w:r>
        <w:rPr>
          <w:spacing w:val="-55"/>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 </w:t>
      </w:r>
      <w:r>
        <w:rPr>
          <w:spacing w:val="-2"/>
          <w:w w:val="100"/>
        </w:rPr>
        <w:t>日和</w:t>
      </w:r>
      <w:r>
        <w:rPr>
          <w:spacing w:val="-53"/>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w w:val="100"/>
        </w:rPr>
        <w:t>年</w:t>
      </w:r>
      <w:r>
        <w:rPr>
          <w:spacing w:val="-55"/>
          <w:w w:val="100"/>
        </w:rPr>
        <w:t> </w:t>
      </w:r>
      <w:r>
        <w:rPr>
          <w:rFonts w:ascii="Times New Roman" w:hAnsi="Times New Roman" w:cs="Times New Roman" w:eastAsia="Times New Roman" w:hint="default"/>
          <w:w w:val="100"/>
        </w:rPr>
        <w:t>4 </w:t>
      </w:r>
      <w:r>
        <w:rPr>
          <w:w w:val="100"/>
        </w:rPr>
        <w:t>月</w:t>
      </w:r>
      <w:r>
        <w:rPr>
          <w:spacing w:val="-55"/>
          <w:w w:val="100"/>
        </w:rPr>
        <w:t> </w:t>
      </w:r>
      <w:r>
        <w:rPr>
          <w:rFonts w:ascii="Times New Roman" w:hAnsi="Times New Roman" w:cs="Times New Roman" w:eastAsia="Times New Roman" w:hint="default"/>
          <w:w w:val="100"/>
        </w:rPr>
        <w:t>20 </w:t>
      </w:r>
      <w:r>
        <w:rPr>
          <w:spacing w:val="-1"/>
          <w:w w:val="100"/>
        </w:rPr>
        <w:t>日刊登</w:t>
      </w:r>
      <w:r>
        <w:rPr>
          <w:w w:val="100"/>
        </w:rPr>
        <w:t> </w:t>
      </w:r>
      <w:r>
        <w:rPr/>
        <w:t>在《证券时报》、《中国证券报》、《上海证券报》、《证券日报》及巨潮资讯网的公告）</w:t>
      </w:r>
    </w:p>
    <w:p>
      <w:pPr>
        <w:spacing w:line="340" w:lineRule="auto" w:before="23"/>
        <w:ind w:left="633" w:right="111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、关于深深宝重大资产重组事项</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报告期，深圳市深宝实业股份有限公司（现更名为“深圳市深粮控股股份有限公司”，股票代码：</w:t>
      </w:r>
    </w:p>
    <w:p>
      <w:pPr>
        <w:pStyle w:val="BodyText"/>
        <w:spacing w:line="340" w:lineRule="auto" w:before="45"/>
        <w:ind w:left="212" w:right="1282"/>
        <w:jc w:val="both"/>
      </w:pPr>
      <w:r>
        <w:rPr>
          <w:rFonts w:ascii="Times New Roman" w:hAnsi="Times New Roman" w:cs="Times New Roman" w:eastAsia="Times New Roman" w:hint="default"/>
          <w:spacing w:val="-2"/>
        </w:rPr>
        <w:t>000019</w:t>
      </w:r>
      <w:r>
        <w:rPr>
          <w:spacing w:val="-2"/>
        </w:rPr>
        <w:t>、</w:t>
      </w:r>
      <w:r>
        <w:rPr>
          <w:rFonts w:ascii="Times New Roman" w:hAnsi="Times New Roman" w:cs="Times New Roman" w:eastAsia="Times New Roman" w:hint="default"/>
          <w:spacing w:val="-2"/>
        </w:rPr>
        <w:t>200019</w:t>
      </w:r>
      <w:r>
        <w:rPr>
          <w:spacing w:val="-2"/>
        </w:rPr>
        <w:t>，证券简称“深粮控股”）已完成重大资产重组事项，重组方案系深深宝向深圳市福德</w:t>
      </w:r>
      <w:r>
        <w:rPr>
          <w:spacing w:val="-51"/>
        </w:rPr>
        <w:t> </w:t>
      </w:r>
      <w:r>
        <w:rPr>
          <w:spacing w:val="-51"/>
        </w:rPr>
      </w:r>
      <w:r>
        <w:rPr/>
        <w:t>国有资本运营有限公司发行股份购买福德资本持有的深圳市粮食集团有限公司</w:t>
      </w:r>
      <w:r>
        <w:rPr>
          <w:rFonts w:ascii="Times New Roman" w:hAnsi="Times New Roman" w:cs="Times New Roman" w:eastAsia="Times New Roman" w:hint="default"/>
        </w:rPr>
        <w:t>100%</w:t>
      </w:r>
      <w:r>
        <w:rPr/>
        <w:t>股权。深深宝与粮 </w:t>
      </w:r>
      <w:r>
        <w:rPr>
          <w:spacing w:val="2"/>
        </w:rPr>
        <w:t>食集团实际控制人同为深圳市国资委，本次深深宝重组事项完成后不会导致深深宝实际控制权发生变</w:t>
      </w:r>
      <w:r>
        <w:rPr>
          <w:spacing w:val="-39"/>
        </w:rPr>
        <w:t> </w:t>
      </w:r>
      <w:r>
        <w:rPr>
          <w:spacing w:val="-39"/>
        </w:rPr>
      </w:r>
      <w:r>
        <w:rPr/>
        <w:t>更。根据重组方案，粮食集团</w:t>
      </w:r>
      <w:r>
        <w:rPr>
          <w:rFonts w:ascii="Times New Roman" w:hAnsi="Times New Roman" w:cs="Times New Roman" w:eastAsia="Times New Roman" w:hint="default"/>
        </w:rPr>
        <w:t>100%</w:t>
      </w:r>
      <w:r>
        <w:rPr/>
        <w:t>股权作价为</w:t>
      </w:r>
      <w:r>
        <w:rPr>
          <w:rFonts w:ascii="Times New Roman" w:hAnsi="Times New Roman" w:cs="Times New Roman" w:eastAsia="Times New Roman" w:hint="default"/>
        </w:rPr>
        <w:t>587,554.64</w:t>
      </w:r>
      <w:r>
        <w:rPr/>
        <w:t>万元（评估值为</w:t>
      </w:r>
      <w:r>
        <w:rPr>
          <w:rFonts w:ascii="Times New Roman" w:hAnsi="Times New Roman" w:cs="Times New Roman" w:eastAsia="Times New Roman" w:hint="default"/>
        </w:rPr>
        <w:t>587,554.64</w:t>
      </w:r>
      <w:r>
        <w:rPr/>
        <w:t>万元），按照深深</w:t>
      </w:r>
      <w:r>
        <w:rPr>
          <w:spacing w:val="-9"/>
        </w:rPr>
        <w:t> </w:t>
      </w:r>
      <w:r>
        <w:rPr>
          <w:spacing w:val="-9"/>
        </w:rPr>
      </w:r>
      <w:r>
        <w:rPr/>
        <w:t>宝重组发行价格</w:t>
      </w:r>
      <w:r>
        <w:rPr>
          <w:rFonts w:ascii="Times New Roman" w:hAnsi="Times New Roman" w:cs="Times New Roman" w:eastAsia="Times New Roman" w:hint="default"/>
        </w:rPr>
        <w:t>8.96</w:t>
      </w:r>
      <w:r>
        <w:rPr/>
        <w:t>元</w:t>
      </w:r>
      <w:r>
        <w:rPr>
          <w:rFonts w:ascii="Times New Roman" w:hAnsi="Times New Roman" w:cs="Times New Roman" w:eastAsia="Times New Roman" w:hint="default"/>
        </w:rPr>
        <w:t>/</w:t>
      </w:r>
      <w:r>
        <w:rPr/>
        <w:t>股计算，重组完成后，深深宝总股本将由</w:t>
      </w:r>
      <w:r>
        <w:rPr>
          <w:rFonts w:ascii="Times New Roman" w:hAnsi="Times New Roman" w:cs="Times New Roman" w:eastAsia="Times New Roman" w:hint="default"/>
        </w:rPr>
        <w:t>49,678.23</w:t>
      </w:r>
      <w:r>
        <w:rPr/>
        <w:t>万股增至</w:t>
      </w:r>
      <w:r>
        <w:rPr>
          <w:rFonts w:ascii="Times New Roman" w:hAnsi="Times New Roman" w:cs="Times New Roman" w:eastAsia="Times New Roman" w:hint="default"/>
        </w:rPr>
        <w:t>115,253.53</w:t>
      </w:r>
      <w:r>
        <w:rPr/>
        <w:t>万股。公</w:t>
      </w:r>
      <w:r>
        <w:rPr>
          <w:spacing w:val="-47"/>
        </w:rPr>
        <w:t> </w:t>
      </w:r>
      <w:r>
        <w:rPr>
          <w:spacing w:val="-47"/>
        </w:rPr>
      </w:r>
      <w:r>
        <w:rPr>
          <w:spacing w:val="-2"/>
        </w:rPr>
        <w:t>司持有深深宝股份数量仍为</w:t>
      </w:r>
      <w:r>
        <w:rPr>
          <w:rFonts w:ascii="Times New Roman" w:hAnsi="Times New Roman" w:cs="Times New Roman" w:eastAsia="Times New Roman" w:hint="default"/>
          <w:spacing w:val="-2"/>
        </w:rPr>
        <w:t>94,832,294</w:t>
      </w:r>
      <w:r>
        <w:rPr>
          <w:spacing w:val="-2"/>
        </w:rPr>
        <w:t>股，未发生变化，公司持有深深宝股权比例由</w:t>
      </w:r>
      <w:r>
        <w:rPr>
          <w:rFonts w:ascii="Times New Roman" w:hAnsi="Times New Roman" w:cs="Times New Roman" w:eastAsia="Times New Roman" w:hint="default"/>
          <w:spacing w:val="-2"/>
        </w:rPr>
        <w:t>19.09%</w:t>
      </w:r>
      <w:r>
        <w:rPr>
          <w:spacing w:val="-2"/>
        </w:rPr>
        <w:t>降为</w:t>
      </w:r>
      <w:r>
        <w:rPr>
          <w:rFonts w:ascii="Times New Roman" w:hAnsi="Times New Roman" w:cs="Times New Roman" w:eastAsia="Times New Roman" w:hint="default"/>
          <w:spacing w:val="-2"/>
        </w:rPr>
        <w:t>8.23%</w:t>
      </w:r>
      <w:r>
        <w:rPr>
          <w:spacing w:val="-2"/>
        </w:rPr>
        <w:t>。</w:t>
      </w:r>
    </w:p>
    <w:p>
      <w:pPr>
        <w:pStyle w:val="BodyText"/>
        <w:spacing w:line="240" w:lineRule="auto" w:before="58"/>
        <w:ind w:left="633" w:right="1115"/>
        <w:jc w:val="left"/>
        <w:rPr>
          <w:rFonts w:ascii="Times New Roman" w:hAnsi="Times New Roman" w:cs="Times New Roman" w:eastAsia="Times New Roman" w:hint="default"/>
        </w:rPr>
      </w:pPr>
      <w:r>
        <w:rPr/>
        <w:t>（相关情况及历史进展情况详见公司于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10</w:t>
      </w:r>
    </w:p>
    <w:p>
      <w:pPr>
        <w:pStyle w:val="BodyText"/>
        <w:spacing w:line="336" w:lineRule="auto" w:before="119"/>
        <w:ind w:left="212" w:right="1115"/>
        <w:jc w:val="left"/>
      </w:pP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日和</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r>
        <w:rPr>
          <w:w w:val="100"/>
        </w:rPr>
        <w:t> </w:t>
      </w:r>
      <w:r>
        <w:rPr/>
        <w:t>在《证券时报》、《中国证券报》、《上海证券报》、《证券日报》及巨潮资讯网刊登的公告）</w:t>
      </w:r>
    </w:p>
    <w:p>
      <w:pPr>
        <w:pStyle w:val="Heading6"/>
        <w:spacing w:line="240" w:lineRule="auto" w:before="23"/>
        <w:ind w:left="635" w:right="1115"/>
        <w:jc w:val="left"/>
        <w:rPr>
          <w:b w:val="0"/>
          <w:bCs w:val="0"/>
        </w:rPr>
      </w:pPr>
      <w:r>
        <w:rPr>
          <w:rFonts w:ascii="Times New Roman" w:hAnsi="Times New Roman" w:cs="Times New Roman" w:eastAsia="Times New Roman" w:hint="default"/>
        </w:rPr>
        <w:t>7</w:t>
      </w:r>
      <w:r>
        <w:rPr/>
        <w:t>、关于会计政策变更的事项</w:t>
      </w:r>
      <w:r>
        <w:rPr>
          <w:b w:val="0"/>
          <w:bCs w:val="0"/>
        </w:rPr>
      </w:r>
    </w:p>
    <w:p>
      <w:pPr>
        <w:pStyle w:val="BodyText"/>
        <w:tabs>
          <w:tab w:pos="1895" w:val="left" w:leader="none"/>
        </w:tabs>
        <w:spacing w:line="240" w:lineRule="auto" w:before="150"/>
        <w:ind w:left="633" w:right="1115"/>
        <w:jc w:val="left"/>
      </w:pPr>
      <w:r>
        <w:rPr>
          <w:spacing w:val="-1"/>
        </w:rPr>
        <w:t>详见本章节</w:t>
        <w:tab/>
      </w:r>
      <w:r>
        <w:rPr>
          <w:spacing w:val="-2"/>
        </w:rPr>
        <w:t>六、与上年度财务报告相比，会计政策、会计估计和核算方法发生变化的情况说明</w:t>
      </w:r>
    </w:p>
    <w:p>
      <w:pPr>
        <w:pStyle w:val="Heading6"/>
        <w:spacing w:line="240" w:lineRule="auto" w:before="107"/>
        <w:ind w:left="635" w:right="1115"/>
        <w:jc w:val="left"/>
        <w:rPr>
          <w:b w:val="0"/>
          <w:bCs w:val="0"/>
        </w:rPr>
      </w:pPr>
      <w:r>
        <w:rPr>
          <w:rFonts w:ascii="Times New Roman" w:hAnsi="Times New Roman" w:cs="Times New Roman" w:eastAsia="Times New Roman" w:hint="default"/>
        </w:rPr>
        <w:t>8</w:t>
      </w:r>
      <w:r>
        <w:rPr/>
        <w:t>、国有股份无偿划转事项</w:t>
      </w:r>
      <w:r>
        <w:rPr>
          <w:b w:val="0"/>
          <w:bCs w:val="0"/>
        </w:rPr>
      </w:r>
    </w:p>
    <w:p>
      <w:pPr>
        <w:spacing w:line="314" w:lineRule="auto" w:before="150"/>
        <w:ind w:left="633" w:right="1115" w:firstLine="0"/>
        <w:jc w:val="left"/>
        <w:rPr>
          <w:rFonts w:ascii="宋体" w:hAnsi="宋体" w:cs="宋体" w:eastAsia="宋体" w:hint="default"/>
          <w:sz w:val="21"/>
          <w:szCs w:val="21"/>
        </w:rPr>
      </w:pPr>
      <w:r>
        <w:rPr>
          <w:rFonts w:ascii="宋体" w:hAnsi="宋体" w:cs="宋体" w:eastAsia="宋体" w:hint="default"/>
          <w:sz w:val="21"/>
          <w:szCs w:val="21"/>
        </w:rPr>
        <w:t>详见第六节 股份变动及股东情况 三、股东和实际控制人情况</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、公司控股股东情况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、深圳市农产品流通产业发展投资企业（有限合伙）的进展情况</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pacing w:val="-31"/>
          <w:sz w:val="21"/>
          <w:szCs w:val="21"/>
        </w:rPr>
      </w:r>
      <w:r>
        <w:rPr>
          <w:rFonts w:ascii="宋体" w:hAnsi="宋体" w:cs="宋体" w:eastAsia="宋体" w:hint="default"/>
          <w:spacing w:val="2"/>
          <w:sz w:val="21"/>
          <w:szCs w:val="21"/>
        </w:rPr>
        <w:t>公司作为有限合伙人联合中央财政资金及深圳市配套资金的委托出资人远致投资之全资子公司远</w:t>
      </w:r>
    </w:p>
    <w:p>
      <w:pPr>
        <w:pStyle w:val="BodyText"/>
        <w:spacing w:line="352" w:lineRule="auto" w:before="68"/>
        <w:ind w:left="212" w:right="1115"/>
        <w:jc w:val="left"/>
      </w:pPr>
      <w:r>
        <w:rPr>
          <w:spacing w:val="-2"/>
          <w:w w:val="100"/>
        </w:rPr>
        <w:t>致创投、运通资本公司（普通合伙人且为“基金管理人”）及深圳零下六十度冷链物流有限公司共同出</w:t>
      </w:r>
      <w:r>
        <w:rPr>
          <w:w w:val="100"/>
        </w:rPr>
        <w:t> </w:t>
      </w:r>
      <w:r>
        <w:rPr>
          <w:spacing w:val="-2"/>
          <w:w w:val="100"/>
        </w:rPr>
        <w:t>资设立深圳市农产品流通产业发展投资企业（有限合伙），募集资金用于投资农产品流通基础设施建设</w:t>
      </w:r>
      <w:r>
        <w:rPr>
          <w:w w:val="100"/>
        </w:rPr>
        <w:t> </w:t>
      </w:r>
      <w:r>
        <w:rPr/>
        <w:t>及农产品流通项目。农产品流通产业基金设立了（</w:t>
      </w:r>
      <w:r>
        <w:rPr>
          <w:rFonts w:ascii="宋体" w:hAnsi="宋体" w:cs="宋体" w:eastAsia="宋体" w:hint="default"/>
        </w:rPr>
        <w:t>1</w:t>
      </w:r>
      <w:r>
        <w:rPr/>
        <w:t>）深圳市运通致达农产品市场管理有限责任公司，</w:t>
      </w:r>
      <w:r>
        <w:rPr>
          <w:spacing w:val="-34"/>
        </w:rPr>
        <w:t> </w:t>
      </w:r>
      <w:r>
        <w:rPr>
          <w:spacing w:val="-34"/>
        </w:rPr>
      </w:r>
      <w:r>
        <w:rPr>
          <w:spacing w:val="-2"/>
          <w:w w:val="100"/>
        </w:rPr>
        <w:t>投资方向为“光明农产品批发市场项目”，运通致达公司与深圳市光明新区建设发展集团有限公司共同</w:t>
      </w:r>
      <w:r>
        <w:rPr>
          <w:w w:val="100"/>
        </w:rPr>
        <w:t> </w:t>
      </w:r>
      <w:r>
        <w:rPr>
          <w:spacing w:val="-3"/>
        </w:rPr>
        <w:t>设立了深圳市光明海吉星农产品产业发展有限公司，承接投资、开发、建设、运营光明农产品批发市场</w:t>
      </w:r>
      <w:r>
        <w:rPr>
          <w:spacing w:val="-19"/>
        </w:rPr>
        <w:t> </w:t>
      </w:r>
      <w:r>
        <w:rPr>
          <w:spacing w:val="-19"/>
        </w:rPr>
      </w:r>
      <w:r>
        <w:rPr>
          <w:spacing w:val="-9"/>
          <w:w w:val="100"/>
        </w:rPr>
        <w:t>项目；（</w:t>
      </w:r>
      <w:r>
        <w:rPr>
          <w:rFonts w:ascii="Times New Roman" w:hAnsi="Times New Roman" w:cs="Times New Roman" w:eastAsia="Times New Roman" w:hint="default"/>
          <w:spacing w:val="-9"/>
          <w:w w:val="100"/>
        </w:rPr>
        <w:t>2</w:t>
      </w:r>
      <w:r>
        <w:rPr>
          <w:spacing w:val="-9"/>
          <w:w w:val="100"/>
        </w:rPr>
        <w:t>）深圳市运通致远冷链管理有限责任公司，投资方向为“农产品流通领域冷链冷库项目”；（</w:t>
      </w:r>
      <w:r>
        <w:rPr>
          <w:rFonts w:ascii="Times New Roman" w:hAnsi="Times New Roman" w:cs="Times New Roman" w:eastAsia="Times New Roman" w:hint="default"/>
          <w:spacing w:val="-9"/>
          <w:w w:val="100"/>
        </w:rPr>
        <w:t>3</w:t>
      </w:r>
      <w:r>
        <w:rPr>
          <w:spacing w:val="-9"/>
          <w:w w:val="100"/>
        </w:rPr>
        <w:t>）</w:t>
      </w:r>
      <w:r>
        <w:rPr>
          <w:spacing w:val="-99"/>
          <w:w w:val="100"/>
        </w:rPr>
        <w:t> </w:t>
      </w:r>
      <w:r>
        <w:rPr>
          <w:spacing w:val="-4"/>
          <w:w w:val="100"/>
        </w:rPr>
        <w:t>深圳市运通致义环保管理有限责任公司，投资方向为“农产品流通领域综合环保项目”。</w:t>
      </w:r>
    </w:p>
    <w:p>
      <w:pPr>
        <w:pStyle w:val="BodyText"/>
        <w:spacing w:line="336" w:lineRule="auto" w:before="34"/>
        <w:ind w:left="212" w:right="1246" w:firstLine="420"/>
        <w:jc w:val="left"/>
      </w:pPr>
      <w:r>
        <w:rPr>
          <w:w w:val="100"/>
        </w:rPr>
        <w:t>报告</w:t>
      </w:r>
      <w:r>
        <w:rPr>
          <w:spacing w:val="-3"/>
          <w:w w:val="100"/>
        </w:rPr>
        <w:t>期</w:t>
      </w:r>
      <w:r>
        <w:rPr>
          <w:spacing w:val="-154"/>
          <w:w w:val="100"/>
        </w:rPr>
        <w:t>，</w:t>
      </w:r>
      <w:r>
        <w:rPr>
          <w:w w:val="100"/>
        </w:rPr>
        <w:t>（</w:t>
      </w:r>
      <w:r>
        <w:rPr>
          <w:rFonts w:ascii="Times New Roman" w:hAnsi="Times New Roman" w:cs="Times New Roman" w:eastAsia="Times New Roman" w:hint="default"/>
          <w:spacing w:val="-3"/>
          <w:w w:val="100"/>
        </w:rPr>
        <w:t>1</w:t>
      </w:r>
      <w:r>
        <w:rPr>
          <w:spacing w:val="-48"/>
          <w:w w:val="100"/>
        </w:rPr>
        <w:t>）</w:t>
      </w:r>
      <w:r>
        <w:rPr>
          <w:spacing w:val="-3"/>
          <w:w w:val="100"/>
        </w:rPr>
        <w:t>深</w:t>
      </w:r>
      <w:r>
        <w:rPr>
          <w:w w:val="100"/>
        </w:rPr>
        <w:t>圳</w:t>
      </w:r>
      <w:r>
        <w:rPr>
          <w:spacing w:val="-3"/>
          <w:w w:val="100"/>
        </w:rPr>
        <w:t>市</w:t>
      </w:r>
      <w:r>
        <w:rPr>
          <w:w w:val="100"/>
        </w:rPr>
        <w:t>光</w:t>
      </w:r>
      <w:r>
        <w:rPr>
          <w:spacing w:val="-3"/>
          <w:w w:val="100"/>
        </w:rPr>
        <w:t>明海</w:t>
      </w:r>
      <w:r>
        <w:rPr>
          <w:w w:val="100"/>
        </w:rPr>
        <w:t>吉星</w:t>
      </w:r>
      <w:r>
        <w:rPr>
          <w:spacing w:val="-3"/>
          <w:w w:val="100"/>
        </w:rPr>
        <w:t>农</w:t>
      </w:r>
      <w:r>
        <w:rPr>
          <w:w w:val="100"/>
        </w:rPr>
        <w:t>产</w:t>
      </w:r>
      <w:r>
        <w:rPr>
          <w:spacing w:val="-3"/>
          <w:w w:val="100"/>
        </w:rPr>
        <w:t>品</w:t>
      </w:r>
      <w:r>
        <w:rPr>
          <w:w w:val="100"/>
        </w:rPr>
        <w:t>产</w:t>
      </w:r>
      <w:r>
        <w:rPr>
          <w:spacing w:val="-3"/>
          <w:w w:val="100"/>
        </w:rPr>
        <w:t>业</w:t>
      </w:r>
      <w:r>
        <w:rPr>
          <w:w w:val="100"/>
        </w:rPr>
        <w:t>发</w:t>
      </w:r>
      <w:r>
        <w:rPr>
          <w:spacing w:val="-3"/>
          <w:w w:val="100"/>
        </w:rPr>
        <w:t>展</w:t>
      </w:r>
      <w:r>
        <w:rPr>
          <w:w w:val="100"/>
        </w:rPr>
        <w:t>有</w:t>
      </w:r>
      <w:r>
        <w:rPr>
          <w:spacing w:val="-3"/>
          <w:w w:val="100"/>
        </w:rPr>
        <w:t>限</w:t>
      </w:r>
      <w:r>
        <w:rPr>
          <w:w w:val="100"/>
        </w:rPr>
        <w:t>公司</w:t>
      </w:r>
      <w:r>
        <w:rPr>
          <w:spacing w:val="-3"/>
          <w:w w:val="100"/>
        </w:rPr>
        <w:t>获</w:t>
      </w:r>
      <w:r>
        <w:rPr>
          <w:w w:val="100"/>
        </w:rPr>
        <w:t>得</w:t>
      </w:r>
      <w:r>
        <w:rPr>
          <w:spacing w:val="-3"/>
          <w:w w:val="100"/>
        </w:rPr>
        <w:t>了</w:t>
      </w:r>
      <w:r>
        <w:rPr>
          <w:w w:val="100"/>
        </w:rPr>
        <w:t>光</w:t>
      </w:r>
      <w:r>
        <w:rPr>
          <w:spacing w:val="-3"/>
          <w:w w:val="100"/>
        </w:rPr>
        <w:t>明</w:t>
      </w:r>
      <w:r>
        <w:rPr>
          <w:w w:val="100"/>
        </w:rPr>
        <w:t>农</w:t>
      </w:r>
      <w:r>
        <w:rPr>
          <w:spacing w:val="-3"/>
          <w:w w:val="100"/>
        </w:rPr>
        <w:t>产</w:t>
      </w:r>
      <w:r>
        <w:rPr>
          <w:w w:val="100"/>
        </w:rPr>
        <w:t>品</w:t>
      </w:r>
      <w:r>
        <w:rPr>
          <w:spacing w:val="-3"/>
          <w:w w:val="100"/>
        </w:rPr>
        <w:t>批</w:t>
      </w:r>
      <w:r>
        <w:rPr>
          <w:w w:val="100"/>
        </w:rPr>
        <w:t>发市</w:t>
      </w:r>
      <w:r>
        <w:rPr>
          <w:spacing w:val="-3"/>
          <w:w w:val="100"/>
        </w:rPr>
        <w:t>场</w:t>
      </w:r>
      <w:r>
        <w:rPr>
          <w:w w:val="100"/>
        </w:rPr>
        <w:t>项</w:t>
      </w:r>
      <w:r>
        <w:rPr>
          <w:spacing w:val="-3"/>
          <w:w w:val="100"/>
        </w:rPr>
        <w:t>目</w:t>
      </w:r>
      <w:r>
        <w:rPr>
          <w:w w:val="100"/>
        </w:rPr>
        <w:t>用</w:t>
      </w:r>
      <w:r>
        <w:rPr>
          <w:spacing w:val="-3"/>
          <w:w w:val="100"/>
        </w:rPr>
        <w:t>地</w:t>
      </w:r>
      <w:r>
        <w:rPr>
          <w:spacing w:val="-154"/>
          <w:w w:val="100"/>
        </w:rPr>
        <w:t>；</w:t>
      </w:r>
      <w:r>
        <w:rPr>
          <w:w w:val="100"/>
        </w:rPr>
        <w:t>（</w:t>
      </w:r>
      <w:r>
        <w:rPr>
          <w:rFonts w:ascii="Times New Roman" w:hAnsi="Times New Roman" w:cs="Times New Roman" w:eastAsia="Times New Roman" w:hint="default"/>
          <w:spacing w:val="-3"/>
          <w:w w:val="100"/>
        </w:rPr>
        <w:t>2</w:t>
      </w:r>
      <w:r>
        <w:rPr>
          <w:w w:val="100"/>
        </w:rPr>
        <w:t>） 运通</w:t>
      </w:r>
      <w:r>
        <w:rPr>
          <w:spacing w:val="-3"/>
          <w:w w:val="100"/>
        </w:rPr>
        <w:t>致</w:t>
      </w:r>
      <w:r>
        <w:rPr>
          <w:w w:val="100"/>
        </w:rPr>
        <w:t>远</w:t>
      </w:r>
      <w:r>
        <w:rPr>
          <w:spacing w:val="-3"/>
          <w:w w:val="100"/>
        </w:rPr>
        <w:t>公</w:t>
      </w:r>
      <w:r>
        <w:rPr>
          <w:w w:val="100"/>
        </w:rPr>
        <w:t>司</w:t>
      </w:r>
      <w:r>
        <w:rPr>
          <w:spacing w:val="-3"/>
          <w:w w:val="100"/>
        </w:rPr>
        <w:t>获</w:t>
      </w:r>
      <w:r>
        <w:rPr>
          <w:w w:val="100"/>
        </w:rPr>
        <w:t>得</w:t>
      </w:r>
      <w:r>
        <w:rPr>
          <w:spacing w:val="-3"/>
          <w:w w:val="100"/>
        </w:rPr>
        <w:t>冷</w:t>
      </w:r>
      <w:r>
        <w:rPr>
          <w:w w:val="100"/>
        </w:rPr>
        <w:t>库</w:t>
      </w:r>
      <w:r>
        <w:rPr>
          <w:spacing w:val="-3"/>
          <w:w w:val="100"/>
        </w:rPr>
        <w:t>项</w:t>
      </w:r>
      <w:r>
        <w:rPr>
          <w:w w:val="100"/>
        </w:rPr>
        <w:t>目用</w:t>
      </w:r>
      <w:r>
        <w:rPr>
          <w:spacing w:val="-3"/>
          <w:w w:val="100"/>
        </w:rPr>
        <w:t>地</w:t>
      </w:r>
      <w:r>
        <w:rPr>
          <w:spacing w:val="-125"/>
          <w:w w:val="100"/>
        </w:rPr>
        <w:t>；</w:t>
      </w:r>
      <w:r>
        <w:rPr>
          <w:w w:val="100"/>
        </w:rPr>
        <w:t>（</w:t>
      </w:r>
      <w:r>
        <w:rPr>
          <w:rFonts w:ascii="Times New Roman" w:hAnsi="Times New Roman" w:cs="Times New Roman" w:eastAsia="Times New Roman" w:hint="default"/>
          <w:spacing w:val="-3"/>
          <w:w w:val="100"/>
        </w:rPr>
        <w:t>3</w:t>
      </w:r>
      <w:r>
        <w:rPr>
          <w:spacing w:val="-20"/>
          <w:w w:val="100"/>
        </w:rPr>
        <w:t>）</w:t>
      </w:r>
      <w:r>
        <w:rPr>
          <w:spacing w:val="-3"/>
          <w:w w:val="100"/>
        </w:rPr>
        <w:t>运</w:t>
      </w:r>
      <w:r>
        <w:rPr>
          <w:w w:val="100"/>
        </w:rPr>
        <w:t>通</w:t>
      </w:r>
      <w:r>
        <w:rPr>
          <w:spacing w:val="-3"/>
          <w:w w:val="100"/>
        </w:rPr>
        <w:t>致</w:t>
      </w:r>
      <w:r>
        <w:rPr>
          <w:w w:val="100"/>
        </w:rPr>
        <w:t>义</w:t>
      </w:r>
      <w:r>
        <w:rPr>
          <w:spacing w:val="-3"/>
          <w:w w:val="100"/>
        </w:rPr>
        <w:t>公</w:t>
      </w:r>
      <w:r>
        <w:rPr>
          <w:w w:val="100"/>
        </w:rPr>
        <w:t>司与</w:t>
      </w:r>
      <w:r>
        <w:rPr>
          <w:spacing w:val="-3"/>
          <w:w w:val="100"/>
        </w:rPr>
        <w:t>深</w:t>
      </w:r>
      <w:r>
        <w:rPr>
          <w:w w:val="100"/>
        </w:rPr>
        <w:t>圳</w:t>
      </w:r>
      <w:r>
        <w:rPr>
          <w:spacing w:val="-3"/>
          <w:w w:val="100"/>
        </w:rPr>
        <w:t>市</w:t>
      </w:r>
      <w:r>
        <w:rPr>
          <w:w w:val="100"/>
        </w:rPr>
        <w:t>海</w:t>
      </w:r>
      <w:r>
        <w:rPr>
          <w:spacing w:val="-3"/>
          <w:w w:val="100"/>
        </w:rPr>
        <w:t>吉</w:t>
      </w:r>
      <w:r>
        <w:rPr>
          <w:w w:val="100"/>
        </w:rPr>
        <w:t>星</w:t>
      </w:r>
      <w:r>
        <w:rPr>
          <w:spacing w:val="-3"/>
          <w:w w:val="100"/>
        </w:rPr>
        <w:t>环</w:t>
      </w:r>
      <w:r>
        <w:rPr>
          <w:w w:val="100"/>
        </w:rPr>
        <w:t>保</w:t>
      </w:r>
      <w:r>
        <w:rPr>
          <w:spacing w:val="-3"/>
          <w:w w:val="100"/>
        </w:rPr>
        <w:t>有</w:t>
      </w:r>
      <w:r>
        <w:rPr>
          <w:w w:val="100"/>
        </w:rPr>
        <w:t>限责</w:t>
      </w:r>
      <w:r>
        <w:rPr>
          <w:spacing w:val="-3"/>
          <w:w w:val="100"/>
        </w:rPr>
        <w:t>任</w:t>
      </w:r>
      <w:r>
        <w:rPr>
          <w:w w:val="100"/>
        </w:rPr>
        <w:t>公</w:t>
      </w:r>
      <w:r>
        <w:rPr>
          <w:spacing w:val="-3"/>
          <w:w w:val="100"/>
        </w:rPr>
        <w:t>司</w:t>
      </w:r>
      <w:r>
        <w:rPr>
          <w:w w:val="100"/>
        </w:rPr>
        <w:t>及</w:t>
      </w:r>
      <w:r>
        <w:rPr>
          <w:spacing w:val="-3"/>
          <w:w w:val="100"/>
        </w:rPr>
        <w:t>其</w:t>
      </w:r>
      <w:r>
        <w:rPr>
          <w:w w:val="100"/>
        </w:rPr>
        <w:t>各</w:t>
      </w:r>
      <w:r>
        <w:rPr>
          <w:spacing w:val="-3"/>
          <w:w w:val="100"/>
        </w:rPr>
        <w:t>股东方</w:t>
      </w:r>
      <w:r>
        <w:rPr>
          <w:w w:val="100"/>
        </w:rPr>
        <w:t>签</w:t>
      </w:r>
    </w:p>
    <w:p>
      <w:pPr>
        <w:spacing w:after="0" w:line="336" w:lineRule="auto"/>
        <w:jc w:val="left"/>
        <w:sectPr>
          <w:pgSz w:w="11910" w:h="16840"/>
          <w:pgMar w:header="877" w:footer="1265" w:top="1100" w:bottom="1460" w:left="920" w:right="0"/>
        </w:sectPr>
      </w:pPr>
    </w:p>
    <w:p>
      <w:pPr>
        <w:spacing w:line="240" w:lineRule="auto" w:before="13"/>
        <w:rPr>
          <w:rFonts w:ascii="宋体" w:hAnsi="宋体" w:cs="宋体" w:eastAsia="宋体" w:hint="default"/>
          <w:sz w:val="19"/>
          <w:szCs w:val="19"/>
        </w:rPr>
      </w:pPr>
    </w:p>
    <w:p>
      <w:pPr>
        <w:pStyle w:val="BodyText"/>
        <w:spacing w:line="338" w:lineRule="auto"/>
        <w:ind w:left="212" w:right="1354"/>
        <w:jc w:val="both"/>
      </w:pPr>
      <w:r>
        <w:rPr/>
        <w:pict>
          <v:group style="position:absolute;margin-left:51pt;margin-top:2.763657pt;width:482.05pt;height:465pt;mso-position-horizontal-relative:page;mso-position-vertical-relative:paragraph;z-index:-1637080" coordorigin="1020,55" coordsize="9641,9300">
            <v:group style="position:absolute;left:1030;top:65;width:9622;height:2" coordorigin="1030,65" coordsize="9622,2">
              <v:shape style="position:absolute;left:1030;top:65;width:9622;height:2" coordorigin="1030,65" coordsize="9622,0" path="m1030,65l10651,65e" filled="false" stroked="true" strokeweight=".48pt" strokecolor="#000000">
                <v:path arrowok="t"/>
              </v:shape>
            </v:group>
            <v:group style="position:absolute;left:1025;top:60;width:2;height:9290" coordorigin="1025,60" coordsize="2,9290">
              <v:shape style="position:absolute;left:1025;top:60;width:2;height:9290" coordorigin="1025,60" coordsize="0,9290" path="m1025,60l1025,9350e" filled="false" stroked="true" strokeweight=".48pt" strokecolor="#000000">
                <v:path arrowok="t"/>
              </v:shape>
            </v:group>
            <v:group style="position:absolute;left:1030;top:9345;width:9622;height:2" coordorigin="1030,9345" coordsize="9622,2">
              <v:shape style="position:absolute;left:1030;top:9345;width:9622;height:2" coordorigin="1030,9345" coordsize="9622,0" path="m1030,9345l10651,9345e" filled="false" stroked="true" strokeweight=".48004pt" strokecolor="#000000">
                <v:path arrowok="t"/>
              </v:shape>
            </v:group>
            <v:group style="position:absolute;left:10656;top:60;width:2;height:9290" coordorigin="10656,60" coordsize="2,9290">
              <v:shape style="position:absolute;left:10656;top:60;width:2;height:9290" coordorigin="10656,60" coordsize="0,9290" path="m10656,60l10656,9350e" filled="false" stroked="true" strokeweight=".47998pt" strokecolor="#000000">
                <v:path arrowok="t"/>
              </v:shape>
            </v:group>
            <w10:wrap type="none"/>
          </v:group>
        </w:pict>
      </w:r>
      <w:r>
        <w:rPr>
          <w:spacing w:val="-4"/>
          <w:w w:val="100"/>
        </w:rPr>
        <w:t>署了《深圳市海吉星环保有限责任公司之增资协议》，根据协议约定，海吉星环保公司注册资本从</w:t>
      </w:r>
      <w:r>
        <w:rPr>
          <w:rFonts w:ascii="Times New Roman" w:hAnsi="Times New Roman" w:cs="Times New Roman" w:eastAsia="Times New Roman" w:hint="default"/>
          <w:spacing w:val="-4"/>
          <w:w w:val="100"/>
        </w:rPr>
        <w:t>4,700</w:t>
      </w:r>
      <w:r>
        <w:rPr>
          <w:rFonts w:ascii="Times New Roman" w:hAnsi="Times New Roman" w:cs="Times New Roman" w:eastAsia="Times New Roman" w:hint="default"/>
          <w:spacing w:val="-11"/>
          <w:w w:val="100"/>
        </w:rPr>
        <w:t> </w:t>
      </w:r>
      <w:r>
        <w:rPr>
          <w:rFonts w:ascii="Times New Roman" w:hAnsi="Times New Roman" w:cs="Times New Roman" w:eastAsia="Times New Roman" w:hint="default"/>
          <w:spacing w:val="-11"/>
          <w:w w:val="100"/>
        </w:rPr>
      </w:r>
      <w:r>
        <w:rPr/>
        <w:t>万元增加至</w:t>
      </w:r>
      <w:r>
        <w:rPr>
          <w:rFonts w:ascii="Times New Roman" w:hAnsi="Times New Roman" w:cs="Times New Roman" w:eastAsia="Times New Roman" w:hint="default"/>
        </w:rPr>
        <w:t>10,510</w:t>
      </w:r>
      <w:r>
        <w:rPr/>
        <w:t>万元，即增加注册资本</w:t>
      </w:r>
      <w:r>
        <w:rPr>
          <w:rFonts w:ascii="Times New Roman" w:hAnsi="Times New Roman" w:cs="Times New Roman" w:eastAsia="Times New Roman" w:hint="default"/>
        </w:rPr>
        <w:t>5,810</w:t>
      </w:r>
      <w:r>
        <w:rPr/>
        <w:t>万元，其中，运通致义公司增资</w:t>
      </w:r>
      <w:r>
        <w:rPr>
          <w:rFonts w:ascii="Times New Roman" w:hAnsi="Times New Roman" w:cs="Times New Roman" w:eastAsia="Times New Roman" w:hint="default"/>
        </w:rPr>
        <w:t>2,709.10</w:t>
      </w:r>
      <w:r>
        <w:rPr/>
        <w:t>万元，占全体股</w:t>
      </w:r>
      <w:r>
        <w:rPr>
          <w:spacing w:val="-40"/>
        </w:rPr>
        <w:t> </w:t>
      </w:r>
      <w:r>
        <w:rPr>
          <w:spacing w:val="-40"/>
        </w:rPr>
      </w:r>
      <w:r>
        <w:rPr/>
        <w:t>东认缴出资额的</w:t>
      </w:r>
      <w:r>
        <w:rPr>
          <w:rFonts w:ascii="Times New Roman" w:hAnsi="Times New Roman" w:cs="Times New Roman" w:eastAsia="Times New Roman" w:hint="default"/>
        </w:rPr>
        <w:t>25.78%</w:t>
      </w:r>
      <w:r>
        <w:rPr/>
        <w:t>。报告期海吉星环保公司已获得项目用地。</w:t>
      </w:r>
    </w:p>
    <w:p>
      <w:pPr>
        <w:pStyle w:val="BodyText"/>
        <w:spacing w:line="240" w:lineRule="auto" w:before="60"/>
        <w:ind w:left="633" w:right="1115"/>
        <w:jc w:val="left"/>
        <w:rPr>
          <w:rFonts w:ascii="宋体" w:hAnsi="宋体" w:cs="宋体" w:eastAsia="宋体" w:hint="default"/>
        </w:rPr>
      </w:pPr>
      <w:r>
        <w:rPr/>
        <w:t>（详见公司于</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2</w:t>
      </w:r>
      <w:r>
        <w:rPr>
          <w:rFonts w:ascii="宋体" w:hAnsi="宋体" w:cs="宋体" w:eastAsia="宋体" w:hint="default"/>
          <w:spacing w:val="-48"/>
        </w:rPr>
        <w:t> </w:t>
      </w:r>
      <w:r>
        <w:rPr/>
        <w:t>月</w:t>
      </w:r>
      <w:r>
        <w:rPr>
          <w:spacing w:val="-45"/>
        </w:rPr>
        <w:t> </w:t>
      </w:r>
      <w:r>
        <w:rPr>
          <w:rFonts w:ascii="宋体" w:hAnsi="宋体" w:cs="宋体" w:eastAsia="宋体" w:hint="default"/>
        </w:rPr>
        <w:t>6</w:t>
      </w:r>
      <w:r>
        <w:rPr>
          <w:rFonts w:ascii="宋体" w:hAnsi="宋体" w:cs="宋体" w:eastAsia="宋体" w:hint="default"/>
          <w:spacing w:val="-45"/>
        </w:rPr>
        <w:t> </w:t>
      </w:r>
      <w:r>
        <w:rPr/>
        <w:t>日、</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26</w:t>
      </w:r>
      <w:r>
        <w:rPr>
          <w:rFonts w:ascii="宋体" w:hAnsi="宋体" w:cs="宋体" w:eastAsia="宋体" w:hint="default"/>
          <w:spacing w:val="-48"/>
        </w:rPr>
        <w:t> </w:t>
      </w:r>
      <w:r>
        <w:rPr/>
        <w:t>日、</w:t>
      </w:r>
      <w:r>
        <w:rPr>
          <w:rFonts w:ascii="宋体" w:hAnsi="宋体" w:cs="宋体" w:eastAsia="宋体" w:hint="default"/>
        </w:rPr>
        <w:t>11</w:t>
      </w:r>
      <w:r>
        <w:rPr>
          <w:rFonts w:ascii="宋体" w:hAnsi="宋体" w:cs="宋体" w:eastAsia="宋体" w:hint="default"/>
          <w:spacing w:val="-48"/>
        </w:rPr>
        <w:t> </w:t>
      </w:r>
      <w:r>
        <w:rPr/>
        <w:t>月</w:t>
      </w:r>
      <w:r>
        <w:rPr>
          <w:spacing w:val="-45"/>
        </w:rPr>
        <w:t> </w:t>
      </w:r>
      <w:r>
        <w:rPr>
          <w:rFonts w:ascii="宋体" w:hAnsi="宋体" w:cs="宋体" w:eastAsia="宋体" w:hint="default"/>
        </w:rPr>
        <w:t>29</w:t>
      </w:r>
      <w:r>
        <w:rPr>
          <w:rFonts w:ascii="宋体" w:hAnsi="宋体" w:cs="宋体" w:eastAsia="宋体" w:hint="default"/>
          <w:spacing w:val="-45"/>
        </w:rPr>
        <w:t> </w:t>
      </w:r>
      <w:r>
        <w:rPr/>
        <w:t>日、</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rPr>
        <w:t>8</w:t>
      </w:r>
      <w:r>
        <w:rPr>
          <w:rFonts w:ascii="宋体" w:hAnsi="宋体" w:cs="宋体" w:eastAsia="宋体" w:hint="default"/>
          <w:spacing w:val="-48"/>
        </w:rPr>
        <w:t> </w:t>
      </w:r>
      <w:r>
        <w:rPr/>
        <w:t>日、</w:t>
      </w:r>
      <w:r>
        <w:rPr>
          <w:rFonts w:ascii="宋体" w:hAnsi="宋体" w:cs="宋体" w:eastAsia="宋体" w:hint="default"/>
        </w:rPr>
        <w:t>9</w:t>
      </w:r>
      <w:r>
        <w:rPr>
          <w:rFonts w:ascii="宋体" w:hAnsi="宋体" w:cs="宋体" w:eastAsia="宋体" w:hint="default"/>
          <w:spacing w:val="-45"/>
        </w:rPr>
        <w:t> </w:t>
      </w:r>
      <w:r>
        <w:rPr/>
        <w:t>月</w:t>
      </w:r>
      <w:r>
        <w:rPr>
          <w:spacing w:val="-48"/>
        </w:rPr>
        <w:t> </w:t>
      </w:r>
      <w:r>
        <w:rPr>
          <w:rFonts w:ascii="宋体" w:hAnsi="宋体" w:cs="宋体" w:eastAsia="宋体" w:hint="default"/>
        </w:rPr>
        <w:t>22</w:t>
      </w:r>
      <w:r>
        <w:rPr>
          <w:rFonts w:ascii="宋体" w:hAnsi="宋体" w:cs="宋体" w:eastAsia="宋体" w:hint="default"/>
          <w:spacing w:val="-45"/>
        </w:rPr>
        <w:t> </w:t>
      </w:r>
      <w:r>
        <w:rPr/>
        <w:t>日、</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9</w:t>
      </w:r>
    </w:p>
    <w:p>
      <w:pPr>
        <w:pStyle w:val="BodyText"/>
        <w:spacing w:line="355" w:lineRule="auto" w:before="135"/>
        <w:ind w:left="212" w:right="1354"/>
        <w:jc w:val="both"/>
      </w:pPr>
      <w:r>
        <w:rPr>
          <w:spacing w:val="-4"/>
          <w:w w:val="100"/>
        </w:rPr>
        <w:t>日、</w:t>
      </w:r>
      <w:r>
        <w:rPr>
          <w:rFonts w:ascii="宋体" w:hAnsi="宋体" w:cs="宋体" w:eastAsia="宋体" w:hint="default"/>
          <w:spacing w:val="-4"/>
          <w:w w:val="100"/>
        </w:rPr>
        <w:t>12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19</w:t>
      </w:r>
      <w:r>
        <w:rPr>
          <w:rFonts w:ascii="宋体" w:hAnsi="宋体" w:cs="宋体" w:eastAsia="宋体" w:hint="default"/>
          <w:spacing w:val="-56"/>
          <w:w w:val="100"/>
        </w:rPr>
        <w:t> </w:t>
      </w:r>
      <w:r>
        <w:rPr>
          <w:spacing w:val="-3"/>
          <w:w w:val="100"/>
        </w:rPr>
        <w:t>日、</w:t>
      </w:r>
      <w:r>
        <w:rPr>
          <w:rFonts w:ascii="宋体" w:hAnsi="宋体" w:cs="宋体" w:eastAsia="宋体" w:hint="default"/>
          <w:spacing w:val="-3"/>
          <w:w w:val="100"/>
        </w:rPr>
        <w:t>2018</w:t>
      </w:r>
      <w:r>
        <w:rPr>
          <w:rFonts w:ascii="宋体" w:hAnsi="宋体" w:cs="宋体" w:eastAsia="宋体" w:hint="default"/>
          <w:spacing w:val="-54"/>
          <w:w w:val="100"/>
        </w:rPr>
        <w:t> </w:t>
      </w:r>
      <w:r>
        <w:rPr>
          <w:w w:val="100"/>
        </w:rPr>
        <w:t>年</w:t>
      </w:r>
      <w:r>
        <w:rPr>
          <w:spacing w:val="-56"/>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6</w:t>
      </w:r>
      <w:r>
        <w:rPr>
          <w:rFonts w:ascii="宋体" w:hAnsi="宋体" w:cs="宋体" w:eastAsia="宋体" w:hint="default"/>
          <w:spacing w:val="-56"/>
          <w:w w:val="100"/>
        </w:rPr>
        <w:t> </w:t>
      </w:r>
      <w:r>
        <w:rPr>
          <w:spacing w:val="-5"/>
          <w:w w:val="100"/>
        </w:rPr>
        <w:t>日、</w:t>
      </w:r>
      <w:r>
        <w:rPr>
          <w:rFonts w:ascii="宋体" w:hAnsi="宋体" w:cs="宋体" w:eastAsia="宋体" w:hint="default"/>
          <w:spacing w:val="-5"/>
          <w:w w:val="100"/>
        </w:rPr>
        <w:t>1</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17</w:t>
      </w:r>
      <w:r>
        <w:rPr>
          <w:rFonts w:ascii="宋体" w:hAnsi="宋体" w:cs="宋体" w:eastAsia="宋体" w:hint="default"/>
          <w:spacing w:val="-56"/>
          <w:w w:val="100"/>
        </w:rPr>
        <w:t> </w:t>
      </w:r>
      <w:r>
        <w:rPr>
          <w:spacing w:val="-25"/>
          <w:w w:val="100"/>
        </w:rPr>
        <w:t>日刊登在《证券时报》、《中国证券报》、《上海证券报》、《证</w:t>
      </w:r>
      <w:r>
        <w:rPr>
          <w:w w:val="100"/>
        </w:rPr>
        <w:t> </w:t>
      </w:r>
      <w:r>
        <w:rPr/>
        <w:t>券日报》及巨潮资讯网上的公告）</w:t>
      </w:r>
    </w:p>
    <w:p>
      <w:pPr>
        <w:spacing w:line="340" w:lineRule="auto" w:before="6"/>
        <w:ind w:left="633" w:right="111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、布吉农产品中心批发市场城市更新项目</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3"/>
          <w:sz w:val="21"/>
          <w:szCs w:val="21"/>
        </w:rPr>
        <w:t>为加快推进布吉市场城市更新项目，经公司第六届董事会第三十九次会议审议通过，根据《深圳市</w:t>
      </w:r>
    </w:p>
    <w:p>
      <w:pPr>
        <w:pStyle w:val="BodyText"/>
        <w:spacing w:line="345" w:lineRule="auto" w:before="45"/>
        <w:ind w:left="212" w:right="1354"/>
        <w:jc w:val="both"/>
      </w:pPr>
      <w:r>
        <w:rPr>
          <w:spacing w:val="-7"/>
          <w:w w:val="100"/>
        </w:rPr>
        <w:t>城市更新办法》、《深圳市城市更新办法实施细则》及有关法律、法规的规定，公司与合作方合资成立了</w:t>
      </w:r>
      <w:r>
        <w:rPr>
          <w:spacing w:val="-98"/>
          <w:w w:val="100"/>
        </w:rPr>
        <w:t> </w:t>
      </w:r>
      <w:r>
        <w:rPr>
          <w:spacing w:val="-98"/>
          <w:w w:val="100"/>
        </w:rPr>
      </w:r>
      <w:r>
        <w:rPr/>
        <w:t>深圳市信祥投资发展有限公司合作布吉市场城市更新项目。</w:t>
      </w:r>
      <w:r>
        <w:rPr>
          <w:rFonts w:ascii="Times New Roman" w:hAnsi="Times New Roman" w:cs="Times New Roman" w:eastAsia="Times New Roman" w:hint="default"/>
        </w:rPr>
        <w:t>2016 </w:t>
      </w:r>
      <w:r>
        <w:rPr/>
        <w:t>年该项目已列入“</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年深圳市城市</w:t>
      </w:r>
      <w:r>
        <w:rPr>
          <w:w w:val="100"/>
        </w:rPr>
        <w:t> </w:t>
      </w:r>
      <w:r>
        <w:rPr>
          <w:spacing w:val="-5"/>
          <w:w w:val="100"/>
        </w:rPr>
        <w:t>更新单元计划罗湖区第三批计划”。项目规划审批等工作尚在推进中。</w:t>
      </w:r>
    </w:p>
    <w:p>
      <w:pPr>
        <w:pStyle w:val="BodyText"/>
        <w:spacing w:line="240" w:lineRule="auto" w:before="84"/>
        <w:ind w:left="633" w:right="1115"/>
        <w:jc w:val="left"/>
        <w:rPr>
          <w:rFonts w:ascii="Times New Roman" w:hAnsi="Times New Roman" w:cs="Times New Roman" w:eastAsia="Times New Roman" w:hint="default"/>
        </w:rPr>
      </w:pPr>
      <w:r>
        <w:rPr/>
        <w:t>（详见公司于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4"/>
        </w:rPr>
        <w:t>日、</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4"/>
        </w:rPr>
        <w:t>日、</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2015</w:t>
      </w:r>
    </w:p>
    <w:p>
      <w:pPr>
        <w:pStyle w:val="BodyText"/>
        <w:spacing w:line="240" w:lineRule="auto" w:before="117"/>
        <w:ind w:left="212" w:right="0"/>
        <w:jc w:val="both"/>
      </w:pPr>
      <w:r>
        <w:rPr>
          <w:w w:val="100"/>
        </w:rPr>
        <w:t>年</w:t>
      </w:r>
      <w:r>
        <w:rPr>
          <w:spacing w:val="-52"/>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rPr>
        <w:t> </w:t>
      </w:r>
      <w:r>
        <w:rPr>
          <w:w w:val="100"/>
        </w:rPr>
        <w:t>日</w:t>
      </w:r>
      <w:r>
        <w:rPr>
          <w:spacing w:val="-4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2"/>
        </w:rPr>
        <w:t> </w:t>
      </w:r>
      <w:r>
        <w:rPr>
          <w:spacing w:val="-3"/>
          <w:w w:val="100"/>
        </w:rPr>
        <w:t>日</w:t>
      </w:r>
      <w:r>
        <w:rPr>
          <w:spacing w:val="-39"/>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日</w:t>
      </w:r>
      <w:r>
        <w:rPr>
          <w:spacing w:val="-41"/>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日</w:t>
      </w:r>
      <w:r>
        <w:rPr>
          <w:spacing w:val="-39"/>
          <w:w w:val="100"/>
        </w:rPr>
        <w:t>在</w:t>
      </w:r>
      <w:r>
        <w:rPr>
          <w:spacing w:val="-3"/>
          <w:w w:val="100"/>
        </w:rPr>
        <w:t>《</w:t>
      </w:r>
      <w:r>
        <w:rPr>
          <w:w w:val="100"/>
        </w:rPr>
        <w:t>证券</w:t>
      </w:r>
      <w:r>
        <w:rPr>
          <w:spacing w:val="-3"/>
          <w:w w:val="100"/>
        </w:rPr>
        <w:t>时</w:t>
      </w:r>
      <w:r>
        <w:rPr>
          <w:w w:val="100"/>
        </w:rPr>
        <w:t>报</w:t>
      </w:r>
      <w:r>
        <w:rPr>
          <w:spacing w:val="-106"/>
          <w:w w:val="100"/>
        </w:rPr>
        <w:t>》</w:t>
      </w:r>
      <w:r>
        <w:rPr>
          <w:spacing w:val="-147"/>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8"/>
          <w:w w:val="100"/>
        </w:rPr>
        <w:t>》</w:t>
      </w:r>
      <w:r>
        <w:rPr>
          <w:w w:val="100"/>
        </w:rPr>
        <w:t>、</w:t>
      </w:r>
    </w:p>
    <w:p>
      <w:pPr>
        <w:pStyle w:val="BodyText"/>
        <w:spacing w:line="240" w:lineRule="auto" w:before="117"/>
        <w:ind w:left="212" w:right="0"/>
        <w:jc w:val="both"/>
      </w:pPr>
      <w:r>
        <w:rPr>
          <w:w w:val="100"/>
        </w:rPr>
        <w:t>《上</w:t>
      </w:r>
      <w:r>
        <w:rPr>
          <w:spacing w:val="-3"/>
          <w:w w:val="100"/>
        </w:rPr>
        <w:t>海</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证</w:t>
      </w:r>
      <w:r>
        <w:rPr>
          <w:w w:val="100"/>
        </w:rPr>
        <w:t>券</w:t>
      </w:r>
      <w:r>
        <w:rPr>
          <w:spacing w:val="-3"/>
          <w:w w:val="100"/>
        </w:rPr>
        <w:t>日</w:t>
      </w:r>
      <w:r>
        <w:rPr>
          <w:w w:val="100"/>
        </w:rPr>
        <w:t>报》</w:t>
      </w:r>
      <w:r>
        <w:rPr>
          <w:spacing w:val="-3"/>
          <w:w w:val="100"/>
        </w:rPr>
        <w:t>及</w:t>
      </w:r>
      <w:r>
        <w:rPr>
          <w:w w:val="100"/>
        </w:rPr>
        <w:t>巨</w:t>
      </w:r>
      <w:r>
        <w:rPr>
          <w:spacing w:val="-3"/>
          <w:w w:val="100"/>
        </w:rPr>
        <w:t>潮</w:t>
      </w:r>
      <w:r>
        <w:rPr>
          <w:w w:val="100"/>
        </w:rPr>
        <w:t>资</w:t>
      </w:r>
      <w:r>
        <w:rPr>
          <w:spacing w:val="-3"/>
          <w:w w:val="100"/>
        </w:rPr>
        <w:t>讯</w:t>
      </w:r>
      <w:r>
        <w:rPr>
          <w:w w:val="100"/>
        </w:rPr>
        <w:t>网</w:t>
      </w:r>
      <w:r>
        <w:rPr>
          <w:spacing w:val="-3"/>
          <w:w w:val="100"/>
        </w:rPr>
        <w:t>上</w:t>
      </w:r>
      <w:r>
        <w:rPr>
          <w:w w:val="100"/>
        </w:rPr>
        <w:t>刊</w:t>
      </w:r>
      <w:r>
        <w:rPr>
          <w:spacing w:val="-3"/>
          <w:w w:val="100"/>
        </w:rPr>
        <w:t>登</w:t>
      </w:r>
      <w:r>
        <w:rPr>
          <w:w w:val="100"/>
        </w:rPr>
        <w:t>的公</w:t>
      </w:r>
      <w:r>
        <w:rPr>
          <w:spacing w:val="-3"/>
          <w:w w:val="100"/>
        </w:rPr>
        <w:t>告</w:t>
      </w:r>
      <w:r>
        <w:rPr>
          <w:w w:val="100"/>
        </w:rPr>
        <w:t>）</w:t>
      </w:r>
    </w:p>
    <w:p>
      <w:pPr>
        <w:spacing w:line="338" w:lineRule="auto" w:before="107"/>
        <w:ind w:left="633" w:right="111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、关于调整公司组织架构的事项</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3"/>
          <w:sz w:val="21"/>
          <w:szCs w:val="21"/>
        </w:rPr>
        <w:t>报告期后，经公司第八届董事会第二十二次会议审议通过，为匹配集团战略调整，本着精简高效等</w:t>
      </w:r>
    </w:p>
    <w:p>
      <w:pPr>
        <w:pStyle w:val="BodyText"/>
        <w:tabs>
          <w:tab w:pos="4764" w:val="left" w:leader="none"/>
        </w:tabs>
        <w:spacing w:line="348" w:lineRule="auto" w:before="49"/>
        <w:ind w:left="212" w:right="1251"/>
        <w:jc w:val="left"/>
      </w:pPr>
      <w:r>
        <w:rPr/>
        <w:t>原则，对公司组织架构进行调整。调整后公司设置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个部门，具体如下：市场管理总部、产业链管理</w:t>
      </w:r>
      <w:r>
        <w:rPr>
          <w:w w:val="100"/>
        </w:rPr>
        <w:t> </w:t>
      </w:r>
      <w:r>
        <w:rPr>
          <w:spacing w:val="-2"/>
          <w:w w:val="100"/>
        </w:rPr>
        <w:t>总部、资源开发管理总部、资产运营管理总部、战略规划与投资管理总部（深农战略研究院）、董事会</w:t>
      </w:r>
      <w:r>
        <w:rPr>
          <w:w w:val="100"/>
        </w:rPr>
        <w:t> </w:t>
      </w:r>
      <w:r>
        <w:rPr>
          <w:spacing w:val="-7"/>
          <w:w w:val="100"/>
        </w:rPr>
        <w:t>办公室、党群工作部（党委办公室）、安全管理总部（武装部、安委办、食安办）、办公室、人力资源管</w:t>
      </w:r>
      <w:r>
        <w:rPr>
          <w:spacing w:val="-98"/>
          <w:w w:val="100"/>
        </w:rPr>
        <w:t> </w:t>
      </w:r>
      <w:r>
        <w:rPr>
          <w:spacing w:val="-98"/>
          <w:w w:val="100"/>
        </w:rPr>
      </w:r>
      <w:r>
        <w:rPr>
          <w:spacing w:val="-5"/>
          <w:w w:val="100"/>
        </w:rPr>
        <w:t>理总部（深农学院）、计划财务管理总部（资金</w:t>
        <w:tab/>
      </w:r>
      <w:r>
        <w:rPr>
          <w:spacing w:val="-9"/>
          <w:w w:val="100"/>
        </w:rPr>
        <w:t>管理中心）、纪检监察室（监事会办公室）、审计风控</w:t>
      </w:r>
      <w:r>
        <w:rPr>
          <w:spacing w:val="-94"/>
          <w:w w:val="100"/>
        </w:rPr>
        <w:t> </w:t>
      </w:r>
      <w:r>
        <w:rPr>
          <w:spacing w:val="-94"/>
          <w:w w:val="100"/>
        </w:rPr>
      </w:r>
      <w:r>
        <w:rPr>
          <w:spacing w:val="-12"/>
          <w:w w:val="100"/>
        </w:rPr>
        <w:t>管理总部。（详见公司于</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
          <w:w w:val="100"/>
        </w:rPr>
        <w:t> </w:t>
      </w:r>
      <w:r>
        <w:rPr>
          <w:spacing w:val="-23"/>
          <w:w w:val="100"/>
        </w:rPr>
        <w:t>日在《证券时报》、《中国证券报》、《上海证券报》、《证券日报》</w:t>
      </w:r>
      <w:r>
        <w:rPr>
          <w:w w:val="100"/>
        </w:rPr>
        <w:t> </w:t>
      </w:r>
      <w:r>
        <w:rPr/>
        <w:t>及巨潮资讯网上刊登的公告）</w:t>
      </w:r>
    </w:p>
    <w:p>
      <w:pPr>
        <w:spacing w:line="240" w:lineRule="auto" w:before="7"/>
        <w:rPr>
          <w:rFonts w:ascii="宋体" w:hAnsi="宋体" w:cs="宋体" w:eastAsia="宋体" w:hint="default"/>
          <w:sz w:val="27"/>
          <w:szCs w:val="27"/>
        </w:rPr>
      </w:pPr>
    </w:p>
    <w:p>
      <w:pPr>
        <w:pStyle w:val="Heading4"/>
        <w:spacing w:line="367" w:lineRule="exact"/>
        <w:ind w:right="1115"/>
        <w:jc w:val="left"/>
        <w:rPr>
          <w:b w:val="0"/>
          <w:bCs w:val="0"/>
        </w:rPr>
      </w:pPr>
      <w:r>
        <w:rPr/>
        <w:t>二十、公司子公司重大事项</w:t>
      </w:r>
      <w:r>
        <w:rPr>
          <w:b w:val="0"/>
          <w:bCs w:val="0"/>
        </w:rPr>
      </w:r>
    </w:p>
    <w:p>
      <w:pPr>
        <w:spacing w:line="240" w:lineRule="auto" w:before="2"/>
        <w:rPr>
          <w:rFonts w:ascii="Microsoft JhengHei" w:hAnsi="Microsoft JhengHei" w:cs="Microsoft JhengHei" w:eastAsia="Microsoft JhengHei" w:hint="default"/>
          <w:b/>
          <w:bCs/>
          <w:sz w:val="18"/>
          <w:szCs w:val="18"/>
        </w:rPr>
      </w:pPr>
    </w:p>
    <w:p>
      <w:pPr>
        <w:spacing w:line="3559"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0"/>
          <w:sz w:val="20"/>
          <w:szCs w:val="20"/>
        </w:rPr>
        <w:pict>
          <v:shape style="width:481.55pt;height:178pt;mso-position-horizontal-relative:char;mso-position-vertical-relative:line" type="#_x0000_t202" filled="false" stroked="true" strokeweight=".47998pt" strokecolor="#000000">
            <w10:anchorlock/>
            <v:textbox inset="0,0,0,0">
              <w:txbxContent>
                <w:p>
                  <w:pPr>
                    <w:spacing w:line="340" w:lineRule="auto" w:before="136"/>
                    <w:ind w:left="523"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、关于农迈公司及电商公司股权变动的事项</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3"/>
                      <w:sz w:val="21"/>
                      <w:szCs w:val="21"/>
                    </w:rPr>
                    <w:t>经公司第八届董事会第十七次会议审议通过，同意公司全资子公司深圳前海农产品交易所股份有限</w:t>
                  </w:r>
                </w:p>
                <w:p>
                  <w:pPr>
                    <w:pStyle w:val="BodyText"/>
                    <w:spacing w:line="345" w:lineRule="auto" w:before="45"/>
                    <w:ind w:left="103" w:right="98"/>
                    <w:jc w:val="left"/>
                    <w:rPr>
                      <w:rFonts w:ascii="Times New Roman" w:hAnsi="Times New Roman" w:cs="Times New Roman" w:eastAsia="Times New Roman" w:hint="default"/>
                    </w:rPr>
                  </w:pPr>
                  <w:r>
                    <w:rPr>
                      <w:spacing w:val="-3"/>
                    </w:rPr>
                    <w:t>公司（以公司控股子公司深圳前海农迈天下电子商务有限公司股东全部权益价值评估结果为依据（评估</w:t>
                  </w:r>
                  <w:r>
                    <w:rPr>
                      <w:spacing w:val="-18"/>
                    </w:rPr>
                    <w:t> </w:t>
                  </w:r>
                  <w:r>
                    <w:rPr>
                      <w:spacing w:val="-18"/>
                    </w:rPr>
                  </w:r>
                  <w:r>
                    <w:rPr/>
                    <w:t>基准日为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日），以</w:t>
                  </w:r>
                  <w:r>
                    <w:rPr>
                      <w:rFonts w:ascii="Times New Roman" w:hAnsi="Times New Roman" w:cs="Times New Roman" w:eastAsia="Times New Roman" w:hint="default"/>
                    </w:rPr>
                    <w:t>1</w:t>
                  </w:r>
                  <w:r>
                    <w:rPr/>
                    <w:t>元对价收购成都迈普创业投资合伙企业（有限合伙）所持有农迈公司</w:t>
                  </w:r>
                  <w:r>
                    <w:rPr>
                      <w:w w:val="100"/>
                    </w:rPr>
                    <w:t> </w:t>
                  </w:r>
                  <w:r>
                    <w:rPr>
                      <w:rFonts w:ascii="Times New Roman" w:hAnsi="Times New Roman" w:cs="Times New Roman" w:eastAsia="Times New Roman" w:hint="default"/>
                    </w:rPr>
                    <w:t>40%</w:t>
                  </w:r>
                  <w:r>
                    <w:rPr/>
                    <w:t>股份；同时将公司持有的全部农迈公司股权作价</w:t>
                  </w:r>
                  <w:r>
                    <w:rPr>
                      <w:rFonts w:ascii="Times New Roman" w:hAnsi="Times New Roman" w:cs="Times New Roman" w:eastAsia="Times New Roman" w:hint="default"/>
                    </w:rPr>
                    <w:t>1</w:t>
                  </w:r>
                  <w:r>
                    <w:rPr/>
                    <w:t>元转让给前海农交所；将公司全资子公司深圳市</w:t>
                  </w:r>
                  <w:r>
                    <w:rPr>
                      <w:w w:val="100"/>
                    </w:rPr>
                    <w:t> </w:t>
                  </w:r>
                  <w:r>
                    <w:rPr/>
                    <w:t>海吉星投资管理股份有限公司持有的深圳市农产品电子商务有限公司全部股权作价</w:t>
                  </w:r>
                  <w:r>
                    <w:rPr>
                      <w:rFonts w:ascii="Times New Roman" w:hAnsi="Times New Roman" w:cs="Times New Roman" w:eastAsia="Times New Roman" w:hint="default"/>
                    </w:rPr>
                    <w:t>1</w:t>
                  </w:r>
                  <w:r>
                    <w:rPr/>
                    <w:t>元转让给前海农交</w:t>
                  </w:r>
                  <w:r>
                    <w:rPr>
                      <w:w w:val="100"/>
                    </w:rPr>
                    <w:t> </w:t>
                  </w:r>
                  <w:r>
                    <w:rPr>
                      <w:spacing w:val="-3"/>
                    </w:rPr>
                    <w:t>所。报告期，农迈公司及电商公司已完成上述股权变动的相关工商变更手续，公司通过全资子公司前海</w:t>
                  </w:r>
                  <w:r>
                    <w:rPr>
                      <w:spacing w:val="-19"/>
                    </w:rPr>
                    <w:t> </w:t>
                  </w:r>
                  <w:r>
                    <w:rPr>
                      <w:spacing w:val="-19"/>
                    </w:rPr>
                  </w:r>
                  <w:r>
                    <w:rPr>
                      <w:spacing w:val="-3"/>
                    </w:rPr>
                    <w:t>农交所间接持有农迈公司</w:t>
                  </w:r>
                  <w:r>
                    <w:rPr>
                      <w:rFonts w:ascii="Times New Roman" w:hAnsi="Times New Roman" w:cs="Times New Roman" w:eastAsia="Times New Roman" w:hint="default"/>
                      <w:spacing w:val="-3"/>
                    </w:rPr>
                    <w:t>95%</w:t>
                  </w:r>
                  <w:r>
                    <w:rPr>
                      <w:spacing w:val="-3"/>
                    </w:rPr>
                    <w:t>股权和间接持有电商公司</w:t>
                  </w:r>
                  <w:r>
                    <w:rPr>
                      <w:rFonts w:ascii="Times New Roman" w:hAnsi="Times New Roman" w:cs="Times New Roman" w:eastAsia="Times New Roman" w:hint="default"/>
                      <w:spacing w:val="-3"/>
                    </w:rPr>
                    <w:t>100%</w:t>
                  </w:r>
                  <w:r>
                    <w:rPr>
                      <w:spacing w:val="-3"/>
                    </w:rPr>
                    <w:t>股权。（详见公司于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7</w:t>
                  </w:r>
                  <w:r>
                    <w:rPr>
                      <w:spacing w:val="-3"/>
                    </w:rPr>
                    <w:t>日和</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p>
              </w:txbxContent>
            </v:textbox>
          </v:shape>
        </w:pict>
      </w:r>
      <w:r>
        <w:rPr>
          <w:rFonts w:ascii="Microsoft JhengHei" w:hAnsi="Microsoft JhengHei" w:cs="Microsoft JhengHei" w:eastAsia="Microsoft JhengHei" w:hint="default"/>
          <w:position w:val="-70"/>
          <w:sz w:val="20"/>
          <w:szCs w:val="20"/>
        </w:rPr>
      </w:r>
    </w:p>
    <w:p>
      <w:pPr>
        <w:spacing w:after="0" w:line="3559" w:lineRule="exact"/>
        <w:rPr>
          <w:rFonts w:ascii="Microsoft JhengHei" w:hAnsi="Microsoft JhengHei" w:cs="Microsoft JhengHei" w:eastAsia="Microsoft JhengHei" w:hint="default"/>
          <w:sz w:val="20"/>
          <w:szCs w:val="20"/>
        </w:rPr>
        <w:sectPr>
          <w:pgSz w:w="11910" w:h="16840"/>
          <w:pgMar w:header="877" w:footer="1265" w:top="1100" w:bottom="1460" w:left="920" w:right="0"/>
        </w:sectPr>
      </w:pPr>
    </w:p>
    <w:p>
      <w:pPr>
        <w:spacing w:line="240" w:lineRule="auto" w:before="4"/>
        <w:rPr>
          <w:rFonts w:ascii="Times New Roman" w:hAnsi="Times New Roman" w:cs="Times New Roman" w:eastAsia="Times New Roman" w:hint="default"/>
          <w:sz w:val="28"/>
          <w:szCs w:val="28"/>
        </w:rPr>
      </w:pPr>
    </w:p>
    <w:p>
      <w:pPr>
        <w:spacing w:line="5811"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5"/>
          <w:sz w:val="20"/>
          <w:szCs w:val="20"/>
        </w:rPr>
        <w:pict>
          <v:shape style="width:481.55pt;height:290.6pt;mso-position-horizontal-relative:char;mso-position-vertical-relative:line" type="#_x0000_t202" filled="false" stroked="true" strokeweight=".47998pt" strokecolor="#000000">
            <w10:anchorlock/>
            <v:textbox inset="0,0,0,0">
              <w:txbxContent>
                <w:p>
                  <w:pPr>
                    <w:pStyle w:val="BodyText"/>
                    <w:spacing w:line="241" w:lineRule="exact" w:before="0"/>
                    <w:ind w:left="103" w:right="0"/>
                    <w:jc w:val="both"/>
                  </w:pPr>
                  <w:r>
                    <w:rPr>
                      <w:w w:val="100"/>
                    </w:rPr>
                    <w:t>日刊</w:t>
                  </w:r>
                  <w:r>
                    <w:rPr>
                      <w:spacing w:val="-3"/>
                      <w:w w:val="100"/>
                    </w:rPr>
                    <w:t>登</w:t>
                  </w:r>
                  <w:r>
                    <w:rPr>
                      <w:w w:val="100"/>
                    </w:rPr>
                    <w:t>在</w:t>
                  </w:r>
                  <w:r>
                    <w:rPr>
                      <w:spacing w:val="-3"/>
                      <w:w w:val="100"/>
                    </w:rPr>
                    <w:t>《</w:t>
                  </w:r>
                  <w:r>
                    <w:rPr>
                      <w:w w:val="100"/>
                    </w:rPr>
                    <w:t>证</w:t>
                  </w:r>
                  <w:r>
                    <w:rPr>
                      <w:spacing w:val="-3"/>
                      <w:w w:val="100"/>
                    </w:rPr>
                    <w:t>券</w:t>
                  </w:r>
                  <w:r>
                    <w:rPr>
                      <w:w w:val="100"/>
                    </w:rPr>
                    <w:t>时</w:t>
                  </w:r>
                  <w:r>
                    <w:rPr>
                      <w:spacing w:val="-3"/>
                      <w:w w:val="100"/>
                    </w:rPr>
                    <w:t>报</w:t>
                  </w:r>
                  <w:r>
                    <w:rPr>
                      <w:spacing w:val="-106"/>
                      <w:w w:val="100"/>
                    </w:rPr>
                    <w:t>》、</w:t>
                  </w:r>
                  <w:r>
                    <w:rPr>
                      <w:spacing w:val="-3"/>
                      <w:w w:val="100"/>
                    </w:rPr>
                    <w:t>《</w:t>
                  </w:r>
                  <w:r>
                    <w:rPr>
                      <w:w w:val="100"/>
                    </w:rPr>
                    <w:t>中国</w:t>
                  </w:r>
                  <w:r>
                    <w:rPr>
                      <w:spacing w:val="-3"/>
                      <w:w w:val="100"/>
                    </w:rPr>
                    <w:t>证</w:t>
                  </w:r>
                  <w:r>
                    <w:rPr>
                      <w:w w:val="100"/>
                    </w:rPr>
                    <w:t>券</w:t>
                  </w:r>
                  <w:r>
                    <w:rPr>
                      <w:spacing w:val="-3"/>
                      <w:w w:val="100"/>
                    </w:rPr>
                    <w:t>报</w:t>
                  </w:r>
                  <w:r>
                    <w:rPr>
                      <w:spacing w:val="-106"/>
                      <w:w w:val="100"/>
                    </w:rPr>
                    <w:t>》、</w:t>
                  </w:r>
                  <w:r>
                    <w:rPr>
                      <w:spacing w:val="-3"/>
                      <w:w w:val="100"/>
                    </w:rPr>
                    <w:t>《</w:t>
                  </w:r>
                  <w:r>
                    <w:rPr>
                      <w:w w:val="100"/>
                    </w:rPr>
                    <w:t>上</w:t>
                  </w:r>
                  <w:r>
                    <w:rPr>
                      <w:spacing w:val="-3"/>
                      <w:w w:val="100"/>
                    </w:rPr>
                    <w:t>海</w:t>
                  </w:r>
                  <w:r>
                    <w:rPr>
                      <w:w w:val="100"/>
                    </w:rPr>
                    <w:t>证</w:t>
                  </w:r>
                  <w:r>
                    <w:rPr>
                      <w:spacing w:val="-3"/>
                      <w:w w:val="100"/>
                    </w:rPr>
                    <w:t>券</w:t>
                  </w:r>
                  <w:r>
                    <w:rPr>
                      <w:w w:val="100"/>
                    </w:rPr>
                    <w:t>报</w:t>
                  </w:r>
                  <w:r>
                    <w:rPr>
                      <w:spacing w:val="-106"/>
                      <w:w w:val="100"/>
                    </w:rPr>
                    <w:t>》、</w:t>
                  </w:r>
                  <w:r>
                    <w:rPr>
                      <w:spacing w:val="-3"/>
                      <w:w w:val="100"/>
                    </w:rPr>
                    <w:t>《</w:t>
                  </w:r>
                  <w:r>
                    <w:rPr>
                      <w:w w:val="100"/>
                    </w:rPr>
                    <w:t>证</w:t>
                  </w:r>
                  <w:r>
                    <w:rPr>
                      <w:spacing w:val="-3"/>
                      <w:w w:val="100"/>
                    </w:rPr>
                    <w:t>券</w:t>
                  </w:r>
                  <w:r>
                    <w:rPr>
                      <w:w w:val="100"/>
                    </w:rPr>
                    <w:t>日</w:t>
                  </w:r>
                  <w:r>
                    <w:rPr>
                      <w:spacing w:val="-3"/>
                      <w:w w:val="100"/>
                    </w:rPr>
                    <w:t>报</w:t>
                  </w:r>
                  <w:r>
                    <w:rPr>
                      <w:w w:val="100"/>
                    </w:rPr>
                    <w:t>》</w:t>
                  </w:r>
                  <w:r>
                    <w:rPr>
                      <w:spacing w:val="-3"/>
                      <w:w w:val="100"/>
                    </w:rPr>
                    <w:t>及</w:t>
                  </w:r>
                  <w:r>
                    <w:rPr>
                      <w:w w:val="100"/>
                    </w:rPr>
                    <w:t>巨</w:t>
                  </w:r>
                  <w:r>
                    <w:rPr>
                      <w:spacing w:val="-3"/>
                      <w:w w:val="100"/>
                    </w:rPr>
                    <w:t>潮</w:t>
                  </w:r>
                  <w:r>
                    <w:rPr>
                      <w:w w:val="100"/>
                    </w:rPr>
                    <w:t>资讯</w:t>
                  </w:r>
                  <w:r>
                    <w:rPr>
                      <w:spacing w:val="-3"/>
                      <w:w w:val="100"/>
                    </w:rPr>
                    <w:t>网</w:t>
                  </w:r>
                  <w:r>
                    <w:rPr>
                      <w:w w:val="100"/>
                    </w:rPr>
                    <w:t>上</w:t>
                  </w:r>
                  <w:r>
                    <w:rPr>
                      <w:spacing w:val="-3"/>
                      <w:w w:val="100"/>
                    </w:rPr>
                    <w:t>的</w:t>
                  </w:r>
                  <w:r>
                    <w:rPr>
                      <w:w w:val="100"/>
                    </w:rPr>
                    <w:t>公</w:t>
                  </w:r>
                  <w:r>
                    <w:rPr>
                      <w:spacing w:val="-3"/>
                      <w:w w:val="100"/>
                    </w:rPr>
                    <w:t>告</w:t>
                  </w:r>
                  <w:r>
                    <w:rPr>
                      <w:w w:val="100"/>
                    </w:rPr>
                    <w:t>）</w:t>
                  </w:r>
                </w:p>
                <w:p>
                  <w:pPr>
                    <w:spacing w:line="338" w:lineRule="auto" w:before="66"/>
                    <w:ind w:left="523"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、关于控股子公司成都公司原办公大楼以公开挂牌方式招租的事项</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pacing w:val="-32"/>
                      <w:sz w:val="21"/>
                      <w:szCs w:val="21"/>
                    </w:rPr>
                  </w:r>
                  <w:r>
                    <w:rPr>
                      <w:rFonts w:ascii="宋体" w:hAnsi="宋体" w:cs="宋体" w:eastAsia="宋体" w:hint="default"/>
                      <w:spacing w:val="-3"/>
                      <w:sz w:val="21"/>
                      <w:szCs w:val="21"/>
                    </w:rPr>
                    <w:t>经公司第八届董事会第十次会议审议通过，为了整合成都市场资源，同意控股子公司成都公司在深</w:t>
                  </w:r>
                </w:p>
                <w:p>
                  <w:pPr>
                    <w:pStyle w:val="BodyText"/>
                    <w:spacing w:line="240" w:lineRule="auto" w:before="47"/>
                    <w:ind w:left="103" w:right="0"/>
                    <w:jc w:val="both"/>
                  </w:pPr>
                  <w:r>
                    <w:rPr>
                      <w:w w:val="100"/>
                    </w:rPr>
                    <w:t>圳联</w:t>
                  </w:r>
                  <w:r>
                    <w:rPr>
                      <w:spacing w:val="-3"/>
                      <w:w w:val="100"/>
                    </w:rPr>
                    <w:t>合</w:t>
                  </w:r>
                  <w:r>
                    <w:rPr>
                      <w:w w:val="100"/>
                    </w:rPr>
                    <w:t>产</w:t>
                  </w:r>
                  <w:r>
                    <w:rPr>
                      <w:spacing w:val="-3"/>
                      <w:w w:val="100"/>
                    </w:rPr>
                    <w:t>权</w:t>
                  </w:r>
                  <w:r>
                    <w:rPr>
                      <w:w w:val="100"/>
                    </w:rPr>
                    <w:t>交</w:t>
                  </w:r>
                  <w:r>
                    <w:rPr>
                      <w:spacing w:val="-3"/>
                      <w:w w:val="100"/>
                    </w:rPr>
                    <w:t>易</w:t>
                  </w:r>
                  <w:r>
                    <w:rPr>
                      <w:w w:val="100"/>
                    </w:rPr>
                    <w:t>所</w:t>
                  </w:r>
                  <w:r>
                    <w:rPr>
                      <w:spacing w:val="-3"/>
                      <w:w w:val="100"/>
                    </w:rPr>
                    <w:t>以</w:t>
                  </w:r>
                  <w:r>
                    <w:rPr>
                      <w:w w:val="100"/>
                    </w:rPr>
                    <w:t>公</w:t>
                  </w:r>
                  <w:r>
                    <w:rPr>
                      <w:spacing w:val="-3"/>
                      <w:w w:val="100"/>
                    </w:rPr>
                    <w:t>开</w:t>
                  </w:r>
                  <w:r>
                    <w:rPr>
                      <w:w w:val="100"/>
                    </w:rPr>
                    <w:t>挂牌</w:t>
                  </w:r>
                  <w:r>
                    <w:rPr>
                      <w:spacing w:val="-3"/>
                      <w:w w:val="100"/>
                    </w:rPr>
                    <w:t>方</w:t>
                  </w:r>
                  <w:r>
                    <w:rPr>
                      <w:w w:val="100"/>
                    </w:rPr>
                    <w:t>式</w:t>
                  </w:r>
                  <w:r>
                    <w:rPr>
                      <w:spacing w:val="-3"/>
                      <w:w w:val="100"/>
                    </w:rPr>
                    <w:t>对</w:t>
                  </w:r>
                  <w:r>
                    <w:rPr>
                      <w:w w:val="100"/>
                    </w:rPr>
                    <w:t>原</w:t>
                  </w:r>
                  <w:r>
                    <w:rPr>
                      <w:spacing w:val="-3"/>
                      <w:w w:val="100"/>
                    </w:rPr>
                    <w:t>办</w:t>
                  </w:r>
                  <w:r>
                    <w:rPr>
                      <w:w w:val="100"/>
                    </w:rPr>
                    <w:t>公</w:t>
                  </w:r>
                  <w:r>
                    <w:rPr>
                      <w:spacing w:val="-3"/>
                      <w:w w:val="100"/>
                    </w:rPr>
                    <w:t>大</w:t>
                  </w:r>
                  <w:r>
                    <w:rPr>
                      <w:w w:val="100"/>
                    </w:rPr>
                    <w:t>楼</w:t>
                  </w:r>
                  <w:r>
                    <w:rPr>
                      <w:spacing w:val="-3"/>
                      <w:w w:val="100"/>
                    </w:rPr>
                    <w:t>二</w:t>
                  </w:r>
                  <w:r>
                    <w:rPr>
                      <w:w w:val="100"/>
                    </w:rPr>
                    <w:t>层至</w:t>
                  </w:r>
                  <w:r>
                    <w:rPr>
                      <w:spacing w:val="-3"/>
                      <w:w w:val="100"/>
                    </w:rPr>
                    <w:t>五</w:t>
                  </w:r>
                  <w:r>
                    <w:rPr>
                      <w:w w:val="100"/>
                    </w:rPr>
                    <w:t>层</w:t>
                  </w:r>
                  <w:r>
                    <w:rPr>
                      <w:spacing w:val="-3"/>
                      <w:w w:val="100"/>
                    </w:rPr>
                    <w:t>物</w:t>
                  </w:r>
                  <w:r>
                    <w:rPr>
                      <w:w w:val="100"/>
                    </w:rPr>
                    <w:t>业</w:t>
                  </w:r>
                  <w:r>
                    <w:rPr>
                      <w:spacing w:val="-3"/>
                      <w:w w:val="100"/>
                    </w:rPr>
                    <w:t>实</w:t>
                  </w:r>
                  <w:r>
                    <w:rPr>
                      <w:w w:val="100"/>
                    </w:rPr>
                    <w:t>施</w:t>
                  </w:r>
                  <w:r>
                    <w:rPr>
                      <w:spacing w:val="-3"/>
                      <w:w w:val="100"/>
                    </w:rPr>
                    <w:t>招</w:t>
                  </w:r>
                  <w:r>
                    <w:rPr>
                      <w:w w:val="100"/>
                    </w:rPr>
                    <w:t>租</w:t>
                  </w:r>
                  <w:r>
                    <w:rPr>
                      <w:spacing w:val="-108"/>
                      <w:w w:val="100"/>
                    </w:rPr>
                    <w:t>。</w:t>
                  </w:r>
                  <w:r>
                    <w:rPr>
                      <w:spacing w:val="-3"/>
                      <w:w w:val="100"/>
                    </w:rPr>
                    <w:t>（</w:t>
                  </w:r>
                  <w:r>
                    <w:rPr>
                      <w:w w:val="100"/>
                    </w:rPr>
                    <w:t>详见</w:t>
                  </w:r>
                  <w:r>
                    <w:rPr>
                      <w:spacing w:val="-3"/>
                      <w:w w:val="100"/>
                    </w:rPr>
                    <w:t>公司</w:t>
                  </w:r>
                  <w:r>
                    <w:rPr>
                      <w:w w:val="100"/>
                    </w:rPr>
                    <w:t>于</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w w:val="100"/>
                    </w:rPr>
                    <w:t>月</w:t>
                  </w:r>
                </w:p>
                <w:p>
                  <w:pPr>
                    <w:pStyle w:val="BodyText"/>
                    <w:spacing w:line="345" w:lineRule="auto" w:before="119"/>
                    <w:ind w:left="103" w:right="98"/>
                    <w:jc w:val="both"/>
                  </w:pPr>
                  <w:r>
                    <w:rPr>
                      <w:rFonts w:ascii="Times New Roman" w:hAnsi="Times New Roman" w:cs="Times New Roman" w:eastAsia="Times New Roman" w:hint="default"/>
                    </w:rPr>
                    <w:t>30 </w:t>
                  </w:r>
                  <w:r>
                    <w:rPr>
                      <w:spacing w:val="-17"/>
                    </w:rPr>
                    <w:t>日在《证券时报》、《中国证券报》、《上海证券报》、《证券日报》及巨潮资讯网上刊登的公告及深圳联</w:t>
                  </w:r>
                  <w:r>
                    <w:rPr>
                      <w:spacing w:val="-47"/>
                    </w:rPr>
                    <w:t> </w:t>
                  </w:r>
                  <w:r>
                    <w:rPr>
                      <w:spacing w:val="-47"/>
                    </w:rPr>
                  </w:r>
                  <w:r>
                    <w:rPr>
                      <w:spacing w:val="-3"/>
                    </w:rPr>
                    <w:t>合产权交易所相关公告）报告期，经过深圳联交所公开挂牌程序，最终由湖南知海水产品有限公司获得</w:t>
                  </w:r>
                  <w:r>
                    <w:rPr>
                      <w:spacing w:val="-22"/>
                    </w:rPr>
                    <w:t> </w:t>
                  </w:r>
                  <w:r>
                    <w:rPr>
                      <w:spacing w:val="-22"/>
                    </w:rPr>
                  </w:r>
                  <w:r>
                    <w:rPr/>
                    <w:t>上述物业承租权。</w:t>
                  </w:r>
                </w:p>
                <w:p>
                  <w:pPr>
                    <w:spacing w:line="312" w:lineRule="auto" w:before="17"/>
                    <w:ind w:left="523" w:right="-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、关于按持股比例对广西星联减资的事项</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5"/>
                      <w:sz w:val="21"/>
                      <w:szCs w:val="21"/>
                    </w:rPr>
                    <w:t>报告期后，经公司第八届董事会第二十二次会议审议通过，同意公司与广西星联（系公司参股公司，</w:t>
                  </w:r>
                </w:p>
                <w:p>
                  <w:pPr>
                    <w:pStyle w:val="BodyText"/>
                    <w:spacing w:line="338" w:lineRule="auto" w:before="70"/>
                    <w:ind w:left="103" w:right="96"/>
                    <w:jc w:val="both"/>
                  </w:pPr>
                  <w:r>
                    <w:rPr>
                      <w:spacing w:val="-3"/>
                    </w:rPr>
                    <w:t>公司直接持有其</w:t>
                  </w:r>
                  <w:r>
                    <w:rPr>
                      <w:rFonts w:ascii="Times New Roman" w:hAnsi="Times New Roman" w:cs="Times New Roman" w:eastAsia="Times New Roman" w:hint="default"/>
                      <w:spacing w:val="-3"/>
                    </w:rPr>
                    <w:t>38%</w:t>
                  </w:r>
                  <w:r>
                    <w:rPr>
                      <w:spacing w:val="-3"/>
                    </w:rPr>
                    <w:t>股权，公司全资子公司深圳市星联国际供应链管理有限公司持有其</w:t>
                  </w:r>
                  <w:r>
                    <w:rPr>
                      <w:rFonts w:ascii="Times New Roman" w:hAnsi="Times New Roman" w:cs="Times New Roman" w:eastAsia="Times New Roman" w:hint="default"/>
                      <w:spacing w:val="-3"/>
                    </w:rPr>
                    <w:t>9%</w:t>
                  </w:r>
                  <w:r>
                    <w:rPr>
                      <w:spacing w:val="-3"/>
                    </w:rPr>
                    <w:t>股权，即公司</w:t>
                  </w:r>
                  <w:r>
                    <w:rPr>
                      <w:spacing w:val="-44"/>
                    </w:rPr>
                    <w:t> </w:t>
                  </w:r>
                  <w:r>
                    <w:rPr>
                      <w:spacing w:val="-44"/>
                    </w:rPr>
                  </w:r>
                  <w:r>
                    <w:rPr/>
                    <w:t>合计持有广西星联</w:t>
                  </w:r>
                  <w:r>
                    <w:rPr>
                      <w:rFonts w:ascii="Times New Roman" w:hAnsi="Times New Roman" w:cs="Times New Roman" w:eastAsia="Times New Roman" w:hint="default"/>
                    </w:rPr>
                    <w:t>47%</w:t>
                  </w:r>
                  <w:r>
                    <w:rPr/>
                    <w:t>股权）各股东方按持股比例对广西星联减资，将广西星联注册资本</w:t>
                  </w:r>
                  <w:r>
                    <w:rPr>
                      <w:rFonts w:ascii="Times New Roman" w:hAnsi="Times New Roman" w:cs="Times New Roman" w:eastAsia="Times New Roman" w:hint="default"/>
                    </w:rPr>
                    <w:t>10,000</w:t>
                  </w:r>
                  <w:r>
                    <w:rPr/>
                    <w:t>万元减</w:t>
                  </w:r>
                  <w:r>
                    <w:rPr>
                      <w:spacing w:val="-58"/>
                    </w:rPr>
                    <w:t> </w:t>
                  </w:r>
                  <w:r>
                    <w:rPr>
                      <w:spacing w:val="-4"/>
                    </w:rPr>
                    <w:t>资至</w:t>
                  </w:r>
                  <w:r>
                    <w:rPr>
                      <w:rFonts w:ascii="Times New Roman" w:hAnsi="Times New Roman" w:cs="Times New Roman" w:eastAsia="Times New Roman" w:hint="default"/>
                      <w:spacing w:val="-4"/>
                    </w:rPr>
                    <w:t>1,000</w:t>
                  </w:r>
                  <w:r>
                    <w:rPr>
                      <w:spacing w:val="-4"/>
                    </w:rPr>
                    <w:t>万元；减资后，广西星联债权债务仍由广西星联以独立法人地位承担。截至本报告披露日，该</w:t>
                  </w:r>
                  <w:r>
                    <w:rPr>
                      <w:spacing w:val="-14"/>
                    </w:rPr>
                    <w:t> </w:t>
                  </w:r>
                  <w:r>
                    <w:rPr>
                      <w:spacing w:val="-14"/>
                    </w:rPr>
                  </w:r>
                  <w:r>
                    <w:rPr>
                      <w:spacing w:val="-17"/>
                    </w:rPr>
                    <w:t>事项尚在推进当中。（详见公司于</w:t>
                  </w:r>
                  <w:r>
                    <w:rPr>
                      <w:rFonts w:ascii="Times New Roman" w:hAnsi="Times New Roman" w:cs="Times New Roman" w:eastAsia="Times New Roman" w:hint="default"/>
                      <w:spacing w:val="-17"/>
                    </w:rPr>
                    <w:t>2019</w:t>
                  </w:r>
                  <w:r>
                    <w:rPr>
                      <w:spacing w:val="-17"/>
                    </w:rPr>
                    <w:t>年</w:t>
                  </w:r>
                  <w:r>
                    <w:rPr>
                      <w:rFonts w:ascii="Times New Roman" w:hAnsi="Times New Roman" w:cs="Times New Roman" w:eastAsia="Times New Roman" w:hint="default"/>
                      <w:spacing w:val="-17"/>
                    </w:rPr>
                    <w:t>1</w:t>
                  </w:r>
                  <w:r>
                    <w:rPr>
                      <w:spacing w:val="-17"/>
                    </w:rPr>
                    <w:t>月</w:t>
                  </w:r>
                  <w:r>
                    <w:rPr>
                      <w:rFonts w:ascii="Times New Roman" w:hAnsi="Times New Roman" w:cs="Times New Roman" w:eastAsia="Times New Roman" w:hint="default"/>
                      <w:spacing w:val="-17"/>
                    </w:rPr>
                    <w:t>30</w:t>
                  </w:r>
                  <w:r>
                    <w:rPr>
                      <w:spacing w:val="-17"/>
                    </w:rPr>
                    <w:t>日在《证券时报》、《中国证券报》、《上海证券报》、《证券</w:t>
                  </w:r>
                  <w:r>
                    <w:rPr>
                      <w:spacing w:val="-47"/>
                    </w:rPr>
                    <w:t> </w:t>
                  </w:r>
                  <w:r>
                    <w:rPr>
                      <w:spacing w:val="-47"/>
                    </w:rPr>
                  </w:r>
                  <w:r>
                    <w:rPr/>
                    <w:t>日报》及巨潮资讯网上刊登的公告）</w:t>
                  </w:r>
                </w:p>
              </w:txbxContent>
            </v:textbox>
          </v:shape>
        </w:pict>
      </w:r>
      <w:r>
        <w:rPr>
          <w:rFonts w:ascii="Times New Roman" w:hAnsi="Times New Roman" w:cs="Times New Roman" w:eastAsia="Times New Roman" w:hint="default"/>
          <w:position w:val="-115"/>
          <w:sz w:val="20"/>
          <w:szCs w:val="20"/>
        </w:rPr>
      </w:r>
    </w:p>
    <w:p>
      <w:pPr>
        <w:spacing w:after="0" w:line="5811" w:lineRule="exact"/>
        <w:rPr>
          <w:rFonts w:ascii="Times New Roman" w:hAnsi="Times New Roman" w:cs="Times New Roman" w:eastAsia="Times New Roman" w:hint="default"/>
          <w:sz w:val="20"/>
          <w:szCs w:val="20"/>
        </w:rPr>
        <w:sectPr>
          <w:pgSz w:w="11910" w:h="16840"/>
          <w:pgMar w:header="877" w:footer="1265" w:top="1100" w:bottom="14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pStyle w:val="Heading1"/>
        <w:spacing w:line="456" w:lineRule="exact"/>
        <w:ind w:left="3144" w:right="1093"/>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pStyle w:val="Heading4"/>
        <w:spacing w:line="367" w:lineRule="exact"/>
        <w:ind w:left="332" w:right="1093"/>
        <w:jc w:val="left"/>
        <w:rPr>
          <w:b w:val="0"/>
          <w:bCs w:val="0"/>
        </w:rPr>
      </w:pPr>
      <w:r>
        <w:rPr/>
        <w:t>一、股份变动情况</w:t>
      </w:r>
      <w:r>
        <w:rPr>
          <w:b w:val="0"/>
          <w:bCs w:val="0"/>
        </w:rPr>
      </w:r>
    </w:p>
    <w:p>
      <w:pPr>
        <w:pStyle w:val="Heading6"/>
        <w:spacing w:line="240" w:lineRule="auto" w:before="210"/>
        <w:ind w:left="332" w:right="109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985"/>
        <w:gridCol w:w="1136"/>
        <w:gridCol w:w="850"/>
        <w:gridCol w:w="708"/>
        <w:gridCol w:w="710"/>
        <w:gridCol w:w="708"/>
        <w:gridCol w:w="991"/>
        <w:gridCol w:w="994"/>
        <w:gridCol w:w="1133"/>
        <w:gridCol w:w="857"/>
      </w:tblGrid>
      <w:tr>
        <w:trPr>
          <w:trHeight w:val="324"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259" w:right="7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7"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98"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6" w:type="dxa"/>
            <w:tcBorders>
              <w:top w:val="single" w:sz="51" w:space="0" w:color="D2D2D2"/>
              <w:left w:val="single" w:sz="12" w:space="0" w:color="D2D2D2"/>
              <w:bottom w:val="single" w:sz="4" w:space="0" w:color="000000"/>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1,626,913</w:t>
            </w:r>
          </w:p>
        </w:tc>
        <w:tc>
          <w:tcPr>
            <w:tcW w:w="850"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-84,015</w:t>
            </w:r>
          </w:p>
        </w:tc>
        <w:tc>
          <w:tcPr>
            <w:tcW w:w="99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-84,015</w:t>
            </w:r>
          </w:p>
        </w:tc>
        <w:tc>
          <w:tcPr>
            <w:tcW w:w="1133"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1,542,898</w:t>
            </w:r>
          </w:p>
        </w:tc>
        <w:tc>
          <w:tcPr>
            <w:tcW w:w="857"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0.09%</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7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1,626,913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-84,015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-84,015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1,542,898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0.09%</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1,626,913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1,542,898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6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1,695,337,218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99.90%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+84,015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+84,015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1,695,421,233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z w:val="18"/>
              </w:rPr>
              <w:t>99.91%</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1,695,337,218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z w:val="18"/>
              </w:rPr>
              <w:t>99.90%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+84,015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z w:val="18"/>
              </w:rPr>
              <w:t>+84,015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18"/>
                <w:szCs w:val="18"/>
              </w:rPr>
            </w:pPr>
            <w:r>
              <w:rPr>
                <w:rFonts w:ascii="Times New Roman"/>
                <w:spacing w:val="-1"/>
                <w:sz w:val="18"/>
              </w:rPr>
              <w:t>1,695,421,233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8"/>
              <w:jc w:val="right"/>
              <w:rPr>
                <w:rFonts w:ascii="Times New Roman" w:hAnsi="Times New Roman" w:cs="Times New Roman" w:eastAsia="Times New Roman" w:hint="default"/>
                <w:sz w:val="18"/>
                <w:szCs w:val="18"/>
              </w:rPr>
            </w:pPr>
            <w:r>
              <w:rPr>
                <w:rFonts w:ascii="Times New Roman"/>
                <w:sz w:val="18"/>
              </w:rPr>
              <w:t>99.91%</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7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1,696,964,131</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b/>
                <w:spacing w:val="-1"/>
                <w:sz w:val="18"/>
              </w:rPr>
              <w:t>1,696,964,131</w:t>
            </w:r>
            <w:r>
              <w:rPr>
                <w:rFonts w:ascii="Times New Roman"/>
                <w:spacing w:val="-1"/>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32" w:lineRule="exact" w:before="33"/>
        <w:ind w:left="332" w:right="1093" w:firstLine="0"/>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、上表是根据中国结算深圳分公司提供的《股本结构表（按股东类别标识统计）》（股权登记日：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 </w:t>
      </w:r>
      <w:r>
        <w:rPr>
          <w:rFonts w:ascii="宋体" w:hAnsi="宋体" w:cs="宋体" w:eastAsia="宋体" w:hint="default"/>
          <w:sz w:val="18"/>
          <w:szCs w:val="18"/>
        </w:rPr>
        <w:t>编制。</w:t>
      </w:r>
    </w:p>
    <w:p>
      <w:pPr>
        <w:spacing w:line="232" w:lineRule="exact" w:before="44"/>
        <w:ind w:left="332" w:right="1093"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、中国结算深圳分公司按《公司法》、《上市公司董事、监事、高级管理人员所持本公司股份及其变动管理规则》的相关规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定增加或解除董事、监事、高级管理人员的限售股份。</w:t>
      </w:r>
    </w:p>
    <w:p>
      <w:pPr>
        <w:spacing w:before="156"/>
        <w:ind w:left="332" w:right="109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股份变动的原因</w:t>
      </w:r>
      <w:r>
        <w:rPr>
          <w:rFonts w:ascii="Microsoft JhengHei" w:hAnsi="Microsoft JhengHei" w:cs="Microsoft JhengHei" w:eastAsia="Microsoft JhengHei" w:hint="default"/>
          <w:sz w:val="18"/>
          <w:szCs w:val="18"/>
        </w:rPr>
      </w:r>
    </w:p>
    <w:p>
      <w:pPr>
        <w:spacing w:line="321" w:lineRule="auto" w:before="135"/>
        <w:ind w:left="332" w:right="913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股份变动的批准情况</w:t>
      </w:r>
      <w:r>
        <w:rPr>
          <w:rFonts w:ascii="Microsoft JhengHei" w:hAnsi="Microsoft JhengHei" w:cs="Microsoft JhengHei" w:eastAsia="Microsoft JhengHei" w:hint="default"/>
          <w:sz w:val="18"/>
          <w:szCs w:val="18"/>
        </w:rPr>
      </w:r>
    </w:p>
    <w:p>
      <w:pPr>
        <w:spacing w:line="321" w:lineRule="auto" w:before="51"/>
        <w:ind w:left="332" w:right="913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股份变动的过户情况</w:t>
      </w:r>
      <w:r>
        <w:rPr>
          <w:rFonts w:ascii="Microsoft JhengHei" w:hAnsi="Microsoft JhengHei" w:cs="Microsoft JhengHei" w:eastAsia="Microsoft JhengHei" w:hint="default"/>
          <w:sz w:val="18"/>
          <w:szCs w:val="18"/>
        </w:rPr>
      </w:r>
    </w:p>
    <w:p>
      <w:pPr>
        <w:spacing w:line="321" w:lineRule="auto" w:before="51"/>
        <w:ind w:left="332" w:right="877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股份回购的实施进展情况</w:t>
      </w:r>
      <w:r>
        <w:rPr>
          <w:rFonts w:ascii="Microsoft JhengHei" w:hAnsi="Microsoft JhengHei" w:cs="Microsoft JhengHei" w:eastAsia="Microsoft JhengHei" w:hint="default"/>
          <w:sz w:val="18"/>
          <w:szCs w:val="18"/>
        </w:rPr>
      </w:r>
    </w:p>
    <w:p>
      <w:pPr>
        <w:spacing w:after="0" w:line="321" w:lineRule="auto"/>
        <w:jc w:val="left"/>
        <w:rPr>
          <w:rFonts w:ascii="Microsoft JhengHei" w:hAnsi="Microsoft JhengHei" w:cs="Microsoft JhengHei" w:eastAsia="Microsoft JhengHei" w:hint="default"/>
          <w:sz w:val="18"/>
          <w:szCs w:val="18"/>
        </w:rPr>
        <w:sectPr>
          <w:pgSz w:w="11910" w:h="16840"/>
          <w:pgMar w:header="877" w:footer="1265" w:top="1100" w:bottom="1460" w:left="800" w:right="0"/>
        </w:sectPr>
      </w:pPr>
    </w:p>
    <w:p>
      <w:pPr>
        <w:spacing w:line="240" w:lineRule="auto" w:before="1"/>
        <w:rPr>
          <w:rFonts w:ascii="Microsoft JhengHei" w:hAnsi="Microsoft JhengHei" w:cs="Microsoft JhengHei" w:eastAsia="Microsoft JhengHei" w:hint="default"/>
          <w:b/>
          <w:bCs/>
          <w:sz w:val="14"/>
          <w:szCs w:val="14"/>
        </w:rPr>
      </w:pPr>
    </w:p>
    <w:p>
      <w:pPr>
        <w:spacing w:line="321" w:lineRule="auto" w:before="44"/>
        <w:ind w:left="472" w:right="697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采用集中竞价方式减持回购股份的实施进展情况</w:t>
      </w:r>
      <w:r>
        <w:rPr>
          <w:rFonts w:ascii="Microsoft JhengHei" w:hAnsi="Microsoft JhengHei" w:cs="Microsoft JhengHei" w:eastAsia="Microsoft JhengHei" w:hint="default"/>
          <w:sz w:val="18"/>
          <w:szCs w:val="18"/>
        </w:rPr>
      </w:r>
    </w:p>
    <w:p>
      <w:pPr>
        <w:spacing w:line="321" w:lineRule="auto" w:before="51"/>
        <w:ind w:left="472" w:right="1129"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股份变动对最近一年和最近一期基本每股收益和稀释每股收益、归属于公司普通股股东的每股净资产等财务指标的影响</w:t>
      </w:r>
      <w:r>
        <w:rPr>
          <w:rFonts w:ascii="Microsoft JhengHei" w:hAnsi="Microsoft JhengHei" w:cs="Microsoft JhengHei" w:eastAsia="Microsoft JhengHei" w:hint="default"/>
          <w:sz w:val="18"/>
          <w:szCs w:val="18"/>
        </w:rPr>
      </w:r>
    </w:p>
    <w:p>
      <w:pPr>
        <w:spacing w:line="321" w:lineRule="auto" w:before="51"/>
        <w:ind w:left="472" w:right="6794"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公司认为必要或证券监管机构要求披露的其他内容</w:t>
      </w:r>
      <w:r>
        <w:rPr>
          <w:rFonts w:ascii="Microsoft JhengHei" w:hAnsi="Microsoft JhengHei" w:cs="Microsoft JhengHei" w:eastAsia="Microsoft JhengHei" w:hint="default"/>
          <w:sz w:val="18"/>
          <w:szCs w:val="18"/>
        </w:rPr>
      </w:r>
    </w:p>
    <w:p>
      <w:pPr>
        <w:spacing w:before="51"/>
        <w:ind w:left="47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left="472" w:right="697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564" w:type="dxa"/>
        <w:tblLayout w:type="fixed"/>
        <w:tblCellMar>
          <w:top w:w="0" w:type="dxa"/>
          <w:left w:w="0" w:type="dxa"/>
          <w:bottom w:w="0" w:type="dxa"/>
          <w:right w:w="0" w:type="dxa"/>
        </w:tblCellMar>
        <w:tblLook w:val="01E0"/>
      </w:tblPr>
      <w:tblGrid>
        <w:gridCol w:w="2629"/>
        <w:gridCol w:w="1140"/>
        <w:gridCol w:w="1229"/>
        <w:gridCol w:w="1035"/>
        <w:gridCol w:w="1054"/>
        <w:gridCol w:w="1316"/>
        <w:gridCol w:w="1044"/>
      </w:tblGrid>
      <w:tr>
        <w:trPr>
          <w:trHeight w:val="610" w:hRule="exact"/>
        </w:trPr>
        <w:tc>
          <w:tcPr>
            <w:tcW w:w="26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295" w:right="29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期初限 售股数</w:t>
            </w:r>
            <w:r>
              <w:rPr>
                <w:rFonts w:ascii="Microsoft JhengHei" w:hAnsi="Microsoft JhengHei" w:cs="Microsoft JhengHei" w:eastAsia="Microsoft JhengHei"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338" w:right="156"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本年解除限 售股数</w:t>
            </w:r>
            <w:r>
              <w:rPr>
                <w:rFonts w:ascii="Microsoft JhengHei" w:hAnsi="Microsoft JhengHei" w:cs="Microsoft JhengHei" w:eastAsia="Microsoft JhengHei" w:hint="default"/>
                <w:sz w:val="18"/>
                <w:szCs w:val="18"/>
              </w:rPr>
            </w:r>
          </w:p>
        </w:tc>
        <w:tc>
          <w:tcPr>
            <w:tcW w:w="10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154" w:right="14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 限售股数</w:t>
            </w:r>
            <w:r>
              <w:rPr>
                <w:rFonts w:ascii="Microsoft JhengHei" w:hAnsi="Microsoft JhengHei" w:cs="Microsoft JhengHei" w:eastAsia="Microsoft JhengHei"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340" w:right="15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期末限售 股数</w:t>
            </w:r>
            <w:r>
              <w:rPr>
                <w:rFonts w:ascii="Microsoft JhengHei" w:hAnsi="Microsoft JhengHei" w:cs="Microsoft JhengHei" w:eastAsia="Microsoft JhengHei"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3"/>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限售原因</w:t>
            </w:r>
            <w:r>
              <w:rPr>
                <w:rFonts w:ascii="Microsoft JhengHei" w:hAnsi="Microsoft JhengHei" w:cs="Microsoft JhengHei" w:eastAsia="Microsoft JhengHei"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335" w:right="154"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解除限售 日期</w:t>
            </w:r>
            <w:r>
              <w:rPr>
                <w:rFonts w:ascii="Microsoft JhengHei" w:hAnsi="Microsoft JhengHei" w:cs="Microsoft JhengHei" w:eastAsia="Microsoft JhengHei" w:hint="default"/>
                <w:sz w:val="18"/>
                <w:szCs w:val="18"/>
              </w:rPr>
            </w:r>
          </w:p>
        </w:tc>
      </w:tr>
      <w:tr>
        <w:trPr>
          <w:trHeight w:val="912" w:hRule="exact"/>
        </w:trPr>
        <w:tc>
          <w:tcPr>
            <w:tcW w:w="26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1,626,913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500,174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416,159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1,542,898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12" w:right="111"/>
              <w:jc w:val="center"/>
              <w:rPr>
                <w:rFonts w:ascii="宋体" w:hAnsi="宋体" w:cs="宋体" w:eastAsia="宋体" w:hint="default"/>
                <w:sz w:val="18"/>
                <w:szCs w:val="18"/>
              </w:rPr>
            </w:pPr>
            <w:r>
              <w:rPr>
                <w:rFonts w:ascii="宋体" w:hAnsi="宋体" w:cs="宋体" w:eastAsia="宋体" w:hint="default"/>
                <w:sz w:val="18"/>
                <w:szCs w:val="18"/>
              </w:rPr>
              <w:t>董事、监事及 高级管理人员 限售股份</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详见注</w:t>
            </w:r>
          </w:p>
        </w:tc>
      </w:tr>
      <w:tr>
        <w:trPr>
          <w:trHeight w:val="410" w:hRule="exact"/>
        </w:trPr>
        <w:tc>
          <w:tcPr>
            <w:tcW w:w="26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9"/>
              <w:ind w:left="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1"/>
              <w:jc w:val="right"/>
              <w:rPr>
                <w:rFonts w:ascii="Times New Roman" w:hAnsi="Times New Roman" w:cs="Times New Roman" w:eastAsia="Times New Roman" w:hint="default"/>
                <w:sz w:val="18"/>
                <w:szCs w:val="18"/>
              </w:rPr>
            </w:pPr>
            <w:r>
              <w:rPr>
                <w:rFonts w:ascii="Times New Roman"/>
                <w:spacing w:val="-1"/>
                <w:sz w:val="18"/>
              </w:rPr>
              <w:t>1,626,913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500,174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416,159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1,542,898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30" w:lineRule="exact" w:before="34"/>
        <w:ind w:left="472" w:right="1129" w:firstLine="0"/>
        <w:jc w:val="left"/>
        <w:rPr>
          <w:rFonts w:ascii="宋体" w:hAnsi="宋体" w:cs="宋体" w:eastAsia="宋体" w:hint="default"/>
          <w:sz w:val="18"/>
          <w:szCs w:val="18"/>
        </w:rPr>
      </w:pPr>
      <w:r>
        <w:rPr>
          <w:rFonts w:ascii="宋体" w:hAnsi="宋体" w:cs="宋体" w:eastAsia="宋体" w:hint="default"/>
          <w:spacing w:val="-5"/>
          <w:sz w:val="18"/>
          <w:szCs w:val="18"/>
        </w:rPr>
        <w:t>注：中国结算深圳分公司按《公司法》、《上市公司董事、监事、高级管理人员所持本公司股份及其变动管理规则》的相关规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定增加或解除董事、监事、高级管理人员的限售股份。</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4"/>
        <w:spacing w:line="240" w:lineRule="auto"/>
        <w:ind w:left="472" w:right="6974"/>
        <w:jc w:val="left"/>
        <w:rPr>
          <w:b w:val="0"/>
          <w:bCs w:val="0"/>
        </w:rPr>
      </w:pPr>
      <w:r>
        <w:rPr/>
        <w:t>二、证券发行与上市情况</w:t>
      </w:r>
      <w:r>
        <w:rPr>
          <w:b w:val="0"/>
          <w:bCs w:val="0"/>
        </w:rPr>
      </w:r>
    </w:p>
    <w:p>
      <w:pPr>
        <w:pStyle w:val="Heading6"/>
        <w:spacing w:line="240" w:lineRule="auto" w:before="212"/>
        <w:ind w:left="472" w:right="1129"/>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47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6"/>
        <w:spacing w:line="240" w:lineRule="auto"/>
        <w:ind w:left="472" w:right="112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47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6"/>
        <w:spacing w:line="240" w:lineRule="auto"/>
        <w:ind w:left="472" w:right="697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47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5"/>
          <w:szCs w:val="15"/>
        </w:rPr>
      </w:pPr>
    </w:p>
    <w:p>
      <w:pPr>
        <w:pStyle w:val="Heading4"/>
        <w:spacing w:line="240" w:lineRule="auto"/>
        <w:ind w:left="472" w:right="6974"/>
        <w:jc w:val="left"/>
        <w:rPr>
          <w:b w:val="0"/>
          <w:bCs w:val="0"/>
        </w:rPr>
      </w:pPr>
      <w:r>
        <w:rPr/>
        <w:t>三、股东和实际控制人情况</w:t>
      </w:r>
      <w:r>
        <w:rPr>
          <w:b w:val="0"/>
          <w:bCs w:val="0"/>
        </w:rPr>
      </w:r>
    </w:p>
    <w:p>
      <w:pPr>
        <w:pStyle w:val="Heading6"/>
        <w:spacing w:line="240" w:lineRule="auto" w:before="212"/>
        <w:ind w:left="472" w:right="697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338"/>
        <w:gridCol w:w="1135"/>
        <w:gridCol w:w="708"/>
        <w:gridCol w:w="994"/>
        <w:gridCol w:w="991"/>
        <w:gridCol w:w="852"/>
        <w:gridCol w:w="983"/>
        <w:gridCol w:w="860"/>
        <w:gridCol w:w="499"/>
      </w:tblGrid>
      <w:tr>
        <w:trPr>
          <w:trHeight w:val="386" w:hRule="exact"/>
        </w:trPr>
        <w:tc>
          <w:tcPr>
            <w:tcW w:w="44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82" w:right="0"/>
              <w:jc w:val="left"/>
              <w:rPr>
                <w:rFonts w:ascii="Times New Roman" w:hAnsi="Times New Roman" w:cs="Times New Roman" w:eastAsia="Times New Roman" w:hint="default"/>
                <w:sz w:val="18"/>
                <w:szCs w:val="18"/>
              </w:rPr>
            </w:pPr>
            <w:r>
              <w:rPr>
                <w:rFonts w:ascii="Times New Roman"/>
                <w:sz w:val="18"/>
              </w:rPr>
              <w:t>51,026</w:t>
            </w:r>
          </w:p>
        </w:tc>
        <w:tc>
          <w:tcPr>
            <w:tcW w:w="38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年度报告披露前上一月末普通股股东总数</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33" w:right="0"/>
              <w:jc w:val="left"/>
              <w:rPr>
                <w:rFonts w:ascii="Times New Roman" w:hAnsi="Times New Roman" w:cs="Times New Roman" w:eastAsia="Times New Roman" w:hint="default"/>
                <w:sz w:val="18"/>
                <w:szCs w:val="18"/>
              </w:rPr>
            </w:pPr>
            <w:r>
              <w:rPr>
                <w:rFonts w:ascii="Times New Roman"/>
                <w:sz w:val="18"/>
              </w:rPr>
              <w:t>48,530</w:t>
            </w:r>
          </w:p>
        </w:tc>
      </w:tr>
      <w:tr>
        <w:trPr>
          <w:trHeight w:val="478" w:hRule="exact"/>
        </w:trPr>
        <w:tc>
          <w:tcPr>
            <w:tcW w:w="1036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58" w:hRule="exact"/>
        </w:trPr>
        <w:tc>
          <w:tcPr>
            <w:tcW w:w="3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8"/>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8"/>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8"/>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59" w:right="6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8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40" w:right="3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60"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
              <w:ind w:left="6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32" w:hRule="exact"/>
        </w:trPr>
        <w:tc>
          <w:tcPr>
            <w:tcW w:w="3338"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83" w:type="dxa"/>
            <w:vMerge/>
            <w:tcBorders>
              <w:left w:val="single" w:sz="4" w:space="0" w:color="000000"/>
              <w:bottom w:val="single" w:sz="4" w:space="0" w:color="000000"/>
              <w:right w:val="single" w:sz="4" w:space="0" w:color="000000"/>
            </w:tcBorders>
            <w:shd w:val="clear" w:color="auto" w:fill="D2D2D2"/>
          </w:tcPr>
          <w:p>
            <w:pPr/>
          </w:p>
        </w:tc>
        <w:tc>
          <w:tcPr>
            <w:tcW w:w="86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left"/>
        <w:rPr>
          <w:rFonts w:ascii="宋体" w:hAnsi="宋体" w:cs="宋体" w:eastAsia="宋体" w:hint="default"/>
          <w:sz w:val="18"/>
          <w:szCs w:val="18"/>
        </w:rPr>
        <w:sectPr>
          <w:pgSz w:w="11910" w:h="16840"/>
          <w:pgMar w:header="877" w:footer="1265" w:top="1100" w:bottom="1460" w:left="6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339"/>
        <w:gridCol w:w="1135"/>
        <w:gridCol w:w="708"/>
        <w:gridCol w:w="994"/>
        <w:gridCol w:w="538"/>
        <w:gridCol w:w="454"/>
        <w:gridCol w:w="852"/>
        <w:gridCol w:w="983"/>
        <w:gridCol w:w="860"/>
        <w:gridCol w:w="499"/>
      </w:tblGrid>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深圳市福德国有资本运营有限公司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34.00%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576,917,663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576,917,663</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13.03%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221,160,311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221,160,311</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富德生命人寿保险股份有限公司－分红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12.71%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215,623,559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215,623,559</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71,833,110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6"/>
              <w:jc w:val="right"/>
              <w:rPr>
                <w:rFonts w:ascii="Times New Roman" w:hAnsi="Times New Roman" w:cs="Times New Roman" w:eastAsia="Times New Roman" w:hint="default"/>
                <w:sz w:val="18"/>
                <w:szCs w:val="18"/>
              </w:rPr>
            </w:pPr>
            <w:r>
              <w:rPr>
                <w:rFonts w:ascii="Times New Roman"/>
                <w:spacing w:val="-1"/>
                <w:sz w:val="18"/>
              </w:rPr>
              <w:t>71,833,110</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9"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20,183,306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20,183,306</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1.19%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20,183,306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right="61"/>
              <w:jc w:val="right"/>
              <w:rPr>
                <w:rFonts w:ascii="Times New Roman" w:hAnsi="Times New Roman" w:cs="Times New Roman" w:eastAsia="Times New Roman" w:hint="default"/>
                <w:sz w:val="18"/>
                <w:szCs w:val="18"/>
              </w:rPr>
            </w:pPr>
            <w:r>
              <w:rPr>
                <w:rFonts w:ascii="Times New Roman"/>
                <w:spacing w:val="-1"/>
                <w:sz w:val="18"/>
              </w:rPr>
              <w:t>20,183,306</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18,836,700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18,836,700</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许育峰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17,266,320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7" w:right="0"/>
              <w:jc w:val="left"/>
              <w:rPr>
                <w:rFonts w:ascii="Times New Roman" w:hAnsi="Times New Roman" w:cs="Times New Roman" w:eastAsia="Times New Roman" w:hint="default"/>
                <w:sz w:val="18"/>
                <w:szCs w:val="18"/>
              </w:rPr>
            </w:pPr>
            <w:r>
              <w:rPr>
                <w:rFonts w:ascii="Times New Roman"/>
                <w:sz w:val="18"/>
              </w:rPr>
              <w:t>-679,900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61"/>
              <w:jc w:val="right"/>
              <w:rPr>
                <w:rFonts w:ascii="Times New Roman" w:hAnsi="Times New Roman" w:cs="Times New Roman" w:eastAsia="Times New Roman" w:hint="default"/>
                <w:sz w:val="18"/>
                <w:szCs w:val="18"/>
              </w:rPr>
            </w:pPr>
            <w:r>
              <w:rPr>
                <w:rFonts w:ascii="Times New Roman"/>
                <w:spacing w:val="-1"/>
                <w:sz w:val="18"/>
              </w:rPr>
              <w:t>17,266,320</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83" w:right="108"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sz w:val="18"/>
              </w:rPr>
              <w:t>0.95%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16,079,257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7" w:right="0"/>
              <w:jc w:val="lef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4,726,317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30"/>
              <w:ind w:right="61"/>
              <w:jc w:val="right"/>
              <w:rPr>
                <w:rFonts w:ascii="Times New Roman" w:hAnsi="Times New Roman" w:cs="Times New Roman" w:eastAsia="Times New Roman" w:hint="default"/>
                <w:sz w:val="18"/>
                <w:szCs w:val="18"/>
              </w:rPr>
            </w:pPr>
            <w:r>
              <w:rPr>
                <w:rFonts w:ascii="Times New Roman"/>
                <w:spacing w:val="-1"/>
                <w:sz w:val="18"/>
              </w:rPr>
              <w:t>16,079,257</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黄楚彬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0.88%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15,000,500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9" w:right="0"/>
              <w:jc w:val="left"/>
              <w:rPr>
                <w:rFonts w:ascii="Times New Roman" w:hAnsi="Times New Roman" w:cs="Times New Roman" w:eastAsia="Times New Roman" w:hint="default"/>
                <w:sz w:val="18"/>
                <w:szCs w:val="18"/>
              </w:rPr>
            </w:pPr>
            <w:r>
              <w:rPr>
                <w:rFonts w:ascii="Times New Roman"/>
                <w:sz w:val="18"/>
              </w:rPr>
              <w:t>-9,000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15,000,500</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黄波衡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0.80%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13,495,445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7" w:right="0"/>
              <w:jc w:val="left"/>
              <w:rPr>
                <w:rFonts w:ascii="Times New Roman" w:hAnsi="Times New Roman" w:cs="Times New Roman" w:eastAsia="Times New Roman" w:hint="default"/>
                <w:sz w:val="18"/>
                <w:szCs w:val="18"/>
              </w:rPr>
            </w:pPr>
            <w:r>
              <w:rPr>
                <w:rFonts w:ascii="Times New Roman"/>
                <w:sz w:val="18"/>
              </w:rPr>
              <w:t>+8,000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0"/>
              <w:jc w:val="right"/>
              <w:rPr>
                <w:rFonts w:ascii="Times New Roman" w:hAnsi="Times New Roman" w:cs="Times New Roman" w:eastAsia="Times New Roman" w:hint="default"/>
                <w:sz w:val="18"/>
                <w:szCs w:val="18"/>
              </w:rPr>
            </w:pPr>
            <w:r>
              <w:rPr>
                <w:rFonts w:ascii="Times New Roman"/>
                <w:spacing w:val="-1"/>
                <w:sz w:val="18"/>
              </w:rPr>
              <w:t>13,495,445</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11" w:hRule="exact"/>
        </w:trPr>
        <w:tc>
          <w:tcPr>
            <w:tcW w:w="44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888" w:type="dxa"/>
            <w:gridSpan w:val="8"/>
            <w:vMerge w:val="restart"/>
            <w:tcBorders>
              <w:top w:val="single" w:sz="6" w:space="0" w:color="D2D2D2"/>
              <w:left w:val="single" w:sz="9" w:space="0" w:color="D2D2D2"/>
              <w:right w:val="single" w:sz="4" w:space="0" w:color="000000"/>
            </w:tcBorders>
          </w:tcPr>
          <w:p>
            <w:pPr>
              <w:pStyle w:val="TableParagraph"/>
              <w:spacing w:line="307" w:lineRule="auto" w:before="44"/>
              <w:ind w:left="17" w:right="17"/>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万能</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认购公司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年非公开发行股票 后成为前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名股东，其通过非公开发行认购持有公司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54,945,000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股有限售</w:t>
            </w:r>
          </w:p>
          <w:p>
            <w:pPr>
              <w:pStyle w:val="TableParagraph"/>
              <w:spacing w:line="240" w:lineRule="auto" w:before="16"/>
              <w:ind w:left="17" w:right="0"/>
              <w:jc w:val="left"/>
              <w:rPr>
                <w:rFonts w:ascii="宋体" w:hAnsi="宋体" w:cs="宋体" w:eastAsia="宋体" w:hint="default"/>
                <w:sz w:val="18"/>
                <w:szCs w:val="18"/>
              </w:rPr>
            </w:pPr>
            <w:r>
              <w:rPr>
                <w:rFonts w:ascii="宋体" w:hAnsi="宋体" w:cs="宋体" w:eastAsia="宋体" w:hint="default"/>
                <w:sz w:val="18"/>
                <w:szCs w:val="18"/>
              </w:rPr>
              <w:t>条件股票，该股票于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547" w:hRule="exact"/>
        </w:trPr>
        <w:tc>
          <w:tcPr>
            <w:tcW w:w="44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3"/>
              <w:ind w:left="24" w:right="2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 况（如有）</w:t>
            </w:r>
          </w:p>
        </w:tc>
        <w:tc>
          <w:tcPr>
            <w:tcW w:w="5888" w:type="dxa"/>
            <w:gridSpan w:val="8"/>
            <w:vMerge/>
            <w:tcBorders>
              <w:left w:val="single" w:sz="9" w:space="0" w:color="D2D2D2"/>
              <w:right w:val="single" w:sz="4" w:space="0" w:color="000000"/>
            </w:tcBorders>
          </w:tcPr>
          <w:p>
            <w:pPr/>
          </w:p>
        </w:tc>
      </w:tr>
      <w:tr>
        <w:trPr>
          <w:trHeight w:val="211" w:hRule="exact"/>
        </w:trPr>
        <w:tc>
          <w:tcPr>
            <w:tcW w:w="44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888" w:type="dxa"/>
            <w:gridSpan w:val="8"/>
            <w:vMerge/>
            <w:tcBorders>
              <w:left w:val="single" w:sz="9" w:space="0" w:color="D2D2D2"/>
              <w:bottom w:val="single" w:sz="4" w:space="0" w:color="000000"/>
              <w:right w:val="single" w:sz="4" w:space="0" w:color="000000"/>
            </w:tcBorders>
          </w:tcPr>
          <w:p>
            <w:pPr/>
          </w:p>
        </w:tc>
      </w:tr>
      <w:tr>
        <w:trPr>
          <w:trHeight w:val="559" w:hRule="exact"/>
        </w:trPr>
        <w:tc>
          <w:tcPr>
            <w:tcW w:w="44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888" w:type="dxa"/>
            <w:gridSpan w:val="8"/>
            <w:vMerge w:val="restart"/>
            <w:tcBorders>
              <w:top w:val="single" w:sz="4" w:space="0" w:color="000000"/>
              <w:left w:val="single" w:sz="9" w:space="0" w:color="D2D2D2"/>
              <w:right w:val="single" w:sz="4" w:space="0" w:color="000000"/>
            </w:tcBorders>
          </w:tcPr>
          <w:p>
            <w:pPr>
              <w:pStyle w:val="TableParagraph"/>
              <w:spacing w:line="223" w:lineRule="auto" w:before="23"/>
              <w:ind w:left="17"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、股东富德生命人寿保险股份有限公司—万能</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、富德生命人寿保险股份 有限公司—分红和富德生命人寿保险股份有限公司—万能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同属富德生命 人寿保险股份有限公司。</w:t>
            </w:r>
          </w:p>
          <w:p>
            <w:pPr>
              <w:pStyle w:val="TableParagraph"/>
              <w:spacing w:line="309" w:lineRule="auto" w:before="119"/>
              <w:ind w:left="17"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、本公司未知上述其余股东之间是否存在关联关系及是否属于《上市公司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收购管理办法》中规定的一致行动人。</w:t>
            </w:r>
          </w:p>
        </w:tc>
      </w:tr>
      <w:tr>
        <w:trPr>
          <w:trHeight w:val="312" w:hRule="exact"/>
        </w:trPr>
        <w:tc>
          <w:tcPr>
            <w:tcW w:w="447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88" w:type="dxa"/>
            <w:gridSpan w:val="8"/>
            <w:vMerge/>
            <w:tcBorders>
              <w:left w:val="single" w:sz="9" w:space="0" w:color="D2D2D2"/>
              <w:right w:val="single" w:sz="4" w:space="0" w:color="000000"/>
            </w:tcBorders>
          </w:tcPr>
          <w:p>
            <w:pPr/>
          </w:p>
        </w:tc>
      </w:tr>
      <w:tr>
        <w:trPr>
          <w:trHeight w:val="598" w:hRule="exact"/>
        </w:trPr>
        <w:tc>
          <w:tcPr>
            <w:tcW w:w="44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888" w:type="dxa"/>
            <w:gridSpan w:val="8"/>
            <w:vMerge/>
            <w:tcBorders>
              <w:left w:val="single" w:sz="9" w:space="0" w:color="D2D2D2"/>
              <w:bottom w:val="single" w:sz="35" w:space="0" w:color="D2D2D2"/>
              <w:right w:val="single" w:sz="4" w:space="0" w:color="000000"/>
            </w:tcBorders>
          </w:tcPr>
          <w:p>
            <w:pPr/>
          </w:p>
        </w:tc>
      </w:tr>
      <w:tr>
        <w:trPr>
          <w:trHeight w:val="396" w:hRule="exact"/>
        </w:trPr>
        <w:tc>
          <w:tcPr>
            <w:tcW w:w="1036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9" w:hRule="exact"/>
        </w:trPr>
        <w:tc>
          <w:tcPr>
            <w:tcW w:w="44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21"/>
              <w:ind w:left="1024" w:right="33" w:hanging="989"/>
              <w:jc w:val="left"/>
              <w:rPr>
                <w:rFonts w:ascii="宋体" w:hAnsi="宋体" w:cs="宋体" w:eastAsia="宋体" w:hint="default"/>
                <w:sz w:val="18"/>
                <w:szCs w:val="18"/>
              </w:rPr>
            </w:pPr>
            <w:r>
              <w:rPr>
                <w:rFonts w:ascii="宋体" w:hAnsi="宋体" w:cs="宋体" w:eastAsia="宋体" w:hint="default"/>
                <w:sz w:val="18"/>
                <w:szCs w:val="18"/>
              </w:rPr>
              <w:t>年末持有无限售条件股份数 量</w:t>
            </w:r>
          </w:p>
        </w:tc>
        <w:tc>
          <w:tcPr>
            <w:tcW w:w="36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8" w:hRule="exact"/>
        </w:trPr>
        <w:tc>
          <w:tcPr>
            <w:tcW w:w="44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40" w:type="dxa"/>
            <w:gridSpan w:val="3"/>
            <w:vMerge/>
            <w:tcBorders>
              <w:left w:val="single" w:sz="4" w:space="0" w:color="000000"/>
              <w:right w:val="single" w:sz="4" w:space="0" w:color="000000"/>
            </w:tcBorders>
            <w:shd w:val="clear" w:color="auto" w:fill="D2D2D2"/>
          </w:tcPr>
          <w:p>
            <w:pPr/>
          </w:p>
        </w:tc>
        <w:tc>
          <w:tcPr>
            <w:tcW w:w="3649" w:type="dxa"/>
            <w:gridSpan w:val="5"/>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4475" w:type="dxa"/>
            <w:gridSpan w:val="2"/>
            <w:vMerge/>
            <w:tcBorders>
              <w:left w:val="single" w:sz="4" w:space="0" w:color="000000"/>
              <w:bottom w:val="nil" w:sz="6" w:space="0" w:color="auto"/>
              <w:right w:val="single" w:sz="4" w:space="0" w:color="000000"/>
            </w:tcBorders>
            <w:shd w:val="clear" w:color="auto" w:fill="D2D2D2"/>
          </w:tcPr>
          <w:p>
            <w:pPr/>
          </w:p>
        </w:tc>
        <w:tc>
          <w:tcPr>
            <w:tcW w:w="2240" w:type="dxa"/>
            <w:gridSpan w:val="3"/>
            <w:vMerge/>
            <w:tcBorders>
              <w:left w:val="single" w:sz="4" w:space="0" w:color="000000"/>
              <w:right w:val="single" w:sz="4" w:space="0" w:color="000000"/>
            </w:tcBorders>
            <w:shd w:val="clear" w:color="auto" w:fill="D2D2D2"/>
          </w:tcPr>
          <w:p>
            <w:pPr/>
          </w:p>
        </w:tc>
        <w:tc>
          <w:tcPr>
            <w:tcW w:w="22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44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40" w:type="dxa"/>
            <w:gridSpan w:val="3"/>
            <w:vMerge/>
            <w:tcBorders>
              <w:left w:val="single" w:sz="4" w:space="0" w:color="000000"/>
              <w:bottom w:val="single" w:sz="4" w:space="0" w:color="000000"/>
              <w:right w:val="single" w:sz="4" w:space="0" w:color="000000"/>
            </w:tcBorders>
            <w:shd w:val="clear" w:color="auto" w:fill="D2D2D2"/>
          </w:tcPr>
          <w:p>
            <w:pPr/>
          </w:p>
        </w:tc>
        <w:tc>
          <w:tcPr>
            <w:tcW w:w="2289" w:type="dxa"/>
            <w:gridSpan w:val="3"/>
            <w:vMerge/>
            <w:tcBorders>
              <w:left w:val="single" w:sz="4" w:space="0" w:color="000000"/>
              <w:bottom w:val="single" w:sz="4" w:space="0" w:color="000000"/>
              <w:right w:val="single" w:sz="4" w:space="0" w:color="000000"/>
            </w:tcBorders>
            <w:shd w:val="clear" w:color="auto" w:fill="D2D2D2"/>
          </w:tcPr>
          <w:p>
            <w:pPr/>
          </w:p>
        </w:tc>
        <w:tc>
          <w:tcPr>
            <w:tcW w:w="1360" w:type="dxa"/>
            <w:gridSpan w:val="2"/>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深圳市福德国有资本运营有限公司</w:t>
            </w:r>
          </w:p>
        </w:tc>
        <w:tc>
          <w:tcPr>
            <w:tcW w:w="2240" w:type="dxa"/>
            <w:gridSpan w:val="3"/>
            <w:tcBorders>
              <w:top w:val="single" w:sz="21" w:space="0" w:color="D2D2D2"/>
              <w:left w:val="single" w:sz="4" w:space="0" w:color="000000"/>
              <w:bottom w:val="single" w:sz="4" w:space="0" w:color="000000"/>
              <w:right w:val="single" w:sz="4" w:space="0" w:color="000000"/>
            </w:tcBorders>
          </w:tcPr>
          <w:p>
            <w:pPr>
              <w:pStyle w:val="TableParagraph"/>
              <w:spacing w:line="240" w:lineRule="auto" w:before="26"/>
              <w:ind w:left="664" w:right="0"/>
              <w:jc w:val="left"/>
              <w:rPr>
                <w:rFonts w:ascii="Times New Roman" w:hAnsi="Times New Roman" w:cs="Times New Roman" w:eastAsia="Times New Roman" w:hint="default"/>
                <w:sz w:val="18"/>
                <w:szCs w:val="18"/>
              </w:rPr>
            </w:pPr>
            <w:r>
              <w:rPr>
                <w:rFonts w:ascii="Times New Roman"/>
                <w:sz w:val="18"/>
              </w:rPr>
              <w:t>576,917,663</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1" w:right="0"/>
              <w:jc w:val="left"/>
              <w:rPr>
                <w:rFonts w:ascii="Times New Roman" w:hAnsi="Times New Roman" w:cs="Times New Roman" w:eastAsia="Times New Roman" w:hint="default"/>
                <w:sz w:val="18"/>
                <w:szCs w:val="18"/>
              </w:rPr>
            </w:pPr>
            <w:r>
              <w:rPr>
                <w:rFonts w:ascii="Times New Roman"/>
                <w:sz w:val="18"/>
              </w:rPr>
              <w:t>576,917,663</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9" w:right="0"/>
              <w:jc w:val="left"/>
              <w:rPr>
                <w:rFonts w:ascii="Times New Roman" w:hAnsi="Times New Roman" w:cs="Times New Roman" w:eastAsia="Times New Roman" w:hint="default"/>
                <w:sz w:val="18"/>
                <w:szCs w:val="18"/>
              </w:rPr>
            </w:pPr>
            <w:r>
              <w:rPr>
                <w:rFonts w:ascii="Times New Roman"/>
                <w:sz w:val="18"/>
              </w:rPr>
              <w:t>221,160,311</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4" w:right="0"/>
              <w:jc w:val="left"/>
              <w:rPr>
                <w:rFonts w:ascii="Times New Roman" w:hAnsi="Times New Roman" w:cs="Times New Roman" w:eastAsia="Times New Roman" w:hint="default"/>
                <w:sz w:val="18"/>
                <w:szCs w:val="18"/>
              </w:rPr>
            </w:pPr>
            <w:r>
              <w:rPr>
                <w:rFonts w:ascii="Times New Roman"/>
                <w:sz w:val="18"/>
              </w:rPr>
              <w:t>221,160,311</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富德生命人寿保险股份有限公司－分红</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4" w:right="0"/>
              <w:jc w:val="left"/>
              <w:rPr>
                <w:rFonts w:ascii="Times New Roman" w:hAnsi="Times New Roman" w:cs="Times New Roman" w:eastAsia="Times New Roman" w:hint="default"/>
                <w:sz w:val="18"/>
                <w:szCs w:val="18"/>
              </w:rPr>
            </w:pPr>
            <w:r>
              <w:rPr>
                <w:rFonts w:ascii="Times New Roman"/>
                <w:sz w:val="18"/>
              </w:rPr>
              <w:t>215,623,559</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1" w:right="0"/>
              <w:jc w:val="left"/>
              <w:rPr>
                <w:rFonts w:ascii="Times New Roman" w:hAnsi="Times New Roman" w:cs="Times New Roman" w:eastAsia="Times New Roman" w:hint="default"/>
                <w:sz w:val="18"/>
                <w:szCs w:val="18"/>
              </w:rPr>
            </w:pPr>
            <w:r>
              <w:rPr>
                <w:rFonts w:ascii="Times New Roman"/>
                <w:sz w:val="18"/>
              </w:rPr>
              <w:t>215,623,559</w:t>
            </w:r>
          </w:p>
        </w:tc>
      </w:tr>
      <w:tr>
        <w:trPr>
          <w:trHeight w:val="322"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12" w:right="0"/>
              <w:jc w:val="left"/>
              <w:rPr>
                <w:rFonts w:ascii="Times New Roman" w:hAnsi="Times New Roman" w:cs="Times New Roman" w:eastAsia="Times New Roman" w:hint="default"/>
                <w:sz w:val="18"/>
                <w:szCs w:val="18"/>
              </w:rPr>
            </w:pPr>
            <w:r>
              <w:rPr>
                <w:rFonts w:ascii="Times New Roman"/>
                <w:sz w:val="18"/>
              </w:rPr>
              <w:t>71,833,110</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9" w:right="0"/>
              <w:jc w:val="left"/>
              <w:rPr>
                <w:rFonts w:ascii="Times New Roman" w:hAnsi="Times New Roman" w:cs="Times New Roman" w:eastAsia="Times New Roman" w:hint="default"/>
                <w:sz w:val="18"/>
                <w:szCs w:val="18"/>
              </w:rPr>
            </w:pPr>
            <w:r>
              <w:rPr>
                <w:rFonts w:ascii="Times New Roman"/>
                <w:sz w:val="18"/>
              </w:rPr>
              <w:t>71,833,110</w:t>
            </w:r>
          </w:p>
        </w:tc>
      </w:tr>
      <w:tr>
        <w:trPr>
          <w:trHeight w:val="325"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0" w:right="0"/>
              <w:jc w:val="left"/>
              <w:rPr>
                <w:rFonts w:ascii="Times New Roman" w:hAnsi="Times New Roman" w:cs="Times New Roman" w:eastAsia="Times New Roman" w:hint="default"/>
                <w:sz w:val="18"/>
                <w:szCs w:val="18"/>
              </w:rPr>
            </w:pPr>
            <w:r>
              <w:rPr>
                <w:rFonts w:ascii="Times New Roman"/>
                <w:sz w:val="18"/>
              </w:rPr>
              <w:t>20,183,306</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Times New Roman" w:hAnsi="Times New Roman" w:cs="Times New Roman" w:eastAsia="Times New Roman" w:hint="default"/>
                <w:sz w:val="18"/>
                <w:szCs w:val="18"/>
              </w:rPr>
            </w:pPr>
            <w:r>
              <w:rPr>
                <w:rFonts w:ascii="Times New Roman"/>
                <w:sz w:val="18"/>
              </w:rPr>
              <w:t>20,183,306</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0" w:right="0"/>
              <w:jc w:val="left"/>
              <w:rPr>
                <w:rFonts w:ascii="Times New Roman" w:hAnsi="Times New Roman" w:cs="Times New Roman" w:eastAsia="Times New Roman" w:hint="default"/>
                <w:sz w:val="18"/>
                <w:szCs w:val="18"/>
              </w:rPr>
            </w:pPr>
            <w:r>
              <w:rPr>
                <w:rFonts w:ascii="Times New Roman"/>
                <w:sz w:val="18"/>
              </w:rPr>
              <w:t>20,183,306</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Times New Roman" w:hAnsi="Times New Roman" w:cs="Times New Roman" w:eastAsia="Times New Roman" w:hint="default"/>
                <w:sz w:val="18"/>
                <w:szCs w:val="18"/>
              </w:rPr>
            </w:pPr>
            <w:r>
              <w:rPr>
                <w:rFonts w:ascii="Times New Roman"/>
                <w:sz w:val="18"/>
              </w:rPr>
              <w:t>20,183,306</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0" w:right="0"/>
              <w:jc w:val="left"/>
              <w:rPr>
                <w:rFonts w:ascii="Times New Roman" w:hAnsi="Times New Roman" w:cs="Times New Roman" w:eastAsia="Times New Roman" w:hint="default"/>
                <w:sz w:val="18"/>
                <w:szCs w:val="18"/>
              </w:rPr>
            </w:pPr>
            <w:r>
              <w:rPr>
                <w:rFonts w:ascii="Times New Roman"/>
                <w:sz w:val="18"/>
              </w:rPr>
              <w:t>18,836,700</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Times New Roman" w:hAnsi="Times New Roman" w:cs="Times New Roman" w:eastAsia="Times New Roman" w:hint="default"/>
                <w:sz w:val="18"/>
                <w:szCs w:val="18"/>
              </w:rPr>
            </w:pPr>
            <w:r>
              <w:rPr>
                <w:rFonts w:ascii="Times New Roman"/>
                <w:sz w:val="18"/>
              </w:rPr>
              <w:t>18,836,700</w:t>
            </w:r>
          </w:p>
        </w:tc>
      </w:tr>
      <w:tr>
        <w:trPr>
          <w:trHeight w:val="322"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许育峰</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10" w:right="0"/>
              <w:jc w:val="left"/>
              <w:rPr>
                <w:rFonts w:ascii="Times New Roman" w:hAnsi="Times New Roman" w:cs="Times New Roman" w:eastAsia="Times New Roman" w:hint="default"/>
                <w:sz w:val="18"/>
                <w:szCs w:val="18"/>
              </w:rPr>
            </w:pPr>
            <w:r>
              <w:rPr>
                <w:rFonts w:ascii="Times New Roman"/>
                <w:sz w:val="18"/>
              </w:rPr>
              <w:t>17,266,320</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Times New Roman" w:hAnsi="Times New Roman" w:cs="Times New Roman" w:eastAsia="Times New Roman" w:hint="default"/>
                <w:sz w:val="18"/>
                <w:szCs w:val="18"/>
              </w:rPr>
            </w:pPr>
            <w:r>
              <w:rPr>
                <w:rFonts w:ascii="Times New Roman"/>
                <w:sz w:val="18"/>
              </w:rPr>
              <w:t>17,266,320</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0" w:right="0"/>
              <w:jc w:val="left"/>
              <w:rPr>
                <w:rFonts w:ascii="Times New Roman" w:hAnsi="Times New Roman" w:cs="Times New Roman" w:eastAsia="Times New Roman" w:hint="default"/>
                <w:sz w:val="18"/>
                <w:szCs w:val="18"/>
              </w:rPr>
            </w:pPr>
            <w:r>
              <w:rPr>
                <w:rFonts w:ascii="Times New Roman"/>
                <w:sz w:val="18"/>
              </w:rPr>
              <w:t>16,079,257</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Times New Roman" w:hAnsi="Times New Roman" w:cs="Times New Roman" w:eastAsia="Times New Roman" w:hint="default"/>
                <w:sz w:val="18"/>
                <w:szCs w:val="18"/>
              </w:rPr>
            </w:pPr>
            <w:r>
              <w:rPr>
                <w:rFonts w:ascii="Times New Roman"/>
                <w:sz w:val="18"/>
              </w:rPr>
              <w:t>16,079,257</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黄楚彬</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0" w:right="0"/>
              <w:jc w:val="left"/>
              <w:rPr>
                <w:rFonts w:ascii="Times New Roman" w:hAnsi="Times New Roman" w:cs="Times New Roman" w:eastAsia="Times New Roman" w:hint="default"/>
                <w:sz w:val="18"/>
                <w:szCs w:val="18"/>
              </w:rPr>
            </w:pPr>
            <w:r>
              <w:rPr>
                <w:rFonts w:ascii="Times New Roman"/>
                <w:sz w:val="18"/>
              </w:rPr>
              <w:t>15,000,500</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Times New Roman" w:hAnsi="Times New Roman" w:cs="Times New Roman" w:eastAsia="Times New Roman" w:hint="default"/>
                <w:sz w:val="18"/>
                <w:szCs w:val="18"/>
              </w:rPr>
            </w:pPr>
            <w:r>
              <w:rPr>
                <w:rFonts w:ascii="Times New Roman"/>
                <w:sz w:val="18"/>
              </w:rPr>
              <w:t>15,000,500</w:t>
            </w:r>
          </w:p>
        </w:tc>
      </w:tr>
      <w:tr>
        <w:trPr>
          <w:trHeight w:val="324" w:hRule="exact"/>
        </w:trPr>
        <w:tc>
          <w:tcPr>
            <w:tcW w:w="4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黄波衡</w:t>
            </w:r>
          </w:p>
        </w:tc>
        <w:tc>
          <w:tcPr>
            <w:tcW w:w="2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0" w:right="0"/>
              <w:jc w:val="left"/>
              <w:rPr>
                <w:rFonts w:ascii="Times New Roman" w:hAnsi="Times New Roman" w:cs="Times New Roman" w:eastAsia="Times New Roman" w:hint="default"/>
                <w:sz w:val="18"/>
                <w:szCs w:val="18"/>
              </w:rPr>
            </w:pPr>
            <w:r>
              <w:rPr>
                <w:rFonts w:ascii="Times New Roman"/>
                <w:sz w:val="18"/>
              </w:rPr>
              <w:t>13,495,445</w:t>
            </w:r>
          </w:p>
        </w:tc>
        <w:tc>
          <w:tcPr>
            <w:tcW w:w="2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5" w:right="0"/>
              <w:jc w:val="left"/>
              <w:rPr>
                <w:rFonts w:ascii="Times New Roman" w:hAnsi="Times New Roman" w:cs="Times New Roman" w:eastAsia="Times New Roman" w:hint="default"/>
                <w:sz w:val="18"/>
                <w:szCs w:val="18"/>
              </w:rPr>
            </w:pPr>
            <w:r>
              <w:rPr>
                <w:rFonts w:ascii="Times New Roman"/>
                <w:sz w:val="18"/>
              </w:rPr>
              <w:t>13,495,445</w:t>
            </w:r>
          </w:p>
        </w:tc>
      </w:tr>
      <w:tr>
        <w:trPr>
          <w:trHeight w:val="1690" w:hRule="exact"/>
        </w:trPr>
        <w:tc>
          <w:tcPr>
            <w:tcW w:w="44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6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5"/>
                <w:sz w:val="18"/>
                <w:szCs w:val="18"/>
              </w:rPr>
              <w:t>，</w:t>
            </w: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5888"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87"/>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、股东富德生命人寿保险股份有限公司—万能</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、富德生命人寿保险股份 有限公司—分红和富德生命人寿保险股份有限公司—万能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同属富德生命 人寿保险股份有限公司。</w:t>
            </w:r>
          </w:p>
          <w:p>
            <w:pPr>
              <w:pStyle w:val="TableParagraph"/>
              <w:spacing w:line="309" w:lineRule="auto" w:before="74"/>
              <w:ind w:left="23"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、本公司未知上述其余股东之间是否存在关联关系及是否属于《上市公司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收购管理办法》中规定的一致行动人。</w:t>
            </w:r>
          </w:p>
        </w:tc>
      </w:tr>
      <w:tr>
        <w:trPr>
          <w:trHeight w:val="970" w:hRule="exact"/>
        </w:trPr>
        <w:tc>
          <w:tcPr>
            <w:tcW w:w="44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前十大股东参与融资融券业务股东情况说明</w:t>
            </w:r>
          </w:p>
        </w:tc>
        <w:tc>
          <w:tcPr>
            <w:tcW w:w="5888"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46"/>
              <w:ind w:left="23"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、报告期末股东许育峰通过国信证券股份有限公司客户信用交易担保证券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账户持有公司 </w:t>
            </w:r>
            <w:r>
              <w:rPr>
                <w:rFonts w:ascii="Times New Roman" w:hAnsi="Times New Roman" w:cs="Times New Roman" w:eastAsia="Times New Roman" w:hint="default"/>
                <w:sz w:val="18"/>
                <w:szCs w:val="18"/>
              </w:rPr>
              <w:t>17,266,320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股股票，报告期内其信用账户持有公司股份数量</w:t>
            </w:r>
          </w:p>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1265" w:top="1100" w:bottom="1460" w:left="6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4473"/>
        <w:gridCol w:w="5888"/>
      </w:tblGrid>
      <w:tr>
        <w:trPr>
          <w:trHeight w:val="363" w:hRule="exact"/>
        </w:trPr>
        <w:tc>
          <w:tcPr>
            <w:tcW w:w="4473" w:type="dxa"/>
            <w:vMerge w:val="restart"/>
            <w:tcBorders>
              <w:top w:val="single" w:sz="4" w:space="0" w:color="000000"/>
              <w:left w:val="single" w:sz="4" w:space="0" w:color="000000"/>
              <w:right w:val="single" w:sz="4" w:space="0" w:color="000000"/>
            </w:tcBorders>
            <w:shd w:val="clear" w:color="auto" w:fill="D2D2D2"/>
          </w:tcPr>
          <w:p>
            <w:pPr/>
          </w:p>
        </w:tc>
        <w:tc>
          <w:tcPr>
            <w:tcW w:w="5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、报告期末股东黄楚彬持有公司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15,000,500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股股票，其中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股系</w:t>
            </w:r>
          </w:p>
        </w:tc>
      </w:tr>
      <w:tr>
        <w:trPr>
          <w:trHeight w:val="320" w:hRule="exact"/>
        </w:trPr>
        <w:tc>
          <w:tcPr>
            <w:tcW w:w="4473" w:type="dxa"/>
            <w:vMerge/>
            <w:tcBorders>
              <w:left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通过招商证券股份有限公司客户信用交易担保证券账户持有，</w:t>
            </w:r>
            <w:r>
              <w:rPr>
                <w:rFonts w:ascii="Times New Roman" w:hAnsi="Times New Roman" w:cs="Times New Roman" w:eastAsia="Times New Roman" w:hint="default"/>
                <w:spacing w:val="-3"/>
                <w:sz w:val="18"/>
                <w:szCs w:val="18"/>
              </w:rPr>
              <w:t>500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股系通过</w:t>
            </w:r>
          </w:p>
        </w:tc>
      </w:tr>
      <w:tr>
        <w:trPr>
          <w:trHeight w:val="319" w:hRule="exact"/>
        </w:trPr>
        <w:tc>
          <w:tcPr>
            <w:tcW w:w="4473" w:type="dxa"/>
            <w:vMerge/>
            <w:tcBorders>
              <w:left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普通证券账户持有，报告期内其普通证券账户持有公司股份数量减少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9,000</w:t>
            </w:r>
          </w:p>
        </w:tc>
      </w:tr>
      <w:tr>
        <w:trPr>
          <w:trHeight w:val="315" w:hRule="exact"/>
        </w:trPr>
        <w:tc>
          <w:tcPr>
            <w:tcW w:w="4473" w:type="dxa"/>
            <w:vMerge/>
            <w:tcBorders>
              <w:left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25" w:hRule="exact"/>
        </w:trPr>
        <w:tc>
          <w:tcPr>
            <w:tcW w:w="4473" w:type="dxa"/>
            <w:vMerge/>
            <w:tcBorders>
              <w:left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、报告期末股东黄波衡持有公司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13,495,445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股股票，其中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13,487,445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股系</w:t>
            </w:r>
          </w:p>
        </w:tc>
      </w:tr>
      <w:tr>
        <w:trPr>
          <w:trHeight w:val="319" w:hRule="exact"/>
        </w:trPr>
        <w:tc>
          <w:tcPr>
            <w:tcW w:w="4473" w:type="dxa"/>
            <w:vMerge/>
            <w:tcBorders>
              <w:left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通过国信证券股份有限公司客户信用交易担保证券账户持有，</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股系通</w:t>
            </w:r>
          </w:p>
        </w:tc>
      </w:tr>
      <w:tr>
        <w:trPr>
          <w:trHeight w:val="315" w:hRule="exact"/>
        </w:trPr>
        <w:tc>
          <w:tcPr>
            <w:tcW w:w="4473" w:type="dxa"/>
            <w:vMerge/>
            <w:tcBorders>
              <w:left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7"/>
                <w:sz w:val="18"/>
                <w:szCs w:val="18"/>
              </w:rPr>
              <w:t>过普通证券账户持有，报告期内其普通证券账户持有公司股份数量增加</w:t>
            </w:r>
          </w:p>
        </w:tc>
      </w:tr>
      <w:tr>
        <w:trPr>
          <w:trHeight w:val="293" w:hRule="exact"/>
        </w:trPr>
        <w:tc>
          <w:tcPr>
            <w:tcW w:w="4473" w:type="dxa"/>
            <w:vMerge/>
            <w:tcBorders>
              <w:left w:val="single" w:sz="4" w:space="0" w:color="000000"/>
              <w:bottom w:val="single" w:sz="4" w:space="0" w:color="000000"/>
              <w:right w:val="single" w:sz="4" w:space="0" w:color="000000"/>
            </w:tcBorders>
            <w:shd w:val="clear" w:color="auto" w:fill="D2D2D2"/>
          </w:tcPr>
          <w:p>
            <w:pPr/>
          </w:p>
        </w:tc>
        <w:tc>
          <w:tcPr>
            <w:tcW w:w="58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6"/>
        <w:rPr>
          <w:rFonts w:ascii="Times New Roman" w:hAnsi="Times New Roman" w:cs="Times New Roman" w:eastAsia="Times New Roman" w:hint="default"/>
          <w:sz w:val="18"/>
          <w:szCs w:val="18"/>
        </w:rPr>
      </w:pPr>
    </w:p>
    <w:p>
      <w:pPr>
        <w:spacing w:line="230" w:lineRule="exact" w:before="70"/>
        <w:ind w:left="472" w:right="1129" w:firstLine="0"/>
        <w:jc w:val="left"/>
        <w:rPr>
          <w:rFonts w:ascii="宋体" w:hAnsi="宋体" w:cs="宋体" w:eastAsia="宋体" w:hint="default"/>
          <w:sz w:val="18"/>
          <w:szCs w:val="18"/>
        </w:rPr>
      </w:pPr>
      <w:r>
        <w:rPr>
          <w:rFonts w:ascii="宋体" w:hAnsi="宋体" w:cs="宋体" w:eastAsia="宋体" w:hint="default"/>
          <w:sz w:val="18"/>
          <w:szCs w:val="18"/>
        </w:rPr>
        <w:t>注：报告期，公司国有股份无偿划事项已完成，深圳市国资委直接和间接合计持有的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576,917,663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股份均转登记至在福德资 本名下，详见本章节控股股东报告期变更情况。</w:t>
      </w:r>
    </w:p>
    <w:p>
      <w:pPr>
        <w:spacing w:line="240" w:lineRule="auto" w:before="7"/>
        <w:rPr>
          <w:rFonts w:ascii="宋体" w:hAnsi="宋体" w:cs="宋体" w:eastAsia="宋体" w:hint="default"/>
          <w:sz w:val="17"/>
          <w:szCs w:val="17"/>
        </w:rPr>
      </w:pPr>
    </w:p>
    <w:p>
      <w:pPr>
        <w:pStyle w:val="Heading6"/>
        <w:spacing w:line="240" w:lineRule="auto"/>
        <w:ind w:left="472" w:right="0"/>
        <w:jc w:val="both"/>
        <w:rPr>
          <w:b w:val="0"/>
          <w:bCs w:val="0"/>
        </w:rPr>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名无限售条件普通股股东在报告期内是否进行约定购回交易</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0"/>
        <w:ind w:left="47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0"/>
          <w:szCs w:val="20"/>
        </w:rPr>
      </w:pPr>
    </w:p>
    <w:p>
      <w:pPr>
        <w:spacing w:before="0"/>
        <w:ind w:left="472" w:right="0" w:firstLine="0"/>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8"/>
        <w:rPr>
          <w:rFonts w:ascii="宋体" w:hAnsi="宋体" w:cs="宋体" w:eastAsia="宋体" w:hint="default"/>
          <w:sz w:val="16"/>
          <w:szCs w:val="16"/>
        </w:rPr>
      </w:pPr>
    </w:p>
    <w:p>
      <w:pPr>
        <w:pStyle w:val="Heading6"/>
        <w:spacing w:line="240" w:lineRule="auto"/>
        <w:ind w:left="472" w:right="0"/>
        <w:jc w:val="both"/>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0"/>
        <w:ind w:left="893" w:right="0"/>
        <w:jc w:val="left"/>
      </w:pPr>
      <w:r>
        <w:rPr/>
        <w:t>公司于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spacing w:val="-3"/>
        </w:rPr>
        <w:t>日收到公司实际控制人深圳市人民政府国有资产监督管理委员会通知：为了推</w:t>
      </w:r>
    </w:p>
    <w:p>
      <w:pPr>
        <w:pStyle w:val="BodyText"/>
        <w:spacing w:line="336" w:lineRule="auto" w:before="117"/>
        <w:ind w:left="472" w:right="1128"/>
        <w:jc w:val="both"/>
      </w:pPr>
      <w:r>
        <w:rPr>
          <w:spacing w:val="-3"/>
        </w:rPr>
        <w:t>动深圳市属国资粮农企业整体性战略调整，深圳市人民政府于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spacing w:val="-5"/>
        </w:rPr>
        <w:t>日下发深府函〔</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17</w:t>
      </w:r>
      <w:r>
        <w:rPr>
          <w:rFonts w:ascii="Times New Roman" w:hAnsi="Times New Roman" w:cs="Times New Roman" w:eastAsia="Times New Roman" w:hint="default"/>
          <w:spacing w:val="9"/>
        </w:rPr>
        <w:t> </w:t>
      </w:r>
      <w:r>
        <w:rPr/>
        <w:t>号</w:t>
      </w:r>
      <w:r>
        <w:rPr>
          <w:spacing w:val="-101"/>
        </w:rPr>
        <w:t> </w:t>
      </w:r>
      <w:r>
        <w:rPr/>
        <w:t>文件，同意深圳市属国资开展整体性变更，将深圳市国资委持有的本公司 </w:t>
      </w:r>
      <w:r>
        <w:rPr>
          <w:rFonts w:ascii="Times New Roman" w:hAnsi="Times New Roman" w:cs="Times New Roman" w:eastAsia="Times New Roman" w:hint="default"/>
        </w:rPr>
        <w:t>28.76%</w:t>
      </w:r>
      <w:r>
        <w:rPr/>
        <w:t>股份（</w:t>
      </w:r>
      <w:r>
        <w:rPr>
          <w:rFonts w:ascii="Times New Roman" w:hAnsi="Times New Roman" w:cs="Times New Roman" w:eastAsia="Times New Roman" w:hint="default"/>
        </w:rPr>
        <w:t>488,038,510</w:t>
      </w:r>
      <w:r>
        <w:rPr>
          <w:rFonts w:ascii="Times New Roman" w:hAnsi="Times New Roman" w:cs="Times New Roman" w:eastAsia="Times New Roman" w:hint="default"/>
          <w:spacing w:val="6"/>
        </w:rPr>
        <w:t> </w:t>
      </w:r>
      <w:r>
        <w:rPr>
          <w:spacing w:val="-3"/>
        </w:rPr>
        <w:t>股流</w:t>
      </w:r>
      <w:r>
        <w:rPr>
          <w:spacing w:val="-3"/>
          <w:w w:val="100"/>
        </w:rPr>
        <w:t> </w:t>
      </w:r>
      <w:r>
        <w:rPr>
          <w:spacing w:val="-5"/>
          <w:w w:val="100"/>
        </w:rPr>
        <w:t>通股）、深圳市远致投资有限公司（系深圳市国资委的全资子公司）持有的本公司</w:t>
      </w:r>
      <w:r>
        <w:rPr>
          <w:spacing w:val="-20"/>
          <w:w w:val="100"/>
        </w:rPr>
        <w:t> </w:t>
      </w:r>
      <w:r>
        <w:rPr>
          <w:rFonts w:ascii="Times New Roman" w:hAnsi="Times New Roman" w:cs="Times New Roman" w:eastAsia="Times New Roman" w:hint="default"/>
          <w:spacing w:val="-1"/>
          <w:w w:val="100"/>
        </w:rPr>
        <w:t>5.22%</w:t>
      </w:r>
      <w:r>
        <w:rPr>
          <w:spacing w:val="-1"/>
          <w:w w:val="100"/>
        </w:rPr>
        <w:t>股份（</w:t>
      </w:r>
      <w:r>
        <w:rPr>
          <w:rFonts w:ascii="Times New Roman" w:hAnsi="Times New Roman" w:cs="Times New Roman" w:eastAsia="Times New Roman" w:hint="default"/>
          <w:spacing w:val="-1"/>
          <w:w w:val="100"/>
        </w:rPr>
        <w:t>88,603,753</w:t>
      </w:r>
      <w:r>
        <w:rPr>
          <w:rFonts w:ascii="Times New Roman" w:hAnsi="Times New Roman" w:cs="Times New Roman" w:eastAsia="Times New Roman" w:hint="default"/>
          <w:spacing w:val="-46"/>
          <w:w w:val="100"/>
        </w:rPr>
        <w:t> </w:t>
      </w:r>
      <w:r>
        <w:rPr>
          <w:rFonts w:ascii="Times New Roman" w:hAnsi="Times New Roman" w:cs="Times New Roman" w:eastAsia="Times New Roman" w:hint="default"/>
          <w:spacing w:val="-46"/>
          <w:w w:val="100"/>
        </w:rPr>
      </w:r>
      <w:r>
        <w:rPr>
          <w:spacing w:val="-5"/>
          <w:w w:val="100"/>
        </w:rPr>
        <w:t>股流通股）、深圳市亿鑫投资有限公司（系远致投资的全资子公司）持有的本公司</w:t>
      </w:r>
      <w:r>
        <w:rPr>
          <w:spacing w:val="-37"/>
          <w:w w:val="100"/>
        </w:rPr>
        <w:t> </w:t>
      </w:r>
      <w:r>
        <w:rPr>
          <w:rFonts w:ascii="Times New Roman" w:hAnsi="Times New Roman" w:cs="Times New Roman" w:eastAsia="Times New Roman" w:hint="default"/>
          <w:spacing w:val="-1"/>
          <w:w w:val="100"/>
        </w:rPr>
        <w:t>0.02%</w:t>
      </w:r>
      <w:r>
        <w:rPr>
          <w:spacing w:val="-1"/>
          <w:w w:val="100"/>
        </w:rPr>
        <w:t>股份（</w:t>
      </w:r>
      <w:r>
        <w:rPr>
          <w:rFonts w:ascii="Times New Roman" w:hAnsi="Times New Roman" w:cs="Times New Roman" w:eastAsia="Times New Roman" w:hint="default"/>
          <w:spacing w:val="-1"/>
          <w:w w:val="100"/>
        </w:rPr>
        <w:t>275,400</w:t>
      </w:r>
      <w:r>
        <w:rPr>
          <w:rFonts w:ascii="Times New Roman" w:hAnsi="Times New Roman" w:cs="Times New Roman" w:eastAsia="Times New Roman" w:hint="default"/>
          <w:spacing w:val="15"/>
          <w:w w:val="100"/>
        </w:rPr>
        <w:t> </w:t>
      </w:r>
      <w:r>
        <w:rPr>
          <w:w w:val="100"/>
        </w:rPr>
        <w:t>股</w:t>
      </w:r>
      <w:r>
        <w:rPr>
          <w:spacing w:val="-101"/>
          <w:w w:val="100"/>
        </w:rPr>
        <w:t> </w:t>
      </w:r>
      <w:r>
        <w:rPr>
          <w:spacing w:val="-4"/>
          <w:w w:val="100"/>
        </w:rPr>
        <w:t>流通股）无偿划转至深圳市福德国有资本运营有限公司（系深圳市国资委的全资子公司）。</w:t>
      </w:r>
    </w:p>
    <w:p>
      <w:pPr>
        <w:pStyle w:val="BodyText"/>
        <w:spacing w:line="343" w:lineRule="auto" w:before="92"/>
        <w:ind w:left="472" w:right="1129" w:firstLine="420"/>
        <w:jc w:val="both"/>
        <w:rPr>
          <w:rFonts w:ascii="Times New Roman" w:hAnsi="Times New Roman" w:cs="Times New Roman" w:eastAsia="Times New Roman" w:hint="default"/>
        </w:rPr>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48"/>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5"/>
          <w:w w:val="100"/>
        </w:rPr>
        <w:t>日，中国证券登记结算有限责任公司出具了《证券过户登记确认书》，即上述国有股份</w:t>
      </w:r>
      <w:r>
        <w:rPr>
          <w:w w:val="100"/>
        </w:rPr>
        <w:t> </w:t>
      </w:r>
      <w:r>
        <w:rPr>
          <w:spacing w:val="-2"/>
        </w:rPr>
        <w:t>无偿划转至福德资本的过户工作已经完成。此次股权过户完成后，深圳市国资委、远致投资、亿鑫投资不</w:t>
      </w:r>
      <w:r>
        <w:rPr>
          <w:spacing w:val="-47"/>
        </w:rPr>
        <w:t> </w:t>
      </w:r>
      <w:r>
        <w:rPr>
          <w:spacing w:val="-47"/>
        </w:rPr>
      </w:r>
      <w:r>
        <w:rPr/>
        <w:t>再直接持有公司股份，福德资本合计持有公司</w:t>
      </w:r>
      <w:r>
        <w:rPr>
          <w:spacing w:val="-54"/>
        </w:rPr>
        <w:t> </w:t>
      </w:r>
      <w:r>
        <w:rPr>
          <w:rFonts w:ascii="Times New Roman" w:hAnsi="Times New Roman" w:cs="Times New Roman" w:eastAsia="Times New Roman" w:hint="default"/>
        </w:rPr>
        <w:t>576,917,663</w:t>
      </w:r>
      <w:r>
        <w:rPr>
          <w:rFonts w:ascii="Times New Roman" w:hAnsi="Times New Roman" w:cs="Times New Roman" w:eastAsia="Times New Roman" w:hint="default"/>
          <w:spacing w:val="-4"/>
        </w:rPr>
        <w:t> </w:t>
      </w:r>
      <w:r>
        <w:rPr/>
        <w:t>股，占公司总股本的</w:t>
      </w:r>
      <w:r>
        <w:rPr>
          <w:spacing w:val="-55"/>
        </w:rPr>
        <w:t> </w:t>
      </w:r>
      <w:r>
        <w:rPr>
          <w:rFonts w:ascii="Times New Roman" w:hAnsi="Times New Roman" w:cs="Times New Roman" w:eastAsia="Times New Roman" w:hint="default"/>
        </w:rPr>
        <w:t>34%</w:t>
      </w:r>
      <w:r>
        <w:rPr/>
        <w:t>，为公司控股股东。</w:t>
      </w:r>
      <w:r>
        <w:rPr>
          <w:w w:val="100"/>
        </w:rPr>
        <w:t> </w:t>
      </w:r>
      <w:r>
        <w:rPr>
          <w:spacing w:val="-4"/>
          <w:w w:val="100"/>
        </w:rPr>
        <w:t>公司实际控制人未发生变更，仍为深圳市国资委。（关于国有股份无偿划转事项相关情况详见公司于</w:t>
      </w:r>
      <w:r>
        <w:rPr>
          <w:spacing w:val="-40"/>
          <w:w w:val="100"/>
        </w:rPr>
        <w:t> </w:t>
      </w:r>
      <w:r>
        <w:rPr>
          <w:rFonts w:ascii="Times New Roman" w:hAnsi="Times New Roman" w:cs="Times New Roman" w:eastAsia="Times New Roman" w:hint="default"/>
          <w:spacing w:val="-2"/>
          <w:w w:val="100"/>
        </w:rPr>
        <w:t>2018</w:t>
      </w:r>
    </w:p>
    <w:p>
      <w:pPr>
        <w:pStyle w:val="BodyText"/>
        <w:spacing w:line="240" w:lineRule="auto" w:before="17"/>
        <w:ind w:left="472" w:right="0"/>
        <w:jc w:val="both"/>
      </w:pPr>
      <w:r>
        <w:rPr>
          <w:w w:val="100"/>
        </w:rPr>
        <w:t>年</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日</w:t>
      </w:r>
      <w:r>
        <w:rPr>
          <w:spacing w:val="-3"/>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25</w:t>
      </w:r>
      <w:r>
        <w:rPr>
          <w:rFonts w:ascii="Times New Roman" w:hAnsi="Times New Roman" w:cs="Times New Roman" w:eastAsia="Times New Roman" w:hint="default"/>
        </w:rPr>
        <w:t> </w:t>
      </w:r>
      <w:r>
        <w:rPr>
          <w:spacing w:val="-3"/>
          <w:w w:val="100"/>
        </w:rPr>
        <w:t>日</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rPr>
        <w:t> </w:t>
      </w:r>
      <w:r>
        <w:rPr>
          <w:w w:val="100"/>
        </w:rPr>
        <w:t>日、</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日、</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日</w:t>
      </w:r>
      <w:r>
        <w:rPr>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日</w:t>
      </w:r>
      <w:r>
        <w:rPr>
          <w:w w:val="100"/>
        </w:rPr>
        <w:t>在</w:t>
      </w:r>
      <w:r>
        <w:rPr>
          <w:spacing w:val="-3"/>
          <w:w w:val="100"/>
        </w:rPr>
        <w:t>《</w:t>
      </w:r>
      <w:r>
        <w:rPr>
          <w:w w:val="100"/>
        </w:rPr>
        <w:t>证券</w:t>
      </w:r>
      <w:r>
        <w:rPr>
          <w:spacing w:val="-3"/>
          <w:w w:val="100"/>
        </w:rPr>
        <w:t>时</w:t>
      </w:r>
      <w:r>
        <w:rPr>
          <w:w w:val="100"/>
        </w:rPr>
        <w:t>报</w:t>
      </w:r>
      <w:r>
        <w:rPr>
          <w:spacing w:val="-106"/>
          <w:w w:val="100"/>
        </w:rPr>
        <w:t>》</w:t>
      </w:r>
      <w:r>
        <w:rPr>
          <w:spacing w:val="-108"/>
          <w:w w:val="100"/>
        </w:rPr>
        <w:t>、</w:t>
      </w:r>
      <w:r>
        <w:rPr>
          <w:w w:val="100"/>
        </w:rPr>
        <w:t>《</w:t>
      </w:r>
      <w:r>
        <w:rPr>
          <w:spacing w:val="-3"/>
          <w:w w:val="100"/>
        </w:rPr>
        <w:t>中</w:t>
      </w:r>
      <w:r>
        <w:rPr>
          <w:w w:val="100"/>
        </w:rPr>
        <w:t>国</w:t>
      </w:r>
      <w:r>
        <w:rPr>
          <w:spacing w:val="-3"/>
          <w:w w:val="100"/>
        </w:rPr>
        <w:t>证</w:t>
      </w:r>
      <w:r>
        <w:rPr>
          <w:w w:val="100"/>
        </w:rPr>
        <w:t>券</w:t>
      </w:r>
      <w:r>
        <w:rPr>
          <w:spacing w:val="-3"/>
          <w:w w:val="100"/>
        </w:rPr>
        <w:t>报</w:t>
      </w:r>
      <w:r>
        <w:rPr>
          <w:spacing w:val="-108"/>
          <w:w w:val="100"/>
        </w:rPr>
        <w:t>》</w:t>
      </w:r>
      <w:r>
        <w:rPr>
          <w:w w:val="100"/>
        </w:rPr>
        <w:t>、</w:t>
      </w:r>
    </w:p>
    <w:p>
      <w:pPr>
        <w:pStyle w:val="BodyText"/>
        <w:spacing w:line="240" w:lineRule="auto" w:before="115"/>
        <w:ind w:left="472" w:right="0"/>
        <w:jc w:val="both"/>
      </w:pPr>
      <w:r>
        <w:rPr>
          <w:w w:val="100"/>
        </w:rPr>
        <w:t>《上</w:t>
      </w:r>
      <w:r>
        <w:rPr>
          <w:spacing w:val="-3"/>
          <w:w w:val="100"/>
        </w:rPr>
        <w:t>海</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证</w:t>
      </w:r>
      <w:r>
        <w:rPr>
          <w:w w:val="100"/>
        </w:rPr>
        <w:t>券</w:t>
      </w:r>
      <w:r>
        <w:rPr>
          <w:spacing w:val="-3"/>
          <w:w w:val="100"/>
        </w:rPr>
        <w:t>日</w:t>
      </w:r>
      <w:r>
        <w:rPr>
          <w:w w:val="100"/>
        </w:rPr>
        <w:t>报》</w:t>
      </w:r>
      <w:r>
        <w:rPr>
          <w:spacing w:val="-3"/>
          <w:w w:val="100"/>
        </w:rPr>
        <w:t>和</w:t>
      </w:r>
      <w:r>
        <w:rPr>
          <w:w w:val="100"/>
        </w:rPr>
        <w:t>巨</w:t>
      </w:r>
      <w:r>
        <w:rPr>
          <w:spacing w:val="-3"/>
          <w:w w:val="100"/>
        </w:rPr>
        <w:t>潮</w:t>
      </w:r>
      <w:r>
        <w:rPr>
          <w:w w:val="100"/>
        </w:rPr>
        <w:t>资</w:t>
      </w:r>
      <w:r>
        <w:rPr>
          <w:spacing w:val="-3"/>
          <w:w w:val="100"/>
        </w:rPr>
        <w:t>讯</w:t>
      </w:r>
      <w:r>
        <w:rPr>
          <w:w w:val="100"/>
        </w:rPr>
        <w:t>网</w:t>
      </w:r>
      <w:r>
        <w:rPr>
          <w:spacing w:val="-3"/>
          <w:w w:val="100"/>
        </w:rPr>
        <w:t>上</w:t>
      </w:r>
      <w:r>
        <w:rPr>
          <w:w w:val="100"/>
        </w:rPr>
        <w:t>刊</w:t>
      </w:r>
      <w:r>
        <w:rPr>
          <w:spacing w:val="-3"/>
          <w:w w:val="100"/>
        </w:rPr>
        <w:t>登</w:t>
      </w:r>
      <w:r>
        <w:rPr>
          <w:w w:val="100"/>
        </w:rPr>
        <w:t>的公</w:t>
      </w:r>
      <w:r>
        <w:rPr>
          <w:spacing w:val="-3"/>
          <w:w w:val="100"/>
        </w:rPr>
        <w:t>告</w: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4"/>
        <w:ind w:left="0" w:right="1141" w:firstLine="0"/>
        <w:jc w:val="right"/>
        <w:rPr>
          <w:rFonts w:ascii="宋体" w:hAnsi="宋体" w:cs="宋体" w:eastAsia="宋体" w:hint="default"/>
          <w:sz w:val="18"/>
          <w:szCs w:val="18"/>
        </w:rPr>
      </w:pPr>
      <w:r>
        <w:rPr/>
        <w:pict>
          <v:shape style="position:absolute;margin-left:49.32pt;margin-top:-26.528257pt;width:486.25pt;height:140.450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133"/>
                    <w:gridCol w:w="1702"/>
                    <w:gridCol w:w="2127"/>
                    <w:gridCol w:w="2905"/>
                  </w:tblGrid>
                  <w:tr>
                    <w:trPr>
                      <w:trHeight w:val="55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7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49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77" w:right="105" w:hanging="270"/>
                          <w:jc w:val="left"/>
                          <w:rPr>
                            <w:rFonts w:ascii="宋体" w:hAnsi="宋体" w:cs="宋体" w:eastAsia="宋体" w:hint="default"/>
                            <w:sz w:val="18"/>
                            <w:szCs w:val="18"/>
                          </w:rPr>
                        </w:pPr>
                        <w:r>
                          <w:rPr>
                            <w:rFonts w:ascii="宋体" w:hAnsi="宋体" w:cs="宋体" w:eastAsia="宋体" w:hint="default"/>
                            <w:sz w:val="18"/>
                            <w:szCs w:val="18"/>
                          </w:rPr>
                          <w:t>深圳市福德国有资本 运营有限公司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92" w:right="0"/>
                          <w:jc w:val="left"/>
                          <w:rPr>
                            <w:rFonts w:ascii="宋体" w:hAnsi="宋体" w:cs="宋体" w:eastAsia="宋体" w:hint="default"/>
                            <w:sz w:val="18"/>
                            <w:szCs w:val="18"/>
                          </w:rPr>
                        </w:pPr>
                        <w:r>
                          <w:rPr>
                            <w:rFonts w:ascii="宋体" w:hAnsi="宋体" w:cs="宋体" w:eastAsia="宋体" w:hint="default"/>
                            <w:sz w:val="18"/>
                            <w:szCs w:val="18"/>
                          </w:rPr>
                          <w:t>祝俊明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91440300MA5EWWPXX2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
                          <w:jc w:val="both"/>
                          <w:rPr>
                            <w:rFonts w:ascii="宋体" w:hAnsi="宋体" w:cs="宋体" w:eastAsia="宋体" w:hint="default"/>
                            <w:sz w:val="18"/>
                            <w:szCs w:val="18"/>
                          </w:rPr>
                        </w:pPr>
                        <w:r>
                          <w:rPr>
                            <w:rFonts w:ascii="宋体" w:hAnsi="宋体" w:cs="宋体" w:eastAsia="宋体" w:hint="default"/>
                            <w:spacing w:val="-8"/>
                            <w:sz w:val="18"/>
                            <w:szCs w:val="18"/>
                          </w:rPr>
                          <w:t>投资兴办实业（具体项目另行申报）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自有物业的开发、经营、管理。（依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法须经批准的项目，经相关部门批准</w:t>
                        </w:r>
                        <w:r>
                          <w:rPr>
                            <w:rFonts w:ascii="宋体" w:hAnsi="宋体" w:cs="宋体" w:eastAsia="宋体" w:hint="default"/>
                            <w:sz w:val="18"/>
                            <w:szCs w:val="18"/>
                          </w:rPr>
                          <w:t> </w:t>
                        </w:r>
                        <w:r>
                          <w:rPr>
                            <w:rFonts w:ascii="宋体" w:hAnsi="宋体" w:cs="宋体" w:eastAsia="宋体" w:hint="default"/>
                            <w:spacing w:val="-6"/>
                            <w:sz w:val="18"/>
                            <w:szCs w:val="18"/>
                          </w:rPr>
                          <w:t>后方可开展经营活动）（法律、行政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法规、国务院决定禁止的项目除外， 限制的项目须取得许可后方可经营）</w:t>
                        </w:r>
                      </w:p>
                    </w:tc>
                  </w:tr>
                  <w:tr>
                    <w:trPr>
                      <w:trHeight w:val="751" w:hRule="exact"/>
                    </w:trPr>
                    <w:tc>
                      <w:tcPr>
                        <w:tcW w:w="1844" w:type="dxa"/>
                        <w:tcBorders>
                          <w:top w:val="single" w:sz="4" w:space="0" w:color="000000"/>
                          <w:left w:val="single" w:sz="4" w:space="0" w:color="000000"/>
                          <w:bottom w:val="single" w:sz="4" w:space="0" w:color="000000"/>
                          <w:right w:val="single" w:sz="4" w:space="0" w:color="000000"/>
                        </w:tcBorders>
                        <w:shd w:val="clear" w:color="auto" w:fill="C8C8C8"/>
                      </w:tcPr>
                      <w:p>
                        <w:pPr>
                          <w:pStyle w:val="TableParagraph"/>
                          <w:spacing w:line="237" w:lineRule="auto" w:before="10"/>
                          <w:ind w:left="24" w:right="18"/>
                          <w:jc w:val="both"/>
                          <w:rPr>
                            <w:rFonts w:ascii="宋体" w:hAnsi="宋体" w:cs="宋体" w:eastAsia="宋体" w:hint="default"/>
                            <w:sz w:val="18"/>
                            <w:szCs w:val="18"/>
                          </w:rPr>
                        </w:pPr>
                        <w:r>
                          <w:rPr>
                            <w:rFonts w:ascii="宋体" w:hAnsi="宋体" w:cs="宋体" w:eastAsia="宋体" w:hint="default"/>
                            <w:spacing w:val="18"/>
                            <w:sz w:val="18"/>
                            <w:szCs w:val="18"/>
                          </w:rPr>
                          <w:t>控股股东报告期内控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股和参股的其他境内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外上市公司的股权情</w:t>
                        </w:r>
                      </w:p>
                    </w:tc>
                    <w:tc>
                      <w:tcPr>
                        <w:tcW w:w="78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1"/>
                          <w:ind w:left="23" w:right="14"/>
                          <w:jc w:val="left"/>
                          <w:rPr>
                            <w:rFonts w:ascii="宋体" w:hAnsi="宋体" w:cs="宋体" w:eastAsia="宋体" w:hint="default"/>
                            <w:sz w:val="18"/>
                            <w:szCs w:val="18"/>
                          </w:rPr>
                        </w:pPr>
                        <w:r>
                          <w:rPr>
                            <w:rFonts w:ascii="宋体" w:hAnsi="宋体" w:cs="宋体" w:eastAsia="宋体" w:hint="default"/>
                            <w:sz w:val="18"/>
                            <w:szCs w:val="18"/>
                          </w:rPr>
                          <w:t>福德资本直接持有深圳市深粮控股股份有限公司（股票代码：</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000019</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200019</w:t>
                        </w:r>
                        <w:r>
                          <w:rPr>
                            <w:rFonts w:ascii="宋体" w:hAnsi="宋体" w:cs="宋体" w:eastAsia="宋体" w:hint="default"/>
                            <w:sz w:val="18"/>
                            <w:szCs w:val="18"/>
                          </w:rPr>
                          <w:t>）</w:t>
                        </w:r>
                        <w:r>
                          <w:rPr>
                            <w:rFonts w:ascii="Times New Roman" w:hAnsi="Times New Roman" w:cs="Times New Roman" w:eastAsia="Times New Roman" w:hint="default"/>
                            <w:sz w:val="18"/>
                            <w:szCs w:val="18"/>
                          </w:rPr>
                          <w:t>63.79%</w:t>
                        </w:r>
                        <w:r>
                          <w:rPr>
                            <w:rFonts w:ascii="宋体" w:hAnsi="宋体" w:cs="宋体" w:eastAsia="宋体" w:hint="default"/>
                            <w:sz w:val="18"/>
                            <w:szCs w:val="18"/>
                          </w:rPr>
                          <w:t>股 份，通过公司间接持有深粮控股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8.23%</w:t>
                        </w:r>
                        <w:r>
                          <w:rPr>
                            <w:rFonts w:ascii="宋体" w:hAnsi="宋体" w:cs="宋体" w:eastAsia="宋体" w:hint="default"/>
                            <w:sz w:val="18"/>
                            <w:szCs w:val="18"/>
                          </w:rPr>
                          <w:t>股份</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65" w:top="1100" w:bottom="1460" w:left="660" w:right="0"/>
        </w:sectPr>
      </w:pPr>
    </w:p>
    <w:p>
      <w:pPr>
        <w:spacing w:line="240" w:lineRule="auto" w:before="3"/>
        <w:rPr>
          <w:rFonts w:ascii="宋体" w:hAnsi="宋体" w:cs="宋体" w:eastAsia="宋体" w:hint="default"/>
          <w:sz w:val="24"/>
          <w:szCs w:val="24"/>
        </w:rPr>
      </w:pPr>
    </w:p>
    <w:p>
      <w:pPr>
        <w:spacing w:line="302" w:lineRule="exact"/>
        <w:ind w:left="10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6pt;height:15.15pt;mso-position-horizontal-relative:char;mso-position-vertical-relative:line" coordorigin="0,0" coordsize="9720,303">
            <v:group style="position:absolute;left:22;top:14;width:2;height:275" coordorigin="22,14" coordsize="2,275">
              <v:shape style="position:absolute;left:22;top:14;width:2;height:275" coordorigin="22,14" coordsize="0,275" path="m22,14l22,288e" filled="false" stroked="true" strokeweight="1.2pt" strokecolor="#c8c8c8">
                <v:path arrowok="t"/>
              </v:shape>
            </v:group>
            <v:group style="position:absolute;left:1833;top:14;width:2;height:275" coordorigin="1833,14" coordsize="2,275">
              <v:shape style="position:absolute;left:1833;top:14;width:2;height:275" coordorigin="1833,14" coordsize="0,275" path="m1833,14l1833,288e" filled="false" stroked="true" strokeweight="1.08pt" strokecolor="#c8c8c8">
                <v:path arrowok="t"/>
              </v:shape>
            </v:group>
            <v:group style="position:absolute;left:34;top:14;width:1789;height:275" coordorigin="34,14" coordsize="1789,275">
              <v:shape style="position:absolute;left:34;top:14;width:1789;height:275" coordorigin="34,14" coordsize="1789,275" path="m34,288l1822,288,1822,14,34,14,34,288xe" filled="true" fillcolor="#c8c8c8" stroked="false">
                <v:path arrowok="t"/>
                <v:fill type="solid"/>
              </v:shape>
            </v:group>
            <v:group style="position:absolute;left:10;top:10;width:1835;height:2" coordorigin="10,10" coordsize="1835,2">
              <v:shape style="position:absolute;left:10;top:10;width:1835;height:2" coordorigin="10,10" coordsize="1835,0" path="m10,10l1844,10e" filled="false" stroked="true" strokeweight=".48pt" strokecolor="#000000">
                <v:path arrowok="t"/>
              </v:shape>
            </v:group>
            <v:group style="position:absolute;left:1853;top:10;width:7857;height:2" coordorigin="1853,10" coordsize="7857,2">
              <v:shape style="position:absolute;left:1853;top:10;width:7857;height:2" coordorigin="1853,10" coordsize="7857,0" path="m1853,10l971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1835;height:2" coordorigin="10,293" coordsize="1835,2">
              <v:shape style="position:absolute;left:10;top:293;width:1835;height:2" coordorigin="10,293" coordsize="1835,0" path="m10,293l1844,293e" filled="false" stroked="true" strokeweight=".48pt" strokecolor="#000000">
                <v:path arrowok="t"/>
              </v:shape>
            </v:group>
            <v:group style="position:absolute;left:1848;top:5;width:2;height:294" coordorigin="1848,5" coordsize="2,294">
              <v:shape style="position:absolute;left:1848;top:5;width:2;height:294" coordorigin="1848,5" coordsize="0,294" path="m1848,5l1848,298e" filled="false" stroked="true" strokeweight=".48001pt" strokecolor="#000000">
                <v:path arrowok="t"/>
              </v:shape>
            </v:group>
            <v:group style="position:absolute;left:1853;top:293;width:7857;height:2" coordorigin="1853,293" coordsize="7857,2">
              <v:shape style="position:absolute;left:1853;top:293;width:7857;height:2" coordorigin="1853,293" coordsize="7857,0" path="m1853,293l9710,293e" filled="false" stroked="true" strokeweight=".48pt" strokecolor="#000000">
                <v:path arrowok="t"/>
              </v:shape>
            </v:group>
            <v:group style="position:absolute;left:9715;top:5;width:2;height:294" coordorigin="9715,5" coordsize="2,294">
              <v:shape style="position:absolute;left:9715;top:5;width:2;height:294" coordorigin="9715,5" coordsize="0,294" path="m9715,5l9715,298e" filled="false" stroked="true" strokeweight=".48004pt" strokecolor="#000000">
                <v:path arrowok="t"/>
              </v:shape>
              <v:shape style="position:absolute;left:5;top:10;width:1844;height:284" type="#_x0000_t202" filled="false" stroked="false">
                <v:textbox inset="0,0,0,0">
                  <w:txbxContent>
                    <w:p>
                      <w:pPr>
                        <w:spacing w:line="208"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况</w:t>
                      </w:r>
                    </w:p>
                  </w:txbxContent>
                </v:textbox>
                <w10:wrap type="none"/>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sz w:val="17"/>
          <w:szCs w:val="17"/>
        </w:rPr>
      </w:pPr>
    </w:p>
    <w:p>
      <w:pPr>
        <w:pStyle w:val="Heading6"/>
        <w:spacing w:line="335" w:lineRule="exact"/>
        <w:ind w:left="252"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336" w:lineRule="auto" w:before="0"/>
        <w:ind w:left="252" w:right="0" w:firstLine="420"/>
        <w:jc w:val="left"/>
      </w:pPr>
      <w:r>
        <w:rPr/>
        <w:t>公司实际控制人为深圳市人民政府国有资产监督管理委员会，成立日期</w:t>
      </w:r>
      <w:r>
        <w:rPr>
          <w:spacing w:val="-3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日，为深圳市</w:t>
      </w:r>
      <w:r>
        <w:rPr>
          <w:w w:val="100"/>
        </w:rPr>
        <w:t> </w:t>
      </w:r>
      <w:r>
        <w:rPr>
          <w:spacing w:val="-2"/>
        </w:rPr>
        <w:t>政府直属特设机构，组织机构代码为</w:t>
      </w:r>
      <w:r>
        <w:rPr>
          <w:spacing w:val="13"/>
        </w:rPr>
        <w:t> </w:t>
      </w:r>
      <w:r>
        <w:rPr>
          <w:rFonts w:ascii="Times New Roman" w:hAnsi="Times New Roman" w:cs="Times New Roman" w:eastAsia="Times New Roman" w:hint="default"/>
          <w:spacing w:val="-2"/>
        </w:rPr>
        <w:t>K31728067</w:t>
      </w:r>
      <w:r>
        <w:rPr>
          <w:spacing w:val="-2"/>
        </w:rPr>
        <w:t>，负责人：余钢先生。</w:t>
      </w:r>
    </w:p>
    <w:p>
      <w:pPr>
        <w:pStyle w:val="BodyText"/>
        <w:spacing w:line="240" w:lineRule="auto" w:before="67"/>
        <w:ind w:left="673" w:right="0"/>
        <w:jc w:val="left"/>
      </w:pPr>
      <w:r>
        <w:rPr>
          <w:spacing w:val="4"/>
        </w:rPr>
        <w:t>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5"/>
        </w:rPr>
        <w:t> </w:t>
      </w:r>
      <w:r>
        <w:rPr>
          <w:spacing w:val="8"/>
        </w:rPr>
        <w:t>日，深圳市国资委通过其全资子公司福德资本间接持有公司股票数量为</w:t>
      </w:r>
      <w:r>
        <w:rPr/>
      </w:r>
    </w:p>
    <w:p>
      <w:pPr>
        <w:spacing w:line="314" w:lineRule="auto" w:before="119"/>
        <w:ind w:left="675" w:right="5229" w:hanging="423"/>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sz w:val="21"/>
          <w:szCs w:val="21"/>
        </w:rPr>
        <w:t>576,917,663 </w:t>
      </w:r>
      <w:r>
        <w:rPr>
          <w:rFonts w:ascii="宋体" w:hAnsi="宋体" w:cs="宋体" w:eastAsia="宋体" w:hint="default"/>
          <w:sz w:val="21"/>
          <w:szCs w:val="21"/>
        </w:rPr>
        <w:t>股，占公司总股本的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，为公司实际控制人。</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公司与实际控制人之间的产权及控制关系方框图</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4"/>
          <w:szCs w:val="24"/>
        </w:rPr>
      </w:pPr>
    </w:p>
    <w:p>
      <w:pPr>
        <w:spacing w:line="540" w:lineRule="exact"/>
        <w:ind w:left="161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
          <w:sz w:val="20"/>
          <w:szCs w:val="20"/>
        </w:rPr>
        <w:pict>
          <v:shape style="width:224.05pt;height:27pt;mso-position-horizontal-relative:char;mso-position-vertical-relative:line" type="#_x0000_t202" filled="false" stroked="true" strokeweight=".5pt" strokecolor="#000000">
            <w10:anchorlock/>
            <v:textbox inset="0,0,0,0">
              <w:txbxContent>
                <w:p>
                  <w:pPr>
                    <w:spacing w:before="23"/>
                    <w:ind w:left="60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深圳市人民政府国有资产监督管理委员会</w:t>
                  </w:r>
                  <w:r>
                    <w:rPr>
                      <w:rFonts w:ascii="Microsoft JhengHei" w:hAnsi="Microsoft JhengHei" w:cs="Microsoft JhengHei" w:eastAsia="Microsoft JhengHei" w:hint="default"/>
                      <w:sz w:val="18"/>
                      <w:szCs w:val="18"/>
                    </w:rPr>
                  </w:r>
                </w:p>
              </w:txbxContent>
            </v:textbox>
          </v:shape>
        </w:pict>
      </w:r>
      <w:r>
        <w:rPr>
          <w:rFonts w:ascii="Microsoft JhengHei" w:hAnsi="Microsoft JhengHei" w:cs="Microsoft JhengHei" w:eastAsia="Microsoft JhengHei" w:hint="default"/>
          <w:position w:val="-10"/>
          <w:sz w:val="20"/>
          <w:szCs w:val="20"/>
        </w:rPr>
      </w:r>
    </w:p>
    <w:p>
      <w:pPr>
        <w:spacing w:line="240" w:lineRule="auto" w:before="6"/>
        <w:rPr>
          <w:rFonts w:ascii="Microsoft JhengHei" w:hAnsi="Microsoft JhengHei" w:cs="Microsoft JhengHei" w:eastAsia="Microsoft JhengHei" w:hint="default"/>
          <w:b/>
          <w:bCs/>
          <w:sz w:val="7"/>
          <w:szCs w:val="7"/>
        </w:rPr>
      </w:pPr>
    </w:p>
    <w:p>
      <w:pPr>
        <w:spacing w:before="76"/>
        <w:ind w:left="3133" w:right="0" w:firstLine="0"/>
        <w:jc w:val="left"/>
        <w:rPr>
          <w:rFonts w:ascii="Times New Roman" w:hAnsi="Times New Roman" w:cs="Times New Roman" w:eastAsia="Times New Roman" w:hint="default"/>
          <w:sz w:val="18"/>
          <w:szCs w:val="18"/>
        </w:rPr>
      </w:pPr>
      <w:r>
        <w:rPr/>
        <w:pict>
          <v:group style="position:absolute;margin-left:233.929993pt;margin-top:-5.727642pt;width:8.15pt;height:26.75pt;mso-position-horizontal-relative:page;mso-position-vertical-relative:paragraph;z-index:2536" coordorigin="4679,-115" coordsize="163,535">
            <v:shape style="position:absolute;left:4679;top:-115;width:163;height:535" coordorigin="4679,-115" coordsize="163,535" path="m4690,269l4680,275,4679,281,4760,420,4772,400,4750,400,4750,364,4696,271,4690,269xe" filled="true" fillcolor="#000000" stroked="false">
              <v:path arrowok="t"/>
              <v:fill type="solid"/>
            </v:shape>
            <v:shape style="position:absolute;left:4679;top:-115;width:163;height:535" coordorigin="4679,-115" coordsize="163,535" path="m4750,364l4750,400,4770,400,4770,395,4751,395,4760,381,4750,364xe" filled="true" fillcolor="#000000" stroked="false">
              <v:path arrowok="t"/>
              <v:fill type="solid"/>
            </v:shape>
            <v:shape style="position:absolute;left:4679;top:-115;width:163;height:535" coordorigin="4679,-115" coordsize="163,535" path="m4830,269l4824,271,4770,364,4770,400,4772,400,4841,281,4840,275,4830,269xe" filled="true" fillcolor="#000000" stroked="false">
              <v:path arrowok="t"/>
              <v:fill type="solid"/>
            </v:shape>
            <v:shape style="position:absolute;left:4679;top:-115;width:163;height:535" coordorigin="4679,-115" coordsize="163,535" path="m4760,381l4751,395,4769,395,4760,381xe" filled="true" fillcolor="#000000" stroked="false">
              <v:path arrowok="t"/>
              <v:fill type="solid"/>
            </v:shape>
            <v:shape style="position:absolute;left:4679;top:-115;width:163;height:535" coordorigin="4679,-115" coordsize="163,535" path="m4770,364l4760,381,4769,395,4770,395,4770,364xe" filled="true" fillcolor="#000000" stroked="false">
              <v:path arrowok="t"/>
              <v:fill type="solid"/>
            </v:shape>
            <v:shape style="position:absolute;left:4679;top:-115;width:163;height:535" coordorigin="4679,-115" coordsize="163,535" path="m4770,-115l4750,-115,4750,364,4760,381,4770,364,4770,-115xe" filled="true" fillcolor="#000000" stroked="false">
              <v:path arrowok="t"/>
              <v:fill type="solid"/>
            </v:shape>
            <w10:wrap type="none"/>
          </v:group>
        </w:pict>
      </w:r>
      <w:r>
        <w:rPr>
          <w:rFonts w:ascii="Times New Roman"/>
          <w:sz w:val="18"/>
        </w:rPr>
        <w:t>100%</w:t>
      </w:r>
    </w:p>
    <w:p>
      <w:pPr>
        <w:spacing w:line="240" w:lineRule="auto" w:before="8"/>
        <w:rPr>
          <w:rFonts w:ascii="Times New Roman" w:hAnsi="Times New Roman" w:cs="Times New Roman" w:eastAsia="Times New Roman" w:hint="default"/>
          <w:sz w:val="15"/>
          <w:szCs w:val="15"/>
        </w:rPr>
      </w:pPr>
    </w:p>
    <w:p>
      <w:pPr>
        <w:spacing w:line="525" w:lineRule="exact"/>
        <w:ind w:left="16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224.05pt;height:26.25pt;mso-position-horizontal-relative:char;mso-position-vertical-relative:line" type="#_x0000_t202" filled="false" stroked="true" strokeweight=".5pt" strokecolor="#000000">
            <w10:anchorlock/>
            <v:textbox inset="0,0,0,0">
              <w:txbxContent>
                <w:p>
                  <w:pPr>
                    <w:spacing w:before="26"/>
                    <w:ind w:left="87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深圳市福德国有资本运营有限公司</w:t>
                  </w:r>
                  <w:r>
                    <w:rPr>
                      <w:rFonts w:ascii="Microsoft JhengHei" w:hAnsi="Microsoft JhengHei" w:cs="Microsoft JhengHei" w:eastAsia="Microsoft JhengHei" w:hint="default"/>
                      <w:sz w:val="18"/>
                      <w:szCs w:val="18"/>
                    </w:rPr>
                  </w:r>
                </w:p>
              </w:txbxContent>
            </v:textbox>
          </v:shape>
        </w:pict>
      </w:r>
      <w:r>
        <w:rPr>
          <w:rFonts w:ascii="Times New Roman" w:hAnsi="Times New Roman" w:cs="Times New Roman" w:eastAsia="Times New Roman" w:hint="default"/>
          <w:position w:val="-10"/>
          <w:sz w:val="20"/>
          <w:szCs w:val="20"/>
        </w:rPr>
      </w:r>
    </w:p>
    <w:p>
      <w:pPr>
        <w:spacing w:line="240" w:lineRule="auto" w:before="4"/>
        <w:rPr>
          <w:rFonts w:ascii="Times New Roman" w:hAnsi="Times New Roman" w:cs="Times New Roman" w:eastAsia="Times New Roman" w:hint="default"/>
          <w:sz w:val="8"/>
          <w:szCs w:val="8"/>
        </w:rPr>
      </w:pPr>
    </w:p>
    <w:p>
      <w:pPr>
        <w:spacing w:before="76"/>
        <w:ind w:left="2997" w:right="0" w:firstLine="0"/>
        <w:jc w:val="left"/>
        <w:rPr>
          <w:rFonts w:ascii="Times New Roman" w:hAnsi="Times New Roman" w:cs="Times New Roman" w:eastAsia="Times New Roman" w:hint="default"/>
          <w:sz w:val="18"/>
          <w:szCs w:val="18"/>
        </w:rPr>
      </w:pPr>
      <w:r>
        <w:rPr/>
        <w:pict>
          <v:group style="position:absolute;margin-left:233.979996pt;margin-top:-3.717662pt;width:8.15pt;height:27.15pt;mso-position-horizontal-relative:page;mso-position-vertical-relative:paragraph;z-index:2560" coordorigin="4680,-74" coordsize="163,543">
            <v:shape style="position:absolute;left:4680;top:-74;width:163;height:543" coordorigin="4680,-74" coordsize="163,543" path="m4691,317l4681,323,4680,329,4761,468,4773,449,4751,449,4751,412,4697,319,4691,317xe" filled="true" fillcolor="#000000" stroked="false">
              <v:path arrowok="t"/>
              <v:fill type="solid"/>
            </v:shape>
            <v:shape style="position:absolute;left:4680;top:-74;width:163;height:543" coordorigin="4680,-74" coordsize="163,543" path="m4751,412l4751,449,4771,449,4771,444,4752,444,4761,429,4751,412xe" filled="true" fillcolor="#000000" stroked="false">
              <v:path arrowok="t"/>
              <v:fill type="solid"/>
            </v:shape>
            <v:shape style="position:absolute;left:4680;top:-74;width:163;height:543" coordorigin="4680,-74" coordsize="163,543" path="m4831,317l4825,319,4771,412,4771,449,4773,449,4842,329,4841,323,4831,317xe" filled="true" fillcolor="#000000" stroked="false">
              <v:path arrowok="t"/>
              <v:fill type="solid"/>
            </v:shape>
            <v:shape style="position:absolute;left:4680;top:-74;width:163;height:543" coordorigin="4680,-74" coordsize="163,543" path="m4761,429l4752,444,4770,444,4761,429xe" filled="true" fillcolor="#000000" stroked="false">
              <v:path arrowok="t"/>
              <v:fill type="solid"/>
            </v:shape>
            <v:shape style="position:absolute;left:4680;top:-74;width:163;height:543" coordorigin="4680,-74" coordsize="163,543" path="m4771,412l4761,429,4770,444,4771,444,4771,412xe" filled="true" fillcolor="#000000" stroked="false">
              <v:path arrowok="t"/>
              <v:fill type="solid"/>
            </v:shape>
            <v:shape style="position:absolute;left:4680;top:-74;width:163;height:543" coordorigin="4680,-74" coordsize="163,543" path="m4771,-74l4751,-74,4751,412,4761,429,4771,412,4771,-74xe" filled="true" fillcolor="#000000" stroked="false">
              <v:path arrowok="t"/>
              <v:fill type="solid"/>
            </v:shape>
            <w10:wrap type="none"/>
          </v:group>
        </w:pict>
      </w:r>
      <w:r>
        <w:rPr>
          <w:rFonts w:ascii="Times New Roman"/>
          <w:sz w:val="18"/>
        </w:rPr>
        <w:t>34.00%</w:t>
      </w:r>
    </w:p>
    <w:p>
      <w:pPr>
        <w:spacing w:line="240" w:lineRule="auto" w:before="10"/>
        <w:rPr>
          <w:rFonts w:ascii="Times New Roman" w:hAnsi="Times New Roman" w:cs="Times New Roman" w:eastAsia="Times New Roman" w:hint="default"/>
          <w:sz w:val="17"/>
          <w:szCs w:val="17"/>
        </w:rPr>
      </w:pPr>
    </w:p>
    <w:p>
      <w:pPr>
        <w:spacing w:line="510" w:lineRule="exact"/>
        <w:ind w:left="16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224.05pt;height:25.5pt;mso-position-horizontal-relative:char;mso-position-vertical-relative:line" type="#_x0000_t202" filled="false" stroked="true" strokeweight=".5pt" strokecolor="#000000">
            <w10:anchorlock/>
            <v:textbox inset="0,0,0,0">
              <w:txbxContent>
                <w:p>
                  <w:pPr>
                    <w:spacing w:before="23"/>
                    <w:ind w:left="96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sz w:val="18"/>
                      <w:szCs w:val="18"/>
                    </w:rPr>
                  </w:r>
                </w:p>
              </w:txbxContent>
            </v:textbox>
          </v:shape>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343" w:lineRule="auto" w:before="0"/>
        <w:ind w:left="252" w:right="1126" w:firstLine="420"/>
        <w:jc w:val="both"/>
      </w:pPr>
      <w:r>
        <w:rPr>
          <w:spacing w:val="-2"/>
        </w:rPr>
        <w:t>报告期末，公司实际控制人深圳市国资委直接和间接持有深圳市振业（集团）股份有限公司（股票代</w:t>
      </w:r>
      <w:r>
        <w:rPr>
          <w:w w:val="100"/>
        </w:rPr>
        <w:t> </w:t>
      </w:r>
      <w:r>
        <w:rPr/>
        <w:t>码 </w:t>
      </w:r>
      <w:r>
        <w:rPr>
          <w:rFonts w:ascii="Times New Roman" w:hAnsi="Times New Roman" w:cs="Times New Roman" w:eastAsia="Times New Roman" w:hint="default"/>
        </w:rPr>
        <w:t>000006</w:t>
      </w:r>
      <w:r>
        <w:rPr/>
        <w:t>）</w:t>
      </w:r>
      <w:r>
        <w:rPr>
          <w:rFonts w:ascii="Times New Roman" w:hAnsi="Times New Roman" w:cs="Times New Roman" w:eastAsia="Times New Roman" w:hint="default"/>
        </w:rPr>
        <w:t>35.92%</w:t>
      </w:r>
      <w:r>
        <w:rPr/>
        <w:t>股份，直接和间接持有深圳市天健（集团）股份有限公司（股票代码</w:t>
      </w:r>
      <w:r>
        <w:rPr>
          <w:spacing w:val="-64"/>
        </w:rPr>
        <w:t> </w:t>
      </w:r>
      <w:r>
        <w:rPr>
          <w:rFonts w:ascii="Times New Roman" w:hAnsi="Times New Roman" w:cs="Times New Roman" w:eastAsia="Times New Roman" w:hint="default"/>
        </w:rPr>
        <w:t>000090</w:t>
      </w:r>
      <w:r>
        <w:rPr/>
        <w:t>）</w:t>
      </w:r>
      <w:r>
        <w:rPr>
          <w:rFonts w:ascii="Times New Roman" w:hAnsi="Times New Roman" w:cs="Times New Roman" w:eastAsia="Times New Roman" w:hint="default"/>
        </w:rPr>
        <w:t>39.57%</w:t>
      </w:r>
      <w:r>
        <w:rPr>
          <w:rFonts w:ascii="Times New Roman" w:hAnsi="Times New Roman" w:cs="Times New Roman" w:eastAsia="Times New Roman" w:hint="default"/>
          <w:w w:val="100"/>
        </w:rPr>
        <w:t> </w:t>
      </w:r>
      <w:r>
        <w:rPr>
          <w:spacing w:val="-4"/>
        </w:rPr>
        <w:t>股份，直接持有深圳市燃气集团股份有限公司（股票代码 </w:t>
      </w:r>
      <w:r>
        <w:rPr>
          <w:rFonts w:ascii="Times New Roman" w:hAnsi="Times New Roman" w:cs="Times New Roman" w:eastAsia="Times New Roman" w:hint="default"/>
          <w:spacing w:val="-3"/>
        </w:rPr>
        <w:t>601139</w:t>
      </w:r>
      <w:r>
        <w:rPr>
          <w:spacing w:val="-3"/>
        </w:rPr>
        <w:t>）</w:t>
      </w:r>
      <w:r>
        <w:rPr>
          <w:rFonts w:ascii="Times New Roman" w:hAnsi="Times New Roman" w:cs="Times New Roman" w:eastAsia="Times New Roman" w:hint="default"/>
          <w:spacing w:val="-3"/>
        </w:rPr>
        <w:t>50.05%</w:t>
      </w:r>
      <w:r>
        <w:rPr>
          <w:spacing w:val="-3"/>
        </w:rPr>
        <w:t>股份，直接和间接持有深圳能源</w:t>
      </w:r>
      <w:r>
        <w:rPr>
          <w:spacing w:val="-73"/>
        </w:rPr>
        <w:t> </w:t>
      </w:r>
      <w:r>
        <w:rPr>
          <w:spacing w:val="-73"/>
        </w:rPr>
      </w:r>
      <w:r>
        <w:rPr/>
        <w:t>集团股份有限公司（股票代码</w:t>
      </w:r>
      <w:r>
        <w:rPr>
          <w:spacing w:val="-58"/>
        </w:rPr>
        <w:t> </w:t>
      </w:r>
      <w:r>
        <w:rPr>
          <w:rFonts w:ascii="Times New Roman" w:hAnsi="Times New Roman" w:cs="Times New Roman" w:eastAsia="Times New Roman" w:hint="default"/>
        </w:rPr>
        <w:t>000027</w:t>
      </w:r>
      <w:r>
        <w:rPr/>
        <w:t>）</w:t>
      </w:r>
      <w:r>
        <w:rPr>
          <w:rFonts w:ascii="Times New Roman" w:hAnsi="Times New Roman" w:cs="Times New Roman" w:eastAsia="Times New Roman" w:hint="default"/>
        </w:rPr>
        <w:t>48.09%</w:t>
      </w:r>
      <w:r>
        <w:rPr/>
        <w:t>股份。</w:t>
      </w:r>
    </w:p>
    <w:p>
      <w:pPr>
        <w:pStyle w:val="Heading6"/>
        <w:spacing w:line="359" w:lineRule="exact"/>
        <w:ind w:left="252" w:right="0"/>
        <w:jc w:val="left"/>
        <w:rPr>
          <w:b w:val="0"/>
          <w:bCs w:val="0"/>
        </w:rPr>
      </w:pPr>
      <w:r>
        <w:rPr/>
        <w:t>报告期实际控制人变更</w:t>
      </w:r>
      <w:r>
        <w:rPr>
          <w:b w:val="0"/>
          <w:bCs w:val="0"/>
        </w:rPr>
      </w:r>
    </w:p>
    <w:p>
      <w:pPr>
        <w:spacing w:line="376" w:lineRule="auto" w:before="111"/>
        <w:ind w:left="252" w:right="55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截至本报告披露日，公司实际控制人未发生变更。</w:t>
      </w:r>
    </w:p>
    <w:p>
      <w:pPr>
        <w:pStyle w:val="Heading6"/>
        <w:spacing w:line="240" w:lineRule="auto" w:before="112"/>
        <w:ind w:left="252" w:right="0"/>
        <w:jc w:val="left"/>
        <w:rPr>
          <w:b w:val="0"/>
          <w:bCs w:val="0"/>
        </w:rPr>
      </w:pPr>
      <w:r>
        <w:rPr/>
        <w:t>实际控制人通过信托或其他资产管理方式控制公司</w:t>
      </w:r>
      <w:r>
        <w:rPr>
          <w:b w:val="0"/>
          <w:bCs w:val="0"/>
        </w:rPr>
      </w:r>
    </w:p>
    <w:p>
      <w:pPr>
        <w:spacing w:before="151"/>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6"/>
        <w:spacing w:line="240" w:lineRule="auto"/>
        <w:ind w:left="252"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2412" w:lineRule="exact"/>
        <w:ind w:left="14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7"/>
          <w:sz w:val="20"/>
          <w:szCs w:val="20"/>
        </w:rPr>
        <w:pict>
          <v:shape style="width:481.55pt;height:120.65pt;mso-position-horizontal-relative:char;mso-position-vertical-relative:line" type="#_x0000_t202" filled="false" stroked="true" strokeweight=".47998pt" strokecolor="#000000">
            <w10:anchorlock/>
            <v:textbox inset="0,0,0,0">
              <w:txbxContent>
                <w:p>
                  <w:pPr>
                    <w:pStyle w:val="BodyText"/>
                    <w:spacing w:line="331" w:lineRule="auto" w:before="74"/>
                    <w:ind w:left="103" w:right="124" w:firstLine="420"/>
                    <w:jc w:val="left"/>
                  </w:pPr>
                  <w:r>
                    <w:rPr/>
                    <w:t>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日，公司股东富德生命人寿保险旗下万能</w:t>
                  </w:r>
                  <w:r>
                    <w:rPr>
                      <w:spacing w:val="-53"/>
                    </w:rPr>
                    <w:t> </w:t>
                  </w:r>
                  <w:r>
                    <w:rPr>
                      <w:rFonts w:ascii="Times New Roman" w:hAnsi="Times New Roman" w:cs="Times New Roman" w:eastAsia="Times New Roman" w:hint="default"/>
                    </w:rPr>
                    <w:t>H</w:t>
                  </w:r>
                  <w:r>
                    <w:rPr/>
                    <w:t>、分红和万能</w:t>
                  </w:r>
                  <w:r>
                    <w:rPr>
                      <w:spacing w:val="-56"/>
                    </w:rPr>
                    <w:t> </w:t>
                  </w:r>
                  <w:r>
                    <w:rPr>
                      <w:rFonts w:ascii="Times New Roman" w:hAnsi="Times New Roman" w:cs="Times New Roman" w:eastAsia="Times New Roman" w:hint="default"/>
                    </w:rPr>
                    <w:t>G</w:t>
                  </w:r>
                  <w:r>
                    <w:rPr>
                      <w:rFonts w:ascii="Times New Roman" w:hAnsi="Times New Roman" w:cs="Times New Roman" w:eastAsia="Times New Roman" w:hint="default"/>
                      <w:spacing w:val="1"/>
                    </w:rPr>
                    <w:t> </w:t>
                  </w:r>
                  <w:r>
                    <w:rPr/>
                    <w:t>账户合计持有公</w:t>
                  </w:r>
                  <w:r>
                    <w:rPr>
                      <w:w w:val="100"/>
                    </w:rPr>
                    <w:t> </w:t>
                  </w:r>
                  <w:r>
                    <w:rPr/>
                    <w:t>司股份数量为</w:t>
                  </w:r>
                  <w:r>
                    <w:rPr>
                      <w:spacing w:val="-54"/>
                    </w:rPr>
                    <w:t> </w:t>
                  </w:r>
                  <w:r>
                    <w:rPr>
                      <w:rFonts w:ascii="Times New Roman" w:hAnsi="Times New Roman" w:cs="Times New Roman" w:eastAsia="Times New Roman" w:hint="default"/>
                    </w:rPr>
                    <w:t>508,616,980</w:t>
                  </w:r>
                  <w:r>
                    <w:rPr>
                      <w:rFonts w:ascii="Times New Roman" w:hAnsi="Times New Roman" w:cs="Times New Roman" w:eastAsia="Times New Roman" w:hint="default"/>
                      <w:spacing w:val="-5"/>
                    </w:rPr>
                    <w:t> </w:t>
                  </w:r>
                  <w:r>
                    <w:rPr/>
                    <w:t>股，占公司总股本的</w:t>
                  </w:r>
                  <w:r>
                    <w:rPr>
                      <w:spacing w:val="-54"/>
                    </w:rPr>
                    <w:t> </w:t>
                  </w:r>
                  <w:r>
                    <w:rPr>
                      <w:rFonts w:ascii="Times New Roman" w:hAnsi="Times New Roman" w:cs="Times New Roman" w:eastAsia="Times New Roman" w:hint="default"/>
                    </w:rPr>
                    <w:t>29.97%</w:t>
                  </w:r>
                  <w:r>
                    <w:rPr/>
                    <w:t>。</w:t>
                  </w:r>
                </w:p>
                <w:p>
                  <w:pPr>
                    <w:pStyle w:val="BodyText"/>
                    <w:spacing w:line="240" w:lineRule="auto" w:before="21"/>
                    <w:ind w:left="523" w:right="0"/>
                    <w:jc w:val="left"/>
                  </w:pPr>
                  <w:r>
                    <w:rPr/>
                    <w:t>富德生命人寿保险基本情况如下：</w:t>
                  </w:r>
                </w:p>
                <w:p>
                  <w:pPr>
                    <w:pStyle w:val="BodyText"/>
                    <w:spacing w:line="240" w:lineRule="auto" w:before="123"/>
                    <w:ind w:left="523" w:right="0"/>
                    <w:jc w:val="left"/>
                  </w:pPr>
                  <w:r>
                    <w:rPr>
                      <w:rFonts w:ascii="Times New Roman" w:hAnsi="Times New Roman" w:cs="Times New Roman" w:eastAsia="Times New Roman" w:hint="default"/>
                    </w:rPr>
                    <w:t>1</w:t>
                  </w:r>
                  <w:r>
                    <w:rPr/>
                    <w:t>、公司名称：富德生命人寿保险股份有限公司</w:t>
                  </w:r>
                </w:p>
                <w:p>
                  <w:pPr>
                    <w:pStyle w:val="BodyText"/>
                    <w:spacing w:line="240" w:lineRule="auto" w:before="110"/>
                    <w:ind w:left="523" w:right="0"/>
                    <w:jc w:val="left"/>
                  </w:pPr>
                  <w:r>
                    <w:rPr>
                      <w:rFonts w:ascii="Times New Roman" w:hAnsi="Times New Roman" w:cs="Times New Roman" w:eastAsia="Times New Roman" w:hint="default"/>
                    </w:rPr>
                    <w:t>2</w:t>
                  </w:r>
                  <w:r>
                    <w:rPr/>
                    <w:t>、法定代表人：方力</w:t>
                  </w:r>
                </w:p>
                <w:p>
                  <w:pPr>
                    <w:pStyle w:val="BodyText"/>
                    <w:spacing w:line="240" w:lineRule="auto" w:before="110"/>
                    <w:ind w:left="523" w:right="0"/>
                    <w:jc w:val="left"/>
                  </w:pPr>
                  <w:r>
                    <w:rPr>
                      <w:rFonts w:ascii="Times New Roman" w:hAnsi="Times New Roman" w:cs="Times New Roman" w:eastAsia="Times New Roman" w:hint="default"/>
                    </w:rPr>
                    <w:t>3</w:t>
                  </w:r>
                  <w:r>
                    <w:rPr/>
                    <w:t>、住所：深圳市福田区福中一路</w:t>
                  </w:r>
                  <w:r>
                    <w:rPr>
                      <w:spacing w:val="-54"/>
                    </w:rPr>
                    <w:t> </w:t>
                  </w:r>
                  <w:r>
                    <w:rPr>
                      <w:rFonts w:ascii="Times New Roman" w:hAnsi="Times New Roman" w:cs="Times New Roman" w:eastAsia="Times New Roman" w:hint="default"/>
                    </w:rPr>
                    <w:t>1001</w:t>
                  </w:r>
                  <w:r>
                    <w:rPr>
                      <w:rFonts w:ascii="Times New Roman" w:hAnsi="Times New Roman" w:cs="Times New Roman" w:eastAsia="Times New Roman" w:hint="default"/>
                      <w:spacing w:val="-2"/>
                    </w:rPr>
                    <w:t> </w:t>
                  </w:r>
                  <w:r>
                    <w:rPr/>
                    <w:t>号生命保险大厦</w:t>
                  </w:r>
                  <w:r>
                    <w:rPr>
                      <w:spacing w:val="-55"/>
                    </w:rPr>
                    <w:t> </w:t>
                  </w:r>
                  <w:r>
                    <w:rPr>
                      <w:rFonts w:ascii="Times New Roman" w:hAnsi="Times New Roman" w:cs="Times New Roman" w:eastAsia="Times New Roman" w:hint="default"/>
                    </w:rPr>
                    <w:t>27</w:t>
                  </w:r>
                  <w:r>
                    <w:rPr/>
                    <w:t>、</w:t>
                  </w:r>
                  <w:r>
                    <w:rPr>
                      <w:rFonts w:ascii="Times New Roman" w:hAnsi="Times New Roman" w:cs="Times New Roman" w:eastAsia="Times New Roman" w:hint="default"/>
                    </w:rPr>
                    <w:t>28</w:t>
                  </w:r>
                  <w:r>
                    <w:rPr/>
                    <w:t>、</w:t>
                  </w:r>
                  <w:r>
                    <w:rPr>
                      <w:rFonts w:ascii="Times New Roman" w:hAnsi="Times New Roman" w:cs="Times New Roman" w:eastAsia="Times New Roman" w:hint="default"/>
                    </w:rPr>
                    <w:t>29</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层</w:t>
                  </w:r>
                </w:p>
              </w:txbxContent>
            </v:textbox>
          </v:shape>
        </w:pict>
      </w:r>
      <w:r>
        <w:rPr>
          <w:rFonts w:ascii="Microsoft JhengHei" w:hAnsi="Microsoft JhengHei" w:cs="Microsoft JhengHei" w:eastAsia="Microsoft JhengHei" w:hint="default"/>
          <w:position w:val="-47"/>
          <w:sz w:val="20"/>
          <w:szCs w:val="20"/>
        </w:rPr>
      </w:r>
    </w:p>
    <w:p>
      <w:pPr>
        <w:spacing w:after="0" w:line="2412" w:lineRule="exact"/>
        <w:rPr>
          <w:rFonts w:ascii="Microsoft JhengHei" w:hAnsi="Microsoft JhengHei" w:cs="Microsoft JhengHei" w:eastAsia="Microsoft JhengHei" w:hint="default"/>
          <w:sz w:val="20"/>
          <w:szCs w:val="20"/>
        </w:rPr>
        <w:sectPr>
          <w:pgSz w:w="11910" w:h="16840"/>
          <w:pgMar w:header="877" w:footer="1265" w:top="1100" w:bottom="1460" w:left="880" w:right="0"/>
        </w:sectPr>
      </w:pPr>
    </w:p>
    <w:p>
      <w:pPr>
        <w:spacing w:line="240" w:lineRule="auto" w:before="13"/>
        <w:rPr>
          <w:rFonts w:ascii="Microsoft JhengHei" w:hAnsi="Microsoft JhengHei" w:cs="Microsoft JhengHei" w:eastAsia="Microsoft JhengHei" w:hint="default"/>
          <w:b/>
          <w:bCs/>
          <w:sz w:val="18"/>
          <w:szCs w:val="18"/>
        </w:rPr>
      </w:pPr>
    </w:p>
    <w:p>
      <w:pPr>
        <w:spacing w:line="3212" w:lineRule="exact"/>
        <w:ind w:left="10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3"/>
          <w:sz w:val="20"/>
          <w:szCs w:val="20"/>
        </w:rPr>
        <w:pict>
          <v:shape style="width:481.55pt;height:160.65pt;mso-position-horizontal-relative:char;mso-position-vertical-relative:line" type="#_x0000_t202" filled="false" stroked="true" strokeweight=".47998pt" strokecolor="#000000">
            <w10:anchorlock/>
            <v:textbox inset="0,0,0,0">
              <w:txbxContent>
                <w:p>
                  <w:pPr>
                    <w:pStyle w:val="BodyText"/>
                    <w:spacing w:line="240" w:lineRule="auto" w:before="74"/>
                    <w:ind w:left="523" w:right="0"/>
                    <w:jc w:val="left"/>
                  </w:pPr>
                  <w:r>
                    <w:rPr>
                      <w:rFonts w:ascii="Times New Roman" w:hAnsi="Times New Roman" w:cs="Times New Roman" w:eastAsia="Times New Roman" w:hint="default"/>
                    </w:rPr>
                    <w:t>4</w:t>
                  </w:r>
                  <w:r>
                    <w:rPr/>
                    <w:t>、注册资本：</w:t>
                  </w:r>
                  <w:r>
                    <w:rPr>
                      <w:rFonts w:ascii="Times New Roman" w:hAnsi="Times New Roman" w:cs="Times New Roman" w:eastAsia="Times New Roman" w:hint="default"/>
                    </w:rPr>
                    <w:t>11,752,005,497</w:t>
                  </w:r>
                  <w:r>
                    <w:rPr>
                      <w:rFonts w:ascii="Times New Roman" w:hAnsi="Times New Roman" w:cs="Times New Roman" w:eastAsia="Times New Roman" w:hint="default"/>
                      <w:spacing w:val="-12"/>
                    </w:rPr>
                    <w:t> </w:t>
                  </w:r>
                  <w:r>
                    <w:rPr/>
                    <w:t>元人民币</w:t>
                  </w:r>
                </w:p>
                <w:p>
                  <w:pPr>
                    <w:pStyle w:val="BodyText"/>
                    <w:spacing w:line="240" w:lineRule="auto" w:before="110"/>
                    <w:ind w:left="523" w:right="0"/>
                    <w:jc w:val="left"/>
                  </w:pPr>
                  <w:r>
                    <w:rPr>
                      <w:rFonts w:ascii="Times New Roman" w:hAnsi="Times New Roman" w:cs="Times New Roman" w:eastAsia="Times New Roman" w:hint="default"/>
                    </w:rPr>
                    <w:t>5</w:t>
                  </w:r>
                  <w:r>
                    <w:rPr/>
                    <w:t>、公司类型：股份有限公司</w:t>
                  </w:r>
                </w:p>
                <w:p>
                  <w:pPr>
                    <w:pStyle w:val="BodyText"/>
                    <w:spacing w:line="240" w:lineRule="auto" w:before="110"/>
                    <w:ind w:left="523" w:right="0"/>
                    <w:jc w:val="left"/>
                  </w:pPr>
                  <w:r>
                    <w:rPr>
                      <w:rFonts w:ascii="Times New Roman" w:hAnsi="Times New Roman" w:cs="Times New Roman" w:eastAsia="Times New Roman" w:hint="default"/>
                    </w:rPr>
                    <w:t>6</w:t>
                  </w:r>
                  <w:r>
                    <w:rPr/>
                    <w:t>、设立日期：</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107"/>
                    <w:ind w:left="523"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t>、统一社会信用代码：</w:t>
                  </w:r>
                  <w:r>
                    <w:rPr>
                      <w:spacing w:val="-6"/>
                    </w:rPr>
                    <w:t> </w:t>
                  </w:r>
                  <w:r>
                    <w:rPr>
                      <w:rFonts w:ascii="Times New Roman" w:hAnsi="Times New Roman" w:cs="Times New Roman" w:eastAsia="Times New Roman" w:hint="default"/>
                    </w:rPr>
                    <w:t>91440300736677639J</w:t>
                  </w:r>
                </w:p>
                <w:p>
                  <w:pPr>
                    <w:pStyle w:val="BodyText"/>
                    <w:spacing w:line="338" w:lineRule="auto" w:before="110"/>
                    <w:ind w:left="103" w:right="99" w:firstLine="420"/>
                    <w:jc w:val="both"/>
                  </w:pPr>
                  <w:r>
                    <w:rPr>
                      <w:rFonts w:ascii="Times New Roman" w:hAnsi="Times New Roman" w:cs="Times New Roman" w:eastAsia="Times New Roman" w:hint="default"/>
                    </w:rPr>
                    <w:t>8</w:t>
                  </w:r>
                  <w:r>
                    <w:rPr/>
                    <w:t>、经营范围：个人意外伤害保险、个人定期死亡保险、个人两全寿险、个人终身寿险、个人年金</w:t>
                  </w:r>
                  <w:r>
                    <w:rPr>
                      <w:w w:val="100"/>
                    </w:rPr>
                    <w:t> </w:t>
                  </w:r>
                  <w:r>
                    <w:rPr>
                      <w:spacing w:val="-3"/>
                    </w:rPr>
                    <w:t>保险、个人短期健康保险、个人长期健康保险、团体意外伤害保险、团体定期寿险、团体终身保险、团</w:t>
                  </w:r>
                  <w:r>
                    <w:rPr>
                      <w:spacing w:val="-21"/>
                    </w:rPr>
                    <w:t> </w:t>
                  </w:r>
                  <w:r>
                    <w:rPr>
                      <w:spacing w:val="-21"/>
                    </w:rPr>
                  </w:r>
                  <w:r>
                    <w:rPr>
                      <w:spacing w:val="-3"/>
                    </w:rPr>
                    <w:t>体年金保险、团体短期健康保险、团体长期健康保险、经中国保监会批准的其它人身保险业务。上述保</w:t>
                  </w:r>
                </w:p>
                <w:p>
                  <w:pPr>
                    <w:pStyle w:val="BodyText"/>
                    <w:spacing w:line="240" w:lineRule="auto" w:before="40"/>
                    <w:ind w:left="103" w:right="0"/>
                    <w:jc w:val="left"/>
                  </w:pPr>
                  <w:r>
                    <w:rPr>
                      <w:w w:val="100"/>
                    </w:rPr>
                    <w:t>险业</w:t>
                  </w:r>
                  <w:r>
                    <w:rPr>
                      <w:spacing w:val="-3"/>
                      <w:w w:val="100"/>
                    </w:rPr>
                    <w:t>务</w:t>
                  </w:r>
                  <w:r>
                    <w:rPr>
                      <w:w w:val="100"/>
                    </w:rPr>
                    <w:t>的</w:t>
                  </w:r>
                  <w:r>
                    <w:rPr>
                      <w:spacing w:val="-3"/>
                      <w:w w:val="100"/>
                    </w:rPr>
                    <w:t>再</w:t>
                  </w:r>
                  <w:r>
                    <w:rPr>
                      <w:w w:val="100"/>
                    </w:rPr>
                    <w:t>保</w:t>
                  </w:r>
                  <w:r>
                    <w:rPr>
                      <w:spacing w:val="-3"/>
                      <w:w w:val="100"/>
                    </w:rPr>
                    <w:t>险</w:t>
                  </w:r>
                  <w:r>
                    <w:rPr>
                      <w:w w:val="100"/>
                    </w:rPr>
                    <w:t>业</w:t>
                  </w:r>
                  <w:r>
                    <w:rPr>
                      <w:spacing w:val="-3"/>
                      <w:w w:val="100"/>
                    </w:rPr>
                    <w:t>务</w:t>
                  </w:r>
                  <w:r>
                    <w:rPr>
                      <w:w w:val="100"/>
                    </w:rPr>
                    <w:t>。</w:t>
                  </w:r>
                  <w:r>
                    <w:rPr>
                      <w:spacing w:val="-3"/>
                      <w:w w:val="100"/>
                    </w:rPr>
                    <w:t>保</w:t>
                  </w:r>
                  <w:r>
                    <w:rPr>
                      <w:w w:val="100"/>
                    </w:rPr>
                    <w:t>险兼</w:t>
                  </w:r>
                  <w:r>
                    <w:rPr>
                      <w:spacing w:val="-3"/>
                      <w:w w:val="100"/>
                    </w:rPr>
                    <w:t>业</w:t>
                  </w:r>
                  <w:r>
                    <w:rPr>
                      <w:w w:val="100"/>
                    </w:rPr>
                    <w:t>代</w:t>
                  </w:r>
                  <w:r>
                    <w:rPr>
                      <w:spacing w:val="-3"/>
                      <w:w w:val="100"/>
                    </w:rPr>
                    <w:t>理</w:t>
                  </w:r>
                  <w:r>
                    <w:rPr>
                      <w:w w:val="100"/>
                    </w:rPr>
                    <w:t>业</w:t>
                  </w:r>
                  <w:r>
                    <w:rPr>
                      <w:spacing w:val="-3"/>
                      <w:w w:val="100"/>
                    </w:rPr>
                    <w:t>务</w:t>
                  </w:r>
                  <w:r>
                    <w:rPr>
                      <w:w w:val="100"/>
                    </w:rPr>
                    <w:t>（</w:t>
                  </w:r>
                  <w:r>
                    <w:rPr>
                      <w:spacing w:val="-3"/>
                      <w:w w:val="100"/>
                    </w:rPr>
                    <w:t>凭</w:t>
                  </w:r>
                  <w:r>
                    <w:rPr>
                      <w:w w:val="100"/>
                    </w:rPr>
                    <w:t>许</w:t>
                  </w:r>
                  <w:r>
                    <w:rPr>
                      <w:spacing w:val="-3"/>
                      <w:w w:val="100"/>
                    </w:rPr>
                    <w:t>可</w:t>
                  </w:r>
                  <w:r>
                    <w:rPr>
                      <w:w w:val="100"/>
                    </w:rPr>
                    <w:t>证经</w:t>
                  </w:r>
                  <w:r>
                    <w:rPr>
                      <w:spacing w:val="-3"/>
                      <w:w w:val="100"/>
                    </w:rPr>
                    <w:t>营</w:t>
                  </w:r>
                  <w:r>
                    <w:rPr>
                      <w:spacing w:val="-106"/>
                      <w:w w:val="100"/>
                    </w:rPr>
                    <w:t>）</w:t>
                  </w:r>
                  <w:r>
                    <w:rPr>
                      <w:spacing w:val="-3"/>
                      <w:w w:val="100"/>
                    </w:rPr>
                    <w:t>。</w:t>
                  </w:r>
                  <w:r>
                    <w:rPr>
                      <w:w w:val="100"/>
                    </w:rPr>
                    <w:t>经</w:t>
                  </w:r>
                  <w:r>
                    <w:rPr>
                      <w:spacing w:val="-3"/>
                      <w:w w:val="100"/>
                    </w:rPr>
                    <w:t>中</w:t>
                  </w:r>
                  <w:r>
                    <w:rPr>
                      <w:w w:val="100"/>
                    </w:rPr>
                    <w:t>国</w:t>
                  </w:r>
                  <w:r>
                    <w:rPr>
                      <w:spacing w:val="-3"/>
                      <w:w w:val="100"/>
                    </w:rPr>
                    <w:t>保</w:t>
                  </w:r>
                  <w:r>
                    <w:rPr>
                      <w:w w:val="100"/>
                    </w:rPr>
                    <w:t>监</w:t>
                  </w:r>
                  <w:r>
                    <w:rPr>
                      <w:spacing w:val="-3"/>
                      <w:w w:val="100"/>
                    </w:rPr>
                    <w:t>会批</w:t>
                  </w:r>
                  <w:r>
                    <w:rPr>
                      <w:w w:val="100"/>
                    </w:rPr>
                    <w:t>准的</w:t>
                  </w:r>
                  <w:r>
                    <w:rPr>
                      <w:spacing w:val="-3"/>
                      <w:w w:val="100"/>
                    </w:rPr>
                    <w:t>资</w:t>
                  </w:r>
                  <w:r>
                    <w:rPr>
                      <w:w w:val="100"/>
                    </w:rPr>
                    <w:t>金</w:t>
                  </w:r>
                  <w:r>
                    <w:rPr>
                      <w:spacing w:val="-3"/>
                      <w:w w:val="100"/>
                    </w:rPr>
                    <w:t>运</w:t>
                  </w:r>
                  <w:r>
                    <w:rPr>
                      <w:w w:val="100"/>
                    </w:rPr>
                    <w:t>用</w:t>
                  </w:r>
                  <w:r>
                    <w:rPr>
                      <w:spacing w:val="-3"/>
                      <w:w w:val="100"/>
                    </w:rPr>
                    <w:t>业</w:t>
                  </w:r>
                  <w:r>
                    <w:rPr>
                      <w:w w:val="100"/>
                    </w:rPr>
                    <w:t>务。</w:t>
                  </w:r>
                </w:p>
              </w:txbxContent>
            </v:textbox>
          </v:shape>
        </w:pict>
      </w:r>
      <w:r>
        <w:rPr>
          <w:rFonts w:ascii="Microsoft JhengHei" w:hAnsi="Microsoft JhengHei" w:cs="Microsoft JhengHei" w:eastAsia="Microsoft JhengHei" w:hint="default"/>
          <w:position w:val="-63"/>
          <w:sz w:val="20"/>
          <w:szCs w:val="20"/>
        </w:rPr>
      </w:r>
    </w:p>
    <w:p>
      <w:pPr>
        <w:spacing w:line="240" w:lineRule="auto" w:before="12"/>
        <w:rPr>
          <w:rFonts w:ascii="Microsoft JhengHei" w:hAnsi="Microsoft JhengHei" w:cs="Microsoft JhengHei" w:eastAsia="Microsoft JhengHei" w:hint="default"/>
          <w:b/>
          <w:bCs/>
          <w:sz w:val="27"/>
          <w:szCs w:val="27"/>
        </w:rPr>
      </w:pPr>
    </w:p>
    <w:p>
      <w:pPr>
        <w:pStyle w:val="Heading6"/>
        <w:spacing w:line="335" w:lineRule="exact"/>
        <w:ind w:left="212" w:right="111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21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65" w:top="1100" w:bottom="1460" w:left="9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9"/>
          <w:szCs w:val="29"/>
        </w:rPr>
      </w:pPr>
    </w:p>
    <w:p>
      <w:pPr>
        <w:pStyle w:val="BodyText"/>
        <w:spacing w:line="489" w:lineRule="auto"/>
        <w:ind w:left="152" w:right="6794"/>
        <w:jc w:val="left"/>
      </w:pPr>
      <w:r>
        <w:rPr>
          <w:rFonts w:ascii="Times New Roman" w:hAnsi="Times New Roman" w:cs="Times New Roman" w:eastAsia="Times New Roman" w:hint="default"/>
        </w:rPr>
        <w:t>□ </w:t>
      </w:r>
      <w:r>
        <w:rPr/>
        <w:t>适用</w:t>
      </w:r>
      <w:r>
        <w:rPr>
          <w:spacing w:val="-2"/>
        </w:rPr>
        <w:t> </w:t>
      </w:r>
      <w:r>
        <w:rPr/>
        <w:t>√</w:t>
      </w:r>
      <w:r>
        <w:rPr>
          <w:spacing w:val="-2"/>
        </w:rPr>
        <w:t> </w:t>
      </w:r>
      <w:r>
        <w:rPr/>
        <w:t>不适用</w:t>
      </w:r>
      <w:r>
        <w:rPr>
          <w:spacing w:val="-102"/>
        </w:rPr>
        <w:t> </w:t>
      </w:r>
      <w:r>
        <w:rPr>
          <w:spacing w:val="-102"/>
        </w:rPr>
      </w:r>
      <w:r>
        <w:rPr>
          <w:spacing w:val="-2"/>
        </w:rPr>
        <w:t>报告期公司不存在优先股。</w:t>
      </w:r>
    </w:p>
    <w:p>
      <w:pPr>
        <w:spacing w:after="0" w:line="489" w:lineRule="auto"/>
        <w:jc w:val="left"/>
        <w:sectPr>
          <w:pgSz w:w="11910" w:h="16840"/>
          <w:pgMar w:header="877" w:footer="1265" w:top="1100" w:bottom="1460" w:left="980" w:right="0"/>
        </w:sectPr>
      </w:pPr>
    </w:p>
    <w:p>
      <w:pPr>
        <w:pStyle w:val="Heading1"/>
        <w:spacing w:line="476" w:lineRule="exact"/>
        <w:ind w:left="4767" w:right="0"/>
        <w:jc w:val="left"/>
        <w:rPr>
          <w:b w:val="0"/>
          <w:bCs w:val="0"/>
        </w:rPr>
      </w:pPr>
      <w:r>
        <w:rPr/>
        <w:pict>
          <v:group style="position:absolute;margin-left:70.559998pt;margin-top:2.202064pt;width:700.95pt;height:.1pt;mso-position-horizontal-relative:page;mso-position-vertical-relative:paragraph;z-index:-1636792" coordorigin="1411,44" coordsize="14019,2">
            <v:shape style="position:absolute;left:1411;top:44;width:14019;height:2" coordorigin="1411,44" coordsize="14019,0" path="m1411,44l15430,44e" filled="false" stroked="true" strokeweight=".72pt" strokecolor="#000000">
              <v:path arrowok="t"/>
            </v:shape>
            <w10:wrap type="none"/>
          </v:group>
        </w:pict>
      </w: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46"/>
          <w:szCs w:val="46"/>
        </w:rPr>
      </w:pPr>
    </w:p>
    <w:p>
      <w:pPr>
        <w:pStyle w:val="Heading4"/>
        <w:spacing w:line="240" w:lineRule="auto"/>
        <w:ind w:left="1080" w:right="0"/>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0" w:type="dxa"/>
        <w:tblLayout w:type="fixed"/>
        <w:tblCellMar>
          <w:top w:w="0" w:type="dxa"/>
          <w:left w:w="0" w:type="dxa"/>
          <w:bottom w:w="0" w:type="dxa"/>
          <w:right w:w="0" w:type="dxa"/>
        </w:tblCellMar>
        <w:tblLook w:val="01E0"/>
      </w:tblPr>
      <w:tblGrid>
        <w:gridCol w:w="948"/>
        <w:gridCol w:w="2604"/>
        <w:gridCol w:w="853"/>
        <w:gridCol w:w="708"/>
        <w:gridCol w:w="710"/>
        <w:gridCol w:w="1846"/>
        <w:gridCol w:w="1841"/>
        <w:gridCol w:w="1277"/>
        <w:gridCol w:w="1277"/>
        <w:gridCol w:w="1277"/>
        <w:gridCol w:w="1277"/>
        <w:gridCol w:w="1272"/>
      </w:tblGrid>
      <w:tr>
        <w:trPr>
          <w:trHeight w:val="689"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105"/>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1"/>
              <w:ind w:left="182" w:right="95" w:hanging="92"/>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1"/>
              <w:ind w:left="182" w:right="94" w:hanging="92"/>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35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何建锋</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董事长（注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vMerge/>
            <w:tcBorders>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总裁（注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刘鲁鱼</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张志勇</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王丽娜</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 w:right="0"/>
              <w:jc w:val="center"/>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pacing w:val="90"/>
                <w:sz w:val="18"/>
                <w:szCs w:val="18"/>
              </w:rPr>
              <w:t> </w:t>
            </w:r>
            <w:r>
              <w:rPr>
                <w:rFonts w:ascii="宋体" w:hAnsi="宋体" w:cs="宋体" w:eastAsia="宋体" w:hint="default"/>
                <w:sz w:val="18"/>
                <w:szCs w:val="18"/>
              </w:rPr>
              <w:t>冰</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90"/>
                <w:sz w:val="18"/>
                <w:szCs w:val="18"/>
              </w:rPr>
              <w:t> </w:t>
            </w:r>
            <w:r>
              <w:rPr>
                <w:rFonts w:ascii="宋体" w:hAnsi="宋体" w:cs="宋体" w:eastAsia="宋体" w:hint="default"/>
                <w:sz w:val="18"/>
                <w:szCs w:val="18"/>
              </w:rPr>
              <w:t>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黄守岩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陈穗生</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董事（注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陈小华</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336,061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336,061</w:t>
            </w:r>
          </w:p>
        </w:tc>
      </w:tr>
      <w:tr>
        <w:trPr>
          <w:trHeight w:val="351" w:hRule="exact"/>
        </w:trPr>
        <w:tc>
          <w:tcPr>
            <w:tcW w:w="948" w:type="dxa"/>
            <w:vMerge/>
            <w:tcBorders>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宇</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王道海</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陈凤华</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6"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867" w:footer="1265" w:top="1060" w:bottom="1460" w:left="360" w:right="360"/>
          <w:pgNumType w:start="54"/>
        </w:sectPr>
      </w:pPr>
    </w:p>
    <w:p>
      <w:pPr>
        <w:spacing w:line="240" w:lineRule="auto" w:before="3"/>
        <w:rPr>
          <w:rFonts w:ascii="Microsoft JhengHei" w:hAnsi="Microsoft JhengHei" w:cs="Microsoft JhengHei" w:eastAsia="Microsoft JhengHei"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948"/>
        <w:gridCol w:w="2604"/>
        <w:gridCol w:w="853"/>
        <w:gridCol w:w="708"/>
        <w:gridCol w:w="710"/>
        <w:gridCol w:w="1846"/>
        <w:gridCol w:w="1841"/>
        <w:gridCol w:w="1277"/>
        <w:gridCol w:w="1277"/>
        <w:gridCol w:w="1277"/>
        <w:gridCol w:w="1277"/>
        <w:gridCol w:w="1272"/>
      </w:tblGrid>
      <w:tr>
        <w:trPr>
          <w:trHeight w:val="705" w:hRule="exact"/>
        </w:trPr>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8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62"/>
              <w:ind w:left="182" w:right="95" w:hanging="92"/>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62"/>
              <w:ind w:left="182" w:right="94" w:hanging="92"/>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7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林映文</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廖红丽</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4" w:right="0"/>
              <w:jc w:val="left"/>
              <w:rPr>
                <w:rFonts w:ascii="Times New Roman" w:hAnsi="Times New Roman" w:cs="Times New Roman" w:eastAsia="Times New Roman" w:hint="default"/>
                <w:sz w:val="18"/>
                <w:szCs w:val="18"/>
              </w:rPr>
            </w:pPr>
            <w:r>
              <w:rPr>
                <w:rFonts w:ascii="Times New Roman"/>
                <w:sz w:val="18"/>
              </w:rPr>
              <w:t>20,000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沈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4" w:right="0"/>
              <w:jc w:val="left"/>
              <w:rPr>
                <w:rFonts w:ascii="Times New Roman" w:hAnsi="Times New Roman" w:cs="Times New Roman" w:eastAsia="Times New Roman" w:hint="default"/>
                <w:sz w:val="18"/>
                <w:szCs w:val="18"/>
              </w:rPr>
            </w:pPr>
            <w:r>
              <w:rPr>
                <w:rFonts w:ascii="Times New Roman"/>
                <w:sz w:val="18"/>
              </w:rPr>
              <w:t>17,000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杜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薛 </w:t>
            </w:r>
            <w:r>
              <w:rPr>
                <w:rFonts w:ascii="宋体" w:hAnsi="宋体" w:cs="宋体" w:eastAsia="宋体" w:hint="default"/>
                <w:spacing w:val="2"/>
                <w:sz w:val="18"/>
                <w:szCs w:val="18"/>
              </w:rPr>
              <w:t> </w:t>
            </w:r>
            <w:r>
              <w:rPr>
                <w:rFonts w:ascii="宋体" w:hAnsi="宋体" w:cs="宋体" w:eastAsia="宋体" w:hint="default"/>
                <w:sz w:val="18"/>
                <w:szCs w:val="18"/>
              </w:rPr>
              <w:t>彤</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4" w:right="0"/>
              <w:jc w:val="left"/>
              <w:rPr>
                <w:rFonts w:ascii="Times New Roman" w:hAnsi="Times New Roman" w:cs="Times New Roman" w:eastAsia="Times New Roman" w:hint="default"/>
                <w:sz w:val="18"/>
                <w:szCs w:val="18"/>
              </w:rPr>
            </w:pPr>
            <w:r>
              <w:rPr>
                <w:rFonts w:ascii="Times New Roman"/>
                <w:sz w:val="18"/>
              </w:rPr>
              <w:t>19,500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江 </w:t>
            </w:r>
            <w:r>
              <w:rPr>
                <w:rFonts w:ascii="宋体" w:hAnsi="宋体" w:cs="宋体" w:eastAsia="宋体" w:hint="default"/>
                <w:spacing w:val="2"/>
                <w:sz w:val="18"/>
                <w:szCs w:val="18"/>
              </w:rPr>
              <w:t> </w:t>
            </w:r>
            <w:r>
              <w:rPr>
                <w:rFonts w:ascii="宋体" w:hAnsi="宋体" w:cs="宋体" w:eastAsia="宋体" w:hint="default"/>
                <w:sz w:val="18"/>
                <w:szCs w:val="18"/>
              </w:rPr>
              <w:t>疆</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r>
      <w:tr>
        <w:trPr>
          <w:trHeight w:val="346" w:hRule="exact"/>
        </w:trPr>
        <w:tc>
          <w:tcPr>
            <w:tcW w:w="948"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c>
          <w:tcPr>
            <w:tcW w:w="1846"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392,561</w:t>
            </w:r>
          </w:p>
        </w:tc>
        <w:tc>
          <w:tcPr>
            <w:tcW w:w="1277"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left="338" w:right="0"/>
              <w:jc w:val="left"/>
              <w:rPr>
                <w:rFonts w:ascii="Times New Roman" w:hAnsi="Times New Roman" w:cs="Times New Roman" w:eastAsia="Times New Roman" w:hint="default"/>
                <w:sz w:val="18"/>
                <w:szCs w:val="18"/>
              </w:rPr>
            </w:pPr>
            <w:r>
              <w:rPr>
                <w:rFonts w:ascii="Times New Roman"/>
                <w:sz w:val="18"/>
              </w:rPr>
              <w:t>392,561</w:t>
            </w:r>
          </w:p>
        </w:tc>
      </w:tr>
      <w:tr>
        <w:trPr>
          <w:trHeight w:val="35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蔡 </w:t>
            </w:r>
            <w:r>
              <w:rPr>
                <w:rFonts w:ascii="宋体" w:hAnsi="宋体" w:cs="宋体" w:eastAsia="宋体" w:hint="default"/>
                <w:spacing w:val="2"/>
                <w:sz w:val="18"/>
                <w:szCs w:val="18"/>
              </w:rPr>
              <w:t> </w:t>
            </w:r>
            <w:r>
              <w:rPr>
                <w:rFonts w:ascii="宋体" w:hAnsi="宋体" w:cs="宋体" w:eastAsia="宋体" w:hint="default"/>
                <w:sz w:val="18"/>
                <w:szCs w:val="18"/>
              </w:rPr>
              <w:t>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原董事长（注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11" w:space="0" w:color="E7E6E6"/>
              <w:left w:val="single" w:sz="4" w:space="0" w:color="000000"/>
              <w:bottom w:val="single" w:sz="4" w:space="0" w:color="000000"/>
              <w:right w:val="single" w:sz="4" w:space="0" w:color="000000"/>
            </w:tcBorders>
          </w:tcPr>
          <w:p>
            <w:pPr>
              <w:pStyle w:val="TableParagraph"/>
              <w:spacing w:line="240" w:lineRule="auto" w:before="99"/>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11" w:space="0" w:color="E7E6E6"/>
              <w:left w:val="single" w:sz="4" w:space="0" w:color="000000"/>
              <w:bottom w:val="single" w:sz="4" w:space="0" w:color="000000"/>
              <w:right w:val="single" w:sz="4" w:space="0" w:color="000000"/>
            </w:tcBorders>
          </w:tcPr>
          <w:p>
            <w:pPr>
              <w:pStyle w:val="TableParagraph"/>
              <w:spacing w:line="240" w:lineRule="auto" w:before="99"/>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11" w:space="0" w:color="E7E6E6"/>
              <w:left w:val="single" w:sz="4" w:space="0" w:color="000000"/>
              <w:bottom w:val="single" w:sz="4" w:space="0" w:color="000000"/>
              <w:right w:val="single" w:sz="4" w:space="0" w:color="000000"/>
            </w:tcBorders>
          </w:tcPr>
          <w:p>
            <w:pPr>
              <w:pStyle w:val="TableParagraph"/>
              <w:spacing w:line="240" w:lineRule="auto" w:before="99"/>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11" w:space="0" w:color="E7E6E6"/>
              <w:left w:val="single" w:sz="4" w:space="0" w:color="000000"/>
              <w:bottom w:val="single" w:sz="4" w:space="0" w:color="000000"/>
              <w:right w:val="single" w:sz="4" w:space="0" w:color="000000"/>
            </w:tcBorders>
          </w:tcPr>
          <w:p>
            <w:pPr>
              <w:pStyle w:val="TableParagraph"/>
              <w:spacing w:line="240" w:lineRule="auto" w:before="99"/>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11" w:space="0" w:color="E7E6E6"/>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胡翔海</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原董事、总裁（注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z w:val="18"/>
              </w:rPr>
              <w:t>1,664,636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1,664,636</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何伟民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原董事（注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原董事（注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r>
    </w:tbl>
    <w:p>
      <w:pPr>
        <w:spacing w:before="8"/>
        <w:ind w:left="108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年第三次临时股东大会审议通过，选举何建锋先生、黄明先生为公司第八届董事会董事；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日，经公司第八届董事会第十五</w:t>
      </w:r>
    </w:p>
    <w:p>
      <w:pPr>
        <w:spacing w:before="101"/>
        <w:ind w:left="1080" w:right="0" w:firstLine="0"/>
        <w:jc w:val="left"/>
        <w:rPr>
          <w:rFonts w:ascii="宋体" w:hAnsi="宋体" w:cs="宋体" w:eastAsia="宋体" w:hint="default"/>
          <w:sz w:val="18"/>
          <w:szCs w:val="18"/>
        </w:rPr>
      </w:pPr>
      <w:r>
        <w:rPr>
          <w:rFonts w:ascii="宋体" w:hAnsi="宋体" w:cs="宋体" w:eastAsia="宋体" w:hint="default"/>
          <w:sz w:val="18"/>
          <w:szCs w:val="18"/>
        </w:rPr>
        <w:t>次会议审议通过，选举何建锋先生为公司第八届董事会董事长；</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日，经公司第八届董事会第十四次会议审议通过，聘任黄明先生为公司总裁。何建锋先生、黄明先</w:t>
      </w:r>
    </w:p>
    <w:p>
      <w:pPr>
        <w:spacing w:line="338" w:lineRule="auto" w:before="101"/>
        <w:ind w:left="1080" w:right="1076" w:firstLine="0"/>
        <w:jc w:val="left"/>
        <w:rPr>
          <w:rFonts w:ascii="宋体" w:hAnsi="宋体" w:cs="宋体" w:eastAsia="宋体" w:hint="default"/>
          <w:sz w:val="18"/>
          <w:szCs w:val="18"/>
        </w:rPr>
      </w:pPr>
      <w:r>
        <w:rPr>
          <w:rFonts w:ascii="宋体" w:hAnsi="宋体" w:cs="宋体" w:eastAsia="宋体" w:hint="default"/>
          <w:sz w:val="18"/>
          <w:szCs w:val="18"/>
        </w:rPr>
        <w:t>生的任期与公司第八届董事会相</w:t>
      </w:r>
      <w:r>
        <w:rPr>
          <w:rFonts w:ascii="宋体" w:hAnsi="宋体" w:cs="宋体" w:eastAsia="宋体" w:hint="default"/>
          <w:spacing w:val="-17"/>
          <w:sz w:val="18"/>
          <w:szCs w:val="18"/>
        </w:rPr>
        <w:t>同</w:t>
      </w:r>
      <w:r>
        <w:rPr>
          <w:rFonts w:ascii="宋体" w:hAnsi="宋体" w:cs="宋体" w:eastAsia="宋体" w:hint="default"/>
          <w:sz w:val="18"/>
          <w:szCs w:val="18"/>
        </w:rPr>
        <w:t>（自相关会议审议通过之日起至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17"/>
          <w:sz w:val="18"/>
          <w:szCs w:val="18"/>
        </w:rPr>
        <w:t>在</w:t>
      </w:r>
      <w:r>
        <w:rPr>
          <w:rFonts w:ascii="宋体" w:hAnsi="宋体" w:cs="宋体" w:eastAsia="宋体" w:hint="default"/>
          <w:sz w:val="18"/>
          <w:szCs w:val="18"/>
        </w:rPr>
        <w:t>《证券时</w:t>
      </w:r>
      <w:r>
        <w:rPr>
          <w:rFonts w:ascii="宋体" w:hAnsi="宋体" w:cs="宋体" w:eastAsia="宋体" w:hint="default"/>
          <w:spacing w:val="-3"/>
          <w:sz w:val="18"/>
          <w:szCs w:val="18"/>
        </w:rPr>
        <w:t>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z w:val="18"/>
          <w:szCs w:val="18"/>
        </w:rPr>
        <w:t>《证券日报》及巨潮</w:t>
      </w:r>
      <w:r>
        <w:rPr>
          <w:rFonts w:ascii="宋体" w:hAnsi="宋体" w:cs="宋体" w:eastAsia="宋体" w:hint="default"/>
          <w:spacing w:val="2"/>
          <w:sz w:val="18"/>
          <w:szCs w:val="18"/>
        </w:rPr>
        <w:t>资</w:t>
      </w:r>
      <w:r>
        <w:rPr>
          <w:rFonts w:ascii="宋体" w:hAnsi="宋体" w:cs="宋体" w:eastAsia="宋体" w:hint="default"/>
          <w:sz w:val="18"/>
          <w:szCs w:val="18"/>
        </w:rPr>
        <w:t>讯网上的公告）</w:t>
      </w:r>
    </w:p>
    <w:p>
      <w:pPr>
        <w:spacing w:before="79"/>
        <w:ind w:left="10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年第六次临时股东大会审议通过，选举王立先生为公司第八届董事会董事，任期与公司第八届董事会相同（自公司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w:t>
      </w:r>
    </w:p>
    <w:p>
      <w:pPr>
        <w:spacing w:before="101"/>
        <w:ind w:left="1080" w:right="0" w:firstLine="0"/>
        <w:jc w:val="left"/>
        <w:rPr>
          <w:rFonts w:ascii="宋体" w:hAnsi="宋体" w:cs="宋体" w:eastAsia="宋体" w:hint="default"/>
          <w:sz w:val="18"/>
          <w:szCs w:val="18"/>
        </w:rPr>
      </w:pPr>
      <w:r>
        <w:rPr>
          <w:rFonts w:ascii="宋体" w:hAnsi="宋体" w:cs="宋体" w:eastAsia="宋体" w:hint="default"/>
          <w:sz w:val="18"/>
          <w:szCs w:val="18"/>
        </w:rPr>
        <w:t>会审议通过之日起至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刊</w:t>
      </w:r>
      <w:r>
        <w:rPr>
          <w:rFonts w:ascii="宋体" w:hAnsi="宋体" w:cs="宋体" w:eastAsia="宋体" w:hint="default"/>
          <w:sz w:val="18"/>
          <w:szCs w:val="18"/>
        </w:rPr>
        <w:t>登</w:t>
      </w:r>
      <w:r>
        <w:rPr>
          <w:rFonts w:ascii="宋体" w:hAnsi="宋体" w:cs="宋体" w:eastAsia="宋体" w:hint="default"/>
          <w:spacing w:val="-15"/>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《中国证</w:t>
      </w:r>
      <w:r>
        <w:rPr>
          <w:rFonts w:ascii="宋体" w:hAnsi="宋体" w:cs="宋体" w:eastAsia="宋体" w:hint="default"/>
          <w:spacing w:val="2"/>
          <w:sz w:val="18"/>
          <w:szCs w:val="18"/>
        </w:rPr>
        <w:t>券</w:t>
      </w: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w:t>
      </w:r>
      <w:r>
        <w:rPr>
          <w:rFonts w:ascii="宋体" w:hAnsi="宋体" w:cs="宋体" w:eastAsia="宋体" w:hint="default"/>
          <w:spacing w:val="2"/>
          <w:sz w:val="18"/>
          <w:szCs w:val="18"/>
        </w:rPr>
        <w:t>日</w:t>
      </w:r>
      <w:r>
        <w:rPr>
          <w:rFonts w:ascii="宋体" w:hAnsi="宋体" w:cs="宋体" w:eastAsia="宋体" w:hint="default"/>
          <w:sz w:val="18"/>
          <w:szCs w:val="18"/>
        </w:rPr>
        <w:t>报</w:t>
      </w:r>
      <w:r>
        <w:rPr>
          <w:rFonts w:ascii="宋体" w:hAnsi="宋体" w:cs="宋体" w:eastAsia="宋体" w:hint="default"/>
          <w:spacing w:val="-15"/>
          <w:sz w:val="18"/>
          <w:szCs w:val="18"/>
        </w:rPr>
        <w:t>》</w:t>
      </w:r>
      <w:r>
        <w:rPr>
          <w:rFonts w:ascii="宋体" w:hAnsi="宋体" w:cs="宋体" w:eastAsia="宋体" w:hint="default"/>
          <w:sz w:val="18"/>
          <w:szCs w:val="18"/>
        </w:rPr>
        <w:t>及巨潮资讯网上的公告）</w:t>
      </w:r>
    </w:p>
    <w:p>
      <w:pPr>
        <w:spacing w:before="142"/>
        <w:ind w:left="10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年第五次临时股东大会审议通过，选举陈穗生先生为公司第八届董事会董事，任期与公司第八届董事会相同（自公司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w:t>
      </w:r>
    </w:p>
    <w:p>
      <w:pPr>
        <w:spacing w:before="99"/>
        <w:ind w:left="1080" w:right="0" w:firstLine="0"/>
        <w:jc w:val="left"/>
        <w:rPr>
          <w:rFonts w:ascii="宋体" w:hAnsi="宋体" w:cs="宋体" w:eastAsia="宋体" w:hint="default"/>
          <w:sz w:val="18"/>
          <w:szCs w:val="18"/>
        </w:rPr>
      </w:pPr>
      <w:r>
        <w:rPr>
          <w:rFonts w:ascii="宋体" w:hAnsi="宋体" w:cs="宋体" w:eastAsia="宋体" w:hint="default"/>
          <w:sz w:val="18"/>
          <w:szCs w:val="18"/>
        </w:rPr>
        <w:t>大会审议通过之日起至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（详见公司于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刊登</w:t>
      </w:r>
      <w:r>
        <w:rPr>
          <w:rFonts w:ascii="宋体" w:hAnsi="宋体" w:cs="宋体" w:eastAsia="宋体" w:hint="default"/>
          <w:spacing w:val="-29"/>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《中国</w:t>
      </w:r>
      <w:r>
        <w:rPr>
          <w:rFonts w:ascii="宋体" w:hAnsi="宋体" w:cs="宋体" w:eastAsia="宋体" w:hint="default"/>
          <w:spacing w:val="2"/>
          <w:sz w:val="18"/>
          <w:szCs w:val="18"/>
        </w:rPr>
        <w:t>证</w:t>
      </w:r>
      <w:r>
        <w:rPr>
          <w:rFonts w:ascii="宋体" w:hAnsi="宋体" w:cs="宋体" w:eastAsia="宋体" w:hint="default"/>
          <w:sz w:val="18"/>
          <w:szCs w:val="18"/>
        </w:rPr>
        <w:t>券报</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《证</w:t>
      </w:r>
      <w:r>
        <w:rPr>
          <w:rFonts w:ascii="宋体" w:hAnsi="宋体" w:cs="宋体" w:eastAsia="宋体" w:hint="default"/>
          <w:spacing w:val="2"/>
          <w:sz w:val="18"/>
          <w:szCs w:val="18"/>
        </w:rPr>
        <w:t>券</w:t>
      </w:r>
      <w:r>
        <w:rPr>
          <w:rFonts w:ascii="宋体" w:hAnsi="宋体" w:cs="宋体" w:eastAsia="宋体" w:hint="default"/>
          <w:sz w:val="18"/>
          <w:szCs w:val="18"/>
        </w:rPr>
        <w:t>日报</w:t>
      </w:r>
      <w:r>
        <w:rPr>
          <w:rFonts w:ascii="宋体" w:hAnsi="宋体" w:cs="宋体" w:eastAsia="宋体" w:hint="default"/>
          <w:spacing w:val="-29"/>
          <w:sz w:val="18"/>
          <w:szCs w:val="18"/>
        </w:rPr>
        <w:t>》</w:t>
      </w:r>
      <w:r>
        <w:rPr>
          <w:rFonts w:ascii="宋体" w:hAnsi="宋体" w:cs="宋体" w:eastAsia="宋体" w:hint="default"/>
          <w:sz w:val="18"/>
          <w:szCs w:val="18"/>
        </w:rPr>
        <w:t>及巨潮资讯网上的公告）</w:t>
      </w:r>
    </w:p>
    <w:p>
      <w:pPr>
        <w:spacing w:before="142"/>
        <w:ind w:left="108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日，公司原董事长蔡颖女士和原董事、总裁胡翔海先生因组织调动，辞去公司相关职务，辞职后不再担任公司其他职务。胡翔海先生持有公司股份数量为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1,664,636</w:t>
      </w:r>
    </w:p>
    <w:p>
      <w:pPr>
        <w:spacing w:before="101"/>
        <w:ind w:left="1080" w:right="0" w:firstLine="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22"/>
          <w:sz w:val="18"/>
          <w:szCs w:val="18"/>
        </w:rPr>
        <w:t>。</w:t>
      </w:r>
      <w:r>
        <w:rPr>
          <w:rFonts w:ascii="宋体" w:hAnsi="宋体" w:cs="宋体" w:eastAsia="宋体" w:hint="default"/>
          <w:sz w:val="18"/>
          <w:szCs w:val="18"/>
        </w:rPr>
        <w:t>根</w:t>
      </w:r>
      <w:r>
        <w:rPr>
          <w:rFonts w:ascii="宋体" w:hAnsi="宋体" w:cs="宋体" w:eastAsia="宋体" w:hint="default"/>
          <w:spacing w:val="-22"/>
          <w:sz w:val="18"/>
          <w:szCs w:val="18"/>
        </w:rPr>
        <w:t>据</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《深圳证</w:t>
      </w:r>
      <w:r>
        <w:rPr>
          <w:rFonts w:ascii="宋体" w:hAnsi="宋体" w:cs="宋体" w:eastAsia="宋体" w:hint="default"/>
          <w:spacing w:val="2"/>
          <w:sz w:val="18"/>
          <w:szCs w:val="18"/>
        </w:rPr>
        <w:t>券</w:t>
      </w:r>
      <w:r>
        <w:rPr>
          <w:rFonts w:ascii="宋体" w:hAnsi="宋体" w:cs="宋体" w:eastAsia="宋体" w:hint="default"/>
          <w:sz w:val="18"/>
          <w:szCs w:val="18"/>
        </w:rPr>
        <w:t>交易所上市公司股东及董事</w:t>
      </w:r>
      <w:r>
        <w:rPr>
          <w:rFonts w:ascii="宋体" w:hAnsi="宋体" w:cs="宋体" w:eastAsia="宋体" w:hint="default"/>
          <w:spacing w:val="-22"/>
          <w:sz w:val="18"/>
          <w:szCs w:val="18"/>
        </w:rPr>
        <w:t>、</w:t>
      </w:r>
      <w:r>
        <w:rPr>
          <w:rFonts w:ascii="宋体" w:hAnsi="宋体" w:cs="宋体" w:eastAsia="宋体" w:hint="default"/>
          <w:sz w:val="18"/>
          <w:szCs w:val="18"/>
        </w:rPr>
        <w:t>监事</w:t>
      </w:r>
      <w:r>
        <w:rPr>
          <w:rFonts w:ascii="宋体" w:hAnsi="宋体" w:cs="宋体" w:eastAsia="宋体" w:hint="default"/>
          <w:spacing w:val="-22"/>
          <w:sz w:val="18"/>
          <w:szCs w:val="18"/>
        </w:rPr>
        <w:t>、</w:t>
      </w:r>
      <w:r>
        <w:rPr>
          <w:rFonts w:ascii="宋体" w:hAnsi="宋体" w:cs="宋体" w:eastAsia="宋体" w:hint="default"/>
          <w:sz w:val="18"/>
          <w:szCs w:val="18"/>
        </w:rPr>
        <w:t>高级管理人员减持股份实施细则</w:t>
      </w:r>
      <w:r>
        <w:rPr>
          <w:rFonts w:ascii="宋体" w:hAnsi="宋体" w:cs="宋体" w:eastAsia="宋体" w:hint="default"/>
          <w:spacing w:val="-22"/>
          <w:sz w:val="18"/>
          <w:szCs w:val="18"/>
        </w:rPr>
        <w:t>》</w:t>
      </w:r>
      <w:r>
        <w:rPr>
          <w:rFonts w:ascii="宋体" w:hAnsi="宋体" w:cs="宋体" w:eastAsia="宋体" w:hint="default"/>
          <w:sz w:val="18"/>
          <w:szCs w:val="18"/>
        </w:rPr>
        <w:t>等相关规定</w:t>
      </w:r>
      <w:r>
        <w:rPr>
          <w:rFonts w:ascii="宋体" w:hAnsi="宋体" w:cs="宋体" w:eastAsia="宋体" w:hint="default"/>
          <w:spacing w:val="-22"/>
          <w:sz w:val="18"/>
          <w:szCs w:val="18"/>
        </w:rPr>
        <w:t>，</w:t>
      </w:r>
      <w:r>
        <w:rPr>
          <w:rFonts w:ascii="宋体" w:hAnsi="宋体" w:cs="宋体" w:eastAsia="宋体" w:hint="default"/>
          <w:sz w:val="18"/>
          <w:szCs w:val="18"/>
        </w:rPr>
        <w:t>胡翔海先生承诺</w:t>
      </w:r>
      <w:r>
        <w:rPr>
          <w:rFonts w:ascii="宋体" w:hAnsi="宋体" w:cs="宋体" w:eastAsia="宋体" w:hint="default"/>
          <w:spacing w:val="-22"/>
          <w:sz w:val="18"/>
          <w:szCs w:val="18"/>
        </w:rPr>
        <w:t>：</w:t>
      </w:r>
      <w:r>
        <w:rPr>
          <w:rFonts w:ascii="宋体" w:hAnsi="宋体" w:cs="宋体" w:eastAsia="宋体" w:hint="default"/>
          <w:sz w:val="18"/>
          <w:szCs w:val="18"/>
        </w:rPr>
        <w:t>在离职后半年内不转让其所持有的公司股份；</w:t>
      </w:r>
    </w:p>
    <w:p>
      <w:pPr>
        <w:spacing w:before="153"/>
        <w:ind w:left="108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3"/>
          <w:sz w:val="18"/>
          <w:szCs w:val="18"/>
        </w:rPr>
        <w:t>前</w:t>
      </w:r>
      <w:r>
        <w:rPr>
          <w:rFonts w:ascii="宋体" w:hAnsi="宋体" w:cs="宋体" w:eastAsia="宋体" w:hint="default"/>
          <w:sz w:val="18"/>
          <w:szCs w:val="18"/>
        </w:rPr>
        <w:t>（原任</w:t>
      </w:r>
      <w:r>
        <w:rPr>
          <w:rFonts w:ascii="宋体" w:hAnsi="宋体" w:cs="宋体" w:eastAsia="宋体" w:hint="default"/>
          <w:spacing w:val="-3"/>
          <w:sz w:val="18"/>
          <w:szCs w:val="18"/>
        </w:rPr>
        <w:t>期</w:t>
      </w:r>
      <w:r>
        <w:rPr>
          <w:rFonts w:ascii="宋体" w:hAnsi="宋体" w:cs="宋体" w:eastAsia="宋体" w:hint="default"/>
          <w:sz w:val="18"/>
          <w:szCs w:val="18"/>
        </w:rPr>
        <w:t>内及任期届满后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pacing w:val="-3"/>
          <w:sz w:val="18"/>
          <w:szCs w:val="18"/>
        </w:rPr>
        <w:t>每</w:t>
      </w:r>
      <w:r>
        <w:rPr>
          <w:rFonts w:ascii="宋体" w:hAnsi="宋体" w:cs="宋体" w:eastAsia="宋体" w:hint="default"/>
          <w:sz w:val="18"/>
          <w:szCs w:val="18"/>
        </w:rPr>
        <w:t>年转让股份不超过其所持有公司股份总数的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（详见公</w:t>
      </w:r>
      <w:r>
        <w:rPr>
          <w:rFonts w:ascii="宋体" w:hAnsi="宋体" w:cs="宋体" w:eastAsia="宋体" w:hint="default"/>
          <w:spacing w:val="-3"/>
          <w:sz w:val="18"/>
          <w:szCs w:val="18"/>
        </w:rPr>
        <w:t>司</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13"/>
          <w:sz w:val="18"/>
          <w:szCs w:val="18"/>
        </w:rPr>
        <w:t>在</w:t>
      </w:r>
      <w:r>
        <w:rPr>
          <w:rFonts w:ascii="宋体" w:hAnsi="宋体" w:cs="宋体" w:eastAsia="宋体" w:hint="default"/>
          <w:sz w:val="18"/>
          <w:szCs w:val="18"/>
        </w:rPr>
        <w:t>《</w:t>
      </w:r>
      <w:r>
        <w:rPr>
          <w:rFonts w:ascii="宋体" w:hAnsi="宋体" w:cs="宋体" w:eastAsia="宋体" w:hint="default"/>
          <w:spacing w:val="-3"/>
          <w:sz w:val="18"/>
          <w:szCs w:val="18"/>
        </w:rPr>
        <w:t>证</w:t>
      </w:r>
      <w:r>
        <w:rPr>
          <w:rFonts w:ascii="宋体" w:hAnsi="宋体" w:cs="宋体" w:eastAsia="宋体" w:hint="default"/>
          <w:sz w:val="18"/>
          <w:szCs w:val="18"/>
        </w:rPr>
        <w:t>券时报</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101"/>
        <w:ind w:left="1080" w:right="0" w:firstLine="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2"/>
          <w:sz w:val="18"/>
          <w:szCs w:val="18"/>
        </w:rPr>
        <w:t>》</w:t>
      </w:r>
      <w:r>
        <w:rPr>
          <w:rFonts w:ascii="宋体" w:hAnsi="宋体" w:cs="宋体" w:eastAsia="宋体" w:hint="default"/>
          <w:sz w:val="18"/>
          <w:szCs w:val="18"/>
        </w:rPr>
        <w:t>及巨潮资讯网上的公告）</w:t>
      </w:r>
    </w:p>
    <w:p>
      <w:pPr>
        <w:spacing w:after="0"/>
        <w:jc w:val="left"/>
        <w:rPr>
          <w:rFonts w:ascii="宋体" w:hAnsi="宋体" w:cs="宋体" w:eastAsia="宋体" w:hint="default"/>
          <w:sz w:val="18"/>
          <w:szCs w:val="18"/>
        </w:rPr>
        <w:sectPr>
          <w:pgSz w:w="16840" w:h="11910" w:orient="landscape"/>
          <w:pgMar w:header="867" w:footer="1265" w:top="1060" w:bottom="1460" w:left="360" w:right="36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338" w:lineRule="auto" w:before="0"/>
        <w:ind w:left="140" w:right="13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5"/>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原</w:t>
      </w:r>
      <w:r>
        <w:rPr>
          <w:rFonts w:ascii="宋体" w:hAnsi="宋体" w:cs="宋体" w:eastAsia="宋体" w:hint="default"/>
          <w:sz w:val="18"/>
          <w:szCs w:val="18"/>
        </w:rPr>
        <w:t>董事何伟民先生因到退休年龄</w:t>
      </w:r>
      <w:r>
        <w:rPr>
          <w:rFonts w:ascii="宋体" w:hAnsi="宋体" w:cs="宋体" w:eastAsia="宋体" w:hint="default"/>
          <w:spacing w:val="-5"/>
          <w:sz w:val="18"/>
          <w:szCs w:val="18"/>
        </w:rPr>
        <w:t>，</w:t>
      </w:r>
      <w:r>
        <w:rPr>
          <w:rFonts w:ascii="宋体" w:hAnsi="宋体" w:cs="宋体" w:eastAsia="宋体" w:hint="default"/>
          <w:sz w:val="18"/>
          <w:szCs w:val="18"/>
        </w:rPr>
        <w:t>辞去公司相关职务</w:t>
      </w:r>
      <w:r>
        <w:rPr>
          <w:rFonts w:ascii="宋体" w:hAnsi="宋体" w:cs="宋体" w:eastAsia="宋体" w:hint="default"/>
          <w:spacing w:val="-5"/>
          <w:sz w:val="18"/>
          <w:szCs w:val="18"/>
        </w:rPr>
        <w:t>，</w:t>
      </w:r>
      <w:r>
        <w:rPr>
          <w:rFonts w:ascii="宋体" w:hAnsi="宋体" w:cs="宋体" w:eastAsia="宋体" w:hint="default"/>
          <w:sz w:val="18"/>
          <w:szCs w:val="18"/>
        </w:rPr>
        <w:t>辞职后不再担任公司其他职务</w:t>
      </w:r>
      <w:r>
        <w:rPr>
          <w:rFonts w:ascii="宋体" w:hAnsi="宋体" w:cs="宋体" w:eastAsia="宋体" w:hint="default"/>
          <w:spacing w:val="-96"/>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r>
        <w:rPr>
          <w:rFonts w:ascii="宋体" w:hAnsi="宋体" w:cs="宋体" w:eastAsia="宋体" w:hint="default"/>
          <w:spacing w:val="-3"/>
          <w:sz w:val="18"/>
          <w:szCs w:val="18"/>
        </w:rPr>
        <w:t>登</w:t>
      </w:r>
      <w:r>
        <w:rPr>
          <w:rFonts w:ascii="宋体" w:hAnsi="宋体" w:cs="宋体" w:eastAsia="宋体" w:hint="default"/>
          <w:spacing w:val="-5"/>
          <w:sz w:val="18"/>
          <w:szCs w:val="18"/>
        </w:rPr>
        <w:t>在</w:t>
      </w:r>
      <w:r>
        <w:rPr>
          <w:rFonts w:ascii="宋体" w:hAnsi="宋体" w:cs="宋体" w:eastAsia="宋体" w:hint="default"/>
          <w:sz w:val="18"/>
          <w:szCs w:val="18"/>
        </w:rPr>
        <w:t>《证券时报</w:t>
      </w:r>
      <w:r>
        <w:rPr>
          <w:rFonts w:ascii="宋体" w:hAnsi="宋体" w:cs="宋体" w:eastAsia="宋体" w:hint="default"/>
          <w:spacing w:val="-91"/>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《中国证券</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《证券</w:t>
      </w:r>
      <w:r>
        <w:rPr>
          <w:rFonts w:ascii="宋体" w:hAnsi="宋体" w:cs="宋体" w:eastAsia="宋体" w:hint="default"/>
          <w:spacing w:val="2"/>
          <w:sz w:val="18"/>
          <w:szCs w:val="18"/>
        </w:rPr>
        <w:t>日</w:t>
      </w:r>
      <w:r>
        <w:rPr>
          <w:rFonts w:ascii="宋体" w:hAnsi="宋体" w:cs="宋体" w:eastAsia="宋体" w:hint="default"/>
          <w:sz w:val="18"/>
          <w:szCs w:val="18"/>
        </w:rPr>
        <w:t>报》及巨潮资讯网上的公告）</w:t>
      </w:r>
    </w:p>
    <w:p>
      <w:pPr>
        <w:spacing w:line="338" w:lineRule="auto" w:before="82"/>
        <w:ind w:left="140" w:right="131"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27"/>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7"/>
          <w:sz w:val="18"/>
          <w:szCs w:val="18"/>
        </w:rPr>
        <w:t>，</w:t>
      </w:r>
      <w:r>
        <w:rPr>
          <w:rFonts w:ascii="宋体" w:hAnsi="宋体" w:cs="宋体" w:eastAsia="宋体" w:hint="default"/>
          <w:sz w:val="18"/>
          <w:szCs w:val="18"/>
        </w:rPr>
        <w:t>公司原</w:t>
      </w:r>
      <w:r>
        <w:rPr>
          <w:rFonts w:ascii="宋体" w:hAnsi="宋体" w:cs="宋体" w:eastAsia="宋体" w:hint="default"/>
          <w:spacing w:val="-3"/>
          <w:sz w:val="18"/>
          <w:szCs w:val="18"/>
        </w:rPr>
        <w:t>董</w:t>
      </w:r>
      <w:r>
        <w:rPr>
          <w:rFonts w:ascii="宋体" w:hAnsi="宋体" w:cs="宋体" w:eastAsia="宋体" w:hint="default"/>
          <w:sz w:val="18"/>
          <w:szCs w:val="18"/>
        </w:rPr>
        <w:t>事周文先生因工作调动</w:t>
      </w:r>
      <w:r>
        <w:rPr>
          <w:rFonts w:ascii="宋体" w:hAnsi="宋体" w:cs="宋体" w:eastAsia="宋体" w:hint="default"/>
          <w:spacing w:val="-27"/>
          <w:sz w:val="18"/>
          <w:szCs w:val="18"/>
        </w:rPr>
        <w:t>，</w:t>
      </w:r>
      <w:r>
        <w:rPr>
          <w:rFonts w:ascii="宋体" w:hAnsi="宋体" w:cs="宋体" w:eastAsia="宋体" w:hint="default"/>
          <w:sz w:val="18"/>
          <w:szCs w:val="18"/>
        </w:rPr>
        <w:t>辞去公司相关职务</w:t>
      </w:r>
      <w:r>
        <w:rPr>
          <w:rFonts w:ascii="宋体" w:hAnsi="宋体" w:cs="宋体" w:eastAsia="宋体" w:hint="default"/>
          <w:spacing w:val="-27"/>
          <w:sz w:val="18"/>
          <w:szCs w:val="18"/>
        </w:rPr>
        <w:t>，</w:t>
      </w:r>
      <w:r>
        <w:rPr>
          <w:rFonts w:ascii="宋体" w:hAnsi="宋体" w:cs="宋体" w:eastAsia="宋体" w:hint="default"/>
          <w:sz w:val="18"/>
          <w:szCs w:val="18"/>
        </w:rPr>
        <w:t>辞职后不再担任公司其他职务</w:t>
      </w:r>
      <w:r>
        <w:rPr>
          <w:rFonts w:ascii="宋体" w:hAnsi="宋体" w:cs="宋体" w:eastAsia="宋体" w:hint="default"/>
          <w:spacing w:val="-118"/>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27"/>
          <w:sz w:val="18"/>
          <w:szCs w:val="18"/>
        </w:rPr>
        <w:t>在</w:t>
      </w:r>
      <w:r>
        <w:rPr>
          <w:rFonts w:ascii="宋体" w:hAnsi="宋体" w:cs="宋体" w:eastAsia="宋体" w:hint="default"/>
          <w:sz w:val="18"/>
          <w:szCs w:val="18"/>
        </w:rPr>
        <w:t>《证</w:t>
      </w:r>
      <w:r>
        <w:rPr>
          <w:rFonts w:ascii="宋体" w:hAnsi="宋体" w:cs="宋体" w:eastAsia="宋体" w:hint="default"/>
          <w:spacing w:val="-3"/>
          <w:sz w:val="18"/>
          <w:szCs w:val="18"/>
        </w:rPr>
        <w:t>券</w:t>
      </w:r>
      <w:r>
        <w:rPr>
          <w:rFonts w:ascii="宋体" w:hAnsi="宋体" w:cs="宋体" w:eastAsia="宋体" w:hint="default"/>
          <w:sz w:val="18"/>
          <w:szCs w:val="18"/>
        </w:rPr>
        <w:t>时报</w:t>
      </w:r>
      <w:r>
        <w:rPr>
          <w:rFonts w:ascii="宋体" w:hAnsi="宋体" w:cs="宋体" w:eastAsia="宋体" w:hint="default"/>
          <w:spacing w:val="-92"/>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《上</w:t>
      </w:r>
      <w:r>
        <w:rPr>
          <w:rFonts w:ascii="宋体" w:hAnsi="宋体" w:cs="宋体" w:eastAsia="宋体" w:hint="default"/>
          <w:sz w:val="18"/>
          <w:szCs w:val="18"/>
        </w:rPr>
        <w:t> 海证券报</w:t>
      </w:r>
      <w:r>
        <w:rPr>
          <w:rFonts w:ascii="宋体" w:hAnsi="宋体" w:cs="宋体" w:eastAsia="宋体" w:hint="default"/>
          <w:spacing w:val="-92"/>
          <w:sz w:val="18"/>
          <w:szCs w:val="18"/>
        </w:rPr>
        <w:t>》、</w:t>
      </w:r>
      <w:r>
        <w:rPr>
          <w:rFonts w:ascii="宋体" w:hAnsi="宋体" w:cs="宋体" w:eastAsia="宋体" w:hint="default"/>
          <w:sz w:val="18"/>
          <w:szCs w:val="18"/>
        </w:rPr>
        <w:t>《证券日报》及</w:t>
      </w:r>
      <w:r>
        <w:rPr>
          <w:rFonts w:ascii="宋体" w:hAnsi="宋体" w:cs="宋体" w:eastAsia="宋体" w:hint="default"/>
          <w:spacing w:val="2"/>
          <w:sz w:val="18"/>
          <w:szCs w:val="18"/>
        </w:rPr>
        <w:t>巨</w:t>
      </w:r>
      <w:r>
        <w:rPr>
          <w:rFonts w:ascii="宋体" w:hAnsi="宋体" w:cs="宋体" w:eastAsia="宋体" w:hint="default"/>
          <w:sz w:val="18"/>
          <w:szCs w:val="18"/>
        </w:rPr>
        <w:t>潮资讯网上的公告）</w:t>
      </w:r>
    </w:p>
    <w:p>
      <w:pPr>
        <w:spacing w:before="79"/>
        <w:ind w:left="140" w:right="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、上述任期起始日期如为连任的从首次上任起算。</w:t>
      </w:r>
    </w:p>
    <w:p>
      <w:pPr>
        <w:spacing w:after="0"/>
        <w:jc w:val="left"/>
        <w:rPr>
          <w:rFonts w:ascii="宋体" w:hAnsi="宋体" w:cs="宋体" w:eastAsia="宋体" w:hint="default"/>
          <w:sz w:val="18"/>
          <w:szCs w:val="18"/>
        </w:rPr>
        <w:sectPr>
          <w:pgSz w:w="16840" w:h="11910" w:orient="landscape"/>
          <w:pgMar w:header="867" w:footer="1265" w:top="1060" w:bottom="1460" w:left="1300" w:right="1300"/>
        </w:sectPr>
      </w:pPr>
    </w:p>
    <w:p>
      <w:pPr>
        <w:spacing w:line="240" w:lineRule="auto" w:before="13"/>
        <w:rPr>
          <w:rFonts w:ascii="宋体" w:hAnsi="宋体" w:cs="宋体" w:eastAsia="宋体" w:hint="default"/>
          <w:sz w:val="22"/>
          <w:szCs w:val="22"/>
        </w:rPr>
      </w:pPr>
    </w:p>
    <w:p>
      <w:pPr>
        <w:pStyle w:val="Heading4"/>
        <w:spacing w:line="367" w:lineRule="exact"/>
        <w:ind w:left="138" w:right="1675"/>
        <w:jc w:val="left"/>
        <w:rPr>
          <w:b w:val="0"/>
          <w:bCs w:val="0"/>
        </w:rPr>
      </w:pPr>
      <w:r>
        <w:rPr/>
        <w:t>二、公司董事、监事、高级管理人员变动情况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1164"/>
        <w:gridCol w:w="1309"/>
        <w:gridCol w:w="970"/>
        <w:gridCol w:w="2093"/>
        <w:gridCol w:w="2813"/>
      </w:tblGrid>
      <w:tr>
        <w:trPr>
          <w:trHeight w:val="487"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日期</w:t>
            </w:r>
          </w:p>
        </w:tc>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8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何建锋</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新任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股东大会、董事会选举产生</w:t>
            </w:r>
          </w:p>
        </w:tc>
      </w:tr>
      <w:tr>
        <w:trPr>
          <w:trHeight w:val="490"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新任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股东大会选举产生</w:t>
            </w:r>
          </w:p>
        </w:tc>
      </w:tr>
      <w:tr>
        <w:trPr>
          <w:trHeight w:val="487" w:hRule="exact"/>
        </w:trPr>
        <w:tc>
          <w:tcPr>
            <w:tcW w:w="1164" w:type="dxa"/>
            <w:vMerge/>
            <w:tcBorders>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总裁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新任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8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新任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股东大会选举产生</w:t>
            </w:r>
          </w:p>
        </w:tc>
      </w:tr>
      <w:tr>
        <w:trPr>
          <w:trHeight w:val="49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陈穗生</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新任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股东大会选举产生</w:t>
            </w:r>
          </w:p>
        </w:tc>
      </w:tr>
      <w:tr>
        <w:trPr>
          <w:trHeight w:val="48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蔡 </w:t>
            </w:r>
            <w:r>
              <w:rPr>
                <w:rFonts w:ascii="宋体" w:hAnsi="宋体" w:cs="宋体" w:eastAsia="宋体" w:hint="default"/>
                <w:spacing w:val="2"/>
                <w:sz w:val="18"/>
                <w:szCs w:val="18"/>
              </w:rPr>
              <w:t> </w:t>
            </w:r>
            <w:r>
              <w:rPr>
                <w:rFonts w:ascii="宋体" w:hAnsi="宋体" w:cs="宋体" w:eastAsia="宋体" w:hint="default"/>
                <w:sz w:val="18"/>
                <w:szCs w:val="18"/>
              </w:rPr>
              <w:t>颖</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原董事长</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组织调动</w:t>
            </w:r>
          </w:p>
        </w:tc>
      </w:tr>
      <w:tr>
        <w:trPr>
          <w:trHeight w:val="48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胡翔海</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原董事、总裁</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组织调动</w:t>
            </w:r>
          </w:p>
        </w:tc>
      </w:tr>
      <w:tr>
        <w:trPr>
          <w:trHeight w:val="49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何伟民</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原董事</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到退休年龄</w:t>
            </w:r>
          </w:p>
        </w:tc>
      </w:tr>
      <w:tr>
        <w:trPr>
          <w:trHeight w:val="48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原董事</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工作调动</w:t>
            </w:r>
          </w:p>
        </w:tc>
      </w:tr>
    </w:tbl>
    <w:p>
      <w:pPr>
        <w:spacing w:line="405" w:lineRule="auto" w:before="51"/>
        <w:ind w:left="138" w:right="1675" w:firstLine="0"/>
        <w:jc w:val="left"/>
        <w:rPr>
          <w:rFonts w:ascii="宋体" w:hAnsi="宋体" w:cs="宋体" w:eastAsia="宋体" w:hint="default"/>
          <w:sz w:val="18"/>
          <w:szCs w:val="18"/>
        </w:rPr>
      </w:pPr>
      <w:r>
        <w:rPr>
          <w:rFonts w:ascii="宋体" w:hAnsi="宋体" w:cs="宋体" w:eastAsia="宋体" w:hint="default"/>
          <w:sz w:val="18"/>
          <w:szCs w:val="18"/>
        </w:rPr>
        <w:t>注：公司董事、监事、高级管理人员变动情况详见第八节董事、监事、高级管理人员和员工情况</w:t>
      </w:r>
      <w:r>
        <w:rPr>
          <w:rFonts w:ascii="宋体" w:hAnsi="宋体" w:cs="宋体" w:eastAsia="宋体" w:hint="default"/>
          <w:spacing w:val="27"/>
          <w:sz w:val="18"/>
          <w:szCs w:val="18"/>
        </w:rPr>
        <w:t> </w:t>
      </w:r>
      <w:r>
        <w:rPr>
          <w:rFonts w:ascii="宋体" w:hAnsi="宋体" w:cs="宋体" w:eastAsia="宋体" w:hint="default"/>
          <w:sz w:val="18"/>
          <w:szCs w:val="18"/>
        </w:rPr>
        <w:t>一、董</w:t>
      </w:r>
      <w:r>
        <w:rPr>
          <w:rFonts w:ascii="宋体" w:hAnsi="宋体" w:cs="宋体" w:eastAsia="宋体" w:hint="default"/>
          <w:sz w:val="18"/>
          <w:szCs w:val="18"/>
        </w:rPr>
        <w:t> 事、监事和高级管理人员持股变动 </w:t>
      </w:r>
      <w:r>
        <w:rPr>
          <w:rFonts w:ascii="宋体" w:hAnsi="宋体" w:cs="宋体" w:eastAsia="宋体" w:hint="default"/>
          <w:spacing w:val="2"/>
          <w:sz w:val="18"/>
          <w:szCs w:val="18"/>
        </w:rPr>
        <w:t> </w:t>
      </w:r>
      <w:r>
        <w:rPr>
          <w:rFonts w:ascii="宋体" w:hAnsi="宋体" w:cs="宋体" w:eastAsia="宋体" w:hint="default"/>
          <w:sz w:val="18"/>
          <w:szCs w:val="18"/>
        </w:rPr>
        <w:t>注释。</w:t>
      </w:r>
    </w:p>
    <w:p>
      <w:pPr>
        <w:spacing w:line="240" w:lineRule="auto" w:before="4"/>
        <w:rPr>
          <w:rFonts w:ascii="宋体" w:hAnsi="宋体" w:cs="宋体" w:eastAsia="宋体" w:hint="default"/>
          <w:sz w:val="16"/>
          <w:szCs w:val="16"/>
        </w:rPr>
      </w:pPr>
    </w:p>
    <w:p>
      <w:pPr>
        <w:pStyle w:val="Heading4"/>
        <w:spacing w:line="240" w:lineRule="auto"/>
        <w:ind w:left="138" w:right="1675"/>
        <w:jc w:val="left"/>
        <w:rPr>
          <w:b w:val="0"/>
          <w:bCs w:val="0"/>
        </w:rPr>
      </w:pPr>
      <w:r>
        <w:rPr/>
        <w:t>三、任职情况</w:t>
      </w:r>
      <w:r>
        <w:rPr>
          <w:b w:val="0"/>
          <w:bCs w:val="0"/>
        </w:rPr>
      </w:r>
    </w:p>
    <w:p>
      <w:pPr>
        <w:spacing w:line="240" w:lineRule="auto" w:before="17"/>
        <w:rPr>
          <w:rFonts w:ascii="Microsoft JhengHei" w:hAnsi="Microsoft JhengHei" w:cs="Microsoft JhengHei" w:eastAsia="Microsoft JhengHei" w:hint="default"/>
          <w:b/>
          <w:bCs/>
          <w:sz w:val="23"/>
          <w:szCs w:val="23"/>
        </w:rPr>
      </w:pPr>
    </w:p>
    <w:p>
      <w:pPr>
        <w:pStyle w:val="Heading6"/>
        <w:spacing w:line="240" w:lineRule="auto"/>
        <w:ind w:left="138" w:right="1675"/>
        <w:jc w:val="left"/>
        <w:rPr>
          <w:b w:val="0"/>
          <w:bCs w:val="0"/>
        </w:rPr>
      </w:pPr>
      <w:r>
        <w:rPr/>
        <w:t>现任董事、监事、高级管理人员情况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6"/>
        <w:spacing w:line="240" w:lineRule="auto"/>
        <w:ind w:left="138" w:right="1675"/>
        <w:jc w:val="left"/>
        <w:rPr>
          <w:b w:val="0"/>
          <w:bCs w:val="0"/>
        </w:rPr>
      </w:pPr>
      <w:r>
        <w:rPr/>
        <w:t>（一）董事简介</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343" w:lineRule="auto" w:before="0"/>
        <w:ind w:left="138" w:right="1675"/>
        <w:jc w:val="left"/>
      </w:pPr>
      <w:r>
        <w:rPr>
          <w:rFonts w:ascii="Times New Roman" w:hAnsi="Times New Roman" w:cs="Times New Roman" w:eastAsia="Times New Roman" w:hint="default"/>
        </w:rPr>
        <w:t>1</w:t>
      </w:r>
      <w:r>
        <w:rPr/>
        <w:t>、何建锋先生，</w:t>
      </w:r>
      <w:r>
        <w:rPr>
          <w:rFonts w:ascii="Times New Roman" w:hAnsi="Times New Roman" w:cs="Times New Roman" w:eastAsia="Times New Roman" w:hint="default"/>
        </w:rPr>
        <w:t>1971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月出生，本科学历，高级经济师、律师，曾任深圳市国资办集</w:t>
      </w:r>
      <w:r>
        <w:rPr>
          <w:w w:val="100"/>
        </w:rPr>
        <w:t> </w:t>
      </w:r>
      <w:r>
        <w:rPr>
          <w:spacing w:val="-7"/>
        </w:rPr>
        <w:t>体资产管理处（党办）副处长，深圳市国资委企业改革处副处长、监督稽查处副处长、处长、</w:t>
      </w:r>
      <w:r>
        <w:rPr>
          <w:spacing w:val="-18"/>
        </w:rPr>
        <w:t> </w:t>
      </w:r>
      <w:r>
        <w:rPr>
          <w:spacing w:val="-18"/>
        </w:rPr>
      </w:r>
      <w:r>
        <w:rPr>
          <w:spacing w:val="-4"/>
        </w:rPr>
        <w:t>企业一处处长、综合规划处处长、深圳市国资局政策法规处（集体企业工作处）处长，深圳</w:t>
      </w:r>
      <w:r>
        <w:rPr>
          <w:spacing w:val="-45"/>
        </w:rPr>
        <w:t> </w:t>
      </w:r>
      <w:r>
        <w:rPr>
          <w:spacing w:val="-45"/>
        </w:rPr>
      </w:r>
      <w:r>
        <w:rPr>
          <w:spacing w:val="-4"/>
        </w:rPr>
        <w:t>市特区建设发展集团有限公司副总经理，深圳市国资委总经济师、党委委员。现任公司党委</w:t>
      </w:r>
      <w:r>
        <w:rPr>
          <w:spacing w:val="-44"/>
        </w:rPr>
        <w:t> </w:t>
      </w:r>
      <w:r>
        <w:rPr>
          <w:spacing w:val="-44"/>
        </w:rPr>
      </w:r>
      <w:r>
        <w:rPr/>
        <w:t>书记、董事长。</w:t>
      </w:r>
    </w:p>
    <w:p>
      <w:pPr>
        <w:pStyle w:val="BodyText"/>
        <w:spacing w:line="328" w:lineRule="auto" w:before="33"/>
        <w:ind w:left="138" w:right="1675"/>
        <w:jc w:val="left"/>
      </w:pPr>
      <w:r>
        <w:rPr>
          <w:rFonts w:ascii="Times New Roman" w:hAnsi="Times New Roman" w:cs="Times New Roman" w:eastAsia="Times New Roman" w:hint="default"/>
          <w:spacing w:val="-3"/>
        </w:rPr>
        <w:t>2</w:t>
      </w:r>
      <w:r>
        <w:rPr>
          <w:spacing w:val="-3"/>
        </w:rPr>
        <w:t>、黄明先生，</w:t>
      </w:r>
      <w:r>
        <w:rPr>
          <w:rFonts w:ascii="Times New Roman" w:hAnsi="Times New Roman" w:cs="Times New Roman" w:eastAsia="Times New Roman" w:hint="default"/>
          <w:spacing w:val="-3"/>
        </w:rPr>
        <w:t>1962 </w:t>
      </w:r>
      <w:r>
        <w:rPr/>
        <w:t>年 </w:t>
      </w:r>
      <w:r>
        <w:rPr>
          <w:rFonts w:ascii="Times New Roman" w:hAnsi="Times New Roman" w:cs="Times New Roman" w:eastAsia="Times New Roman" w:hint="default"/>
        </w:rPr>
        <w:t>5 </w:t>
      </w:r>
      <w:r>
        <w:rPr>
          <w:spacing w:val="-3"/>
        </w:rPr>
        <w:t>月出生，本科学历，行政管理、经济学专业，曾任深圳市粮食集团</w:t>
      </w:r>
      <w:r>
        <w:rPr>
          <w:spacing w:val="-81"/>
        </w:rPr>
        <w:t> </w:t>
      </w:r>
      <w:r>
        <w:rPr>
          <w:spacing w:val="-81"/>
        </w:rPr>
      </w:r>
      <w:r>
        <w:rPr/>
        <w:t>有限公司董事、总经理、党委副书记。现任公司总裁、党委副书记。</w:t>
      </w:r>
    </w:p>
    <w:p>
      <w:pPr>
        <w:pStyle w:val="BodyText"/>
        <w:spacing w:line="333" w:lineRule="auto" w:before="86"/>
        <w:ind w:left="138" w:right="1788"/>
        <w:jc w:val="both"/>
      </w:pPr>
      <w:r>
        <w:rPr>
          <w:rFonts w:ascii="Times New Roman" w:hAnsi="Times New Roman" w:cs="Times New Roman" w:eastAsia="Times New Roman" w:hint="default"/>
          <w:spacing w:val="-3"/>
        </w:rPr>
        <w:t>3</w:t>
      </w:r>
      <w:r>
        <w:rPr>
          <w:spacing w:val="-3"/>
        </w:rPr>
        <w:t>、刘鲁鱼先生，</w:t>
      </w:r>
      <w:r>
        <w:rPr>
          <w:rFonts w:ascii="Times New Roman" w:hAnsi="Times New Roman" w:cs="Times New Roman" w:eastAsia="Times New Roman" w:hint="default"/>
          <w:spacing w:val="-3"/>
        </w:rPr>
        <w:t>1958 </w:t>
      </w:r>
      <w:r>
        <w:rPr/>
        <w:t>年 </w:t>
      </w:r>
      <w:r>
        <w:rPr>
          <w:rFonts w:ascii="Times New Roman" w:hAnsi="Times New Roman" w:cs="Times New Roman" w:eastAsia="Times New Roman" w:hint="default"/>
        </w:rPr>
        <w:t>3 </w:t>
      </w:r>
      <w:r>
        <w:rPr>
          <w:spacing w:val="-3"/>
        </w:rPr>
        <w:t>月出生，研究生学历，经济学博士。曾任深圳综合开发研究院信</w:t>
      </w:r>
      <w:r>
        <w:rPr>
          <w:spacing w:val="-79"/>
        </w:rPr>
        <w:t> </w:t>
      </w:r>
      <w:r>
        <w:rPr>
          <w:spacing w:val="-79"/>
        </w:rPr>
      </w:r>
      <w:r>
        <w:rPr/>
        <w:t>息部负责人、市场研究所副所长</w:t>
      </w:r>
      <w:r>
        <w:rPr>
          <w:rFonts w:ascii="Times New Roman" w:hAnsi="Times New Roman" w:cs="Times New Roman" w:eastAsia="Times New Roman" w:hint="default"/>
        </w:rPr>
        <w:t>, TCL </w:t>
      </w:r>
      <w:r>
        <w:rPr/>
        <w:t>通讯科技控股有限公司（股票代码：</w:t>
      </w:r>
      <w:r>
        <w:rPr>
          <w:rFonts w:ascii="Times New Roman" w:hAnsi="Times New Roman" w:cs="Times New Roman" w:eastAsia="Times New Roman" w:hint="default"/>
        </w:rPr>
        <w:t>HK:</w:t>
      </w:r>
      <w:r>
        <w:rPr>
          <w:rFonts w:ascii="Times New Roman" w:hAnsi="Times New Roman" w:cs="Times New Roman" w:eastAsia="Times New Roman" w:hint="default"/>
          <w:spacing w:val="-14"/>
        </w:rPr>
        <w:t> </w:t>
      </w:r>
      <w:r>
        <w:rPr>
          <w:rFonts w:ascii="Times New Roman" w:hAnsi="Times New Roman" w:cs="Times New Roman" w:eastAsia="Times New Roman" w:hint="default"/>
        </w:rPr>
        <w:t>2618</w:t>
      </w:r>
      <w:r>
        <w:rPr/>
        <w:t>）独立</w:t>
      </w:r>
      <w:r>
        <w:rPr>
          <w:w w:val="100"/>
        </w:rPr>
        <w:t> </w:t>
      </w:r>
      <w:r>
        <w:rPr>
          <w:spacing w:val="-4"/>
        </w:rPr>
        <w:t>董事，中炬高新技术实业（集团）股份有限公司（股票代码：</w:t>
      </w:r>
      <w:r>
        <w:rPr>
          <w:rFonts w:ascii="Times New Roman" w:hAnsi="Times New Roman" w:cs="Times New Roman" w:eastAsia="Times New Roman" w:hint="default"/>
          <w:spacing w:val="-4"/>
        </w:rPr>
        <w:t>600872</w:t>
      </w:r>
      <w:r>
        <w:rPr>
          <w:spacing w:val="-4"/>
        </w:rPr>
        <w:t>）独立董事；现任深圳</w:t>
      </w:r>
      <w:r>
        <w:rPr>
          <w:spacing w:val="-35"/>
        </w:rPr>
        <w:t> </w:t>
      </w:r>
      <w:r>
        <w:rPr>
          <w:spacing w:val="-35"/>
        </w:rPr>
      </w:r>
      <w:r>
        <w:rPr>
          <w:spacing w:val="-4"/>
        </w:rPr>
        <w:t>综合开发研究院企业与市场研究中心主任、研究员，南开大学客座教授，中国商业联合会专</w:t>
      </w:r>
      <w:r>
        <w:rPr>
          <w:spacing w:val="-41"/>
        </w:rPr>
        <w:t> </w:t>
      </w:r>
      <w:r>
        <w:rPr>
          <w:spacing w:val="-41"/>
        </w:rPr>
      </w:r>
      <w:r>
        <w:rPr>
          <w:spacing w:val="-4"/>
        </w:rPr>
        <w:t>家工作委员会委员，深圳市零售商业行业协会副会长和首席顾问，深圳市物流专家委员会委</w:t>
      </w:r>
    </w:p>
    <w:p>
      <w:pPr>
        <w:spacing w:after="0" w:line="333" w:lineRule="auto"/>
        <w:jc w:val="both"/>
        <w:sectPr>
          <w:headerReference w:type="default" r:id="rId29"/>
          <w:footerReference w:type="default" r:id="rId30"/>
          <w:pgSz w:w="11910" w:h="16850"/>
          <w:pgMar w:header="877" w:footer="1265" w:top="1100" w:bottom="1460" w:left="1660" w:right="0"/>
          <w:pgNumType w:start="57"/>
        </w:sectPr>
      </w:pPr>
    </w:p>
    <w:p>
      <w:pPr>
        <w:spacing w:line="240" w:lineRule="auto" w:before="2"/>
        <w:rPr>
          <w:rFonts w:ascii="宋体" w:hAnsi="宋体" w:cs="宋体" w:eastAsia="宋体" w:hint="default"/>
          <w:sz w:val="24"/>
          <w:szCs w:val="24"/>
        </w:rPr>
      </w:pPr>
    </w:p>
    <w:p>
      <w:pPr>
        <w:pStyle w:val="BodyText"/>
        <w:spacing w:line="338" w:lineRule="auto"/>
        <w:ind w:left="138" w:right="1675"/>
        <w:jc w:val="left"/>
      </w:pPr>
      <w:r>
        <w:rPr>
          <w:spacing w:val="-7"/>
          <w:w w:val="100"/>
        </w:rPr>
        <w:t>员，深圳市第六届人民代表大会代表，深圳市人民代表大会常务委员会计划预算委员会委员，</w:t>
      </w:r>
      <w:r>
        <w:rPr>
          <w:spacing w:val="-69"/>
          <w:w w:val="100"/>
        </w:rPr>
        <w:t> </w:t>
      </w:r>
      <w:r>
        <w:rPr>
          <w:spacing w:val="-69"/>
          <w:w w:val="100"/>
        </w:rPr>
      </w:r>
      <w:r>
        <w:rPr>
          <w:spacing w:val="-4"/>
        </w:rPr>
        <w:t>人人乐连锁商业集团股份有限公司（股票代码：</w:t>
      </w:r>
      <w:r>
        <w:rPr>
          <w:rFonts w:ascii="Times New Roman" w:hAnsi="Times New Roman" w:cs="Times New Roman" w:eastAsia="Times New Roman" w:hint="default"/>
          <w:spacing w:val="-4"/>
        </w:rPr>
        <w:t>002336</w:t>
      </w:r>
      <w:r>
        <w:rPr>
          <w:spacing w:val="-4"/>
        </w:rPr>
        <w:t>）独立董事，深圳警翼智能科技股份</w:t>
      </w:r>
      <w:r>
        <w:rPr>
          <w:spacing w:val="-30"/>
        </w:rPr>
        <w:t> </w:t>
      </w:r>
      <w:r>
        <w:rPr>
          <w:spacing w:val="-30"/>
        </w:rPr>
      </w:r>
      <w:r>
        <w:rPr/>
        <w:t>有限公司董事，公司第八届董事会独立董事。</w:t>
      </w:r>
    </w:p>
    <w:p>
      <w:pPr>
        <w:pStyle w:val="BodyText"/>
        <w:spacing w:line="338" w:lineRule="auto" w:before="76"/>
        <w:ind w:left="138" w:right="1675"/>
        <w:jc w:val="left"/>
      </w:pPr>
      <w:r>
        <w:rPr>
          <w:rFonts w:ascii="Times New Roman" w:hAnsi="Times New Roman" w:cs="Times New Roman" w:eastAsia="Times New Roman" w:hint="default"/>
          <w:spacing w:val="-4"/>
        </w:rPr>
        <w:t>4</w:t>
      </w:r>
      <w:r>
        <w:rPr>
          <w:spacing w:val="-4"/>
        </w:rPr>
        <w:t>、宁钟先生，</w:t>
      </w:r>
      <w:r>
        <w:rPr>
          <w:rFonts w:ascii="Times New Roman" w:hAnsi="Times New Roman" w:cs="Times New Roman" w:eastAsia="Times New Roman" w:hint="default"/>
          <w:spacing w:val="-4"/>
        </w:rPr>
        <w:t>1964 </w:t>
      </w:r>
      <w:r>
        <w:rPr/>
        <w:t>年 </w:t>
      </w:r>
      <w:r>
        <w:rPr>
          <w:rFonts w:ascii="Times New Roman" w:hAnsi="Times New Roman" w:cs="Times New Roman" w:eastAsia="Times New Roman" w:hint="default"/>
        </w:rPr>
        <w:t>5 </w:t>
      </w:r>
      <w:r>
        <w:rPr>
          <w:spacing w:val="-4"/>
        </w:rPr>
        <w:t>月出生，研究生学历，经济学博士，教授。曾任湖北省秭归县人民</w:t>
      </w:r>
      <w:r>
        <w:rPr>
          <w:spacing w:val="-87"/>
        </w:rPr>
        <w:t> </w:t>
      </w:r>
      <w:r>
        <w:rPr>
          <w:spacing w:val="-87"/>
        </w:rPr>
      </w:r>
      <w:r>
        <w:rPr>
          <w:spacing w:val="-4"/>
        </w:rPr>
        <w:t>政府副县长，武汉理工大学对外科技合作办公室主任，武汉东湖高新集团股份有限公司总裁</w:t>
      </w:r>
      <w:r>
        <w:rPr>
          <w:spacing w:val="-40"/>
        </w:rPr>
        <w:t> </w:t>
      </w:r>
      <w:r>
        <w:rPr>
          <w:spacing w:val="-40"/>
        </w:rPr>
      </w:r>
      <w:r>
        <w:rPr/>
        <w:t>助理</w:t>
      </w:r>
      <w:r>
        <w:rPr>
          <w:rFonts w:ascii="Times New Roman" w:hAnsi="Times New Roman" w:cs="Times New Roman" w:eastAsia="Times New Roman" w:hint="default"/>
        </w:rPr>
        <w:t>,</w:t>
      </w:r>
      <w:r>
        <w:rPr/>
        <w:t>安徽荃银高科种业股份有限公司（股票代码：</w:t>
      </w:r>
      <w:r>
        <w:rPr>
          <w:rFonts w:ascii="Times New Roman" w:hAnsi="Times New Roman" w:cs="Times New Roman" w:eastAsia="Times New Roman" w:hint="default"/>
        </w:rPr>
        <w:t>300087</w:t>
      </w:r>
      <w:r>
        <w:rPr/>
        <w:t>）独立董事，爹地宝贝股份有限</w:t>
      </w:r>
      <w:r>
        <w:rPr>
          <w:spacing w:val="-37"/>
        </w:rPr>
        <w:t> </w:t>
      </w:r>
      <w:r>
        <w:rPr>
          <w:spacing w:val="-37"/>
        </w:rPr>
      </w:r>
      <w:r>
        <w:rPr>
          <w:spacing w:val="-4"/>
        </w:rPr>
        <w:t>公司独立董事。现任复旦大学管理学院教授、博士生导师，复旦大学创业与创业投资研究中</w:t>
      </w:r>
      <w:r>
        <w:rPr>
          <w:spacing w:val="-45"/>
        </w:rPr>
        <w:t> </w:t>
      </w:r>
      <w:r>
        <w:rPr>
          <w:spacing w:val="-45"/>
        </w:rPr>
      </w:r>
      <w:r>
        <w:rPr>
          <w:spacing w:val="-4"/>
        </w:rPr>
        <w:t>心执行主任，兼任香港大学商学院客座教授，清华大学深圳研究院特聘教授，东北财经大学</w:t>
      </w:r>
      <w:r>
        <w:rPr>
          <w:spacing w:val="-44"/>
        </w:rPr>
        <w:t> </w:t>
      </w:r>
      <w:r>
        <w:rPr>
          <w:spacing w:val="-44"/>
        </w:rPr>
      </w:r>
      <w:r>
        <w:rPr>
          <w:rFonts w:ascii="Times New Roman" w:hAnsi="Times New Roman" w:cs="Times New Roman" w:eastAsia="Times New Roman" w:hint="default"/>
        </w:rPr>
        <w:t>EMBA</w:t>
      </w:r>
      <w:r>
        <w:rPr>
          <w:rFonts w:ascii="Times New Roman" w:hAnsi="Times New Roman" w:cs="Times New Roman" w:eastAsia="Times New Roman" w:hint="default"/>
          <w:spacing w:val="32"/>
        </w:rPr>
        <w:t> </w:t>
      </w:r>
      <w:r>
        <w:rPr/>
        <w:t>特聘教授，中华发展经济学研究会理事，中国海关学会理事，深圳市新纶科技股份</w:t>
      </w:r>
      <w:r>
        <w:rPr>
          <w:spacing w:val="-98"/>
        </w:rPr>
        <w:t> </w:t>
      </w:r>
      <w:r>
        <w:rPr>
          <w:spacing w:val="-98"/>
        </w:rPr>
      </w:r>
      <w:r>
        <w:rPr/>
        <w:t>有限公司（股票代码：</w:t>
      </w:r>
      <w:r>
        <w:rPr>
          <w:rFonts w:ascii="Times New Roman" w:hAnsi="Times New Roman" w:cs="Times New Roman" w:eastAsia="Times New Roman" w:hint="default"/>
        </w:rPr>
        <w:t>002341</w:t>
      </w:r>
      <w:r>
        <w:rPr/>
        <w:t>）独立董事，公司第八届董事会独立董事。</w:t>
      </w:r>
      <w:r>
        <w:rPr>
          <w:w w:val="100"/>
        </w:rPr>
        <w:t> </w:t>
      </w:r>
      <w:r>
        <w:rPr>
          <w:rFonts w:ascii="Times New Roman" w:hAnsi="Times New Roman" w:cs="Times New Roman" w:eastAsia="Times New Roman" w:hint="default"/>
        </w:rPr>
        <w:t>5</w:t>
      </w:r>
      <w:r>
        <w:rPr/>
        <w:t>、张志勇先生，</w:t>
      </w:r>
      <w:r>
        <w:rPr>
          <w:rFonts w:ascii="Times New Roman" w:hAnsi="Times New Roman" w:cs="Times New Roman" w:eastAsia="Times New Roman" w:hint="default"/>
        </w:rPr>
        <w:t>1954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月出生，在职研究生，工商管理专业。曾任吉林省白城日报社</w:t>
      </w:r>
      <w:r>
        <w:rPr>
          <w:w w:val="100"/>
        </w:rPr>
        <w:t> </w:t>
      </w:r>
      <w:r>
        <w:rPr>
          <w:spacing w:val="-4"/>
        </w:rPr>
        <w:t>主任，深圳金融早报社主任，证券时报社主任、编委、副社长，中国科健股份有限公司（股</w:t>
      </w:r>
      <w:r>
        <w:rPr>
          <w:spacing w:val="-39"/>
        </w:rPr>
        <w:t> </w:t>
      </w:r>
      <w:r>
        <w:rPr>
          <w:spacing w:val="-39"/>
        </w:rPr>
      </w:r>
      <w:r>
        <w:rPr/>
        <w:t>票代码：</w:t>
      </w:r>
      <w:r>
        <w:rPr>
          <w:rFonts w:ascii="Times New Roman" w:hAnsi="Times New Roman" w:cs="Times New Roman" w:eastAsia="Times New Roman" w:hint="default"/>
        </w:rPr>
        <w:t>000035</w:t>
      </w:r>
      <w:r>
        <w:rPr/>
        <w:t>）独立董事</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spacing w:val="-3"/>
        </w:rPr>
        <w:t>东沣科技集团股份有限公司（股票代码：</w:t>
      </w:r>
      <w:r>
        <w:rPr>
          <w:rFonts w:ascii="Times New Roman" w:hAnsi="Times New Roman" w:cs="Times New Roman" w:eastAsia="Times New Roman" w:hint="default"/>
          <w:spacing w:val="-3"/>
        </w:rPr>
        <w:t>200160</w:t>
      </w:r>
      <w:r>
        <w:rPr>
          <w:spacing w:val="-3"/>
        </w:rPr>
        <w:t>，原承德南江</w:t>
      </w:r>
      <w:r>
        <w:rPr>
          <w:spacing w:val="-97"/>
        </w:rPr>
        <w:t> </w:t>
      </w:r>
      <w:r>
        <w:rPr>
          <w:spacing w:val="-97"/>
        </w:rPr>
      </w:r>
      <w:r>
        <w:rPr>
          <w:spacing w:val="-6"/>
        </w:rPr>
        <w:t>股份有限公司）独立董事，现任深圳互惠联盟电子商务有限公司董事，手击影像网络科技</w:t>
      </w:r>
      <w:r>
        <w:rPr>
          <w:rFonts w:ascii="Times New Roman" w:hAnsi="Times New Roman" w:cs="Times New Roman" w:eastAsia="Times New Roman" w:hint="default"/>
          <w:spacing w:val="-6"/>
        </w:rPr>
        <w:t>(</w:t>
      </w:r>
      <w:r>
        <w:rPr>
          <w:spacing w:val="-6"/>
        </w:rPr>
        <w:t>深</w:t>
      </w:r>
    </w:p>
    <w:p>
      <w:pPr>
        <w:pStyle w:val="BodyText"/>
        <w:spacing w:line="331" w:lineRule="auto" w:before="12"/>
        <w:ind w:left="138" w:right="1675"/>
        <w:jc w:val="left"/>
      </w:pPr>
      <w:r>
        <w:rPr/>
        <w:t>圳</w:t>
      </w:r>
      <w:r>
        <w:rPr>
          <w:rFonts w:ascii="Times New Roman" w:hAnsi="Times New Roman" w:cs="Times New Roman" w:eastAsia="Times New Roman" w:hint="default"/>
        </w:rPr>
        <w:t>)</w:t>
      </w:r>
      <w:r>
        <w:rPr/>
        <w:t>有限公司董事，广东银禧科技股份有限公司（股票代码：</w:t>
      </w:r>
      <w:r>
        <w:rPr>
          <w:rFonts w:ascii="Times New Roman" w:hAnsi="Times New Roman" w:cs="Times New Roman" w:eastAsia="Times New Roman" w:hint="default"/>
        </w:rPr>
        <w:t>300221</w:t>
      </w:r>
      <w:r>
        <w:rPr/>
        <w:t>）独立董事，东莞铭普</w:t>
      </w:r>
      <w:r>
        <w:rPr>
          <w:w w:val="100"/>
        </w:rPr>
        <w:t> </w:t>
      </w:r>
      <w:r>
        <w:rPr/>
        <w:t>光磁股份有限公司（股票代码：</w:t>
      </w:r>
      <w:r>
        <w:rPr>
          <w:rFonts w:ascii="Times New Roman" w:hAnsi="Times New Roman" w:cs="Times New Roman" w:eastAsia="Times New Roman" w:hint="default"/>
        </w:rPr>
        <w:t>002902</w:t>
      </w:r>
      <w:r>
        <w:rPr/>
        <w:t>）独立董事，公司第八届董事会独立董事。</w:t>
      </w:r>
      <w:r>
        <w:rPr>
          <w:w w:val="100"/>
        </w:rPr>
        <w:t> </w:t>
      </w:r>
      <w:r>
        <w:rPr>
          <w:rFonts w:ascii="Times New Roman" w:hAnsi="Times New Roman" w:cs="Times New Roman" w:eastAsia="Times New Roman" w:hint="default"/>
        </w:rPr>
        <w:t>6</w:t>
      </w:r>
      <w:r>
        <w:rPr/>
        <w:t>、梅月欣女士，</w:t>
      </w:r>
      <w:r>
        <w:rPr>
          <w:rFonts w:ascii="Times New Roman" w:hAnsi="Times New Roman" w:cs="Times New Roman" w:eastAsia="Times New Roman" w:hint="default"/>
        </w:rPr>
        <w:t>1964</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月出生，本科学历，财务会计专业，高级会计师，注册会计师。</w:t>
      </w:r>
      <w:r>
        <w:rPr>
          <w:w w:val="100"/>
        </w:rPr>
        <w:t> </w:t>
      </w:r>
      <w:r>
        <w:rPr>
          <w:spacing w:val="-4"/>
          <w:w w:val="100"/>
        </w:rPr>
        <w:t>曾任杭州电子工业学院讲师，银行间市场交易商协会非金融企业债务融资工具市场自律处分</w:t>
      </w:r>
      <w:r>
        <w:rPr>
          <w:spacing w:val="-86"/>
          <w:w w:val="100"/>
        </w:rPr>
        <w:t> </w:t>
      </w:r>
      <w:r>
        <w:rPr>
          <w:spacing w:val="-86"/>
          <w:w w:val="100"/>
        </w:rPr>
      </w:r>
      <w:r>
        <w:rPr>
          <w:spacing w:val="-4"/>
        </w:rPr>
        <w:t>专家，深圳市振业（集团）股份有限公司（股票代码：</w:t>
      </w:r>
      <w:r>
        <w:rPr>
          <w:rFonts w:ascii="Times New Roman" w:hAnsi="Times New Roman" w:cs="Times New Roman" w:eastAsia="Times New Roman" w:hint="default"/>
          <w:spacing w:val="-4"/>
        </w:rPr>
        <w:t>000006</w:t>
      </w:r>
      <w:r>
        <w:rPr>
          <w:spacing w:val="-4"/>
        </w:rPr>
        <w:t>）独立董事，深圳信隆实业股</w:t>
      </w:r>
      <w:r>
        <w:rPr>
          <w:spacing w:val="-33"/>
        </w:rPr>
        <w:t> </w:t>
      </w:r>
      <w:r>
        <w:rPr>
          <w:spacing w:val="-33"/>
        </w:rPr>
      </w:r>
      <w:r>
        <w:rPr>
          <w:spacing w:val="-3"/>
        </w:rPr>
        <w:t>份有限公司（股票代码：</w:t>
      </w:r>
      <w:r>
        <w:rPr>
          <w:rFonts w:ascii="Times New Roman" w:hAnsi="Times New Roman" w:cs="Times New Roman" w:eastAsia="Times New Roman" w:hint="default"/>
          <w:spacing w:val="-3"/>
        </w:rPr>
        <w:t>002105</w:t>
      </w:r>
      <w:r>
        <w:rPr>
          <w:spacing w:val="-3"/>
        </w:rPr>
        <w:t>）独立董事</w:t>
      </w:r>
      <w:r>
        <w:rPr>
          <w:rFonts w:ascii="Times New Roman" w:hAnsi="Times New Roman" w:cs="Times New Roman" w:eastAsia="Times New Roman" w:hint="default"/>
          <w:spacing w:val="-3"/>
        </w:rPr>
        <w:t>,</w:t>
      </w:r>
      <w:r>
        <w:rPr>
          <w:spacing w:val="-3"/>
        </w:rPr>
        <w:t>深圳市维业装饰集团股份有限公司（股票代码：</w:t>
      </w:r>
      <w:r>
        <w:rPr>
          <w:spacing w:val="-18"/>
        </w:rPr>
        <w:t> </w:t>
      </w:r>
      <w:r>
        <w:rPr>
          <w:spacing w:val="-18"/>
        </w:rPr>
      </w:r>
      <w:r>
        <w:rPr>
          <w:rFonts w:ascii="Times New Roman" w:hAnsi="Times New Roman" w:cs="Times New Roman" w:eastAsia="Times New Roman" w:hint="default"/>
          <w:spacing w:val="-4"/>
        </w:rPr>
        <w:t>300621</w:t>
      </w:r>
      <w:r>
        <w:rPr>
          <w:spacing w:val="-4"/>
        </w:rPr>
        <w:t>）独立董事。现任瑞华会计师事务所合伙人，深圳市通产丽星股份有限公司（股票代</w:t>
      </w:r>
      <w:r>
        <w:rPr>
          <w:spacing w:val="-30"/>
        </w:rPr>
        <w:t> </w:t>
      </w:r>
      <w:r>
        <w:rPr>
          <w:spacing w:val="-30"/>
        </w:rPr>
      </w:r>
      <w:r>
        <w:rPr>
          <w:spacing w:val="-6"/>
        </w:rPr>
        <w:t>码：</w:t>
      </w:r>
      <w:r>
        <w:rPr>
          <w:rFonts w:ascii="Times New Roman" w:hAnsi="Times New Roman" w:cs="Times New Roman" w:eastAsia="Times New Roman" w:hint="default"/>
          <w:spacing w:val="-6"/>
        </w:rPr>
        <w:t>002243</w:t>
      </w:r>
      <w:r>
        <w:rPr>
          <w:spacing w:val="-6"/>
        </w:rPr>
        <w:t>）独立董事，深圳中青宝互动网络股份有限公司（股票代码：</w:t>
      </w:r>
      <w:r>
        <w:rPr>
          <w:rFonts w:ascii="Times New Roman" w:hAnsi="Times New Roman" w:cs="Times New Roman" w:eastAsia="Times New Roman" w:hint="default"/>
          <w:spacing w:val="-6"/>
        </w:rPr>
        <w:t>300052</w:t>
      </w:r>
      <w:r>
        <w:rPr>
          <w:spacing w:val="-6"/>
        </w:rPr>
        <w:t>）独立董事，</w:t>
      </w:r>
      <w:r>
        <w:rPr>
          <w:spacing w:val="-25"/>
        </w:rPr>
        <w:t> </w:t>
      </w:r>
      <w:r>
        <w:rPr>
          <w:spacing w:val="-25"/>
        </w:rPr>
      </w:r>
      <w:r>
        <w:rPr>
          <w:spacing w:val="-4"/>
        </w:rPr>
        <w:t>深圳市今天国际物流技术股份有限公司（股票代码：</w:t>
      </w:r>
      <w:r>
        <w:rPr>
          <w:rFonts w:ascii="Times New Roman" w:hAnsi="Times New Roman" w:cs="Times New Roman" w:eastAsia="Times New Roman" w:hint="default"/>
          <w:spacing w:val="-4"/>
        </w:rPr>
        <w:t>300532</w:t>
      </w:r>
      <w:r>
        <w:rPr>
          <w:spacing w:val="-4"/>
        </w:rPr>
        <w:t>）独立董事，公司第八届董事会</w:t>
      </w:r>
      <w:r>
        <w:rPr>
          <w:spacing w:val="-27"/>
        </w:rPr>
        <w:t> </w:t>
      </w:r>
      <w:r>
        <w:rPr>
          <w:spacing w:val="-27"/>
        </w:rPr>
      </w:r>
      <w:r>
        <w:rPr/>
        <w:t>独立董事。</w:t>
      </w:r>
    </w:p>
    <w:p>
      <w:pPr>
        <w:pStyle w:val="BodyText"/>
        <w:spacing w:line="340" w:lineRule="auto" w:before="43"/>
        <w:ind w:left="138" w:right="1786"/>
        <w:jc w:val="both"/>
      </w:pPr>
      <w:r>
        <w:rPr>
          <w:rFonts w:ascii="Times New Roman" w:hAnsi="Times New Roman" w:cs="Times New Roman" w:eastAsia="Times New Roman" w:hint="default"/>
          <w:spacing w:val="-3"/>
        </w:rPr>
        <w:t>7</w:t>
      </w:r>
      <w:r>
        <w:rPr>
          <w:spacing w:val="-3"/>
        </w:rPr>
        <w:t>、王丽娜女士，</w:t>
      </w:r>
      <w:r>
        <w:rPr>
          <w:rFonts w:ascii="Times New Roman" w:hAnsi="Times New Roman" w:cs="Times New Roman" w:eastAsia="Times New Roman" w:hint="default"/>
          <w:spacing w:val="-3"/>
        </w:rPr>
        <w:t>1967 </w:t>
      </w:r>
      <w:r>
        <w:rPr/>
        <w:t>年 </w:t>
      </w:r>
      <w:r>
        <w:rPr>
          <w:rFonts w:ascii="Times New Roman" w:hAnsi="Times New Roman" w:cs="Times New Roman" w:eastAsia="Times New Roman" w:hint="default"/>
        </w:rPr>
        <w:t>7 </w:t>
      </w:r>
      <w:r>
        <w:rPr>
          <w:spacing w:val="-3"/>
        </w:rPr>
        <w:t>月出生，研究生学历，法律专业。曾任浙江省诸暨市司法局公务</w:t>
      </w:r>
      <w:r>
        <w:rPr>
          <w:spacing w:val="-80"/>
        </w:rPr>
        <w:t> </w:t>
      </w:r>
      <w:r>
        <w:rPr>
          <w:spacing w:val="-80"/>
        </w:rPr>
      </w:r>
      <w:r>
        <w:rPr>
          <w:spacing w:val="-4"/>
        </w:rPr>
        <w:t>员，广东海埠律师事务所合伙人，深圳律师协会副会长，全国律师协会理事。现任广东瑞霆</w:t>
      </w:r>
      <w:r>
        <w:rPr>
          <w:spacing w:val="-39"/>
        </w:rPr>
        <w:t> </w:t>
      </w:r>
      <w:r>
        <w:rPr>
          <w:spacing w:val="-39"/>
        </w:rPr>
      </w:r>
      <w:r>
        <w:rPr>
          <w:spacing w:val="-4"/>
        </w:rPr>
        <w:t>律师事务所主任、首席合伙人，深圳市政协委员，深圳仲裁委员会仲裁员，深圳市新的社会</w:t>
      </w:r>
      <w:r>
        <w:rPr>
          <w:spacing w:val="-39"/>
        </w:rPr>
        <w:t> </w:t>
      </w:r>
      <w:r>
        <w:rPr>
          <w:spacing w:val="-39"/>
        </w:rPr>
      </w:r>
      <w:r>
        <w:rPr>
          <w:spacing w:val="-4"/>
        </w:rPr>
        <w:t>阶层人士联合会副主席，深圳市三八红旗手协会副会长，广东省律师协会常务理事，深圳前</w:t>
      </w:r>
      <w:r>
        <w:rPr>
          <w:spacing w:val="-44"/>
        </w:rPr>
        <w:t> </w:t>
      </w:r>
      <w:r>
        <w:rPr>
          <w:spacing w:val="-44"/>
        </w:rPr>
      </w:r>
      <w:r>
        <w:rPr>
          <w:spacing w:val="-4"/>
        </w:rPr>
        <w:t>海迅贷金融服务有限公司监事，深圳市前海瑞置投资发展有限公司监事，深圳市奥拓电子股</w:t>
      </w:r>
      <w:r>
        <w:rPr>
          <w:spacing w:val="-41"/>
        </w:rPr>
        <w:t> </w:t>
      </w:r>
      <w:r>
        <w:rPr>
          <w:spacing w:val="-41"/>
        </w:rPr>
      </w:r>
      <w:r>
        <w:rPr>
          <w:spacing w:val="-4"/>
        </w:rPr>
        <w:t>份有限公司（股票代码：</w:t>
      </w:r>
      <w:r>
        <w:rPr>
          <w:rFonts w:ascii="Times New Roman" w:hAnsi="Times New Roman" w:cs="Times New Roman" w:eastAsia="Times New Roman" w:hint="default"/>
          <w:spacing w:val="-4"/>
        </w:rPr>
        <w:t>002587</w:t>
      </w:r>
      <w:r>
        <w:rPr>
          <w:spacing w:val="-4"/>
        </w:rPr>
        <w:t>）独立董事，深圳市瑞升华科技股份有限公司董事，公司第</w:t>
      </w:r>
      <w:r>
        <w:rPr>
          <w:spacing w:val="-26"/>
        </w:rPr>
        <w:t> </w:t>
      </w:r>
      <w:r>
        <w:rPr>
          <w:spacing w:val="-26"/>
        </w:rPr>
      </w:r>
      <w:r>
        <w:rPr/>
        <w:t>八届董事会独立董事。</w:t>
      </w:r>
    </w:p>
    <w:p>
      <w:pPr>
        <w:pStyle w:val="BodyText"/>
        <w:spacing w:line="338" w:lineRule="auto" w:before="35"/>
        <w:ind w:left="138" w:right="1788"/>
        <w:jc w:val="both"/>
        <w:rPr>
          <w:rFonts w:ascii="Times New Roman" w:hAnsi="Times New Roman" w:cs="Times New Roman" w:eastAsia="Times New Roman" w:hint="default"/>
        </w:rPr>
      </w:pPr>
      <w:r>
        <w:rPr>
          <w:rFonts w:ascii="Times New Roman" w:hAnsi="Times New Roman" w:cs="Times New Roman" w:eastAsia="Times New Roman" w:hint="default"/>
          <w:spacing w:val="-3"/>
        </w:rPr>
        <w:t>8</w:t>
      </w:r>
      <w:r>
        <w:rPr>
          <w:spacing w:val="-3"/>
        </w:rPr>
        <w:t>、陈穗生先生，</w:t>
      </w:r>
      <w:r>
        <w:rPr>
          <w:rFonts w:ascii="Times New Roman" w:hAnsi="Times New Roman" w:cs="Times New Roman" w:eastAsia="Times New Roman" w:hint="default"/>
          <w:spacing w:val="-3"/>
        </w:rPr>
        <w:t>1967 </w:t>
      </w:r>
      <w:r>
        <w:rPr/>
        <w:t>年 </w:t>
      </w:r>
      <w:r>
        <w:rPr>
          <w:rFonts w:ascii="Times New Roman" w:hAnsi="Times New Roman" w:cs="Times New Roman" w:eastAsia="Times New Roman" w:hint="default"/>
        </w:rPr>
        <w:t>7 </w:t>
      </w:r>
      <w:r>
        <w:rPr>
          <w:spacing w:val="-3"/>
        </w:rPr>
        <w:t>月出生，本科学历，经济管理专业，政工师。曾任广东铁青国际</w:t>
      </w:r>
      <w:r>
        <w:rPr>
          <w:spacing w:val="-80"/>
        </w:rPr>
        <w:t> </w:t>
      </w:r>
      <w:r>
        <w:rPr>
          <w:spacing w:val="-80"/>
        </w:rPr>
      </w:r>
      <w:r>
        <w:rPr>
          <w:spacing w:val="-4"/>
        </w:rPr>
        <w:t>旅行社有限责任公司党委书记、副总经理、广州铁路（集团）公司羊城铁路实业发展总公司</w:t>
      </w:r>
      <w:r>
        <w:rPr>
          <w:spacing w:val="-42"/>
        </w:rPr>
        <w:t> </w:t>
      </w:r>
      <w:r>
        <w:rPr>
          <w:spacing w:val="-42"/>
        </w:rPr>
      </w:r>
      <w:r>
        <w:rPr/>
        <w:t>总经理、党委副书记兼广州庆达运输有限公司、广州铁城实业有限公司董事长。</w:t>
      </w:r>
      <w:r>
        <w:rPr>
          <w:rFonts w:ascii="Times New Roman" w:hAnsi="Times New Roman" w:cs="Times New Roman" w:eastAsia="Times New Roman" w:hint="default"/>
        </w:rPr>
        <w:t>2017 </w:t>
      </w:r>
      <w:r>
        <w:rPr/>
        <w:t>年</w:t>
      </w:r>
      <w:r>
        <w:rPr>
          <w:spacing w:val="-57"/>
        </w:rPr>
        <w:t> </w:t>
      </w:r>
      <w:r>
        <w:rPr>
          <w:rFonts w:ascii="Times New Roman" w:hAnsi="Times New Roman" w:cs="Times New Roman" w:eastAsia="Times New Roman" w:hint="default"/>
        </w:rPr>
        <w:t>12</w:t>
      </w:r>
    </w:p>
    <w:p>
      <w:pPr>
        <w:spacing w:after="0" w:line="338" w:lineRule="auto"/>
        <w:jc w:val="both"/>
        <w:rPr>
          <w:rFonts w:ascii="Times New Roman" w:hAnsi="Times New Roman" w:cs="Times New Roman" w:eastAsia="Times New Roman" w:hint="default"/>
        </w:rPr>
        <w:sectPr>
          <w:pgSz w:w="11910" w:h="16850"/>
          <w:pgMar w:header="877" w:footer="1265" w:top="1100" w:bottom="1460" w:left="1660" w:right="0"/>
        </w:sectPr>
      </w:pPr>
    </w:p>
    <w:p>
      <w:pPr>
        <w:spacing w:line="240" w:lineRule="auto" w:before="6"/>
        <w:rPr>
          <w:rFonts w:ascii="Times New Roman" w:hAnsi="Times New Roman" w:cs="Times New Roman" w:eastAsia="Times New Roman" w:hint="default"/>
          <w:sz w:val="27"/>
          <w:szCs w:val="27"/>
        </w:rPr>
      </w:pPr>
    </w:p>
    <w:p>
      <w:pPr>
        <w:pStyle w:val="BodyText"/>
        <w:spacing w:line="348" w:lineRule="auto"/>
        <w:ind w:left="138" w:right="1675"/>
        <w:jc w:val="left"/>
      </w:pPr>
      <w:r>
        <w:rPr>
          <w:spacing w:val="-4"/>
        </w:rPr>
        <w:t>月至今担任广东羊城铁路实业有限公司党委书记、董事长兼广州庆达运输有限公司、广州铁</w:t>
      </w:r>
      <w:r>
        <w:rPr>
          <w:spacing w:val="-40"/>
        </w:rPr>
        <w:t> </w:t>
      </w:r>
      <w:r>
        <w:rPr>
          <w:spacing w:val="-40"/>
        </w:rPr>
      </w:r>
      <w:r>
        <w:rPr/>
        <w:t>城实业有限公司董事长，现任公司第八届董事会董事。</w:t>
      </w:r>
    </w:p>
    <w:p>
      <w:pPr>
        <w:pStyle w:val="BodyText"/>
        <w:spacing w:line="340" w:lineRule="auto" w:before="29"/>
        <w:ind w:left="138" w:right="1786"/>
        <w:jc w:val="both"/>
      </w:pPr>
      <w:r>
        <w:rPr>
          <w:rFonts w:ascii="Times New Roman" w:hAnsi="Times New Roman" w:cs="Times New Roman" w:eastAsia="Times New Roman" w:hint="default"/>
          <w:spacing w:val="-3"/>
        </w:rPr>
        <w:t>9</w:t>
      </w:r>
      <w:r>
        <w:rPr>
          <w:spacing w:val="-3"/>
        </w:rPr>
        <w:t>、台冰先生，</w:t>
      </w:r>
      <w:r>
        <w:rPr>
          <w:rFonts w:ascii="Times New Roman" w:hAnsi="Times New Roman" w:cs="Times New Roman" w:eastAsia="Times New Roman" w:hint="default"/>
          <w:spacing w:val="-3"/>
        </w:rPr>
        <w:t>1965 </w:t>
      </w:r>
      <w:r>
        <w:rPr/>
        <w:t>年 </w:t>
      </w:r>
      <w:r>
        <w:rPr>
          <w:rFonts w:ascii="Times New Roman" w:hAnsi="Times New Roman" w:cs="Times New Roman" w:eastAsia="Times New Roman" w:hint="default"/>
        </w:rPr>
        <w:t>8 </w:t>
      </w:r>
      <w:r>
        <w:rPr>
          <w:spacing w:val="-3"/>
        </w:rPr>
        <w:t>月出生，研究生学历，管理学博士，管理科学与工程专业。曾任广</w:t>
      </w:r>
      <w:r>
        <w:rPr>
          <w:spacing w:val="-81"/>
        </w:rPr>
        <w:t> </w:t>
      </w:r>
      <w:r>
        <w:rPr>
          <w:spacing w:val="-81"/>
        </w:rPr>
      </w:r>
      <w:r>
        <w:rPr>
          <w:spacing w:val="-4"/>
        </w:rPr>
        <w:t>东明瑞（集团）股份有限公司职员，深圳市龙岗区委（府）新闻信息科科长，深圳市委正处</w:t>
      </w:r>
      <w:r>
        <w:rPr>
          <w:spacing w:val="-42"/>
        </w:rPr>
        <w:t> </w:t>
      </w:r>
      <w:r>
        <w:rPr>
          <w:spacing w:val="-42"/>
        </w:rPr>
      </w:r>
      <w:r>
        <w:rPr>
          <w:spacing w:val="-4"/>
        </w:rPr>
        <w:t>级秘书，深圳市委督查室督查室副主任。现任公司第八届董事会董事、党委副书记、工会主</w:t>
      </w:r>
      <w:r>
        <w:rPr>
          <w:spacing w:val="-37"/>
        </w:rPr>
        <w:t> </w:t>
      </w:r>
      <w:r>
        <w:rPr>
          <w:spacing w:val="-37"/>
        </w:rPr>
      </w:r>
      <w:r>
        <w:rPr/>
        <w:t>席。</w:t>
      </w:r>
    </w:p>
    <w:p>
      <w:pPr>
        <w:pStyle w:val="BodyText"/>
        <w:spacing w:line="343" w:lineRule="auto" w:before="35"/>
        <w:ind w:left="138" w:right="1675"/>
        <w:jc w:val="left"/>
      </w:pPr>
      <w:r>
        <w:rPr>
          <w:rFonts w:ascii="Times New Roman" w:hAnsi="Times New Roman" w:cs="Times New Roman" w:eastAsia="Times New Roman" w:hint="default"/>
        </w:rPr>
        <w:t>10</w:t>
      </w:r>
      <w:r>
        <w:rPr/>
        <w:t>、张磊先生，</w:t>
      </w:r>
      <w:r>
        <w:rPr>
          <w:rFonts w:ascii="Times New Roman" w:hAnsi="Times New Roman" w:cs="Times New Roman" w:eastAsia="Times New Roman" w:hint="default"/>
        </w:rPr>
        <w:t>1968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月出生，研究生学历，工商管理专业，高级会计师。曾任国家审</w:t>
      </w:r>
      <w:r>
        <w:rPr>
          <w:w w:val="100"/>
        </w:rPr>
        <w:t> </w:t>
      </w:r>
      <w:r>
        <w:rPr>
          <w:spacing w:val="-4"/>
        </w:rPr>
        <w:t>计署驻深圳特派员办事处副主任科员，深圳市国投先科光盘有限公司副总经理、总经理，深</w:t>
      </w:r>
      <w:r>
        <w:rPr>
          <w:spacing w:val="-41"/>
        </w:rPr>
        <w:t> </w:t>
      </w:r>
      <w:r>
        <w:rPr>
          <w:spacing w:val="-41"/>
        </w:rPr>
      </w:r>
      <w:r>
        <w:rPr>
          <w:spacing w:val="-4"/>
        </w:rPr>
        <w:t>圳市深飞科技有限公司副董事长，国投中鲁果汁股份有限公司财务总监、董事会秘书。现任</w:t>
      </w:r>
      <w:r>
        <w:rPr>
          <w:spacing w:val="-44"/>
        </w:rPr>
        <w:t> </w:t>
      </w:r>
      <w:r>
        <w:rPr>
          <w:spacing w:val="-44"/>
        </w:rPr>
      </w:r>
      <w:r>
        <w:rPr>
          <w:spacing w:val="-4"/>
        </w:rPr>
        <w:t>深圳经济特区房地产（集团）股份有限公司董事、财务总监；深圳市振业（集团）有限公司</w:t>
      </w:r>
      <w:r>
        <w:rPr>
          <w:spacing w:val="-40"/>
        </w:rPr>
        <w:t> </w:t>
      </w:r>
      <w:r>
        <w:rPr>
          <w:spacing w:val="-40"/>
        </w:rPr>
      </w:r>
      <w:r>
        <w:rPr/>
        <w:t>监事，公司第八届董事会董事、财务总监。</w:t>
      </w:r>
    </w:p>
    <w:p>
      <w:pPr>
        <w:pStyle w:val="BodyText"/>
        <w:spacing w:line="340" w:lineRule="auto" w:before="33"/>
        <w:ind w:left="138" w:right="1675"/>
        <w:jc w:val="left"/>
      </w:pPr>
      <w:r>
        <w:rPr>
          <w:rFonts w:ascii="Times New Roman" w:hAnsi="Times New Roman" w:cs="Times New Roman" w:eastAsia="Times New Roman" w:hint="default"/>
          <w:spacing w:val="-3"/>
        </w:rPr>
        <w:t>11</w:t>
      </w:r>
      <w:r>
        <w:rPr>
          <w:spacing w:val="-3"/>
        </w:rPr>
        <w:t>、黄守岩先生，</w:t>
      </w:r>
      <w:r>
        <w:rPr>
          <w:rFonts w:ascii="Times New Roman" w:hAnsi="Times New Roman" w:cs="Times New Roman" w:eastAsia="Times New Roman" w:hint="default"/>
          <w:spacing w:val="-3"/>
        </w:rPr>
        <w:t>1950 </w:t>
      </w:r>
      <w:r>
        <w:rPr/>
        <w:t>年 </w:t>
      </w:r>
      <w:r>
        <w:rPr>
          <w:rFonts w:ascii="Times New Roman" w:hAnsi="Times New Roman" w:cs="Times New Roman" w:eastAsia="Times New Roman" w:hint="default"/>
        </w:rPr>
        <w:t>10 </w:t>
      </w:r>
      <w:r>
        <w:rPr>
          <w:spacing w:val="-3"/>
        </w:rPr>
        <w:t>月出生，研究生学历，工商管理专业，经济师。历任深圳发展</w:t>
      </w:r>
      <w:r>
        <w:rPr>
          <w:spacing w:val="-79"/>
        </w:rPr>
        <w:t> </w:t>
      </w:r>
      <w:r>
        <w:rPr>
          <w:spacing w:val="-79"/>
        </w:rPr>
      </w:r>
      <w:r>
        <w:rPr>
          <w:spacing w:val="-4"/>
        </w:rPr>
        <w:t>银行支行行长、业务部总经理、行长助理、工会主席。现任富德生命人寿保险股份有限公司</w:t>
      </w:r>
      <w:r>
        <w:rPr>
          <w:spacing w:val="-38"/>
        </w:rPr>
        <w:t> </w:t>
      </w:r>
      <w:r>
        <w:rPr>
          <w:spacing w:val="-38"/>
        </w:rPr>
      </w:r>
      <w:r>
        <w:rPr/>
        <w:t>监事会主席，富德保险控股股份有限公司党委书记、监事，公司第八届董事会董事。</w:t>
      </w:r>
      <w:r>
        <w:rPr>
          <w:w w:val="100"/>
        </w:rPr>
        <w:t> </w:t>
      </w:r>
      <w:r>
        <w:rPr>
          <w:rFonts w:ascii="Times New Roman" w:hAnsi="Times New Roman" w:cs="Times New Roman" w:eastAsia="Times New Roman" w:hint="default"/>
          <w:spacing w:val="-3"/>
        </w:rPr>
        <w:t>12</w:t>
      </w:r>
      <w:r>
        <w:rPr>
          <w:spacing w:val="-3"/>
        </w:rPr>
        <w:t>、王立先生，</w:t>
      </w:r>
      <w:r>
        <w:rPr>
          <w:rFonts w:ascii="Times New Roman" w:hAnsi="Times New Roman" w:cs="Times New Roman" w:eastAsia="Times New Roman" w:hint="default"/>
          <w:spacing w:val="-3"/>
        </w:rPr>
        <w:t>1961 </w:t>
      </w:r>
      <w:r>
        <w:rPr/>
        <w:t>年 </w:t>
      </w:r>
      <w:r>
        <w:rPr>
          <w:rFonts w:ascii="Times New Roman" w:hAnsi="Times New Roman" w:cs="Times New Roman" w:eastAsia="Times New Roman" w:hint="default"/>
        </w:rPr>
        <w:t>12 </w:t>
      </w:r>
      <w:r>
        <w:rPr>
          <w:spacing w:val="-3"/>
        </w:rPr>
        <w:t>月出生，工商管理硕士，曾任深圳赛格集团有限公司董事、党委</w:t>
      </w:r>
      <w:r>
        <w:rPr>
          <w:spacing w:val="-81"/>
        </w:rPr>
        <w:t> </w:t>
      </w:r>
      <w:r>
        <w:rPr>
          <w:spacing w:val="-81"/>
        </w:rPr>
      </w:r>
      <w:r>
        <w:rPr>
          <w:spacing w:val="-2"/>
        </w:rPr>
        <w:t>副书记、总经理。现任深圳市粮食集团有限公司董事，深圳市深粮控股股份有限公司董事，</w:t>
      </w:r>
      <w:r>
        <w:rPr>
          <w:spacing w:val="-31"/>
        </w:rPr>
        <w:t> </w:t>
      </w:r>
      <w:r>
        <w:rPr>
          <w:spacing w:val="-31"/>
        </w:rPr>
      </w:r>
      <w:r>
        <w:rPr/>
        <w:t>公司第八届董事会董事。</w:t>
      </w:r>
    </w:p>
    <w:p>
      <w:pPr>
        <w:pStyle w:val="BodyText"/>
        <w:spacing w:line="338" w:lineRule="auto" w:before="35"/>
        <w:ind w:left="138" w:right="1675"/>
        <w:jc w:val="left"/>
      </w:pPr>
      <w:r>
        <w:rPr>
          <w:rFonts w:ascii="Times New Roman" w:hAnsi="Times New Roman" w:cs="Times New Roman" w:eastAsia="Times New Roman" w:hint="default"/>
        </w:rPr>
        <w:t>13</w:t>
      </w:r>
      <w:r>
        <w:rPr/>
        <w:t>、陈小华先生，</w:t>
      </w:r>
      <w:r>
        <w:rPr>
          <w:rFonts w:ascii="Times New Roman" w:hAnsi="Times New Roman" w:cs="Times New Roman" w:eastAsia="Times New Roman" w:hint="default"/>
        </w:rPr>
        <w:t>1966</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月出生，研究生学历，经济管理专业，经济师。历任公司秘书</w:t>
      </w:r>
      <w:r>
        <w:rPr>
          <w:w w:val="100"/>
        </w:rPr>
        <w:t> </w:t>
      </w:r>
      <w:r>
        <w:rPr>
          <w:spacing w:val="-4"/>
        </w:rPr>
        <w:t>科科长、董事会办公室副主任、主任、董事会秘书、董事、副总经理。现任公司第八届董事</w:t>
      </w:r>
      <w:r>
        <w:rPr>
          <w:spacing w:val="-41"/>
        </w:rPr>
        <w:t> </w:t>
      </w:r>
      <w:r>
        <w:rPr>
          <w:spacing w:val="-41"/>
        </w:rPr>
      </w:r>
      <w:r>
        <w:rPr/>
        <w:t>会董事、副总裁。</w:t>
      </w:r>
    </w:p>
    <w:p>
      <w:pPr>
        <w:pStyle w:val="Heading6"/>
        <w:spacing w:line="336" w:lineRule="exact"/>
        <w:ind w:left="138" w:right="1675"/>
        <w:jc w:val="left"/>
        <w:rPr>
          <w:b w:val="0"/>
          <w:bCs w:val="0"/>
        </w:rPr>
      </w:pPr>
      <w:r>
        <w:rPr/>
        <w:t>（二）监事简介</w:t>
      </w:r>
      <w:r>
        <w:rPr>
          <w:b w:val="0"/>
          <w:bCs w:val="0"/>
        </w:rPr>
      </w:r>
    </w:p>
    <w:p>
      <w:pPr>
        <w:pStyle w:val="BodyText"/>
        <w:spacing w:line="343" w:lineRule="auto" w:before="97"/>
        <w:ind w:left="138" w:right="1675"/>
        <w:jc w:val="left"/>
      </w:pPr>
      <w:r>
        <w:rPr>
          <w:rFonts w:ascii="Times New Roman" w:hAnsi="Times New Roman" w:cs="Times New Roman" w:eastAsia="Times New Roman" w:hint="default"/>
          <w:spacing w:val="-3"/>
        </w:rPr>
        <w:t>1</w:t>
      </w:r>
      <w:r>
        <w:rPr>
          <w:spacing w:val="-3"/>
        </w:rPr>
        <w:t>、曹宇女士，</w:t>
      </w:r>
      <w:r>
        <w:rPr>
          <w:rFonts w:ascii="Times New Roman" w:hAnsi="Times New Roman" w:cs="Times New Roman" w:eastAsia="Times New Roman" w:hint="default"/>
          <w:spacing w:val="-3"/>
        </w:rPr>
        <w:t>1968 </w:t>
      </w:r>
      <w:r>
        <w:rPr/>
        <w:t>年 </w:t>
      </w:r>
      <w:r>
        <w:rPr>
          <w:rFonts w:ascii="Times New Roman" w:hAnsi="Times New Roman" w:cs="Times New Roman" w:eastAsia="Times New Roman" w:hint="default"/>
          <w:spacing w:val="-4"/>
        </w:rPr>
        <w:t>11 </w:t>
      </w:r>
      <w:r>
        <w:rPr>
          <w:spacing w:val="-3"/>
        </w:rPr>
        <w:t>月出生，本科学历，法律硕士。曾任广西北海市人民检察院书记</w:t>
      </w:r>
      <w:r>
        <w:rPr>
          <w:spacing w:val="-64"/>
        </w:rPr>
        <w:t> </w:t>
      </w:r>
      <w:r>
        <w:rPr>
          <w:spacing w:val="-64"/>
        </w:rPr>
      </w:r>
      <w:r>
        <w:rPr>
          <w:spacing w:val="-6"/>
        </w:rPr>
        <w:t>员、助理检察员、检察员，深圳市纪委第二案件检查室主任科员、案件管理处副处级纪检员、</w:t>
      </w:r>
      <w:r>
        <w:rPr>
          <w:spacing w:val="-56"/>
        </w:rPr>
        <w:t> </w:t>
      </w:r>
      <w:r>
        <w:rPr>
          <w:spacing w:val="-56"/>
        </w:rPr>
      </w:r>
      <w:r>
        <w:rPr>
          <w:spacing w:val="-4"/>
        </w:rPr>
        <w:t>市委驻深单位纪工委副书记、市直属机关纪工委副书记市纪委派驻第七纪检监察组组长、市</w:t>
      </w:r>
      <w:r>
        <w:rPr>
          <w:spacing w:val="-40"/>
        </w:rPr>
        <w:t> </w:t>
      </w:r>
      <w:r>
        <w:rPr>
          <w:spacing w:val="-40"/>
        </w:rPr>
      </w:r>
      <w:r>
        <w:rPr>
          <w:spacing w:val="-4"/>
        </w:rPr>
        <w:t>纪委派驻第四纪检组副组长。现任深圳市福德国有资本运营有限公司监事，公司第八届监事</w:t>
      </w:r>
      <w:r>
        <w:rPr>
          <w:spacing w:val="-40"/>
        </w:rPr>
        <w:t> </w:t>
      </w:r>
      <w:r>
        <w:rPr>
          <w:spacing w:val="-40"/>
        </w:rPr>
      </w:r>
      <w:r>
        <w:rPr/>
        <w:t>会监事会主席、纪委书记。</w:t>
      </w:r>
    </w:p>
    <w:p>
      <w:pPr>
        <w:pStyle w:val="BodyText"/>
        <w:spacing w:line="343" w:lineRule="auto" w:before="33"/>
        <w:ind w:left="138" w:right="1675"/>
        <w:jc w:val="left"/>
      </w:pPr>
      <w:r>
        <w:rPr>
          <w:rFonts w:ascii="Times New Roman" w:hAnsi="Times New Roman" w:cs="Times New Roman" w:eastAsia="Times New Roman" w:hint="default"/>
        </w:rPr>
        <w:t>2</w:t>
      </w:r>
      <w:r>
        <w:rPr/>
        <w:t>、王道海先生，</w:t>
      </w:r>
      <w:r>
        <w:rPr>
          <w:rFonts w:ascii="Times New Roman" w:hAnsi="Times New Roman" w:cs="Times New Roman" w:eastAsia="Times New Roman" w:hint="default"/>
        </w:rPr>
        <w:t>1966</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3"/>
        </w:rPr>
        <w:t>月出生，研究生学历，硕士，会计学专业，高级会计师。曾任职</w:t>
      </w:r>
      <w:r>
        <w:rPr>
          <w:spacing w:val="-87"/>
        </w:rPr>
        <w:t> </w:t>
      </w:r>
      <w:r>
        <w:rPr>
          <w:spacing w:val="-87"/>
        </w:rPr>
      </w:r>
      <w:r>
        <w:rPr>
          <w:spacing w:val="-6"/>
        </w:rPr>
        <w:t>于深圳市沙河实业（集团）有限公司、深圳赛格高技术投资股份有限公司、金田实业（集团）</w:t>
      </w:r>
      <w:r>
        <w:rPr>
          <w:spacing w:val="-56"/>
        </w:rPr>
        <w:t> </w:t>
      </w:r>
      <w:r>
        <w:rPr>
          <w:spacing w:val="-56"/>
        </w:rPr>
      </w:r>
      <w:r>
        <w:rPr>
          <w:spacing w:val="-4"/>
        </w:rPr>
        <w:t>股份有限公司。现任深圳市远致投资有限公司副总经理，深圳市中洲投资控股股份有限公司</w:t>
      </w:r>
      <w:r>
        <w:rPr>
          <w:spacing w:val="-42"/>
        </w:rPr>
        <w:t> </w:t>
      </w:r>
      <w:r>
        <w:rPr>
          <w:spacing w:val="-42"/>
        </w:rPr>
      </w:r>
      <w:r>
        <w:rPr>
          <w:spacing w:val="-4"/>
        </w:rPr>
        <w:t>董事，深圳市赛格集团有限公司董事，喀什深圳城有限公司董事，深圳市科陆电子科技股份</w:t>
      </w:r>
      <w:r>
        <w:rPr>
          <w:spacing w:val="-44"/>
        </w:rPr>
        <w:t> </w:t>
      </w:r>
      <w:r>
        <w:rPr>
          <w:spacing w:val="-44"/>
        </w:rPr>
      </w:r>
      <w:r>
        <w:rPr/>
        <w:t>有限公司董事，公司第八届监事会监事。</w:t>
      </w:r>
    </w:p>
    <w:p>
      <w:pPr>
        <w:pStyle w:val="BodyText"/>
        <w:spacing w:line="340" w:lineRule="auto" w:before="33"/>
        <w:ind w:left="138" w:right="1675"/>
        <w:jc w:val="left"/>
      </w:pPr>
      <w:r>
        <w:rPr>
          <w:rFonts w:ascii="Times New Roman" w:hAnsi="Times New Roman" w:cs="Times New Roman" w:eastAsia="Times New Roman" w:hint="default"/>
          <w:spacing w:val="-3"/>
        </w:rPr>
        <w:t>3</w:t>
      </w:r>
      <w:r>
        <w:rPr>
          <w:spacing w:val="-3"/>
        </w:rPr>
        <w:t>、陈凤华女士，</w:t>
      </w:r>
      <w:r>
        <w:rPr>
          <w:rFonts w:ascii="Times New Roman" w:hAnsi="Times New Roman" w:cs="Times New Roman" w:eastAsia="Times New Roman" w:hint="default"/>
          <w:spacing w:val="-3"/>
        </w:rPr>
        <w:t>1964 </w:t>
      </w:r>
      <w:r>
        <w:rPr/>
        <w:t>年 </w:t>
      </w:r>
      <w:r>
        <w:rPr>
          <w:rFonts w:ascii="Times New Roman" w:hAnsi="Times New Roman" w:cs="Times New Roman" w:eastAsia="Times New Roman" w:hint="default"/>
        </w:rPr>
        <w:t>7 </w:t>
      </w:r>
      <w:r>
        <w:rPr>
          <w:spacing w:val="-3"/>
        </w:rPr>
        <w:t>月出生，本科学历，法律专业，高级政工师。曾任江西省万安县</w:t>
      </w:r>
      <w:r>
        <w:rPr>
          <w:spacing w:val="-80"/>
        </w:rPr>
        <w:t> </w:t>
      </w:r>
      <w:r>
        <w:rPr>
          <w:spacing w:val="-80"/>
        </w:rPr>
      </w:r>
      <w:r>
        <w:rPr>
          <w:spacing w:val="-4"/>
        </w:rPr>
        <w:t>人民法院书记员及审判员，南昌航空大学（原南昌航空工业学院）法律顾问、讲师，深圳市</w:t>
      </w:r>
      <w:r>
        <w:rPr>
          <w:spacing w:val="-42"/>
        </w:rPr>
        <w:t> </w:t>
      </w:r>
      <w:r>
        <w:rPr>
          <w:spacing w:val="-42"/>
        </w:rPr>
      </w:r>
      <w:r>
        <w:rPr>
          <w:spacing w:val="-7"/>
        </w:rPr>
        <w:t>海信律师事务所律师，深圳航空责任有限公司法律顾问，历任公司综治办主任、调解办主任，</w:t>
      </w:r>
      <w:r>
        <w:rPr>
          <w:spacing w:val="-18"/>
        </w:rPr>
        <w:t> </w:t>
      </w:r>
      <w:r>
        <w:rPr>
          <w:spacing w:val="-18"/>
        </w:rPr>
      </w:r>
      <w:r>
        <w:rPr/>
        <w:t>安全办主任。现任公司第八届监事会职工监事、信访室主任。</w:t>
      </w:r>
    </w:p>
    <w:p>
      <w:pPr>
        <w:spacing w:after="0" w:line="340" w:lineRule="auto"/>
        <w:jc w:val="left"/>
        <w:sectPr>
          <w:pgSz w:w="11910" w:h="16850"/>
          <w:pgMar w:header="877" w:footer="1265" w:top="1100" w:bottom="1460" w:left="1660" w:right="0"/>
        </w:sectPr>
      </w:pPr>
    </w:p>
    <w:p>
      <w:pPr>
        <w:spacing w:line="240" w:lineRule="auto" w:before="2"/>
        <w:rPr>
          <w:rFonts w:ascii="宋体" w:hAnsi="宋体" w:cs="宋体" w:eastAsia="宋体" w:hint="default"/>
          <w:sz w:val="24"/>
          <w:szCs w:val="24"/>
        </w:rPr>
      </w:pPr>
    </w:p>
    <w:p>
      <w:pPr>
        <w:pStyle w:val="BodyText"/>
        <w:spacing w:line="340" w:lineRule="auto"/>
        <w:ind w:left="138" w:right="1675"/>
        <w:jc w:val="left"/>
      </w:pPr>
      <w:r>
        <w:rPr>
          <w:rFonts w:ascii="Times New Roman" w:hAnsi="Times New Roman" w:cs="Times New Roman" w:eastAsia="Times New Roman" w:hint="default"/>
        </w:rPr>
        <w:t>4</w:t>
      </w:r>
      <w:r>
        <w:rPr/>
        <w:t>、林映文女士，</w:t>
      </w:r>
      <w:r>
        <w:rPr>
          <w:rFonts w:ascii="Times New Roman" w:hAnsi="Times New Roman" w:cs="Times New Roman" w:eastAsia="Times New Roman" w:hint="default"/>
        </w:rPr>
        <w:t>1978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月生，本科学历，管理学硕士，企业管理专业，经济师。历任</w:t>
      </w:r>
      <w:r>
        <w:rPr>
          <w:w w:val="100"/>
        </w:rPr>
        <w:t> </w:t>
      </w:r>
      <w:r>
        <w:rPr>
          <w:spacing w:val="-4"/>
        </w:rPr>
        <w:t>公司企业部副主任科员，总经理办公室副主任科员、高级文秘，人力资源中心主管、绩效总</w:t>
      </w:r>
      <w:r>
        <w:rPr>
          <w:spacing w:val="-42"/>
        </w:rPr>
        <w:t> </w:t>
      </w:r>
      <w:r>
        <w:rPr>
          <w:spacing w:val="-42"/>
        </w:rPr>
      </w:r>
      <w:r>
        <w:rPr/>
        <w:t>监、副总经理，现任公司第八届监事会职工监事、纪检监察室（监事会办公室）副主任。</w:t>
      </w:r>
      <w:r>
        <w:rPr>
          <w:w w:val="100"/>
        </w:rPr>
        <w:t> </w:t>
      </w:r>
      <w:r>
        <w:rPr>
          <w:rFonts w:ascii="Times New Roman" w:hAnsi="Times New Roman" w:cs="Times New Roman" w:eastAsia="Times New Roman" w:hint="default"/>
          <w:spacing w:val="-3"/>
        </w:rPr>
        <w:t>5</w:t>
      </w:r>
      <w:r>
        <w:rPr>
          <w:spacing w:val="-3"/>
        </w:rPr>
        <w:t>、廖红丽女士，</w:t>
      </w:r>
      <w:r>
        <w:rPr>
          <w:rFonts w:ascii="Times New Roman" w:hAnsi="Times New Roman" w:cs="Times New Roman" w:eastAsia="Times New Roman" w:hint="default"/>
          <w:spacing w:val="-3"/>
        </w:rPr>
        <w:t>1965 </w:t>
      </w:r>
      <w:r>
        <w:rPr/>
        <w:t>年 </w:t>
      </w:r>
      <w:r>
        <w:rPr>
          <w:rFonts w:ascii="Times New Roman" w:hAnsi="Times New Roman" w:cs="Times New Roman" w:eastAsia="Times New Roman" w:hint="default"/>
        </w:rPr>
        <w:t>3 </w:t>
      </w:r>
      <w:r>
        <w:rPr>
          <w:spacing w:val="-3"/>
        </w:rPr>
        <w:t>月出生，本科学历，会计学专业，会计师。曾任深圳石化综合商</w:t>
      </w:r>
      <w:r>
        <w:rPr>
          <w:spacing w:val="-81"/>
        </w:rPr>
        <w:t> </w:t>
      </w:r>
      <w:r>
        <w:rPr>
          <w:spacing w:val="-81"/>
        </w:rPr>
      </w:r>
      <w:r>
        <w:rPr>
          <w:spacing w:val="-5"/>
        </w:rPr>
        <w:t>社有限公司审计部副部长、公司审计部副部长、公司审计风控中心审计总监、副总经理。现</w:t>
      </w:r>
      <w:r>
        <w:rPr>
          <w:spacing w:val="-25"/>
        </w:rPr>
        <w:t> </w:t>
      </w:r>
      <w:r>
        <w:rPr>
          <w:spacing w:val="-25"/>
        </w:rPr>
      </w:r>
      <w:r>
        <w:rPr/>
        <w:t>任公司第八届监事会监事、审计风控管理总部副总经理。</w:t>
      </w:r>
    </w:p>
    <w:p>
      <w:pPr>
        <w:pStyle w:val="Heading6"/>
        <w:spacing w:line="334" w:lineRule="exact"/>
        <w:ind w:left="138" w:right="1675"/>
        <w:jc w:val="left"/>
        <w:rPr>
          <w:b w:val="0"/>
          <w:bCs w:val="0"/>
        </w:rPr>
      </w:pPr>
      <w:r>
        <w:rPr/>
        <w:t>（三）高级管理人员简介</w:t>
      </w:r>
      <w:r>
        <w:rPr>
          <w:b w:val="0"/>
          <w:bCs w:val="0"/>
        </w:rPr>
      </w:r>
    </w:p>
    <w:p>
      <w:pPr>
        <w:pStyle w:val="BodyText"/>
        <w:spacing w:line="240" w:lineRule="auto" w:before="99"/>
        <w:ind w:left="138" w:right="1675"/>
        <w:jc w:val="left"/>
      </w:pPr>
      <w:r>
        <w:rPr>
          <w:rFonts w:ascii="Times New Roman" w:hAnsi="Times New Roman" w:cs="Times New Roman" w:eastAsia="Times New Roman" w:hint="default"/>
          <w:w w:val="100"/>
        </w:rPr>
        <w:t>1</w:t>
      </w:r>
      <w:r>
        <w:rPr>
          <w:w w:val="100"/>
        </w:rPr>
        <w:t>、</w:t>
      </w:r>
      <w:r>
        <w:rPr>
          <w:spacing w:val="-3"/>
          <w:w w:val="100"/>
        </w:rPr>
        <w:t>黄</w:t>
      </w:r>
      <w:r>
        <w:rPr>
          <w:w w:val="100"/>
        </w:rPr>
        <w:t>明</w:t>
      </w:r>
      <w:r>
        <w:rPr>
          <w:spacing w:val="-3"/>
          <w:w w:val="100"/>
        </w:rPr>
        <w:t>先</w:t>
      </w:r>
      <w:r>
        <w:rPr>
          <w:w w:val="100"/>
        </w:rPr>
        <w:t>生</w:t>
      </w:r>
      <w:r>
        <w:rPr>
          <w:spacing w:val="-3"/>
          <w:w w:val="100"/>
        </w:rPr>
        <w:t>，</w:t>
      </w:r>
      <w:r>
        <w:rPr>
          <w:w w:val="100"/>
        </w:rPr>
        <w:t>简</w:t>
      </w:r>
      <w:r>
        <w:rPr>
          <w:spacing w:val="-3"/>
          <w:w w:val="100"/>
        </w:rPr>
        <w:t>历</w:t>
      </w:r>
      <w:r>
        <w:rPr>
          <w:w w:val="100"/>
        </w:rPr>
        <w:t>详</w:t>
      </w:r>
      <w:r>
        <w:rPr>
          <w:spacing w:val="-3"/>
          <w:w w:val="100"/>
        </w:rPr>
        <w:t>见“</w:t>
      </w:r>
      <w:r>
        <w:rPr>
          <w:w w:val="100"/>
        </w:rPr>
        <w:t>董事</w:t>
      </w:r>
      <w:r>
        <w:rPr>
          <w:spacing w:val="-3"/>
          <w:w w:val="100"/>
        </w:rPr>
        <w:t>简</w:t>
      </w:r>
      <w:r>
        <w:rPr>
          <w:w w:val="100"/>
        </w:rPr>
        <w:t>介</w:t>
      </w:r>
      <w:r>
        <w:rPr>
          <w:spacing w:val="-108"/>
          <w:w w:val="100"/>
        </w:rPr>
        <w:t>”</w:t>
      </w:r>
      <w:r>
        <w:rPr>
          <w:w w:val="100"/>
        </w:rPr>
        <w:t>。</w:t>
      </w:r>
    </w:p>
    <w:p>
      <w:pPr>
        <w:pStyle w:val="BodyText"/>
        <w:spacing w:line="240" w:lineRule="auto" w:before="107"/>
        <w:ind w:left="138" w:right="1675"/>
        <w:jc w:val="left"/>
      </w:pPr>
      <w:r>
        <w:rPr>
          <w:rFonts w:ascii="Times New Roman" w:hAnsi="Times New Roman" w:cs="Times New Roman" w:eastAsia="Times New Roman" w:hint="default"/>
          <w:w w:val="100"/>
        </w:rPr>
        <w:t>2</w:t>
      </w:r>
      <w:r>
        <w:rPr>
          <w:w w:val="100"/>
        </w:rPr>
        <w:t>、</w:t>
      </w:r>
      <w:r>
        <w:rPr>
          <w:spacing w:val="-3"/>
          <w:w w:val="100"/>
        </w:rPr>
        <w:t>张</w:t>
      </w:r>
      <w:r>
        <w:rPr>
          <w:w w:val="100"/>
        </w:rPr>
        <w:t>磊</w:t>
      </w:r>
      <w:r>
        <w:rPr>
          <w:spacing w:val="-3"/>
          <w:w w:val="100"/>
        </w:rPr>
        <w:t>先</w:t>
      </w:r>
      <w:r>
        <w:rPr>
          <w:w w:val="100"/>
        </w:rPr>
        <w:t>生</w:t>
      </w:r>
      <w:r>
        <w:rPr>
          <w:spacing w:val="-3"/>
          <w:w w:val="100"/>
        </w:rPr>
        <w:t>，</w:t>
      </w:r>
      <w:r>
        <w:rPr>
          <w:w w:val="100"/>
        </w:rPr>
        <w:t>简</w:t>
      </w:r>
      <w:r>
        <w:rPr>
          <w:spacing w:val="-3"/>
          <w:w w:val="100"/>
        </w:rPr>
        <w:t>历</w:t>
      </w:r>
      <w:r>
        <w:rPr>
          <w:w w:val="100"/>
        </w:rPr>
        <w:t>详</w:t>
      </w:r>
      <w:r>
        <w:rPr>
          <w:spacing w:val="-3"/>
          <w:w w:val="100"/>
        </w:rPr>
        <w:t>见“</w:t>
      </w:r>
      <w:r>
        <w:rPr>
          <w:w w:val="100"/>
        </w:rPr>
        <w:t>董事</w:t>
      </w:r>
      <w:r>
        <w:rPr>
          <w:spacing w:val="-3"/>
          <w:w w:val="100"/>
        </w:rPr>
        <w:t>简</w:t>
      </w:r>
      <w:r>
        <w:rPr>
          <w:w w:val="100"/>
        </w:rPr>
        <w:t>介</w:t>
      </w:r>
      <w:r>
        <w:rPr>
          <w:spacing w:val="-108"/>
          <w:w w:val="100"/>
        </w:rPr>
        <w:t>”。</w:t>
      </w:r>
      <w:r>
        <w:rPr>
          <w:w w:val="100"/>
        </w:rPr>
      </w:r>
    </w:p>
    <w:p>
      <w:pPr>
        <w:pStyle w:val="BodyText"/>
        <w:spacing w:line="240" w:lineRule="auto" w:before="105"/>
        <w:ind w:left="138" w:right="1675"/>
        <w:jc w:val="left"/>
      </w:pPr>
      <w:r>
        <w:rPr>
          <w:rFonts w:ascii="Times New Roman" w:hAnsi="Times New Roman" w:cs="Times New Roman" w:eastAsia="Times New Roman" w:hint="default"/>
          <w:w w:val="100"/>
        </w:rPr>
        <w:t>3</w:t>
      </w:r>
      <w:r>
        <w:rPr>
          <w:w w:val="100"/>
        </w:rPr>
        <w:t>、</w:t>
      </w:r>
      <w:r>
        <w:rPr>
          <w:spacing w:val="-3"/>
          <w:w w:val="100"/>
        </w:rPr>
        <w:t>陈</w:t>
      </w:r>
      <w:r>
        <w:rPr>
          <w:w w:val="100"/>
        </w:rPr>
        <w:t>小</w:t>
      </w:r>
      <w:r>
        <w:rPr>
          <w:spacing w:val="-3"/>
          <w:w w:val="100"/>
        </w:rPr>
        <w:t>华</w:t>
      </w:r>
      <w:r>
        <w:rPr>
          <w:w w:val="100"/>
        </w:rPr>
        <w:t>先</w:t>
      </w:r>
      <w:r>
        <w:rPr>
          <w:spacing w:val="-3"/>
          <w:w w:val="100"/>
        </w:rPr>
        <w:t>生</w:t>
      </w:r>
      <w:r>
        <w:rPr>
          <w:w w:val="100"/>
        </w:rPr>
        <w:t>，</w:t>
      </w:r>
      <w:r>
        <w:rPr>
          <w:spacing w:val="-3"/>
          <w:w w:val="100"/>
        </w:rPr>
        <w:t>简</w:t>
      </w:r>
      <w:r>
        <w:rPr>
          <w:w w:val="100"/>
        </w:rPr>
        <w:t>历</w:t>
      </w:r>
      <w:r>
        <w:rPr>
          <w:spacing w:val="-3"/>
          <w:w w:val="100"/>
        </w:rPr>
        <w:t>详见</w:t>
      </w:r>
      <w:r>
        <w:rPr>
          <w:w w:val="100"/>
        </w:rPr>
        <w:t>“董</w:t>
      </w:r>
      <w:r>
        <w:rPr>
          <w:spacing w:val="-3"/>
          <w:w w:val="100"/>
        </w:rPr>
        <w:t>事</w:t>
      </w:r>
      <w:r>
        <w:rPr>
          <w:w w:val="100"/>
        </w:rPr>
        <w:t>简</w:t>
      </w:r>
      <w:r>
        <w:rPr>
          <w:spacing w:val="-3"/>
          <w:w w:val="100"/>
        </w:rPr>
        <w:t>介</w:t>
      </w:r>
      <w:r>
        <w:rPr>
          <w:spacing w:val="-106"/>
          <w:w w:val="100"/>
        </w:rPr>
        <w:t>”</w:t>
      </w:r>
      <w:r>
        <w:rPr>
          <w:w w:val="100"/>
        </w:rPr>
        <w:t>。</w:t>
      </w:r>
    </w:p>
    <w:p>
      <w:pPr>
        <w:pStyle w:val="BodyText"/>
        <w:spacing w:line="343" w:lineRule="auto" w:before="108"/>
        <w:ind w:left="138" w:right="1788"/>
        <w:jc w:val="both"/>
      </w:pPr>
      <w:r>
        <w:rPr>
          <w:rFonts w:ascii="Times New Roman" w:hAnsi="Times New Roman" w:cs="Times New Roman" w:eastAsia="Times New Roman" w:hint="default"/>
          <w:spacing w:val="-3"/>
        </w:rPr>
        <w:t>4</w:t>
      </w:r>
      <w:r>
        <w:rPr>
          <w:spacing w:val="-3"/>
        </w:rPr>
        <w:t>、张键先生，</w:t>
      </w:r>
      <w:r>
        <w:rPr>
          <w:rFonts w:ascii="Times New Roman" w:hAnsi="Times New Roman" w:cs="Times New Roman" w:eastAsia="Times New Roman" w:hint="default"/>
          <w:spacing w:val="-3"/>
        </w:rPr>
        <w:t>1973 </w:t>
      </w:r>
      <w:r>
        <w:rPr/>
        <w:t>年 </w:t>
      </w:r>
      <w:r>
        <w:rPr>
          <w:rFonts w:ascii="Times New Roman" w:hAnsi="Times New Roman" w:cs="Times New Roman" w:eastAsia="Times New Roman" w:hint="default"/>
        </w:rPr>
        <w:t>4 </w:t>
      </w:r>
      <w:r>
        <w:rPr>
          <w:spacing w:val="-3"/>
        </w:rPr>
        <w:t>月出生，工商管理硕士，经济师，高级人力资源管理师。曾任深圳</w:t>
      </w:r>
      <w:r>
        <w:rPr>
          <w:spacing w:val="-81"/>
        </w:rPr>
        <w:t> </w:t>
      </w:r>
      <w:r>
        <w:rPr>
          <w:spacing w:val="-81"/>
        </w:rPr>
      </w:r>
      <w:r>
        <w:rPr>
          <w:spacing w:val="-4"/>
        </w:rPr>
        <w:t>市机械设备进出口公司业务主办、驻尼日利亚营业代表，深圳市逸康医疗仪器有限公司总经</w:t>
      </w:r>
      <w:r>
        <w:rPr>
          <w:spacing w:val="-41"/>
        </w:rPr>
        <w:t> </w:t>
      </w:r>
      <w:r>
        <w:rPr>
          <w:spacing w:val="-41"/>
        </w:rPr>
      </w:r>
      <w:r>
        <w:rPr>
          <w:spacing w:val="-4"/>
        </w:rPr>
        <w:t>理助理；历任公司人力资源部副部长、部长，曾兼任公司供应链管理总部总经理及公司子公</w:t>
      </w:r>
      <w:r>
        <w:rPr>
          <w:spacing w:val="-41"/>
        </w:rPr>
        <w:t> </w:t>
      </w:r>
      <w:r>
        <w:rPr>
          <w:spacing w:val="-41"/>
        </w:rPr>
      </w:r>
      <w:r>
        <w:rPr>
          <w:spacing w:val="-4"/>
        </w:rPr>
        <w:t>司深圳市海吉星投资管理股份有限公司、深圳市果菜贸易有限公司、深圳市星联国际供应链</w:t>
      </w:r>
      <w:r>
        <w:rPr>
          <w:spacing w:val="-42"/>
        </w:rPr>
        <w:t> </w:t>
      </w:r>
      <w:r>
        <w:rPr>
          <w:spacing w:val="-42"/>
        </w:rPr>
      </w:r>
      <w:r>
        <w:rPr>
          <w:spacing w:val="-4"/>
        </w:rPr>
        <w:t>管理有限公司、深圳市农产品电子商务有限公司、深圳市农产品益膳食材配送有限公司，烟</w:t>
      </w:r>
      <w:r>
        <w:rPr>
          <w:spacing w:val="-44"/>
        </w:rPr>
        <w:t> </w:t>
      </w:r>
      <w:r>
        <w:rPr>
          <w:spacing w:val="-44"/>
        </w:rPr>
      </w:r>
      <w:r>
        <w:rPr/>
        <w:t>台海古星国际农产品冷链物流有限公司董事长。现任公司副总裁。</w:t>
      </w:r>
    </w:p>
    <w:p>
      <w:pPr>
        <w:pStyle w:val="BodyText"/>
        <w:spacing w:line="338" w:lineRule="auto" w:before="33"/>
        <w:ind w:left="138" w:right="1786"/>
        <w:jc w:val="both"/>
      </w:pPr>
      <w:r>
        <w:rPr>
          <w:rFonts w:ascii="Times New Roman" w:hAnsi="Times New Roman" w:cs="Times New Roman" w:eastAsia="Times New Roman" w:hint="default"/>
          <w:spacing w:val="-3"/>
        </w:rPr>
        <w:t>5</w:t>
      </w:r>
      <w:r>
        <w:rPr>
          <w:spacing w:val="-3"/>
        </w:rPr>
        <w:t>、沈骅先生，</w:t>
      </w:r>
      <w:r>
        <w:rPr>
          <w:rFonts w:ascii="Times New Roman" w:hAnsi="Times New Roman" w:cs="Times New Roman" w:eastAsia="Times New Roman" w:hint="default"/>
          <w:spacing w:val="-3"/>
        </w:rPr>
        <w:t>1975 </w:t>
      </w:r>
      <w:r>
        <w:rPr/>
        <w:t>年 </w:t>
      </w:r>
      <w:r>
        <w:rPr>
          <w:rFonts w:ascii="Times New Roman" w:hAnsi="Times New Roman" w:cs="Times New Roman" w:eastAsia="Times New Roman" w:hint="default"/>
        </w:rPr>
        <w:t>1 </w:t>
      </w:r>
      <w:r>
        <w:rPr>
          <w:spacing w:val="-3"/>
        </w:rPr>
        <w:t>月出生，工商管理硕士，经济师，历任公司布吉农产品批发中心管</w:t>
      </w:r>
      <w:r>
        <w:rPr>
          <w:spacing w:val="-79"/>
        </w:rPr>
        <w:t> </w:t>
      </w:r>
      <w:r>
        <w:rPr>
          <w:spacing w:val="-79"/>
        </w:rPr>
      </w:r>
      <w:r>
        <w:rPr>
          <w:spacing w:val="-4"/>
        </w:rPr>
        <w:t>理部副经理，子公司南昌深圳农产品中心批发市场有限公司副总经理、总经理、董事长。现</w:t>
      </w:r>
      <w:r>
        <w:rPr>
          <w:spacing w:val="-39"/>
        </w:rPr>
        <w:t> </w:t>
      </w:r>
      <w:r>
        <w:rPr>
          <w:spacing w:val="-39"/>
        </w:rPr>
      </w:r>
      <w:r>
        <w:rPr/>
        <w:t>任公司副总裁。</w:t>
      </w:r>
    </w:p>
    <w:p>
      <w:pPr>
        <w:pStyle w:val="BodyText"/>
        <w:spacing w:line="328" w:lineRule="auto" w:before="38"/>
        <w:ind w:left="138" w:right="1675"/>
        <w:jc w:val="left"/>
      </w:pPr>
      <w:r>
        <w:rPr>
          <w:rFonts w:ascii="Times New Roman" w:hAnsi="Times New Roman" w:cs="Times New Roman" w:eastAsia="Times New Roman" w:hint="default"/>
          <w:spacing w:val="-3"/>
        </w:rPr>
        <w:t>6</w:t>
      </w:r>
      <w:r>
        <w:rPr>
          <w:spacing w:val="-3"/>
        </w:rPr>
        <w:t>、杜鹏先生，</w:t>
      </w:r>
      <w:r>
        <w:rPr>
          <w:rFonts w:ascii="Times New Roman" w:hAnsi="Times New Roman" w:cs="Times New Roman" w:eastAsia="Times New Roman" w:hint="default"/>
          <w:spacing w:val="-3"/>
        </w:rPr>
        <w:t>1972 </w:t>
      </w:r>
      <w:r>
        <w:rPr/>
        <w:t>年 </w:t>
      </w:r>
      <w:r>
        <w:rPr>
          <w:rFonts w:ascii="Times New Roman" w:hAnsi="Times New Roman" w:cs="Times New Roman" w:eastAsia="Times New Roman" w:hint="default"/>
        </w:rPr>
        <w:t>6 </w:t>
      </w:r>
      <w:r>
        <w:rPr>
          <w:spacing w:val="-3"/>
        </w:rPr>
        <w:t>月出生，硕士研究生，教育学专业。曾任黑龙江省伊春市金山屯区</w:t>
      </w:r>
      <w:r>
        <w:rPr>
          <w:spacing w:val="-79"/>
        </w:rPr>
        <w:t> </w:t>
      </w:r>
      <w:r>
        <w:rPr>
          <w:spacing w:val="-79"/>
        </w:rPr>
      </w:r>
      <w:r>
        <w:rPr/>
        <w:t>区长、区委书记。现任公司副总裁。</w:t>
      </w:r>
    </w:p>
    <w:p>
      <w:pPr>
        <w:pStyle w:val="BodyText"/>
        <w:spacing w:line="338" w:lineRule="auto" w:before="43"/>
        <w:ind w:left="138" w:right="1675"/>
        <w:jc w:val="left"/>
      </w:pPr>
      <w:r>
        <w:rPr>
          <w:rFonts w:ascii="Times New Roman" w:hAnsi="Times New Roman" w:cs="Times New Roman" w:eastAsia="Times New Roman" w:hint="default"/>
        </w:rPr>
        <w:t>7</w:t>
      </w:r>
      <w:r>
        <w:rPr/>
        <w:t>、薛彤先生，</w:t>
      </w:r>
      <w:r>
        <w:rPr>
          <w:rFonts w:ascii="Times New Roman" w:hAnsi="Times New Roman" w:cs="Times New Roman" w:eastAsia="Times New Roman" w:hint="default"/>
        </w:rPr>
        <w:t>1969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月出生，硕士研究生，市政工程专业，高级工程师。历任公司工</w:t>
      </w:r>
      <w:r>
        <w:rPr>
          <w:w w:val="100"/>
        </w:rPr>
        <w:t> </w:t>
      </w:r>
      <w:r>
        <w:rPr>
          <w:spacing w:val="-7"/>
        </w:rPr>
        <w:t>程部副部长，资产经营总部副部长，子公司沈阳海吉星农产品物流有限公司总经理、董事长。</w:t>
      </w:r>
      <w:r>
        <w:rPr>
          <w:spacing w:val="-18"/>
        </w:rPr>
        <w:t> </w:t>
      </w:r>
      <w:r>
        <w:rPr>
          <w:spacing w:val="-18"/>
        </w:rPr>
      </w:r>
      <w:r>
        <w:rPr/>
        <w:t>现任公司副总裁。</w:t>
      </w:r>
    </w:p>
    <w:p>
      <w:pPr>
        <w:pStyle w:val="BodyText"/>
        <w:spacing w:line="338" w:lineRule="auto" w:before="78"/>
        <w:ind w:left="138" w:right="1675"/>
        <w:jc w:val="left"/>
      </w:pPr>
      <w:r>
        <w:rPr>
          <w:rFonts w:ascii="Times New Roman" w:hAnsi="Times New Roman" w:cs="Times New Roman" w:eastAsia="Times New Roman" w:hint="default"/>
          <w:spacing w:val="-6"/>
        </w:rPr>
        <w:t>8</w:t>
      </w:r>
      <w:r>
        <w:rPr>
          <w:spacing w:val="-6"/>
        </w:rPr>
        <w:t>、江疆女士，</w:t>
      </w:r>
      <w:r>
        <w:rPr>
          <w:rFonts w:ascii="Times New Roman" w:hAnsi="Times New Roman" w:cs="Times New Roman" w:eastAsia="Times New Roman" w:hint="default"/>
          <w:spacing w:val="-6"/>
        </w:rPr>
        <w:t>1979 </w:t>
      </w:r>
      <w:r>
        <w:rPr/>
        <w:t>年 </w:t>
      </w:r>
      <w:r>
        <w:rPr>
          <w:rFonts w:ascii="Times New Roman" w:hAnsi="Times New Roman" w:cs="Times New Roman" w:eastAsia="Times New Roman" w:hint="default"/>
        </w:rPr>
        <w:t>8 </w:t>
      </w:r>
      <w:r>
        <w:rPr>
          <w:spacing w:val="-5"/>
        </w:rPr>
        <w:t>月出生，大学本科学历，法学硕士，经济师、具备董事会秘书资格、</w:t>
      </w:r>
      <w:r>
        <w:rPr>
          <w:spacing w:val="-85"/>
        </w:rPr>
        <w:t> </w:t>
      </w:r>
      <w:r>
        <w:rPr>
          <w:spacing w:val="-85"/>
        </w:rPr>
      </w:r>
      <w:r>
        <w:rPr>
          <w:spacing w:val="-4"/>
        </w:rPr>
        <w:t>法律职业资格。曾任深圳市深宝实业股份有限公司董事会办公室主任助理等职，历任公司证</w:t>
      </w:r>
      <w:r>
        <w:rPr>
          <w:spacing w:val="-41"/>
        </w:rPr>
        <w:t> </w:t>
      </w:r>
      <w:r>
        <w:rPr>
          <w:spacing w:val="-41"/>
        </w:rPr>
      </w:r>
      <w:r>
        <w:rPr/>
        <w:t>券事务代表、董事会办公室副主任，现任公司董事会秘书兼任董事会办公室主任。</w:t>
      </w:r>
    </w:p>
    <w:p>
      <w:pPr>
        <w:pStyle w:val="Heading6"/>
        <w:spacing w:line="240" w:lineRule="auto" w:before="110"/>
        <w:ind w:left="138" w:right="1675"/>
        <w:jc w:val="left"/>
        <w:rPr>
          <w:b w:val="0"/>
          <w:bCs w:val="0"/>
        </w:rPr>
      </w:pPr>
      <w:r>
        <w:rPr/>
        <w:t>（四）在股东单位任职情况</w:t>
      </w:r>
      <w:r>
        <w:rPr>
          <w:b w:val="0"/>
          <w:bCs w:val="0"/>
        </w:rPr>
      </w:r>
    </w:p>
    <w:p>
      <w:pPr>
        <w:spacing w:line="240" w:lineRule="auto" w:before="13"/>
        <w:rPr>
          <w:rFonts w:ascii="Microsoft JhengHei" w:hAnsi="Microsoft JhengHei" w:cs="Microsoft JhengHei" w:eastAsia="Microsoft JhengHei"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1224"/>
        <w:gridCol w:w="3061"/>
        <w:gridCol w:w="1431"/>
        <w:gridCol w:w="1289"/>
        <w:gridCol w:w="1366"/>
      </w:tblGrid>
      <w:tr>
        <w:trPr>
          <w:trHeight w:val="886"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3" w:lineRule="auto" w:before="92"/>
              <w:ind w:left="439" w:right="81"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3" w:lineRule="auto" w:before="92"/>
              <w:ind w:left="139" w:right="4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8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黄守岩</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曹宇</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深圳市福德国有资本运营有限公司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6"/>
        <w:spacing w:line="240" w:lineRule="auto" w:before="4"/>
        <w:ind w:left="138" w:right="1675"/>
        <w:jc w:val="left"/>
        <w:rPr>
          <w:b w:val="0"/>
          <w:bCs w:val="0"/>
        </w:rPr>
      </w:pPr>
      <w:r>
        <w:rPr/>
        <w:t>（五）在其他单位任职情况</w:t>
      </w:r>
      <w:r>
        <w:rPr>
          <w:b w:val="0"/>
          <w:bCs w:val="0"/>
        </w:rPr>
      </w:r>
    </w:p>
    <w:p>
      <w:pPr>
        <w:spacing w:after="0" w:line="240" w:lineRule="auto"/>
        <w:jc w:val="left"/>
        <w:sectPr>
          <w:pgSz w:w="11910" w:h="16850"/>
          <w:pgMar w:header="877" w:footer="1265" w:top="1100" w:bottom="1460" w:left="1660" w:right="0"/>
        </w:sectPr>
      </w:pPr>
    </w:p>
    <w:p>
      <w:pPr>
        <w:spacing w:line="240" w:lineRule="auto" w:before="2"/>
        <w:rPr>
          <w:rFonts w:ascii="Microsoft JhengHei" w:hAnsi="Microsoft JhengHei" w:cs="Microsoft JhengHei" w:eastAsia="Microsoft JhengHei"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823"/>
        <w:gridCol w:w="3401"/>
        <w:gridCol w:w="1702"/>
        <w:gridCol w:w="1616"/>
        <w:gridCol w:w="994"/>
      </w:tblGrid>
      <w:tr>
        <w:trPr>
          <w:trHeight w:val="1203" w:hRule="exact"/>
        </w:trPr>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405"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405" w:lineRule="auto"/>
              <w:ind w:left="756" w:right="34" w:hanging="721"/>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5"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6"/>
                <w:szCs w:val="2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刘鲁鱼</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深圳综合开发研究院企业与市场研究中心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主任、研究员</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人人乐连锁商业集团股份有限公司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深圳警翼智能科技股份有限公司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宁钟</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教授、博士生导师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深圳市新纶科技股份有限公司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广东银禧科技股份有限公司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东莞铭普光磁股份有限公司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深圳互惠联盟电子商务有限公司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手击影像网络科技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广东瑞霆律师事务所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主任、首席合伙人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深圳市瑞升华科技股份有限公司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迅贷通供应链</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深圳前海迅贷金融服务有限公司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深圳市前海瑞置投资发展有限公司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4"/>
                <w:sz w:val="18"/>
                <w:szCs w:val="18"/>
              </w:rPr>
              <w:t>深圳经济特区房地产（集团）股份有限公司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深圳市振业（集团）股份有限公司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王道海</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深圳市中洲投资控股股份有限公司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深圳市赛格集团有限公司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23" w:type="dxa"/>
            <w:vMerge/>
            <w:tcBorders>
              <w:left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喀什深圳城有限公司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深圳市科陆电子科技股份有限公司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Microsoft JhengHei" w:hAnsi="Microsoft JhengHei" w:cs="Microsoft JhengHei" w:eastAsia="Microsoft JhengHei" w:hint="default"/>
          <w:b/>
          <w:bCs/>
          <w:sz w:val="11"/>
          <w:szCs w:val="11"/>
        </w:rPr>
      </w:pPr>
    </w:p>
    <w:p>
      <w:pPr>
        <w:pStyle w:val="Heading6"/>
        <w:spacing w:line="335" w:lineRule="exact"/>
        <w:ind w:left="218" w:right="0"/>
        <w:jc w:val="left"/>
        <w:rPr>
          <w:b w:val="0"/>
          <w:bCs w:val="0"/>
        </w:rPr>
      </w:pPr>
      <w:r>
        <w:rPr/>
        <w:t>（六）公司现任及报告期内离任董事、监事和高级管理人员近三年证券监管机构处罚的情</w:t>
      </w:r>
      <w:r>
        <w:rPr>
          <w:b w:val="0"/>
          <w:bCs w:val="0"/>
        </w:rPr>
      </w:r>
    </w:p>
    <w:p>
      <w:pPr>
        <w:pStyle w:val="Heading6"/>
        <w:spacing w:line="240" w:lineRule="auto" w:before="30"/>
        <w:ind w:left="218" w:right="0"/>
        <w:jc w:val="left"/>
        <w:rPr>
          <w:b w:val="0"/>
          <w:bCs w:val="0"/>
        </w:rPr>
      </w:pPr>
      <w:r>
        <w:rPr>
          <w:w w:val="100"/>
        </w:rPr>
        <w:t>况</w:t>
      </w:r>
      <w:r>
        <w:rPr>
          <w:b w:val="0"/>
          <w:bCs w:val="0"/>
          <w:w w:val="100"/>
        </w:rPr>
      </w:r>
    </w:p>
    <w:p>
      <w:pPr>
        <w:spacing w:line="240" w:lineRule="auto" w:before="6"/>
        <w:rPr>
          <w:rFonts w:ascii="Microsoft JhengHei" w:hAnsi="Microsoft JhengHei" w:cs="Microsoft JhengHei" w:eastAsia="Microsoft JhengHei" w:hint="default"/>
          <w:b/>
          <w:bCs/>
          <w:sz w:val="18"/>
          <w:szCs w:val="18"/>
        </w:rPr>
      </w:pPr>
    </w:p>
    <w:p>
      <w:pPr>
        <w:spacing w:before="0"/>
        <w:ind w:left="2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√不适用</w:t>
      </w:r>
    </w:p>
    <w:p>
      <w:pPr>
        <w:spacing w:after="0"/>
        <w:jc w:val="left"/>
        <w:rPr>
          <w:rFonts w:ascii="宋体" w:hAnsi="宋体" w:cs="宋体" w:eastAsia="宋体" w:hint="default"/>
          <w:sz w:val="18"/>
          <w:szCs w:val="18"/>
        </w:rPr>
        <w:sectPr>
          <w:pgSz w:w="11910" w:h="16850"/>
          <w:pgMar w:header="877" w:footer="1265" w:top="1100" w:bottom="1460" w:left="1580" w:right="0"/>
        </w:sectPr>
      </w:pPr>
    </w:p>
    <w:p>
      <w:pPr>
        <w:spacing w:line="240" w:lineRule="auto" w:before="13"/>
        <w:rPr>
          <w:rFonts w:ascii="宋体" w:hAnsi="宋体" w:cs="宋体" w:eastAsia="宋体" w:hint="default"/>
          <w:sz w:val="22"/>
          <w:szCs w:val="22"/>
        </w:rPr>
      </w:pPr>
    </w:p>
    <w:p>
      <w:pPr>
        <w:pStyle w:val="Heading4"/>
        <w:spacing w:line="367" w:lineRule="exact"/>
        <w:ind w:left="858" w:right="0"/>
        <w:jc w:val="left"/>
        <w:rPr>
          <w:b w:val="0"/>
          <w:bCs w:val="0"/>
        </w:rPr>
      </w:pPr>
      <w:r>
        <w:rPr/>
        <w:t>四、董事、监事、高级管理人员报酬情况</w:t>
      </w:r>
      <w:r>
        <w:rPr>
          <w:b w:val="0"/>
          <w:bCs w:val="0"/>
        </w:rPr>
      </w:r>
    </w:p>
    <w:p>
      <w:pPr>
        <w:spacing w:line="240" w:lineRule="auto" w:before="17"/>
        <w:rPr>
          <w:rFonts w:ascii="Microsoft JhengHei" w:hAnsi="Microsoft JhengHei" w:cs="Microsoft JhengHei" w:eastAsia="Microsoft JhengHei" w:hint="default"/>
          <w:b/>
          <w:bCs/>
          <w:sz w:val="23"/>
          <w:szCs w:val="23"/>
        </w:rPr>
      </w:pPr>
    </w:p>
    <w:p>
      <w:pPr>
        <w:pStyle w:val="Heading6"/>
        <w:spacing w:line="240" w:lineRule="auto"/>
        <w:ind w:left="858" w:right="0"/>
        <w:jc w:val="left"/>
        <w:rPr>
          <w:b w:val="0"/>
          <w:bCs w:val="0"/>
        </w:rPr>
      </w:pPr>
      <w:r>
        <w:rPr/>
        <w:t>（一）董事、监事、高级管理人员报酬的决策程序、确定依据、实际支付情况</w:t>
      </w:r>
      <w:r>
        <w:rPr>
          <w:b w:val="0"/>
          <w:bCs w:val="0"/>
        </w:rPr>
      </w:r>
    </w:p>
    <w:p>
      <w:pPr>
        <w:spacing w:line="240" w:lineRule="auto" w:before="7"/>
        <w:rPr>
          <w:rFonts w:ascii="Microsoft JhengHei" w:hAnsi="Microsoft JhengHei" w:cs="Microsoft JhengHei" w:eastAsia="Microsoft JhengHei" w:hint="default"/>
          <w:b/>
          <w:bCs/>
          <w:sz w:val="11"/>
          <w:szCs w:val="11"/>
        </w:rPr>
      </w:pPr>
    </w:p>
    <w:p>
      <w:pPr>
        <w:pStyle w:val="BodyText"/>
        <w:spacing w:line="338" w:lineRule="auto" w:before="0"/>
        <w:ind w:left="858" w:right="1786" w:firstLine="419"/>
        <w:jc w:val="both"/>
        <w:rPr>
          <w:rFonts w:ascii="Times New Roman" w:hAnsi="Times New Roman" w:cs="Times New Roman" w:eastAsia="Times New Roman" w:hint="default"/>
        </w:rPr>
      </w:pPr>
      <w:r>
        <w:rPr>
          <w:rFonts w:ascii="Times New Roman" w:hAnsi="Times New Roman" w:cs="Times New Roman" w:eastAsia="Times New Roman" w:hint="default"/>
          <w:spacing w:val="-6"/>
        </w:rPr>
        <w:t>1</w:t>
      </w:r>
      <w:r>
        <w:rPr>
          <w:spacing w:val="-6"/>
        </w:rPr>
        <w:t>、公司董事、监事、高级管理人员年度报酬依据公司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年第一次临时股东大会审议</w:t>
      </w:r>
      <w:r>
        <w:rPr>
          <w:w w:val="100"/>
        </w:rPr>
        <w:t> </w:t>
      </w:r>
      <w:r>
        <w:rPr>
          <w:spacing w:val="-4"/>
        </w:rPr>
        <w:t>通过的《深圳市农产品股份有限公司薪资管理制度》的规定发放。根据《关于在上市公司建</w:t>
      </w:r>
      <w:r>
        <w:rPr>
          <w:spacing w:val="-39"/>
        </w:rPr>
        <w:t> </w:t>
      </w:r>
      <w:r>
        <w:rPr>
          <w:spacing w:val="-39"/>
        </w:rPr>
      </w:r>
      <w:r>
        <w:rPr>
          <w:spacing w:val="-2"/>
        </w:rPr>
        <w:t>立独立董事制度的指导意见》的有关规定，经公司第七届董事会第二十次会议、公司</w:t>
      </w:r>
      <w:r>
        <w:rPr>
          <w:spacing w:val="22"/>
        </w:rPr>
        <w:t> </w:t>
      </w:r>
      <w:r>
        <w:rPr>
          <w:rFonts w:ascii="Times New Roman" w:hAnsi="Times New Roman" w:cs="Times New Roman" w:eastAsia="Times New Roman" w:hint="default"/>
          <w:spacing w:val="-1"/>
        </w:rPr>
        <w:t>2014</w:t>
      </w:r>
    </w:p>
    <w:p>
      <w:pPr>
        <w:pStyle w:val="BodyText"/>
        <w:spacing w:line="240" w:lineRule="auto" w:before="12"/>
        <w:ind w:left="858" w:right="0"/>
        <w:jc w:val="left"/>
      </w:pPr>
      <w:r>
        <w:rPr>
          <w:w w:val="100"/>
        </w:rPr>
        <w:t>年度</w:t>
      </w:r>
      <w:r>
        <w:rPr>
          <w:spacing w:val="-3"/>
          <w:w w:val="100"/>
        </w:rPr>
        <w:t>股</w:t>
      </w:r>
      <w:r>
        <w:rPr>
          <w:w w:val="100"/>
        </w:rPr>
        <w:t>东</w:t>
      </w:r>
      <w:r>
        <w:rPr>
          <w:spacing w:val="-3"/>
          <w:w w:val="100"/>
        </w:rPr>
        <w:t>大</w:t>
      </w:r>
      <w:r>
        <w:rPr>
          <w:w w:val="100"/>
        </w:rPr>
        <w:t>会</w:t>
      </w:r>
      <w:r>
        <w:rPr>
          <w:spacing w:val="-3"/>
          <w:w w:val="100"/>
        </w:rPr>
        <w:t>审</w:t>
      </w:r>
      <w:r>
        <w:rPr>
          <w:w w:val="100"/>
        </w:rPr>
        <w:t>议</w:t>
      </w:r>
      <w:r>
        <w:rPr>
          <w:spacing w:val="-3"/>
          <w:w w:val="100"/>
        </w:rPr>
        <w:t>通过</w:t>
      </w:r>
      <w:r>
        <w:rPr>
          <w:spacing w:val="-32"/>
          <w:w w:val="100"/>
        </w:rPr>
        <w:t>，</w:t>
      </w:r>
      <w:r>
        <w:rPr>
          <w:w w:val="100"/>
        </w:rPr>
        <w:t>自</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年</w:t>
      </w:r>
      <w:r>
        <w:rPr>
          <w:w w:val="100"/>
        </w:rPr>
        <w:t>起</w:t>
      </w:r>
      <w:r>
        <w:rPr>
          <w:spacing w:val="-3"/>
          <w:w w:val="100"/>
        </w:rPr>
        <w:t>公</w:t>
      </w:r>
      <w:r>
        <w:rPr>
          <w:w w:val="100"/>
        </w:rPr>
        <w:t>司</w:t>
      </w:r>
      <w:r>
        <w:rPr>
          <w:spacing w:val="-3"/>
          <w:w w:val="100"/>
        </w:rPr>
        <w:t>独</w:t>
      </w:r>
      <w:r>
        <w:rPr>
          <w:w w:val="100"/>
        </w:rPr>
        <w:t>立</w:t>
      </w:r>
      <w:r>
        <w:rPr>
          <w:spacing w:val="-3"/>
          <w:w w:val="100"/>
        </w:rPr>
        <w:t>董事</w:t>
      </w:r>
      <w:r>
        <w:rPr>
          <w:w w:val="100"/>
        </w:rPr>
        <w:t>津贴</w:t>
      </w:r>
      <w:r>
        <w:rPr>
          <w:spacing w:val="-3"/>
          <w:w w:val="100"/>
        </w:rPr>
        <w:t>为每</w:t>
      </w:r>
      <w:r>
        <w:rPr>
          <w:w w:val="100"/>
        </w:rPr>
        <w:t>年</w:t>
      </w:r>
      <w:r>
        <w:rPr>
          <w:spacing w:val="-5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万</w:t>
      </w:r>
      <w:r>
        <w:rPr>
          <w:spacing w:val="-32"/>
          <w:w w:val="100"/>
        </w:rPr>
        <w:t>元</w:t>
      </w:r>
      <w:r>
        <w:rPr>
          <w:w w:val="100"/>
        </w:rPr>
        <w:t>（</w:t>
      </w:r>
      <w:r>
        <w:rPr>
          <w:spacing w:val="-3"/>
          <w:w w:val="100"/>
        </w:rPr>
        <w:t>含税</w:t>
      </w:r>
      <w:r>
        <w:rPr>
          <w:spacing w:val="-106"/>
          <w:w w:val="100"/>
        </w:rPr>
        <w:t>）</w:t>
      </w:r>
      <w:r>
        <w:rPr>
          <w:spacing w:val="-29"/>
          <w:w w:val="100"/>
        </w:rPr>
        <w:t>，</w:t>
      </w:r>
      <w:r>
        <w:rPr>
          <w:spacing w:val="-3"/>
          <w:w w:val="100"/>
        </w:rPr>
        <w:t>逐</w:t>
      </w:r>
      <w:r>
        <w:rPr>
          <w:w w:val="100"/>
        </w:rPr>
        <w:t>月</w:t>
      </w:r>
      <w:r>
        <w:rPr>
          <w:spacing w:val="-3"/>
          <w:w w:val="100"/>
        </w:rPr>
        <w:t>发</w:t>
      </w:r>
      <w:r>
        <w:rPr>
          <w:w w:val="100"/>
        </w:rPr>
        <w:t>放。</w:t>
      </w:r>
    </w:p>
    <w:p>
      <w:pPr>
        <w:pStyle w:val="BodyText"/>
        <w:spacing w:line="240" w:lineRule="auto" w:before="107"/>
        <w:ind w:left="1278" w:right="0"/>
        <w:jc w:val="left"/>
      </w:pPr>
      <w:r>
        <w:rPr>
          <w:rFonts w:ascii="Times New Roman" w:hAnsi="Times New Roman" w:cs="Times New Roman" w:eastAsia="Times New Roman" w:hint="default"/>
          <w:w w:val="100"/>
        </w:rPr>
        <w:t>2</w:t>
      </w:r>
      <w:r>
        <w:rPr>
          <w:spacing w:val="-97"/>
          <w:w w:val="100"/>
        </w:rPr>
        <w:t>、</w:t>
      </w:r>
      <w:r>
        <w:rPr>
          <w:spacing w:val="-3"/>
          <w:w w:val="100"/>
        </w:rPr>
        <w:t>公</w:t>
      </w:r>
      <w:r>
        <w:rPr>
          <w:w w:val="100"/>
        </w:rPr>
        <w:t>司</w:t>
      </w:r>
      <w:r>
        <w:rPr>
          <w:spacing w:val="-3"/>
          <w:w w:val="100"/>
        </w:rPr>
        <w:t>董</w:t>
      </w:r>
      <w:r>
        <w:rPr>
          <w:w w:val="100"/>
        </w:rPr>
        <w:t>事</w:t>
      </w:r>
      <w:r>
        <w:rPr>
          <w:spacing w:val="-99"/>
          <w:w w:val="100"/>
        </w:rPr>
        <w:t>、</w:t>
      </w:r>
      <w:r>
        <w:rPr>
          <w:w w:val="100"/>
        </w:rPr>
        <w:t>高</w:t>
      </w:r>
      <w:r>
        <w:rPr>
          <w:spacing w:val="-3"/>
          <w:w w:val="100"/>
        </w:rPr>
        <w:t>级</w:t>
      </w:r>
      <w:r>
        <w:rPr>
          <w:w w:val="100"/>
        </w:rPr>
        <w:t>管</w:t>
      </w:r>
      <w:r>
        <w:rPr>
          <w:spacing w:val="-3"/>
          <w:w w:val="100"/>
        </w:rPr>
        <w:t>理人</w:t>
      </w:r>
      <w:r>
        <w:rPr>
          <w:w w:val="100"/>
        </w:rPr>
        <w:t>员</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年</w:t>
      </w:r>
      <w:r>
        <w:rPr>
          <w:w w:val="100"/>
        </w:rPr>
        <w:t>度</w:t>
      </w:r>
      <w:r>
        <w:rPr>
          <w:spacing w:val="-3"/>
          <w:w w:val="100"/>
        </w:rPr>
        <w:t>报</w:t>
      </w:r>
      <w:r>
        <w:rPr>
          <w:w w:val="100"/>
        </w:rPr>
        <w:t>酬</w:t>
      </w:r>
      <w:r>
        <w:rPr>
          <w:spacing w:val="-3"/>
          <w:w w:val="100"/>
        </w:rPr>
        <w:t>已</w:t>
      </w:r>
      <w:r>
        <w:rPr>
          <w:w w:val="100"/>
        </w:rPr>
        <w:t>经</w:t>
      </w:r>
      <w:r>
        <w:rPr>
          <w:spacing w:val="-3"/>
          <w:w w:val="100"/>
        </w:rPr>
        <w:t>公司</w:t>
      </w:r>
      <w:r>
        <w:rPr>
          <w:w w:val="100"/>
        </w:rPr>
        <w:t>第八</w:t>
      </w:r>
      <w:r>
        <w:rPr>
          <w:spacing w:val="-3"/>
          <w:w w:val="100"/>
        </w:rPr>
        <w:t>届</w:t>
      </w:r>
      <w:r>
        <w:rPr>
          <w:w w:val="100"/>
        </w:rPr>
        <w:t>董</w:t>
      </w:r>
      <w:r>
        <w:rPr>
          <w:spacing w:val="-3"/>
          <w:w w:val="100"/>
        </w:rPr>
        <w:t>事</w:t>
      </w:r>
      <w:r>
        <w:rPr>
          <w:spacing w:val="-1"/>
          <w:w w:val="100"/>
        </w:rPr>
        <w:t>会</w:t>
      </w:r>
      <w:r>
        <w:rPr>
          <w:spacing w:val="-3"/>
          <w:w w:val="100"/>
        </w:rPr>
        <w:t>第</w:t>
      </w:r>
      <w:r>
        <w:rPr>
          <w:w w:val="100"/>
        </w:rPr>
        <w:t>二</w:t>
      </w:r>
      <w:r>
        <w:rPr>
          <w:spacing w:val="-3"/>
          <w:w w:val="100"/>
        </w:rPr>
        <w:t>十</w:t>
      </w:r>
      <w:r>
        <w:rPr>
          <w:w w:val="100"/>
        </w:rPr>
        <w:t>三</w:t>
      </w:r>
      <w:r>
        <w:rPr>
          <w:spacing w:val="-3"/>
          <w:w w:val="100"/>
        </w:rPr>
        <w:t>次</w:t>
      </w:r>
      <w:r>
        <w:rPr>
          <w:w w:val="100"/>
        </w:rPr>
        <w:t>会议</w:t>
      </w:r>
      <w:r>
        <w:rPr>
          <w:spacing w:val="-3"/>
          <w:w w:val="100"/>
        </w:rPr>
        <w:t>审</w:t>
      </w:r>
      <w:r>
        <w:rPr>
          <w:w w:val="100"/>
        </w:rPr>
        <w:t>议，</w:t>
      </w:r>
    </w:p>
    <w:p>
      <w:pPr>
        <w:pStyle w:val="BodyText"/>
        <w:spacing w:line="240" w:lineRule="auto" w:before="105"/>
        <w:ind w:left="858" w:right="0"/>
        <w:jc w:val="left"/>
      </w:pPr>
      <w:r>
        <w:rPr/>
        <w:t>公司监事</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5"/>
        </w:rPr>
        <w:t>年度报酬已经公司第八届监事会第十七次会议审议；董事、监事</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年报酬</w:t>
      </w:r>
    </w:p>
    <w:p>
      <w:pPr>
        <w:pStyle w:val="BodyText"/>
        <w:spacing w:line="240" w:lineRule="auto" w:before="108"/>
        <w:ind w:left="858" w:right="0"/>
        <w:jc w:val="left"/>
      </w:pPr>
      <w:r>
        <w:rPr/>
        <w:t>尚须提交公司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年度股东大会审议。</w:t>
      </w:r>
    </w:p>
    <w:p>
      <w:pPr>
        <w:pStyle w:val="BodyText"/>
        <w:spacing w:line="328" w:lineRule="auto" w:before="107"/>
        <w:ind w:left="858" w:right="0" w:firstLine="419"/>
        <w:jc w:val="left"/>
      </w:pPr>
      <w:r>
        <w:rPr>
          <w:rFonts w:ascii="Times New Roman" w:hAnsi="Times New Roman" w:cs="Times New Roman" w:eastAsia="Times New Roman" w:hint="default"/>
          <w:spacing w:val="-4"/>
        </w:rPr>
        <w:t>3</w:t>
      </w:r>
      <w:r>
        <w:rPr>
          <w:spacing w:val="-4"/>
        </w:rPr>
        <w:t>、公司董事、监事、高级管理人员报酬及独立董事津贴实际支付情况依照公司董事会、</w:t>
      </w:r>
      <w:r>
        <w:rPr>
          <w:w w:val="100"/>
        </w:rPr>
        <w:t> </w:t>
      </w:r>
      <w:r>
        <w:rPr/>
        <w:t>股东大会决议执行。</w:t>
      </w:r>
    </w:p>
    <w:p>
      <w:pPr>
        <w:pStyle w:val="Heading6"/>
        <w:spacing w:line="240" w:lineRule="auto" w:before="77"/>
        <w:ind w:left="858" w:right="0"/>
        <w:jc w:val="left"/>
        <w:rPr>
          <w:b w:val="0"/>
          <w:bCs w:val="0"/>
        </w:rPr>
      </w:pPr>
      <w:r>
        <w:rPr/>
        <w:t>（二）公司报告期内董事、监事和高级管理人员报酬情况</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0"/>
        <w:ind w:left="0" w:right="179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6"/>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562"/>
        <w:gridCol w:w="852"/>
        <w:gridCol w:w="1426"/>
        <w:gridCol w:w="1277"/>
        <w:gridCol w:w="1558"/>
        <w:gridCol w:w="1135"/>
        <w:gridCol w:w="2977"/>
      </w:tblGrid>
      <w:tr>
        <w:trPr>
          <w:trHeight w:val="109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6" w:lineRule="auto"/>
              <w:ind w:left="184" w:right="1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 号</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名</w:t>
            </w:r>
            <w:r>
              <w:rPr>
                <w:rFonts w:ascii="Microsoft JhengHei" w:hAnsi="Microsoft JhengHei" w:cs="Microsoft JhengHei" w:eastAsia="Microsoft JhengHei"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务</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82" w:right="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从公司获得 的报酬总额</w:t>
            </w:r>
            <w:r>
              <w:rPr>
                <w:rFonts w:ascii="Microsoft JhengHei" w:hAnsi="Microsoft JhengHei" w:cs="Microsoft JhengHei" w:eastAsia="Microsoft JhengHei" w:hint="default"/>
                <w:sz w:val="18"/>
                <w:szCs w:val="18"/>
              </w:rPr>
            </w:r>
          </w:p>
          <w:p>
            <w:pPr>
              <w:pStyle w:val="TableParagraph"/>
              <w:spacing w:line="240" w:lineRule="auto" w:before="10"/>
              <w:ind w:left="2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（含税）</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00" w:right="11" w:firstLine="3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扣除公司为其缴 交五险两金后的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报酬总额（含税）</w:t>
            </w:r>
            <w:r>
              <w:rPr>
                <w:rFonts w:ascii="Microsoft JhengHei" w:hAnsi="Microsoft JhengHei" w:cs="Microsoft JhengHei" w:eastAsia="Microsoft JhengHei"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10" w:right="1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是否在公司 关联方获取 报酬</w:t>
            </w:r>
            <w:r>
              <w:rPr>
                <w:rFonts w:ascii="Microsoft JhengHei" w:hAnsi="Microsoft JhengHei" w:cs="Microsoft JhengHei" w:eastAsia="Microsoft JhengHei"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sz w:val="18"/>
                <w:szCs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何建锋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37.20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29.73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74.95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66.46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刘鲁鱼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台 </w:t>
            </w:r>
            <w:r>
              <w:rPr>
                <w:rFonts w:ascii="宋体" w:hAnsi="宋体" w:cs="宋体" w:eastAsia="宋体" w:hint="default"/>
                <w:spacing w:val="2"/>
                <w:sz w:val="18"/>
                <w:szCs w:val="18"/>
              </w:rPr>
              <w:t> </w:t>
            </w:r>
            <w:r>
              <w:rPr>
                <w:rFonts w:ascii="宋体" w:hAnsi="宋体" w:cs="宋体" w:eastAsia="宋体" w:hint="default"/>
                <w:sz w:val="18"/>
                <w:szCs w:val="18"/>
              </w:rPr>
              <w:t>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110.65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96.43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8"/>
                <w:sz w:val="18"/>
                <w:szCs w:val="18"/>
              </w:rPr>
              <w:t>董事、财务总监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黄守岩</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陈穗生</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陈小华</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111.88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97.65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110.25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96.02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沈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108.62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94.39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杜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109.43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95.21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薛 </w:t>
            </w:r>
            <w:r>
              <w:rPr>
                <w:rFonts w:ascii="宋体" w:hAnsi="宋体" w:cs="宋体" w:eastAsia="宋体" w:hint="default"/>
                <w:spacing w:val="2"/>
                <w:sz w:val="18"/>
                <w:szCs w:val="18"/>
              </w:rPr>
              <w:t> </w:t>
            </w:r>
            <w:r>
              <w:rPr>
                <w:rFonts w:ascii="宋体" w:hAnsi="宋体" w:cs="宋体" w:eastAsia="宋体" w:hint="default"/>
                <w:sz w:val="18"/>
                <w:szCs w:val="18"/>
              </w:rPr>
              <w:t>彤</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110.25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96.02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江 </w:t>
            </w:r>
            <w:r>
              <w:rPr>
                <w:rFonts w:ascii="宋体" w:hAnsi="宋体" w:cs="宋体" w:eastAsia="宋体" w:hint="default"/>
                <w:spacing w:val="2"/>
                <w:sz w:val="18"/>
                <w:szCs w:val="18"/>
              </w:rPr>
              <w:t> </w:t>
            </w:r>
            <w:r>
              <w:rPr>
                <w:rFonts w:ascii="宋体" w:hAnsi="宋体" w:cs="宋体" w:eastAsia="宋体" w:hint="default"/>
                <w:sz w:val="18"/>
                <w:szCs w:val="18"/>
              </w:rPr>
              <w:t>疆</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79.04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65.16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50"/>
          <w:pgMar w:header="877" w:footer="1265" w:top="1100" w:bottom="1460" w:left="940" w:right="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562"/>
        <w:gridCol w:w="852"/>
        <w:gridCol w:w="1426"/>
        <w:gridCol w:w="1277"/>
        <w:gridCol w:w="1558"/>
        <w:gridCol w:w="1135"/>
        <w:gridCol w:w="2977"/>
      </w:tblGrid>
      <w:tr>
        <w:trPr>
          <w:trHeight w:val="109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6" w:lineRule="auto"/>
              <w:ind w:left="184" w:right="1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 号</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名</w:t>
            </w:r>
            <w:r>
              <w:rPr>
                <w:rFonts w:ascii="Microsoft JhengHei" w:hAnsi="Microsoft JhengHei" w:cs="Microsoft JhengHei" w:eastAsia="Microsoft JhengHei"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务</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82" w:right="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从公司获得 的报酬总额</w:t>
            </w:r>
            <w:r>
              <w:rPr>
                <w:rFonts w:ascii="Microsoft JhengHei" w:hAnsi="Microsoft JhengHei" w:cs="Microsoft JhengHei" w:eastAsia="Microsoft JhengHei" w:hint="default"/>
                <w:sz w:val="18"/>
                <w:szCs w:val="18"/>
              </w:rPr>
            </w:r>
          </w:p>
          <w:p>
            <w:pPr>
              <w:pStyle w:val="TableParagraph"/>
              <w:spacing w:line="240" w:lineRule="auto" w:before="10"/>
              <w:ind w:left="2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（含税）</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00" w:right="11" w:firstLine="3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扣除公司为其缴 交五险两金后的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报酬总额（含税）</w:t>
            </w:r>
            <w:r>
              <w:rPr>
                <w:rFonts w:ascii="Microsoft JhengHei" w:hAnsi="Microsoft JhengHei" w:cs="Microsoft JhengHei" w:eastAsia="Microsoft JhengHei"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10" w:right="1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是否在公司 关联方获取 报酬</w:t>
            </w:r>
            <w:r>
              <w:rPr>
                <w:rFonts w:ascii="Microsoft JhengHei" w:hAnsi="Microsoft JhengHei" w:cs="Microsoft JhengHei" w:eastAsia="Microsoft JhengHei"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sz w:val="18"/>
                <w:szCs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3"/>
              <w:jc w:val="right"/>
              <w:rPr>
                <w:rFonts w:ascii="Times New Roman" w:hAnsi="Times New Roman" w:cs="Times New Roman" w:eastAsia="Times New Roman" w:hint="default"/>
                <w:sz w:val="18"/>
                <w:szCs w:val="18"/>
              </w:rPr>
            </w:pPr>
            <w:r>
              <w:rPr>
                <w:rFonts w:ascii="Times New Roman"/>
                <w:sz w:val="18"/>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3"/>
              <w:jc w:val="right"/>
              <w:rPr>
                <w:rFonts w:ascii="Times New Roman" w:hAnsi="Times New Roman" w:cs="Times New Roman" w:eastAsia="Times New Roman" w:hint="default"/>
                <w:sz w:val="18"/>
                <w:szCs w:val="18"/>
              </w:rPr>
            </w:pPr>
            <w:r>
              <w:rPr>
                <w:rFonts w:ascii="Times New Roman"/>
                <w:sz w:val="18"/>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王道海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3"/>
              <w:jc w:val="right"/>
              <w:rPr>
                <w:rFonts w:ascii="Times New Roman" w:hAnsi="Times New Roman" w:cs="Times New Roman" w:eastAsia="Times New Roman" w:hint="default"/>
                <w:sz w:val="18"/>
                <w:szCs w:val="18"/>
              </w:rPr>
            </w:pPr>
            <w:r>
              <w:rPr>
                <w:rFonts w:ascii="Times New Roman"/>
                <w:sz w:val="18"/>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廖红丽</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50.24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40.13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3"/>
              <w:jc w:val="right"/>
              <w:rPr>
                <w:rFonts w:ascii="Times New Roman" w:hAnsi="Times New Roman" w:cs="Times New Roman" w:eastAsia="Times New Roman" w:hint="default"/>
                <w:sz w:val="18"/>
                <w:szCs w:val="18"/>
              </w:rPr>
            </w:pPr>
            <w:r>
              <w:rPr>
                <w:rFonts w:ascii="Times New Roman"/>
                <w:sz w:val="18"/>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陈凤华</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55.69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43.87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3"/>
              <w:jc w:val="right"/>
              <w:rPr>
                <w:rFonts w:ascii="Times New Roman" w:hAnsi="Times New Roman" w:cs="Times New Roman" w:eastAsia="Times New Roman" w:hint="default"/>
                <w:sz w:val="18"/>
                <w:szCs w:val="18"/>
              </w:rPr>
            </w:pPr>
            <w:r>
              <w:rPr>
                <w:rFonts w:ascii="Times New Roman"/>
                <w:sz w:val="18"/>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林映文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55.94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44.28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z w:val="18"/>
              </w:rPr>
              <w:t>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 </w:t>
            </w:r>
            <w:r>
              <w:rPr>
                <w:rFonts w:ascii="宋体" w:hAnsi="宋体" w:cs="宋体" w:eastAsia="宋体" w:hint="default"/>
                <w:spacing w:val="2"/>
                <w:sz w:val="18"/>
                <w:szCs w:val="18"/>
              </w:rPr>
              <w:t> </w:t>
            </w:r>
            <w:r>
              <w:rPr>
                <w:rFonts w:ascii="宋体" w:hAnsi="宋体" w:cs="宋体" w:eastAsia="宋体" w:hint="default"/>
                <w:sz w:val="18"/>
                <w:szCs w:val="18"/>
              </w:rPr>
              <w:t>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53.35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月起不在公司领取报</w:t>
            </w:r>
          </w:p>
          <w:p>
            <w:pPr>
              <w:pStyle w:val="TableParagraph"/>
              <w:spacing w:line="348" w:lineRule="auto" w:before="111"/>
              <w:ind w:left="100" w:right="101"/>
              <w:jc w:val="left"/>
              <w:rPr>
                <w:rFonts w:ascii="宋体" w:hAnsi="宋体" w:cs="宋体" w:eastAsia="宋体" w:hint="default"/>
                <w:sz w:val="18"/>
                <w:szCs w:val="18"/>
              </w:rPr>
            </w:pPr>
            <w:r>
              <w:rPr>
                <w:rFonts w:ascii="宋体" w:hAnsi="宋体" w:cs="宋体" w:eastAsia="宋体" w:hint="default"/>
                <w:spacing w:val="-3"/>
                <w:sz w:val="18"/>
                <w:szCs w:val="18"/>
              </w:rPr>
              <w:t>酬，含于报告期延期支付的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度部分绩效及任期激励</w:t>
            </w:r>
          </w:p>
        </w:tc>
      </w:tr>
      <w:tr>
        <w:trPr>
          <w:trHeight w:val="109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z w:val="18"/>
              </w:rPr>
              <w:t>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胡翔海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原董事、总裁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月起不在公司领取报</w:t>
            </w:r>
          </w:p>
          <w:p>
            <w:pPr>
              <w:pStyle w:val="TableParagraph"/>
              <w:spacing w:line="345" w:lineRule="auto" w:before="111"/>
              <w:ind w:left="100" w:right="101"/>
              <w:jc w:val="left"/>
              <w:rPr>
                <w:rFonts w:ascii="宋体" w:hAnsi="宋体" w:cs="宋体" w:eastAsia="宋体" w:hint="default"/>
                <w:sz w:val="18"/>
                <w:szCs w:val="18"/>
              </w:rPr>
            </w:pPr>
            <w:r>
              <w:rPr>
                <w:rFonts w:ascii="宋体" w:hAnsi="宋体" w:cs="宋体" w:eastAsia="宋体" w:hint="default"/>
                <w:spacing w:val="-3"/>
                <w:sz w:val="18"/>
                <w:szCs w:val="18"/>
              </w:rPr>
              <w:t>酬，含于报告期延期支付的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度部分绩效及任期激励</w:t>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3"/>
              <w:jc w:val="right"/>
              <w:rPr>
                <w:rFonts w:ascii="Times New Roman" w:hAnsi="Times New Roman" w:cs="Times New Roman" w:eastAsia="Times New Roman" w:hint="default"/>
                <w:sz w:val="18"/>
                <w:szCs w:val="18"/>
              </w:rPr>
            </w:pPr>
            <w:r>
              <w:rPr>
                <w:rFonts w:ascii="Times New Roman"/>
                <w:sz w:val="18"/>
              </w:rPr>
              <w:t>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何伟民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3"/>
              <w:jc w:val="right"/>
              <w:rPr>
                <w:rFonts w:ascii="Times New Roman" w:hAnsi="Times New Roman" w:cs="Times New Roman" w:eastAsia="Times New Roman" w:hint="default"/>
                <w:sz w:val="18"/>
                <w:szCs w:val="18"/>
              </w:rPr>
            </w:pPr>
            <w:r>
              <w:rPr>
                <w:rFonts w:ascii="Times New Roman"/>
                <w:sz w:val="18"/>
              </w:rPr>
              <w:t>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不在公司领取报酬</w:t>
            </w:r>
          </w:p>
        </w:tc>
      </w:tr>
    </w:tbl>
    <w:p>
      <w:pPr>
        <w:spacing w:before="29"/>
        <w:ind w:left="858" w:right="0" w:firstLine="0"/>
        <w:jc w:val="left"/>
        <w:rPr>
          <w:rFonts w:ascii="宋体" w:hAnsi="宋体" w:cs="宋体" w:eastAsia="宋体" w:hint="default"/>
          <w:sz w:val="18"/>
          <w:szCs w:val="18"/>
        </w:rPr>
      </w:pPr>
      <w:r>
        <w:rPr>
          <w:rFonts w:ascii="宋体" w:hAnsi="宋体" w:cs="宋体" w:eastAsia="宋体" w:hint="default"/>
          <w:spacing w:val="-5"/>
          <w:sz w:val="18"/>
          <w:szCs w:val="18"/>
        </w:rPr>
        <w:t>注：</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、根据中国证监会《公开发行证券的公司信息披露内容与格式准则第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年度报告的内容与格式》</w:t>
      </w:r>
    </w:p>
    <w:p>
      <w:pPr>
        <w:spacing w:line="288" w:lineRule="auto" w:before="51"/>
        <w:ind w:left="85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年修订），以上董事、监事、高管从“公司获得的报酬总额（含税）”是指从公司应获得的包括基本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工资、奖金、津贴、补贴、职工福利费和各项保险费、公积金、年金以及其他形式的合计报酬。</w:t>
      </w:r>
    </w:p>
    <w:p>
      <w:pPr>
        <w:spacing w:line="288" w:lineRule="auto" w:before="28"/>
        <w:ind w:left="858" w:right="0" w:firstLine="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、“扣除公司为其缴交五险两金后的报酬总额（含税）”系“公司获得的报酬总额（含税）”中扣除公司为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其缴交的五险两金相关金额后的含税薪酬总额。</w:t>
      </w:r>
    </w:p>
    <w:p>
      <w:pPr>
        <w:spacing w:before="29"/>
        <w:ind w:left="85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年度公司高管和担任公司其他职务的监事部分绩效薪酬将根据相关管理规定延期发放。</w:t>
      </w:r>
    </w:p>
    <w:p>
      <w:pPr>
        <w:spacing w:line="240" w:lineRule="auto" w:before="9"/>
        <w:rPr>
          <w:rFonts w:ascii="宋体" w:hAnsi="宋体" w:cs="宋体" w:eastAsia="宋体" w:hint="default"/>
          <w:sz w:val="24"/>
          <w:szCs w:val="24"/>
        </w:rPr>
      </w:pPr>
    </w:p>
    <w:p>
      <w:pPr>
        <w:pStyle w:val="Heading6"/>
        <w:spacing w:line="240" w:lineRule="auto"/>
        <w:ind w:left="858" w:right="0"/>
        <w:jc w:val="left"/>
        <w:rPr>
          <w:b w:val="0"/>
          <w:bCs w:val="0"/>
        </w:rPr>
      </w:pPr>
      <w:r>
        <w:rPr/>
        <w:t>（三）公司董事、监事、高级管理人员报告期内被授予的股权激励情况</w:t>
      </w:r>
      <w:r>
        <w:rPr>
          <w:b w:val="0"/>
          <w:bCs w:val="0"/>
        </w:rPr>
      </w:r>
    </w:p>
    <w:p>
      <w:pPr>
        <w:spacing w:line="240" w:lineRule="auto" w:before="12"/>
        <w:rPr>
          <w:rFonts w:ascii="Microsoft JhengHei" w:hAnsi="Microsoft JhengHei" w:cs="Microsoft JhengHei" w:eastAsia="Microsoft JhengHei" w:hint="default"/>
          <w:b/>
          <w:bCs/>
          <w:sz w:val="20"/>
          <w:szCs w:val="20"/>
        </w:rPr>
      </w:pPr>
    </w:p>
    <w:p>
      <w:pPr>
        <w:spacing w:line="614" w:lineRule="auto" w:before="0"/>
        <w:ind w:left="858" w:right="45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公司董事、监事、高级管理人员报告期内不存在被授予的股权激励情况</w:t>
      </w:r>
    </w:p>
    <w:p>
      <w:pPr>
        <w:pStyle w:val="Heading4"/>
        <w:spacing w:line="240" w:lineRule="auto" w:before="155"/>
        <w:ind w:left="858"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6"/>
        <w:spacing w:line="240" w:lineRule="auto"/>
        <w:ind w:left="858"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Microsoft JhengHei" w:hAnsi="Microsoft JhengHei" w:cs="Microsoft JhengHei" w:eastAsia="Microsoft JhengHei" w:hint="default"/>
          <w:b/>
          <w:bCs/>
          <w:sz w:val="21"/>
          <w:szCs w:val="21"/>
        </w:rPr>
      </w:pPr>
    </w:p>
    <w:tbl>
      <w:tblPr>
        <w:tblW w:w="0" w:type="auto"/>
        <w:jc w:val="left"/>
        <w:tblInd w:w="236" w:type="dxa"/>
        <w:tblLayout w:type="fixed"/>
        <w:tblCellMar>
          <w:top w:w="0" w:type="dxa"/>
          <w:left w:w="0" w:type="dxa"/>
          <w:bottom w:w="0" w:type="dxa"/>
          <w:right w:w="0" w:type="dxa"/>
        </w:tblCellMar>
        <w:tblLook w:val="01E0"/>
      </w:tblPr>
      <w:tblGrid>
        <w:gridCol w:w="4763"/>
        <w:gridCol w:w="4796"/>
      </w:tblGrid>
      <w:tr>
        <w:trPr>
          <w:trHeight w:val="37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153</w:t>
            </w:r>
          </w:p>
        </w:tc>
      </w:tr>
      <w:tr>
        <w:trPr>
          <w:trHeight w:val="370"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4,671</w:t>
            </w:r>
          </w:p>
        </w:tc>
      </w:tr>
      <w:tr>
        <w:trPr>
          <w:trHeight w:val="370"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4,824</w:t>
            </w:r>
          </w:p>
        </w:tc>
      </w:tr>
      <w:tr>
        <w:trPr>
          <w:trHeight w:val="370"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4,824</w:t>
            </w:r>
          </w:p>
        </w:tc>
      </w:tr>
      <w:tr>
        <w:trPr>
          <w:trHeight w:val="374"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r>
      <w:tr>
        <w:trPr>
          <w:trHeight w:val="36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50"/>
          <w:pgMar w:header="877" w:footer="1265" w:top="1100" w:bottom="1460" w:left="94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3" w:type="dxa"/>
        <w:tblLayout w:type="fixed"/>
        <w:tblCellMar>
          <w:top w:w="0" w:type="dxa"/>
          <w:left w:w="0" w:type="dxa"/>
          <w:bottom w:w="0" w:type="dxa"/>
          <w:right w:w="0" w:type="dxa"/>
        </w:tblCellMar>
        <w:tblLook w:val="01E0"/>
      </w:tblPr>
      <w:tblGrid>
        <w:gridCol w:w="4787"/>
        <w:gridCol w:w="4784"/>
      </w:tblGrid>
      <w:tr>
        <w:trPr>
          <w:trHeight w:val="370"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57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7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r>
      <w:tr>
        <w:trPr>
          <w:trHeight w:val="37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291</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304</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342</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257</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市场管理人员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2"/>
                <w:sz w:val="18"/>
              </w:rPr>
              <w:t>2,711</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830</w:t>
            </w:r>
          </w:p>
        </w:tc>
      </w:tr>
      <w:tr>
        <w:trPr>
          <w:trHeight w:val="37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89</w:t>
            </w:r>
          </w:p>
        </w:tc>
      </w:tr>
      <w:tr>
        <w:trPr>
          <w:trHeight w:val="375"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4,824</w:t>
            </w:r>
          </w:p>
        </w:tc>
      </w:tr>
      <w:tr>
        <w:trPr>
          <w:trHeight w:val="360"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74"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高中及以下（含中专）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2,298</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大专及本科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2,417</w:t>
            </w:r>
          </w:p>
        </w:tc>
      </w:tr>
      <w:tr>
        <w:trPr>
          <w:trHeight w:val="37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博士及硕士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109</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4,824</w:t>
            </w:r>
          </w:p>
        </w:tc>
      </w:tr>
    </w:tbl>
    <w:p>
      <w:pPr>
        <w:spacing w:line="240" w:lineRule="auto" w:before="11"/>
        <w:rPr>
          <w:rFonts w:ascii="Microsoft JhengHei" w:hAnsi="Microsoft JhengHei" w:cs="Microsoft JhengHei" w:eastAsia="Microsoft JhengHei" w:hint="default"/>
          <w:b/>
          <w:bCs/>
          <w:sz w:val="17"/>
          <w:szCs w:val="17"/>
        </w:rPr>
      </w:pPr>
    </w:p>
    <w:p>
      <w:pPr>
        <w:pStyle w:val="Heading6"/>
        <w:spacing w:line="335" w:lineRule="exact"/>
        <w:ind w:left="738"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3"/>
        <w:rPr>
          <w:rFonts w:ascii="Microsoft JhengHei" w:hAnsi="Microsoft JhengHei" w:cs="Microsoft JhengHei" w:eastAsia="Microsoft JhengHei" w:hint="default"/>
          <w:b/>
          <w:bCs/>
          <w:sz w:val="20"/>
          <w:szCs w:val="20"/>
        </w:rPr>
      </w:pPr>
    </w:p>
    <w:p>
      <w:pPr>
        <w:pStyle w:val="BodyText"/>
        <w:spacing w:line="240" w:lineRule="auto" w:before="0"/>
        <w:ind w:left="1158" w:right="0"/>
        <w:jc w:val="left"/>
      </w:pPr>
      <w:r>
        <w:rPr>
          <w:w w:val="100"/>
        </w:rPr>
        <w:t>公司</w:t>
      </w:r>
      <w:r>
        <w:rPr>
          <w:spacing w:val="-3"/>
          <w:w w:val="100"/>
        </w:rPr>
        <w:t>员</w:t>
      </w:r>
      <w:r>
        <w:rPr>
          <w:w w:val="100"/>
        </w:rPr>
        <w:t>工</w:t>
      </w:r>
      <w:r>
        <w:rPr>
          <w:spacing w:val="-3"/>
          <w:w w:val="100"/>
        </w:rPr>
        <w:t>薪</w:t>
      </w:r>
      <w:r>
        <w:rPr>
          <w:w w:val="100"/>
        </w:rPr>
        <w:t>酬</w:t>
      </w:r>
      <w:r>
        <w:rPr>
          <w:spacing w:val="-3"/>
          <w:w w:val="100"/>
        </w:rPr>
        <w:t>依</w:t>
      </w:r>
      <w:r>
        <w:rPr>
          <w:w w:val="100"/>
        </w:rPr>
        <w:t>据</w:t>
      </w:r>
      <w:r>
        <w:rPr>
          <w:spacing w:val="-3"/>
          <w:w w:val="100"/>
        </w:rPr>
        <w:t>公</w:t>
      </w:r>
      <w:r>
        <w:rPr>
          <w:w w:val="100"/>
        </w:rPr>
        <w:t>司</w:t>
      </w:r>
      <w:r>
        <w:rPr>
          <w:spacing w:val="-3"/>
          <w:w w:val="100"/>
        </w:rPr>
        <w:t>《</w:t>
      </w:r>
      <w:r>
        <w:rPr>
          <w:w w:val="100"/>
        </w:rPr>
        <w:t>薪酬</w:t>
      </w:r>
      <w:r>
        <w:rPr>
          <w:spacing w:val="-3"/>
          <w:w w:val="100"/>
        </w:rPr>
        <w:t>管</w:t>
      </w:r>
      <w:r>
        <w:rPr>
          <w:w w:val="100"/>
        </w:rPr>
        <w:t>理</w:t>
      </w:r>
      <w:r>
        <w:rPr>
          <w:spacing w:val="-3"/>
          <w:w w:val="100"/>
        </w:rPr>
        <w:t>制</w:t>
      </w:r>
      <w:r>
        <w:rPr>
          <w:spacing w:val="-1"/>
          <w:w w:val="100"/>
        </w:rPr>
        <w:t>度</w:t>
      </w:r>
      <w:r>
        <w:rPr>
          <w:spacing w:val="-106"/>
          <w:w w:val="100"/>
        </w:rPr>
        <w:t>》</w:t>
      </w:r>
      <w:r>
        <w:rPr>
          <w:spacing w:val="-108"/>
          <w:w w:val="100"/>
        </w:rPr>
        <w:t>、</w:t>
      </w:r>
      <w:r>
        <w:rPr>
          <w:w w:val="100"/>
        </w:rPr>
        <w:t>《</w:t>
      </w:r>
      <w:r>
        <w:rPr>
          <w:spacing w:val="-3"/>
          <w:w w:val="100"/>
        </w:rPr>
        <w:t>绩</w:t>
      </w:r>
      <w:r>
        <w:rPr>
          <w:w w:val="100"/>
        </w:rPr>
        <w:t>效</w:t>
      </w:r>
      <w:r>
        <w:rPr>
          <w:spacing w:val="-3"/>
          <w:w w:val="100"/>
        </w:rPr>
        <w:t>管</w:t>
      </w:r>
      <w:r>
        <w:rPr>
          <w:w w:val="100"/>
        </w:rPr>
        <w:t>理制</w:t>
      </w:r>
      <w:r>
        <w:rPr>
          <w:spacing w:val="-3"/>
          <w:w w:val="100"/>
        </w:rPr>
        <w:t>度</w:t>
      </w:r>
      <w:r>
        <w:rPr>
          <w:w w:val="100"/>
        </w:rPr>
        <w:t>》</w:t>
      </w:r>
      <w:r>
        <w:rPr>
          <w:spacing w:val="-3"/>
          <w:w w:val="100"/>
        </w:rPr>
        <w:t>等</w:t>
      </w:r>
      <w:r>
        <w:rPr>
          <w:w w:val="100"/>
        </w:rPr>
        <w:t>相</w:t>
      </w:r>
      <w:r>
        <w:rPr>
          <w:spacing w:val="-3"/>
          <w:w w:val="100"/>
        </w:rPr>
        <w:t>关</w:t>
      </w:r>
      <w:r>
        <w:rPr>
          <w:w w:val="100"/>
        </w:rPr>
        <w:t>管</w:t>
      </w:r>
      <w:r>
        <w:rPr>
          <w:spacing w:val="-3"/>
          <w:w w:val="100"/>
        </w:rPr>
        <w:t>理</w:t>
      </w:r>
      <w:r>
        <w:rPr>
          <w:w w:val="100"/>
        </w:rPr>
        <w:t>办</w:t>
      </w:r>
      <w:r>
        <w:rPr>
          <w:spacing w:val="-3"/>
          <w:w w:val="100"/>
        </w:rPr>
        <w:t>法</w:t>
      </w:r>
      <w:r>
        <w:rPr>
          <w:w w:val="100"/>
        </w:rPr>
        <w:t>具</w:t>
      </w:r>
      <w:r>
        <w:rPr>
          <w:spacing w:val="-3"/>
          <w:w w:val="100"/>
        </w:rPr>
        <w:t>体执行</w:t>
      </w:r>
      <w:r>
        <w:rPr>
          <w:w w:val="100"/>
        </w:rPr>
        <w:t>。</w:t>
      </w:r>
    </w:p>
    <w:p>
      <w:pPr>
        <w:spacing w:line="240" w:lineRule="auto" w:before="5"/>
        <w:rPr>
          <w:rFonts w:ascii="宋体" w:hAnsi="宋体" w:cs="宋体" w:eastAsia="宋体" w:hint="default"/>
          <w:sz w:val="24"/>
          <w:szCs w:val="24"/>
        </w:rPr>
      </w:pPr>
    </w:p>
    <w:p>
      <w:pPr>
        <w:pStyle w:val="Heading6"/>
        <w:spacing w:line="240" w:lineRule="auto"/>
        <w:ind w:left="738"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3"/>
        <w:rPr>
          <w:rFonts w:ascii="Microsoft JhengHei" w:hAnsi="Microsoft JhengHei" w:cs="Microsoft JhengHei" w:eastAsia="Microsoft JhengHei" w:hint="default"/>
          <w:b/>
          <w:bCs/>
          <w:sz w:val="20"/>
          <w:szCs w:val="20"/>
        </w:rPr>
      </w:pPr>
    </w:p>
    <w:p>
      <w:pPr>
        <w:pStyle w:val="BodyText"/>
        <w:spacing w:line="314" w:lineRule="auto" w:before="0"/>
        <w:ind w:left="738" w:right="0" w:firstLine="419"/>
        <w:jc w:val="left"/>
      </w:pPr>
      <w:r>
        <w:rPr>
          <w:spacing w:val="-4"/>
        </w:rPr>
        <w:t>公司一直非常重视员工的培养与发展，积极创建学习型组织，建立和完善以行动学习为</w:t>
      </w:r>
      <w:r>
        <w:rPr>
          <w:w w:val="100"/>
        </w:rPr>
        <w:t> </w:t>
      </w:r>
      <w:r>
        <w:rPr>
          <w:spacing w:val="-16"/>
          <w:w w:val="100"/>
        </w:rPr>
        <w:t>方法、企业发展为导向的学习体系，打造以“星苗”、“星青年”、“星骨干”、“星火动力”、</w:t>
      </w:r>
      <w:r>
        <w:rPr>
          <w:spacing w:val="-94"/>
          <w:w w:val="100"/>
        </w:rPr>
        <w:t> </w:t>
      </w:r>
      <w:r>
        <w:rPr>
          <w:spacing w:val="-94"/>
          <w:w w:val="100"/>
        </w:rPr>
      </w:r>
      <w:r>
        <w:rPr>
          <w:spacing w:val="-4"/>
        </w:rPr>
        <w:t>“知行合一”为品牌的五个人才梯队培养模式，对人才进行阶梯式培养，同时构建专家专才</w:t>
      </w:r>
      <w:r>
        <w:rPr>
          <w:spacing w:val="-44"/>
        </w:rPr>
        <w:t> </w:t>
      </w:r>
      <w:r>
        <w:rPr>
          <w:spacing w:val="-44"/>
        </w:rPr>
      </w:r>
      <w:r>
        <w:rPr>
          <w:spacing w:val="-4"/>
        </w:rPr>
        <w:t>培养计划，形成“群策群力”的研讨方式，集思广益，充分发挥集体智慧，解决战略发展和</w:t>
      </w:r>
      <w:r>
        <w:rPr>
          <w:spacing w:val="-42"/>
        </w:rPr>
        <w:t> </w:t>
      </w:r>
      <w:r>
        <w:rPr>
          <w:spacing w:val="-42"/>
        </w:rPr>
      </w:r>
      <w:r>
        <w:rPr>
          <w:spacing w:val="-4"/>
        </w:rPr>
        <w:t>落实过程中的核心问题。同时，为提升公司员工职业化水平，促进公司实现学习型组织构建</w:t>
      </w:r>
      <w:r>
        <w:rPr>
          <w:spacing w:val="-44"/>
        </w:rPr>
        <w:t> </w:t>
      </w:r>
      <w:r>
        <w:rPr>
          <w:spacing w:val="-44"/>
        </w:rPr>
      </w:r>
      <w:r>
        <w:rPr>
          <w:spacing w:val="-6"/>
        </w:rPr>
        <w:t>与人才发展共赢，公司创建“绿色交易大讲堂”公开课平台，对公司经营发展中的认知问题、</w:t>
      </w:r>
      <w:r>
        <w:rPr>
          <w:spacing w:val="-56"/>
        </w:rPr>
        <w:t> </w:t>
      </w:r>
      <w:r>
        <w:rPr>
          <w:spacing w:val="-56"/>
        </w:rPr>
      </w:r>
      <w:r>
        <w:rPr/>
        <w:t>管理问题、经营问题、业务问题进行培训及探讨，提升公司员工整体职业化水平。</w:t>
      </w:r>
    </w:p>
    <w:p>
      <w:pPr>
        <w:spacing w:line="240" w:lineRule="auto" w:before="5"/>
        <w:rPr>
          <w:rFonts w:ascii="宋体" w:hAnsi="宋体" w:cs="宋体" w:eastAsia="宋体" w:hint="default"/>
          <w:sz w:val="19"/>
          <w:szCs w:val="19"/>
        </w:rPr>
      </w:pPr>
    </w:p>
    <w:p>
      <w:pPr>
        <w:pStyle w:val="Heading6"/>
        <w:spacing w:line="240" w:lineRule="auto"/>
        <w:ind w:left="738"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1"/>
        <w:rPr>
          <w:rFonts w:ascii="Microsoft JhengHei" w:hAnsi="Microsoft JhengHei" w:cs="Microsoft JhengHei" w:eastAsia="Microsoft JhengHei" w:hint="default"/>
          <w:b/>
          <w:bCs/>
          <w:sz w:val="22"/>
          <w:szCs w:val="22"/>
        </w:rPr>
      </w:pPr>
    </w:p>
    <w:p>
      <w:pPr>
        <w:spacing w:before="0"/>
        <w:ind w:left="7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77" w:footer="1265" w:top="1100" w:bottom="146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456" w:lineRule="exact"/>
        <w:ind w:left="3090" w:right="1675"/>
        <w:jc w:val="left"/>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4"/>
          <w:szCs w:val="14"/>
        </w:rPr>
      </w:pPr>
    </w:p>
    <w:p>
      <w:pPr>
        <w:pStyle w:val="Heading4"/>
        <w:spacing w:line="367" w:lineRule="exact"/>
        <w:ind w:left="138" w:right="1675"/>
        <w:jc w:val="left"/>
        <w:rPr>
          <w:b w:val="0"/>
          <w:bCs w:val="0"/>
        </w:rPr>
      </w:pPr>
      <w:r>
        <w:rPr/>
        <w:t>一、公司治理的基本状况</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14" w:lineRule="auto" w:before="0"/>
        <w:ind w:left="138" w:right="1789" w:firstLine="419"/>
        <w:jc w:val="both"/>
      </w:pPr>
      <w:r>
        <w:rPr>
          <w:spacing w:val="-14"/>
          <w:w w:val="100"/>
        </w:rPr>
        <w:t>公司严格按照《公司法》、《证券法》、《上市公司治理准则》等法律、法规及证券监管部</w:t>
      </w:r>
      <w:r>
        <w:rPr>
          <w:w w:val="100"/>
        </w:rPr>
        <w:t> </w:t>
      </w:r>
      <w:r>
        <w:rPr>
          <w:spacing w:val="-4"/>
        </w:rPr>
        <w:t>门有关文件的要求，根据行业及自身特点，不断完善公司法人治理结构，持续开展公司治理</w:t>
      </w:r>
      <w:r>
        <w:rPr>
          <w:spacing w:val="-44"/>
        </w:rPr>
        <w:t> </w:t>
      </w:r>
      <w:r>
        <w:rPr>
          <w:spacing w:val="-44"/>
        </w:rPr>
      </w:r>
      <w:r>
        <w:rPr>
          <w:spacing w:val="-4"/>
        </w:rPr>
        <w:t>活动，提升公司治理水平。截至报告期末，公司不存在因部分改制、行业特性、国家政策或</w:t>
      </w:r>
      <w:r>
        <w:rPr>
          <w:spacing w:val="-45"/>
        </w:rPr>
        <w:t> </w:t>
      </w:r>
      <w:r>
        <w:rPr>
          <w:spacing w:val="-45"/>
        </w:rPr>
      </w:r>
      <w:r>
        <w:rPr>
          <w:spacing w:val="-4"/>
        </w:rPr>
        <w:t>收购兼并等原因导致的同业竞争和关联交易问题。公司治理的实际情况与《上市公司治理准</w:t>
      </w:r>
      <w:r>
        <w:rPr>
          <w:spacing w:val="-40"/>
        </w:rPr>
        <w:t> </w:t>
      </w:r>
      <w:r>
        <w:rPr>
          <w:spacing w:val="-40"/>
        </w:rPr>
      </w:r>
      <w:r>
        <w:rPr/>
        <w:t>则》等公司治理的规范性文件的要求不存在差异。</w:t>
      </w:r>
    </w:p>
    <w:p>
      <w:pPr>
        <w:pStyle w:val="Heading6"/>
        <w:spacing w:line="319" w:lineRule="exact"/>
        <w:ind w:left="138" w:right="1675"/>
        <w:jc w:val="left"/>
        <w:rPr>
          <w:b w:val="0"/>
          <w:bCs w:val="0"/>
        </w:rPr>
      </w:pPr>
      <w:r>
        <w:rPr/>
        <w:t>（一）法人治理结构运作情况</w:t>
      </w:r>
      <w:r>
        <w:rPr>
          <w:b w:val="0"/>
          <w:bCs w:val="0"/>
        </w:rPr>
      </w:r>
    </w:p>
    <w:p>
      <w:pPr>
        <w:pStyle w:val="BodyText"/>
        <w:spacing w:line="314" w:lineRule="auto" w:before="61"/>
        <w:ind w:left="138" w:right="1805" w:firstLine="419"/>
        <w:jc w:val="both"/>
      </w:pPr>
      <w:r>
        <w:rPr>
          <w:rFonts w:ascii="宋体" w:hAnsi="宋体" w:cs="宋体" w:eastAsia="宋体" w:hint="default"/>
          <w:spacing w:val="-7"/>
          <w:w w:val="100"/>
        </w:rPr>
        <w:t>1</w:t>
      </w:r>
      <w:r>
        <w:rPr>
          <w:spacing w:val="-7"/>
          <w:w w:val="100"/>
        </w:rPr>
        <w:t>、关于股东与股东大会：公司充分尊重并切实维护股东权益，严格按照《章程》、《股</w:t>
      </w:r>
      <w:r>
        <w:rPr>
          <w:w w:val="100"/>
        </w:rPr>
        <w:t> </w:t>
      </w:r>
      <w:r>
        <w:rPr/>
        <w:t>东大会议事规则》规定召集召开股东大会，并认真落实股东大会的各项决议。</w:t>
      </w:r>
    </w:p>
    <w:p>
      <w:pPr>
        <w:pStyle w:val="BodyText"/>
        <w:spacing w:line="314" w:lineRule="auto" w:before="20"/>
        <w:ind w:left="138" w:right="1805" w:firstLine="419"/>
        <w:jc w:val="both"/>
      </w:pPr>
      <w:r>
        <w:rPr>
          <w:rFonts w:ascii="宋体" w:hAnsi="宋体" w:cs="宋体" w:eastAsia="宋体" w:hint="default"/>
          <w:spacing w:val="-7"/>
          <w:w w:val="100"/>
        </w:rPr>
        <w:t>2</w:t>
      </w:r>
      <w:r>
        <w:rPr>
          <w:spacing w:val="-7"/>
          <w:w w:val="100"/>
        </w:rPr>
        <w:t>、关于董事和董事会：公司严格按照《章程》、《董事会议事规则》规定召集召开董事</w:t>
      </w:r>
      <w:r>
        <w:rPr>
          <w:w w:val="100"/>
        </w:rPr>
        <w:t> </w:t>
      </w:r>
      <w:r>
        <w:rPr/>
        <w:t>会会议，董事会成员忠实、勤勉地履行职责。</w:t>
      </w:r>
    </w:p>
    <w:p>
      <w:pPr>
        <w:pStyle w:val="BodyText"/>
        <w:spacing w:line="314" w:lineRule="auto" w:before="20"/>
        <w:ind w:left="138" w:right="1675" w:firstLine="419"/>
        <w:jc w:val="left"/>
      </w:pPr>
      <w:r>
        <w:rPr>
          <w:rFonts w:ascii="宋体" w:hAnsi="宋体" w:cs="宋体" w:eastAsia="宋体" w:hint="default"/>
          <w:spacing w:val="-7"/>
          <w:w w:val="100"/>
        </w:rPr>
        <w:t>3</w:t>
      </w:r>
      <w:r>
        <w:rPr>
          <w:spacing w:val="-7"/>
          <w:w w:val="100"/>
        </w:rPr>
        <w:t>、关于监事和监事会：公司严格按照《章程》、《监事会议事规则》规定召集召开监事</w:t>
      </w:r>
      <w:r>
        <w:rPr>
          <w:w w:val="100"/>
        </w:rPr>
        <w:t> </w:t>
      </w:r>
      <w:r>
        <w:rPr>
          <w:spacing w:val="-6"/>
        </w:rPr>
        <w:t>会会议，监事会成员忠实、勤勉地履行职责，对公司董事、高级管理人员履职情况进行监督，</w:t>
      </w:r>
      <w:r>
        <w:rPr>
          <w:spacing w:val="-56"/>
        </w:rPr>
        <w:t> </w:t>
      </w:r>
      <w:r>
        <w:rPr>
          <w:spacing w:val="-56"/>
        </w:rPr>
      </w:r>
      <w:r>
        <w:rPr/>
        <w:t>有效地促进了公司规范运作。</w:t>
      </w:r>
    </w:p>
    <w:p>
      <w:pPr>
        <w:pStyle w:val="BodyText"/>
        <w:spacing w:line="314" w:lineRule="auto" w:before="20"/>
        <w:ind w:left="138" w:right="1789" w:firstLine="419"/>
        <w:jc w:val="both"/>
      </w:pPr>
      <w:r>
        <w:rPr>
          <w:rFonts w:ascii="宋体" w:hAnsi="宋体" w:cs="宋体" w:eastAsia="宋体" w:hint="default"/>
          <w:spacing w:val="-2"/>
        </w:rPr>
        <w:t>4</w:t>
      </w:r>
      <w:r>
        <w:rPr>
          <w:spacing w:val="-2"/>
        </w:rPr>
        <w:t>、关于信息披露：公司重视并充分履行上市公司信息披露义务，严格按照有关法律法</w:t>
      </w:r>
      <w:r>
        <w:rPr>
          <w:w w:val="100"/>
        </w:rPr>
        <w:t> </w:t>
      </w:r>
      <w:r>
        <w:rPr>
          <w:spacing w:val="-4"/>
        </w:rPr>
        <w:t>规的要求，真实、准确、完整、及时地披露有关信息，确保全体股东和投资者对公司重大事</w:t>
      </w:r>
      <w:r>
        <w:rPr>
          <w:spacing w:val="-42"/>
        </w:rPr>
        <w:t> </w:t>
      </w:r>
      <w:r>
        <w:rPr>
          <w:spacing w:val="-42"/>
        </w:rPr>
      </w:r>
      <w:r>
        <w:rPr/>
        <w:t>项享有平等的知情权和参与权。</w:t>
      </w:r>
    </w:p>
    <w:p>
      <w:pPr>
        <w:pStyle w:val="BodyText"/>
        <w:spacing w:line="314" w:lineRule="auto" w:before="20"/>
        <w:ind w:left="138" w:right="1789" w:firstLine="419"/>
        <w:jc w:val="both"/>
      </w:pPr>
      <w:r>
        <w:rPr>
          <w:rFonts w:ascii="宋体" w:hAnsi="宋体" w:cs="宋体" w:eastAsia="宋体" w:hint="default"/>
          <w:spacing w:val="-2"/>
        </w:rPr>
        <w:t>5</w:t>
      </w:r>
      <w:r>
        <w:rPr>
          <w:spacing w:val="-2"/>
        </w:rPr>
        <w:t>、关于利益相关者：公司控股股东、实际控制人依法行使股东权利，支持公司规范治</w:t>
      </w:r>
      <w:r>
        <w:rPr>
          <w:w w:val="100"/>
        </w:rPr>
        <w:t> </w:t>
      </w:r>
      <w:r>
        <w:rPr>
          <w:spacing w:val="-4"/>
        </w:rPr>
        <w:t>理。公司能够充分尊重和切实维护利益相关者的合法权益，实现股东、员工、社会、客户等</w:t>
      </w:r>
      <w:r>
        <w:rPr>
          <w:spacing w:val="-42"/>
        </w:rPr>
        <w:t> </w:t>
      </w:r>
      <w:r>
        <w:rPr>
          <w:spacing w:val="-42"/>
        </w:rPr>
      </w:r>
      <w:r>
        <w:rPr/>
        <w:t>各方利益的协调平衡，共同推动公司持续发展。</w:t>
      </w:r>
    </w:p>
    <w:p>
      <w:pPr>
        <w:pStyle w:val="Heading6"/>
        <w:spacing w:line="319" w:lineRule="exact"/>
        <w:ind w:left="138" w:right="1675"/>
        <w:jc w:val="left"/>
        <w:rPr>
          <w:b w:val="0"/>
          <w:bCs w:val="0"/>
        </w:rPr>
      </w:pPr>
      <w:r>
        <w:rPr/>
        <w:t>（二）报告期，公司制订和修订的公司治理制度</w:t>
      </w:r>
      <w:r>
        <w:rPr>
          <w:b w:val="0"/>
          <w:bCs w:val="0"/>
        </w:rPr>
      </w:r>
    </w:p>
    <w:p>
      <w:pPr>
        <w:pStyle w:val="BodyText"/>
        <w:spacing w:line="314" w:lineRule="auto" w:before="61"/>
        <w:ind w:left="138" w:right="1675" w:firstLine="419"/>
        <w:jc w:val="left"/>
      </w:pPr>
      <w:r>
        <w:rPr>
          <w:spacing w:val="-4"/>
        </w:rPr>
        <w:t>报告期，为进一步优化公司治理、提高管理效率，整合集团资源、规范企业运作，公司</w:t>
      </w:r>
      <w:r>
        <w:rPr>
          <w:w w:val="100"/>
        </w:rPr>
        <w:t> </w:t>
      </w:r>
      <w:r>
        <w:rPr>
          <w:spacing w:val="-20"/>
          <w:w w:val="100"/>
        </w:rPr>
        <w:t>修订了《公司章程》，颁布了《财务管理制度》、《对外担保管理办法》、《内部借款管理办法》、</w:t>
      </w:r>
    </w:p>
    <w:p>
      <w:pPr>
        <w:pStyle w:val="BodyText"/>
        <w:spacing w:line="314" w:lineRule="auto" w:before="20"/>
        <w:ind w:left="138" w:right="1809"/>
        <w:jc w:val="left"/>
      </w:pPr>
      <w:r>
        <w:rPr>
          <w:w w:val="100"/>
        </w:rPr>
        <w:t>《融</w:t>
      </w:r>
      <w:r>
        <w:rPr>
          <w:spacing w:val="-3"/>
          <w:w w:val="100"/>
        </w:rPr>
        <w:t>资</w:t>
      </w:r>
      <w:r>
        <w:rPr>
          <w:w w:val="100"/>
        </w:rPr>
        <w:t>管</w:t>
      </w:r>
      <w:r>
        <w:rPr>
          <w:spacing w:val="-3"/>
          <w:w w:val="100"/>
        </w:rPr>
        <w:t>理</w:t>
      </w:r>
      <w:r>
        <w:rPr>
          <w:w w:val="100"/>
        </w:rPr>
        <w:t>办</w:t>
      </w:r>
      <w:r>
        <w:rPr>
          <w:spacing w:val="-3"/>
          <w:w w:val="100"/>
        </w:rPr>
        <w:t>法</w:t>
      </w:r>
      <w:r>
        <w:rPr>
          <w:spacing w:val="-106"/>
          <w:w w:val="100"/>
        </w:rPr>
        <w:t>》、</w:t>
      </w:r>
      <w:r>
        <w:rPr>
          <w:spacing w:val="-3"/>
          <w:w w:val="100"/>
        </w:rPr>
        <w:t>《</w:t>
      </w:r>
      <w:r>
        <w:rPr>
          <w:w w:val="100"/>
        </w:rPr>
        <w:t>绩</w:t>
      </w:r>
      <w:r>
        <w:rPr>
          <w:spacing w:val="-3"/>
          <w:w w:val="100"/>
        </w:rPr>
        <w:t>效</w:t>
      </w:r>
      <w:r>
        <w:rPr>
          <w:w w:val="100"/>
        </w:rPr>
        <w:t>管理</w:t>
      </w:r>
      <w:r>
        <w:rPr>
          <w:spacing w:val="-3"/>
          <w:w w:val="100"/>
        </w:rPr>
        <w:t>制</w:t>
      </w:r>
      <w:r>
        <w:rPr>
          <w:w w:val="100"/>
        </w:rPr>
        <w:t>度</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修</w:t>
      </w:r>
      <w:r>
        <w:rPr>
          <w:spacing w:val="-3"/>
          <w:w w:val="100"/>
        </w:rPr>
        <w:t>订版</w:t>
      </w:r>
      <w:r>
        <w:rPr>
          <w:spacing w:val="-106"/>
          <w:w w:val="100"/>
        </w:rPr>
        <w:t>）》、</w:t>
      </w:r>
      <w:r>
        <w:rPr>
          <w:spacing w:val="-3"/>
          <w:w w:val="100"/>
        </w:rPr>
        <w:t>《</w:t>
      </w:r>
      <w:r>
        <w:rPr>
          <w:w w:val="100"/>
        </w:rPr>
        <w:t>二</w:t>
      </w:r>
      <w:r>
        <w:rPr>
          <w:spacing w:val="-3"/>
          <w:w w:val="100"/>
        </w:rPr>
        <w:t>级</w:t>
      </w:r>
      <w:r>
        <w:rPr>
          <w:w w:val="100"/>
        </w:rPr>
        <w:t>企</w:t>
      </w:r>
      <w:r>
        <w:rPr>
          <w:spacing w:val="-3"/>
          <w:w w:val="100"/>
        </w:rPr>
        <w:t>业</w:t>
      </w:r>
      <w:r>
        <w:rPr>
          <w:w w:val="100"/>
        </w:rPr>
        <w:t>业</w:t>
      </w:r>
      <w:r>
        <w:rPr>
          <w:spacing w:val="-3"/>
          <w:w w:val="100"/>
        </w:rPr>
        <w:t>绩</w:t>
      </w:r>
      <w:r>
        <w:rPr>
          <w:w w:val="100"/>
        </w:rPr>
        <w:t>考</w:t>
      </w:r>
      <w:r>
        <w:rPr>
          <w:spacing w:val="-3"/>
          <w:w w:val="100"/>
        </w:rPr>
        <w:t>核办</w:t>
      </w:r>
      <w:r>
        <w:rPr>
          <w:w w:val="100"/>
        </w:rPr>
        <w:t>法</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修订 </w:t>
      </w:r>
      <w:r>
        <w:rPr>
          <w:spacing w:val="-1"/>
          <w:w w:val="100"/>
        </w:rPr>
        <w:t>版</w:t>
      </w:r>
      <w:r>
        <w:rPr>
          <w:rFonts w:ascii="宋体" w:hAnsi="宋体" w:cs="宋体" w:eastAsia="宋体" w:hint="default"/>
          <w:w w:val="100"/>
        </w:rPr>
        <w:t>)</w:t>
      </w:r>
      <w:r>
        <w:rPr>
          <w:spacing w:val="-106"/>
          <w:w w:val="100"/>
        </w:rPr>
        <w:t>》</w:t>
      </w:r>
      <w:r>
        <w:rPr>
          <w:spacing w:val="-108"/>
          <w:w w:val="100"/>
        </w:rPr>
        <w:t>、</w:t>
      </w:r>
      <w:r>
        <w:rPr>
          <w:w w:val="100"/>
        </w:rPr>
        <w:t>《</w:t>
      </w:r>
      <w:r>
        <w:rPr>
          <w:spacing w:val="-3"/>
          <w:w w:val="100"/>
        </w:rPr>
        <w:t>中</w:t>
      </w:r>
      <w:r>
        <w:rPr>
          <w:w w:val="100"/>
        </w:rPr>
        <w:t>共</w:t>
      </w:r>
      <w:r>
        <w:rPr>
          <w:spacing w:val="-3"/>
          <w:w w:val="100"/>
        </w:rPr>
        <w:t>深</w:t>
      </w:r>
      <w:r>
        <w:rPr>
          <w:w w:val="100"/>
        </w:rPr>
        <w:t>圳</w:t>
      </w:r>
      <w:r>
        <w:rPr>
          <w:spacing w:val="-3"/>
          <w:w w:val="100"/>
        </w:rPr>
        <w:t>市</w:t>
      </w:r>
      <w:r>
        <w:rPr>
          <w:w w:val="100"/>
        </w:rPr>
        <w:t>农</w:t>
      </w:r>
      <w:r>
        <w:rPr>
          <w:spacing w:val="-3"/>
          <w:w w:val="100"/>
        </w:rPr>
        <w:t>产品</w:t>
      </w:r>
      <w:r>
        <w:rPr>
          <w:w w:val="100"/>
        </w:rPr>
        <w:t>股份</w:t>
      </w:r>
      <w:r>
        <w:rPr>
          <w:spacing w:val="-3"/>
          <w:w w:val="100"/>
        </w:rPr>
        <w:t>有</w:t>
      </w:r>
      <w:r>
        <w:rPr>
          <w:w w:val="100"/>
        </w:rPr>
        <w:t>限</w:t>
      </w:r>
      <w:r>
        <w:rPr>
          <w:spacing w:val="-3"/>
          <w:w w:val="100"/>
        </w:rPr>
        <w:t>公</w:t>
      </w:r>
      <w:r>
        <w:rPr>
          <w:w w:val="100"/>
        </w:rPr>
        <w:t>司</w:t>
      </w:r>
      <w:r>
        <w:rPr>
          <w:spacing w:val="-3"/>
          <w:w w:val="100"/>
        </w:rPr>
        <w:t>纪</w:t>
      </w:r>
      <w:r>
        <w:rPr>
          <w:w w:val="100"/>
        </w:rPr>
        <w:t>律</w:t>
      </w:r>
      <w:r>
        <w:rPr>
          <w:spacing w:val="-3"/>
          <w:w w:val="100"/>
        </w:rPr>
        <w:t>检</w:t>
      </w:r>
      <w:r>
        <w:rPr>
          <w:w w:val="100"/>
        </w:rPr>
        <w:t>查</w:t>
      </w:r>
      <w:r>
        <w:rPr>
          <w:spacing w:val="-3"/>
          <w:w w:val="100"/>
        </w:rPr>
        <w:t>委</w:t>
      </w:r>
      <w:r>
        <w:rPr>
          <w:w w:val="100"/>
        </w:rPr>
        <w:t>员会</w:t>
      </w:r>
      <w:r>
        <w:rPr>
          <w:spacing w:val="-3"/>
          <w:w w:val="100"/>
        </w:rPr>
        <w:t>廉</w:t>
      </w:r>
      <w:r>
        <w:rPr>
          <w:w w:val="100"/>
        </w:rPr>
        <w:t>政</w:t>
      </w:r>
      <w:r>
        <w:rPr>
          <w:spacing w:val="-3"/>
          <w:w w:val="100"/>
        </w:rPr>
        <w:t>审</w:t>
      </w:r>
      <w:r>
        <w:rPr>
          <w:w w:val="100"/>
        </w:rPr>
        <w:t>核</w:t>
      </w:r>
      <w:r>
        <w:rPr>
          <w:spacing w:val="-3"/>
          <w:w w:val="100"/>
        </w:rPr>
        <w:t>办</w:t>
      </w:r>
      <w:r>
        <w:rPr>
          <w:w w:val="100"/>
        </w:rPr>
        <w:t>法</w:t>
      </w:r>
      <w:r>
        <w:rPr>
          <w:spacing w:val="-3"/>
          <w:w w:val="100"/>
        </w:rPr>
        <w:t>》</w:t>
      </w:r>
      <w:r>
        <w:rPr>
          <w:w w:val="100"/>
        </w:rPr>
        <w:t>等</w:t>
      </w:r>
      <w:r>
        <w:rPr>
          <w:spacing w:val="-3"/>
          <w:w w:val="100"/>
        </w:rPr>
        <w:t>制</w:t>
      </w:r>
      <w:r>
        <w:rPr>
          <w:w w:val="100"/>
        </w:rPr>
        <w:t>度。</w:t>
      </w:r>
    </w:p>
    <w:p>
      <w:pPr>
        <w:pStyle w:val="Heading6"/>
        <w:spacing w:line="317" w:lineRule="exact"/>
        <w:ind w:left="138" w:right="1675"/>
        <w:jc w:val="left"/>
        <w:rPr>
          <w:b w:val="0"/>
          <w:bCs w:val="0"/>
        </w:rPr>
      </w:pPr>
      <w:r>
        <w:rPr/>
        <w:t>（三）公司治理的实际状况与中国证监会发布的有关上市公司治理的规范性文件是否存在</w:t>
      </w:r>
      <w:r>
        <w:rPr>
          <w:b w:val="0"/>
          <w:bCs w:val="0"/>
        </w:rPr>
      </w:r>
    </w:p>
    <w:p>
      <w:pPr>
        <w:pStyle w:val="Heading6"/>
        <w:spacing w:line="363" w:lineRule="exact"/>
        <w:ind w:left="138" w:right="1675"/>
        <w:jc w:val="left"/>
        <w:rPr>
          <w:b w:val="0"/>
          <w:bCs w:val="0"/>
        </w:rPr>
      </w:pPr>
      <w:r>
        <w:rPr/>
        <w:t>重大差异</w:t>
      </w:r>
      <w:r>
        <w:rPr>
          <w:b w:val="0"/>
          <w:bCs w:val="0"/>
        </w:rPr>
      </w:r>
    </w:p>
    <w:p>
      <w:pPr>
        <w:spacing w:line="345" w:lineRule="auto" w:before="96"/>
        <w:ind w:left="138" w:right="28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pStyle w:val="Heading6"/>
        <w:spacing w:line="309" w:lineRule="exact"/>
        <w:ind w:left="138" w:right="1675"/>
        <w:jc w:val="left"/>
        <w:rPr>
          <w:b w:val="0"/>
          <w:bCs w:val="0"/>
        </w:rPr>
      </w:pPr>
      <w:r>
        <w:rPr/>
        <w:t>（四）公司治理专项活动开展情况以及内幕信息知情人登记管理制度的制定、实施情况</w:t>
      </w:r>
      <w:r>
        <w:rPr>
          <w:b w:val="0"/>
          <w:bCs w:val="0"/>
        </w:rPr>
      </w:r>
    </w:p>
    <w:p>
      <w:pPr>
        <w:pStyle w:val="BodyText"/>
        <w:spacing w:line="297" w:lineRule="auto" w:before="61"/>
        <w:ind w:left="138" w:right="1675" w:firstLine="434"/>
        <w:jc w:val="left"/>
      </w:pPr>
      <w:r>
        <w:rPr>
          <w:rFonts w:ascii="Times New Roman" w:hAnsi="Times New Roman" w:cs="Times New Roman" w:eastAsia="Times New Roman" w:hint="default"/>
          <w:w w:val="100"/>
        </w:rPr>
        <w:t>2009</w:t>
      </w:r>
      <w:r>
        <w:rPr>
          <w:rFonts w:ascii="Times New Roman" w:hAnsi="Times New Roman" w:cs="Times New Roman" w:eastAsia="Times New Roman" w:hint="default"/>
          <w:spacing w:val="20"/>
          <w:w w:val="100"/>
        </w:rPr>
        <w:t> </w:t>
      </w:r>
      <w:r>
        <w:rPr>
          <w:spacing w:val="-5"/>
          <w:w w:val="100"/>
        </w:rPr>
        <w:t>年，公司制订《内幕信息知情人登记制度》，公司严格执行内幕信息知情人登记，</w:t>
      </w:r>
      <w:r>
        <w:rPr>
          <w:w w:val="100"/>
        </w:rPr>
        <w:t> </w:t>
      </w:r>
      <w:r>
        <w:rPr/>
        <w:t>做好内幕信息防控工作；报告期内，公司并无内幕信息知情人违规买卖公司证券的行为。</w:t>
      </w:r>
    </w:p>
    <w:p>
      <w:pPr>
        <w:pStyle w:val="BodyText"/>
        <w:spacing w:line="240" w:lineRule="auto" w:before="34"/>
        <w:ind w:left="572" w:right="1675"/>
        <w:jc w:val="left"/>
      </w:pPr>
      <w:r>
        <w:rPr>
          <w:spacing w:val="-5"/>
        </w:rPr>
        <w:t>报告期内，公司于编撰定期报告期间、推进中农网重大资产出售事项及其他重大事项发</w:t>
      </w:r>
    </w:p>
    <w:p>
      <w:pPr>
        <w:spacing w:after="0" w:line="240" w:lineRule="auto"/>
        <w:jc w:val="left"/>
        <w:sectPr>
          <w:pgSz w:w="11910" w:h="16850"/>
          <w:pgMar w:header="877" w:footer="1265" w:top="1100" w:bottom="1460" w:left="1660" w:right="0"/>
        </w:sectPr>
      </w:pPr>
    </w:p>
    <w:p>
      <w:pPr>
        <w:spacing w:line="240" w:lineRule="auto" w:before="1"/>
        <w:rPr>
          <w:rFonts w:ascii="宋体" w:hAnsi="宋体" w:cs="宋体" w:eastAsia="宋体" w:hint="default"/>
          <w:sz w:val="25"/>
          <w:szCs w:val="25"/>
        </w:rPr>
      </w:pPr>
    </w:p>
    <w:p>
      <w:pPr>
        <w:pStyle w:val="BodyText"/>
        <w:spacing w:line="240" w:lineRule="auto"/>
        <w:ind w:left="138" w:right="0"/>
        <w:jc w:val="both"/>
      </w:pPr>
      <w:r>
        <w:rPr/>
        <w:t>生时均切实履行内幕信息防控工作，登记内幕信息知情人并于深圳证券交易所备案。</w:t>
      </w:r>
    </w:p>
    <w:p>
      <w:pPr>
        <w:spacing w:line="240" w:lineRule="auto" w:before="3"/>
        <w:rPr>
          <w:rFonts w:ascii="宋体" w:hAnsi="宋体" w:cs="宋体" w:eastAsia="宋体" w:hint="default"/>
          <w:sz w:val="26"/>
          <w:szCs w:val="26"/>
        </w:rPr>
      </w:pPr>
    </w:p>
    <w:p>
      <w:pPr>
        <w:pStyle w:val="Heading4"/>
        <w:spacing w:line="360" w:lineRule="exact"/>
        <w:ind w:left="138" w:right="1791"/>
        <w:jc w:val="both"/>
        <w:rPr>
          <w:b w:val="0"/>
          <w:bCs w:val="0"/>
        </w:rPr>
      </w:pPr>
      <w:r>
        <w:rPr>
          <w:spacing w:val="-3"/>
        </w:rPr>
        <w:t>二、公司相对于控股股东、实际控制人在业务、人员、资产、机构、财务等方面</w:t>
      </w:r>
      <w:r>
        <w:rPr>
          <w:spacing w:val="-47"/>
        </w:rPr>
        <w:t> </w:t>
      </w:r>
      <w:r>
        <w:rPr>
          <w:spacing w:val="-47"/>
        </w:rPr>
      </w:r>
      <w:r>
        <w:rPr/>
        <w:t>的独立情况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Heading6"/>
        <w:spacing w:line="360" w:lineRule="exact"/>
        <w:ind w:left="138" w:right="1883"/>
        <w:jc w:val="both"/>
        <w:rPr>
          <w:b w:val="0"/>
          <w:bCs w:val="0"/>
        </w:rPr>
      </w:pPr>
      <w:r>
        <w:rPr>
          <w:spacing w:val="-1"/>
        </w:rPr>
        <w:t>（一）公司与控股股东、实际控制人人员、资产、财务分开，机构、业务独立，公司与控</w:t>
      </w:r>
      <w:r>
        <w:rPr>
          <w:spacing w:val="15"/>
        </w:rPr>
        <w:t> </w:t>
      </w:r>
      <w:r>
        <w:rPr>
          <w:spacing w:val="15"/>
        </w:rPr>
      </w:r>
      <w:r>
        <w:rPr>
          <w:spacing w:val="-1"/>
        </w:rPr>
        <w:t>股股东、实际控制人各自独立核算、独立承担责任和风险。公司具有独立完整的业务系统</w:t>
      </w:r>
      <w:r>
        <w:rPr>
          <w:spacing w:val="15"/>
        </w:rPr>
        <w:t> </w:t>
      </w:r>
      <w:r>
        <w:rPr>
          <w:spacing w:val="15"/>
        </w:rPr>
      </w:r>
      <w:r>
        <w:rPr/>
        <w:t>及自主经营能力。</w:t>
      </w:r>
      <w:r>
        <w:rPr>
          <w:b w:val="0"/>
          <w:bCs w:val="0"/>
        </w:rPr>
      </w:r>
    </w:p>
    <w:p>
      <w:pPr>
        <w:spacing w:line="360" w:lineRule="exact" w:before="0"/>
        <w:ind w:left="558" w:right="3701"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（二）公司治理非规范事项的说明</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、向实际控制人报送相关未公开信息情况</w:t>
      </w:r>
    </w:p>
    <w:p>
      <w:pPr>
        <w:pStyle w:val="BodyText"/>
        <w:spacing w:line="314" w:lineRule="auto" w:before="42"/>
        <w:ind w:left="138" w:right="1786" w:firstLine="419"/>
        <w:jc w:val="both"/>
      </w:pPr>
      <w:r>
        <w:rPr>
          <w:spacing w:val="-4"/>
        </w:rPr>
        <w:t>公司作为深圳市国资委实际控制的上市公司，因执行国有资产管理的相关规定，存在定</w:t>
      </w:r>
      <w:r>
        <w:rPr>
          <w:w w:val="100"/>
        </w:rPr>
        <w:t> </w:t>
      </w:r>
      <w:r>
        <w:rPr>
          <w:spacing w:val="-4"/>
          <w:w w:val="100"/>
        </w:rPr>
        <w:t>期和不定期向实际控制人深圳市国资委报送月度主要财务指标快报、季度经济运行分析和年</w:t>
      </w:r>
      <w:r>
        <w:rPr>
          <w:spacing w:val="-86"/>
          <w:w w:val="100"/>
        </w:rPr>
        <w:t> </w:t>
      </w:r>
      <w:r>
        <w:rPr>
          <w:spacing w:val="-86"/>
          <w:w w:val="100"/>
        </w:rPr>
      </w:r>
      <w:r>
        <w:rPr/>
        <w:t>度预算等未公开信息的情况。未公开信息报送情况及知情人名单，公司均进行备案。</w:t>
      </w:r>
    </w:p>
    <w:p>
      <w:pPr>
        <w:pStyle w:val="BodyText"/>
        <w:spacing w:line="314" w:lineRule="auto" w:before="20"/>
        <w:ind w:left="138" w:right="1786" w:firstLine="419"/>
        <w:jc w:val="both"/>
      </w:pPr>
      <w:r>
        <w:rPr>
          <w:spacing w:val="-4"/>
        </w:rPr>
        <w:t>上报的财务信息报送程序为：公司计划财务管理总部按照公司内部流程，完成相关财务</w:t>
      </w:r>
      <w:r>
        <w:rPr>
          <w:w w:val="100"/>
        </w:rPr>
        <w:t> </w:t>
      </w:r>
      <w:r>
        <w:rPr>
          <w:spacing w:val="-4"/>
        </w:rPr>
        <w:t>信息的编制，经计划财务管理总部负责人、财务总监、总裁审核同意后，通过深圳市国资委</w:t>
      </w:r>
      <w:r>
        <w:rPr>
          <w:spacing w:val="-40"/>
        </w:rPr>
        <w:t> </w:t>
      </w:r>
      <w:r>
        <w:rPr>
          <w:spacing w:val="-40"/>
        </w:rPr>
      </w:r>
      <w:r>
        <w:rPr>
          <w:spacing w:val="-4"/>
        </w:rPr>
        <w:t>下发的数字证书登录“深圳市国资委－国有资产管理信息系统”网站上报，深圳市国资委统</w:t>
      </w:r>
      <w:r>
        <w:rPr>
          <w:spacing w:val="-41"/>
        </w:rPr>
        <w:t> </w:t>
      </w:r>
      <w:r>
        <w:rPr>
          <w:spacing w:val="-41"/>
        </w:rPr>
      </w:r>
      <w:r>
        <w:rPr/>
        <w:t>计评价处合并汇总后，向市政府及上级国有资产监管部门上报。</w:t>
      </w:r>
    </w:p>
    <w:p>
      <w:pPr>
        <w:pStyle w:val="BodyText"/>
        <w:spacing w:line="314" w:lineRule="auto" w:before="20"/>
        <w:ind w:left="138" w:right="1675" w:firstLine="419"/>
        <w:jc w:val="left"/>
      </w:pPr>
      <w:r>
        <w:rPr/>
        <w:t>为了控制未公开信息的知情面</w:t>
      </w:r>
      <w:r>
        <w:rPr>
          <w:rFonts w:ascii="宋体" w:hAnsi="宋体" w:cs="宋体" w:eastAsia="宋体" w:hint="default"/>
        </w:rPr>
        <w:t>,</w:t>
      </w:r>
      <w:r>
        <w:rPr/>
        <w:t>公司在信息的传递过程中严格控制知情人范围。实际控</w:t>
      </w:r>
      <w:r>
        <w:rPr>
          <w:w w:val="100"/>
        </w:rPr>
        <w:t> </w:t>
      </w:r>
      <w:r>
        <w:rPr>
          <w:spacing w:val="-9"/>
          <w:w w:val="100"/>
        </w:rPr>
        <w:t>制人深圳市国资委也向公司出具了《加强未公开信息管理承诺函》，承诺内容如下：“我单位</w:t>
      </w:r>
      <w:r>
        <w:rPr>
          <w:spacing w:val="-92"/>
          <w:w w:val="100"/>
        </w:rPr>
        <w:t> </w:t>
      </w:r>
      <w:r>
        <w:rPr>
          <w:spacing w:val="-92"/>
          <w:w w:val="100"/>
        </w:rPr>
      </w:r>
      <w:r>
        <w:rPr>
          <w:spacing w:val="-4"/>
          <w:w w:val="100"/>
        </w:rPr>
        <w:t>将建立和完善已获取的上市公司未公开信息管理内控制度，督促我单位及我单位实际控制人</w:t>
      </w:r>
      <w:r>
        <w:rPr>
          <w:spacing w:val="-86"/>
          <w:w w:val="100"/>
        </w:rPr>
        <w:t> </w:t>
      </w:r>
      <w:r>
        <w:rPr>
          <w:spacing w:val="-86"/>
          <w:w w:val="100"/>
        </w:rPr>
      </w:r>
      <w:r>
        <w:rPr>
          <w:spacing w:val="-2"/>
        </w:rPr>
        <w:t>的相关信息知情人不利用你公司未公开信息买卖你公司证券，不建议他人买卖你公司证券，</w:t>
      </w:r>
      <w:r>
        <w:rPr>
          <w:spacing w:val="-31"/>
        </w:rPr>
        <w:t> </w:t>
      </w:r>
      <w:r>
        <w:rPr>
          <w:spacing w:val="-31"/>
        </w:rPr>
      </w:r>
      <w:r>
        <w:rPr>
          <w:spacing w:val="-4"/>
        </w:rPr>
        <w:t>也不泄露你公司未公开信息，并及时、真实、准确、完整地提供我单位及我单位实际控制人</w:t>
      </w:r>
      <w:r>
        <w:rPr>
          <w:spacing w:val="-39"/>
        </w:rPr>
        <w:t> </w:t>
      </w:r>
      <w:r>
        <w:rPr>
          <w:spacing w:val="-39"/>
        </w:rPr>
      </w:r>
      <w:r>
        <w:rPr>
          <w:spacing w:val="-5"/>
          <w:w w:val="100"/>
        </w:rPr>
        <w:t>知悉你公司未公开信息的知情人名单，由你公司报送深圳证监局、证券交易所备案。”</w:t>
      </w:r>
    </w:p>
    <w:p>
      <w:pPr>
        <w:pStyle w:val="BodyText"/>
        <w:spacing w:line="240" w:lineRule="auto" w:before="20"/>
        <w:ind w:left="558" w:right="1675"/>
        <w:jc w:val="left"/>
      </w:pPr>
      <w:r>
        <w:rPr>
          <w:rFonts w:ascii="宋体" w:hAnsi="宋体" w:cs="宋体" w:eastAsia="宋体" w:hint="default"/>
        </w:rPr>
        <w:t>2</w:t>
      </w:r>
      <w:r>
        <w:rPr/>
        <w:t>、其他事项说明</w:t>
      </w:r>
    </w:p>
    <w:p>
      <w:pPr>
        <w:pStyle w:val="BodyText"/>
        <w:spacing w:line="297" w:lineRule="auto" w:before="85"/>
        <w:ind w:left="138" w:right="1788" w:firstLine="419"/>
        <w:jc w:val="both"/>
      </w:pPr>
      <w:r>
        <w:rPr/>
        <w:t>公司自</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spacing w:val="-5"/>
        </w:rPr>
        <w:t>月起，已不再执行产权代表报告制度。不存在控股股东或实际控制人</w:t>
      </w:r>
      <w:r>
        <w:rPr>
          <w:w w:val="100"/>
        </w:rPr>
        <w:t> </w:t>
      </w:r>
      <w:r>
        <w:rPr/>
        <w:t>对公司及下属子公司或具体项目进行审计的情况。</w:t>
      </w:r>
    </w:p>
    <w:p>
      <w:pPr>
        <w:spacing w:line="240" w:lineRule="auto" w:before="1"/>
        <w:rPr>
          <w:rFonts w:ascii="宋体" w:hAnsi="宋体" w:cs="宋体" w:eastAsia="宋体" w:hint="default"/>
          <w:sz w:val="17"/>
          <w:szCs w:val="17"/>
        </w:rPr>
      </w:pPr>
    </w:p>
    <w:p>
      <w:pPr>
        <w:pStyle w:val="Heading4"/>
        <w:spacing w:line="240" w:lineRule="auto"/>
        <w:ind w:left="138" w:right="0"/>
        <w:jc w:val="both"/>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14" w:lineRule="auto" w:before="0"/>
        <w:ind w:left="138" w:right="1786"/>
        <w:jc w:val="both"/>
      </w:pPr>
      <w:r>
        <w:rPr>
          <w:spacing w:val="-4"/>
        </w:rPr>
        <w:t>（一）截至报告期末，公司不存在因股权化改造、行业特点、国家政策或收购兼并等原因导</w:t>
      </w:r>
      <w:r>
        <w:rPr>
          <w:spacing w:val="-39"/>
        </w:rPr>
        <w:t> </w:t>
      </w:r>
      <w:r>
        <w:rPr>
          <w:spacing w:val="-39"/>
        </w:rPr>
      </w:r>
      <w:r>
        <w:rPr/>
        <w:t>致的同业竞争问题。</w:t>
      </w:r>
    </w:p>
    <w:p>
      <w:pPr>
        <w:pStyle w:val="BodyText"/>
        <w:spacing w:line="314" w:lineRule="auto" w:before="20"/>
        <w:ind w:left="138" w:right="1786"/>
        <w:jc w:val="both"/>
      </w:pPr>
      <w:r>
        <w:rPr>
          <w:w w:val="100"/>
        </w:rPr>
        <w:t>（</w:t>
      </w:r>
      <w:r>
        <w:rPr>
          <w:spacing w:val="-3"/>
          <w:w w:val="100"/>
        </w:rPr>
        <w:t>二</w:t>
      </w:r>
      <w:r>
        <w:rPr>
          <w:spacing w:val="-99"/>
          <w:w w:val="100"/>
        </w:rPr>
        <w:t>）</w:t>
      </w:r>
      <w:r>
        <w:rPr>
          <w:spacing w:val="-3"/>
          <w:w w:val="100"/>
        </w:rPr>
        <w:t>公</w:t>
      </w:r>
      <w:r>
        <w:rPr>
          <w:w w:val="100"/>
        </w:rPr>
        <w:t>司</w:t>
      </w:r>
      <w:r>
        <w:rPr>
          <w:spacing w:val="-3"/>
          <w:w w:val="100"/>
        </w:rPr>
        <w:t>控</w:t>
      </w:r>
      <w:r>
        <w:rPr>
          <w:w w:val="100"/>
        </w:rPr>
        <w:t>股</w:t>
      </w:r>
      <w:r>
        <w:rPr>
          <w:spacing w:val="-3"/>
          <w:w w:val="100"/>
        </w:rPr>
        <w:t>股</w:t>
      </w:r>
      <w:r>
        <w:rPr>
          <w:w w:val="100"/>
        </w:rPr>
        <w:t>东</w:t>
      </w:r>
      <w:r>
        <w:rPr>
          <w:spacing w:val="-3"/>
          <w:w w:val="100"/>
        </w:rPr>
        <w:t>福</w:t>
      </w:r>
      <w:r>
        <w:rPr>
          <w:w w:val="100"/>
        </w:rPr>
        <w:t>德</w:t>
      </w:r>
      <w:r>
        <w:rPr>
          <w:spacing w:val="-3"/>
          <w:w w:val="100"/>
        </w:rPr>
        <w:t>资</w:t>
      </w:r>
      <w:r>
        <w:rPr>
          <w:w w:val="100"/>
        </w:rPr>
        <w:t>本</w:t>
      </w:r>
      <w:r>
        <w:rPr>
          <w:spacing w:val="-101"/>
          <w:w w:val="100"/>
        </w:rPr>
        <w:t>、</w:t>
      </w:r>
      <w:r>
        <w:rPr>
          <w:w w:val="100"/>
        </w:rPr>
        <w:t>实</w:t>
      </w:r>
      <w:r>
        <w:rPr>
          <w:spacing w:val="-3"/>
          <w:w w:val="100"/>
        </w:rPr>
        <w:t>际</w:t>
      </w:r>
      <w:r>
        <w:rPr>
          <w:w w:val="100"/>
        </w:rPr>
        <w:t>控</w:t>
      </w:r>
      <w:r>
        <w:rPr>
          <w:spacing w:val="-3"/>
          <w:w w:val="100"/>
        </w:rPr>
        <w:t>制</w:t>
      </w:r>
      <w:r>
        <w:rPr>
          <w:w w:val="100"/>
        </w:rPr>
        <w:t>人</w:t>
      </w:r>
      <w:r>
        <w:rPr>
          <w:spacing w:val="-3"/>
          <w:w w:val="100"/>
        </w:rPr>
        <w:t>深</w:t>
      </w:r>
      <w:r>
        <w:rPr>
          <w:w w:val="100"/>
        </w:rPr>
        <w:t>圳</w:t>
      </w:r>
      <w:r>
        <w:rPr>
          <w:spacing w:val="-3"/>
          <w:w w:val="100"/>
        </w:rPr>
        <w:t>市</w:t>
      </w:r>
      <w:r>
        <w:rPr>
          <w:w w:val="100"/>
        </w:rPr>
        <w:t>国</w:t>
      </w:r>
      <w:r>
        <w:rPr>
          <w:spacing w:val="-3"/>
          <w:w w:val="100"/>
        </w:rPr>
        <w:t>资</w:t>
      </w:r>
      <w:r>
        <w:rPr>
          <w:w w:val="100"/>
        </w:rPr>
        <w:t>委关</w:t>
      </w:r>
      <w:r>
        <w:rPr>
          <w:spacing w:val="-3"/>
          <w:w w:val="100"/>
        </w:rPr>
        <w:t>于</w:t>
      </w:r>
      <w:r>
        <w:rPr>
          <w:w w:val="100"/>
        </w:rPr>
        <w:t>同</w:t>
      </w:r>
      <w:r>
        <w:rPr>
          <w:spacing w:val="-3"/>
          <w:w w:val="100"/>
        </w:rPr>
        <w:t>业</w:t>
      </w:r>
      <w:r>
        <w:rPr>
          <w:w w:val="100"/>
        </w:rPr>
        <w:t>竞</w:t>
      </w:r>
      <w:r>
        <w:rPr>
          <w:spacing w:val="-3"/>
          <w:w w:val="100"/>
        </w:rPr>
        <w:t>争</w:t>
      </w:r>
      <w:r>
        <w:rPr>
          <w:w w:val="100"/>
        </w:rPr>
        <w:t>的</w:t>
      </w:r>
      <w:r>
        <w:rPr>
          <w:spacing w:val="-3"/>
          <w:w w:val="100"/>
        </w:rPr>
        <w:t>承</w:t>
      </w:r>
      <w:r>
        <w:rPr>
          <w:w w:val="100"/>
        </w:rPr>
        <w:t>诺</w:t>
      </w:r>
      <w:r>
        <w:rPr>
          <w:spacing w:val="-3"/>
          <w:w w:val="100"/>
        </w:rPr>
        <w:t>详</w:t>
      </w:r>
      <w:r>
        <w:rPr>
          <w:w w:val="100"/>
        </w:rPr>
        <w:t>见本</w:t>
      </w:r>
      <w:r>
        <w:rPr>
          <w:spacing w:val="-3"/>
          <w:w w:val="100"/>
        </w:rPr>
        <w:t>报</w:t>
      </w:r>
      <w:r>
        <w:rPr>
          <w:spacing w:val="-101"/>
          <w:w w:val="100"/>
        </w:rPr>
        <w:t>告</w:t>
      </w:r>
      <w:r>
        <w:rPr>
          <w:w w:val="100"/>
        </w:rPr>
        <w:t>“第</w:t>
      </w:r>
      <w:r>
        <w:rPr>
          <w:w w:val="100"/>
        </w:rPr>
        <w:t> 五节</w:t>
      </w:r>
      <w:r>
        <w:rPr>
          <w:spacing w:val="-2"/>
        </w:rPr>
        <w:t> </w:t>
      </w:r>
      <w:r>
        <w:rPr>
          <w:w w:val="100"/>
        </w:rPr>
        <w:t>重</w:t>
      </w:r>
      <w:r>
        <w:rPr>
          <w:spacing w:val="-3"/>
          <w:w w:val="100"/>
        </w:rPr>
        <w:t>要</w:t>
      </w:r>
      <w:r>
        <w:rPr>
          <w:w w:val="100"/>
        </w:rPr>
        <w:t>事项</w:t>
      </w:r>
      <w:r>
        <w:rPr>
          <w:spacing w:val="-2"/>
        </w:rPr>
        <w:t> </w:t>
      </w:r>
      <w:r>
        <w:rPr>
          <w:w w:val="100"/>
        </w:rPr>
        <w:t>三</w:t>
      </w:r>
      <w:r>
        <w:rPr>
          <w:spacing w:val="-3"/>
          <w:w w:val="100"/>
        </w:rPr>
        <w:t>、</w:t>
      </w:r>
      <w:r>
        <w:rPr>
          <w:w w:val="100"/>
        </w:rPr>
        <w:t>承</w:t>
      </w:r>
      <w:r>
        <w:rPr>
          <w:spacing w:val="-3"/>
          <w:w w:val="100"/>
        </w:rPr>
        <w:t>诺</w:t>
      </w:r>
      <w:r>
        <w:rPr>
          <w:w w:val="100"/>
        </w:rPr>
        <w:t>事项</w:t>
      </w:r>
      <w:r>
        <w:rPr>
          <w:spacing w:val="-3"/>
          <w:w w:val="100"/>
        </w:rPr>
        <w:t>履</w:t>
      </w:r>
      <w:r>
        <w:rPr>
          <w:w w:val="100"/>
        </w:rPr>
        <w:t>行</w:t>
      </w:r>
      <w:r>
        <w:rPr>
          <w:spacing w:val="-3"/>
          <w:w w:val="100"/>
        </w:rPr>
        <w:t>情</w:t>
      </w:r>
      <w:r>
        <w:rPr>
          <w:w w:val="100"/>
        </w:rPr>
        <w:t>况</w:t>
      </w:r>
      <w:r>
        <w:rPr>
          <w:spacing w:val="-108"/>
          <w:w w:val="100"/>
        </w:rPr>
        <w:t>”</w:t>
      </w:r>
      <w:r>
        <w:rPr>
          <w:w w:val="100"/>
        </w:rPr>
        <w:t>。</w:t>
      </w:r>
    </w:p>
    <w:p>
      <w:pPr>
        <w:spacing w:after="0" w:line="314" w:lineRule="auto"/>
        <w:jc w:val="both"/>
        <w:sectPr>
          <w:pgSz w:w="11910" w:h="16850"/>
          <w:pgMar w:header="877" w:footer="1265" w:top="1100" w:bottom="1460" w:left="1660" w:right="0"/>
        </w:sectPr>
      </w:pPr>
    </w:p>
    <w:p>
      <w:pPr>
        <w:spacing w:line="240" w:lineRule="auto" w:before="13"/>
        <w:rPr>
          <w:rFonts w:ascii="宋体" w:hAnsi="宋体" w:cs="宋体" w:eastAsia="宋体" w:hint="default"/>
          <w:sz w:val="22"/>
          <w:szCs w:val="22"/>
        </w:rPr>
      </w:pPr>
    </w:p>
    <w:p>
      <w:pPr>
        <w:pStyle w:val="Heading4"/>
        <w:spacing w:line="367" w:lineRule="exact"/>
        <w:ind w:left="1158"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6"/>
        <w:spacing w:line="240" w:lineRule="auto"/>
        <w:ind w:left="1158"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Microsoft JhengHei" w:hAnsi="Microsoft JhengHei" w:cs="Microsoft JhengHei" w:eastAsia="Microsoft JhengHei" w:hint="default"/>
          <w:b/>
          <w:bCs/>
          <w:sz w:val="21"/>
          <w:szCs w:val="21"/>
        </w:rPr>
      </w:pPr>
    </w:p>
    <w:tbl>
      <w:tblPr>
        <w:tblW w:w="0" w:type="auto"/>
        <w:jc w:val="left"/>
        <w:tblInd w:w="106" w:type="dxa"/>
        <w:tblLayout w:type="fixed"/>
        <w:tblCellMar>
          <w:top w:w="0" w:type="dxa"/>
          <w:left w:w="0" w:type="dxa"/>
          <w:bottom w:w="0" w:type="dxa"/>
          <w:right w:w="0" w:type="dxa"/>
        </w:tblCellMar>
        <w:tblLook w:val="01E0"/>
      </w:tblPr>
      <w:tblGrid>
        <w:gridCol w:w="1332"/>
        <w:gridCol w:w="1272"/>
        <w:gridCol w:w="1421"/>
        <w:gridCol w:w="1421"/>
        <w:gridCol w:w="1558"/>
        <w:gridCol w:w="3401"/>
      </w:tblGrid>
      <w:tr>
        <w:trPr>
          <w:trHeight w:val="331"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80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60"/>
              <w:ind w:left="120" w:right="9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64.0183%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r>
        <w:trPr>
          <w:trHeight w:val="81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120" w:right="9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64.2056%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r>
        <w:trPr>
          <w:trHeight w:val="80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60"/>
              <w:ind w:left="480" w:right="93"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65.5262%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r>
        <w:trPr>
          <w:trHeight w:val="81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120" w:right="9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64.0364%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r>
        <w:trPr>
          <w:trHeight w:val="80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60"/>
              <w:ind w:left="120" w:right="9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64.0999%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r>
        <w:trPr>
          <w:trHeight w:val="81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120" w:right="9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 临时股东大会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65.2754%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r>
        <w:trPr>
          <w:trHeight w:val="80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60"/>
              <w:ind w:left="120" w:right="9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 临时股东大会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65.2781%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日刊登在《证券</w:t>
            </w:r>
            <w:r>
              <w:rPr>
                <w:rFonts w:ascii="宋体" w:hAnsi="宋体" w:cs="宋体" w:eastAsia="宋体" w:hint="default"/>
                <w:sz w:val="18"/>
                <w:szCs w:val="18"/>
              </w:rPr>
              <w:t> </w:t>
            </w:r>
            <w:r>
              <w:rPr>
                <w:rFonts w:ascii="宋体" w:hAnsi="宋体" w:cs="宋体" w:eastAsia="宋体" w:hint="default"/>
                <w:spacing w:val="-29"/>
                <w:sz w:val="18"/>
                <w:szCs w:val="18"/>
              </w:rPr>
              <w:t>时报》、《中国证券报》、《上海证券报》、《证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券日报》及巨潮资讯网上的公告。</w:t>
            </w:r>
          </w:p>
        </w:tc>
      </w:tr>
    </w:tbl>
    <w:p>
      <w:pPr>
        <w:spacing w:line="240" w:lineRule="auto" w:before="16"/>
        <w:rPr>
          <w:rFonts w:ascii="Microsoft JhengHei" w:hAnsi="Microsoft JhengHei" w:cs="Microsoft JhengHei" w:eastAsia="Microsoft JhengHei" w:hint="default"/>
          <w:b/>
          <w:bCs/>
          <w:sz w:val="16"/>
          <w:szCs w:val="16"/>
        </w:rPr>
      </w:pPr>
    </w:p>
    <w:p>
      <w:pPr>
        <w:pStyle w:val="Heading6"/>
        <w:spacing w:line="335" w:lineRule="exact"/>
        <w:ind w:left="1158"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Microsoft JhengHei" w:hAnsi="Microsoft JhengHei" w:cs="Microsoft JhengHei" w:eastAsia="Microsoft JhengHei" w:hint="default"/>
          <w:b/>
          <w:bCs/>
          <w:sz w:val="24"/>
          <w:szCs w:val="24"/>
        </w:rPr>
      </w:pPr>
    </w:p>
    <w:p>
      <w:pPr>
        <w:spacing w:before="0"/>
        <w:ind w:left="115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4"/>
          <w:szCs w:val="24"/>
        </w:rPr>
      </w:pPr>
    </w:p>
    <w:p>
      <w:pPr>
        <w:pStyle w:val="Heading4"/>
        <w:spacing w:line="240" w:lineRule="auto"/>
        <w:ind w:left="1158"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6"/>
        <w:spacing w:line="240" w:lineRule="auto"/>
        <w:ind w:left="1158"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6"/>
        <w:rPr>
          <w:rFonts w:ascii="Microsoft JhengHei" w:hAnsi="Microsoft JhengHei" w:cs="Microsoft JhengHei" w:eastAsia="Microsoft JhengHei" w:hint="default"/>
          <w:b/>
          <w:bCs/>
          <w:sz w:val="21"/>
          <w:szCs w:val="21"/>
        </w:rPr>
      </w:pPr>
    </w:p>
    <w:tbl>
      <w:tblPr>
        <w:tblW w:w="0" w:type="auto"/>
        <w:jc w:val="left"/>
        <w:tblInd w:w="776" w:type="dxa"/>
        <w:tblLayout w:type="fixed"/>
        <w:tblCellMar>
          <w:top w:w="0" w:type="dxa"/>
          <w:left w:w="0" w:type="dxa"/>
          <w:bottom w:w="0" w:type="dxa"/>
          <w:right w:w="0" w:type="dxa"/>
        </w:tblCellMar>
        <w:tblLook w:val="01E0"/>
      </w:tblPr>
      <w:tblGrid>
        <w:gridCol w:w="1342"/>
        <w:gridCol w:w="1311"/>
        <w:gridCol w:w="1025"/>
        <w:gridCol w:w="994"/>
        <w:gridCol w:w="994"/>
        <w:gridCol w:w="991"/>
        <w:gridCol w:w="1417"/>
        <w:gridCol w:w="994"/>
      </w:tblGrid>
      <w:tr>
        <w:trPr>
          <w:trHeight w:val="329" w:hRule="exact"/>
        </w:trPr>
        <w:tc>
          <w:tcPr>
            <w:tcW w:w="90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572" w:hRule="exact"/>
        </w:trPr>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0" w:right="11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17" w:right="55"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31" w:right="41" w:hanging="92"/>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98" w:right="45" w:hanging="361"/>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60" w:right="7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0" w:right="41"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329"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刘鲁鱼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4</w:t>
            </w:r>
          </w:p>
        </w:tc>
      </w:tr>
      <w:tr>
        <w:trPr>
          <w:trHeight w:val="33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2</w:t>
            </w:r>
          </w:p>
        </w:tc>
      </w:tr>
      <w:tr>
        <w:trPr>
          <w:trHeight w:val="329"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张志勇</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r>
      <w:tr>
        <w:trPr>
          <w:trHeight w:val="33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4</w:t>
            </w:r>
          </w:p>
        </w:tc>
      </w:tr>
      <w:tr>
        <w:trPr>
          <w:trHeight w:val="329"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王丽娜</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Times New Roman" w:hAnsi="Times New Roman" w:cs="Times New Roman" w:eastAsia="Times New Roman" w:hint="default"/>
                <w:sz w:val="18"/>
                <w:szCs w:val="18"/>
              </w:rPr>
            </w:pPr>
            <w:r>
              <w:rPr>
                <w:rFonts w:ascii="Times New Roman"/>
                <w:sz w:val="18"/>
              </w:rPr>
              <w:t>3</w:t>
            </w:r>
          </w:p>
        </w:tc>
      </w:tr>
    </w:tbl>
    <w:p>
      <w:pPr>
        <w:spacing w:before="20"/>
        <w:ind w:left="1158" w:right="0" w:firstLine="0"/>
        <w:jc w:val="left"/>
        <w:rPr>
          <w:rFonts w:ascii="宋体" w:hAnsi="宋体" w:cs="宋体" w:eastAsia="宋体" w:hint="default"/>
          <w:sz w:val="18"/>
          <w:szCs w:val="18"/>
        </w:rPr>
      </w:pPr>
      <w:r>
        <w:rPr>
          <w:rFonts w:ascii="宋体" w:hAnsi="宋体" w:cs="宋体" w:eastAsia="宋体" w:hint="default"/>
          <w:sz w:val="18"/>
          <w:szCs w:val="18"/>
        </w:rPr>
        <w:t>注：报告期公司共召开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次股东大会。</w:t>
      </w:r>
    </w:p>
    <w:p>
      <w:pPr>
        <w:spacing w:after="0"/>
        <w:jc w:val="left"/>
        <w:rPr>
          <w:rFonts w:ascii="宋体" w:hAnsi="宋体" w:cs="宋体" w:eastAsia="宋体" w:hint="default"/>
          <w:sz w:val="18"/>
          <w:szCs w:val="18"/>
        </w:rPr>
        <w:sectPr>
          <w:pgSz w:w="11910" w:h="16850"/>
          <w:pgMar w:header="877" w:footer="1265" w:top="1100" w:bottom="1460" w:left="640" w:right="0"/>
        </w:sectPr>
      </w:pPr>
    </w:p>
    <w:p>
      <w:pPr>
        <w:spacing w:line="240" w:lineRule="auto" w:before="5"/>
        <w:rPr>
          <w:rFonts w:ascii="宋体" w:hAnsi="宋体" w:cs="宋体" w:eastAsia="宋体" w:hint="default"/>
          <w:sz w:val="21"/>
          <w:szCs w:val="21"/>
        </w:rPr>
      </w:pPr>
    </w:p>
    <w:p>
      <w:pPr>
        <w:pStyle w:val="Heading6"/>
        <w:spacing w:line="335" w:lineRule="exact"/>
        <w:ind w:left="538" w:right="156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538" w:right="156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2"/>
        <w:rPr>
          <w:rFonts w:ascii="宋体" w:hAnsi="宋体" w:cs="宋体" w:eastAsia="宋体" w:hint="default"/>
          <w:sz w:val="13"/>
          <w:szCs w:val="13"/>
        </w:rPr>
      </w:pPr>
    </w:p>
    <w:p>
      <w:pPr>
        <w:spacing w:line="328" w:lineRule="auto" w:before="0"/>
        <w:ind w:left="538" w:right="63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14"/>
          <w:szCs w:val="14"/>
        </w:rPr>
      </w:pPr>
    </w:p>
    <w:p>
      <w:pPr>
        <w:pStyle w:val="Heading6"/>
        <w:spacing w:line="240" w:lineRule="auto"/>
        <w:ind w:left="538" w:right="156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538" w:right="156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03"/>
        <w:ind w:left="538" w:right="156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6"/>
        <w:spacing w:line="240" w:lineRule="auto" w:before="133"/>
        <w:ind w:left="538" w:right="1560"/>
        <w:jc w:val="left"/>
        <w:rPr>
          <w:b w:val="0"/>
          <w:bCs w:val="0"/>
        </w:rPr>
      </w:pPr>
      <w:r>
        <w:rPr/>
        <w:t>独立董事对公司有关建议被采纳或未被采纳的说明</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line="3770" w:lineRule="exact"/>
        <w:ind w:left="11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4"/>
          <w:sz w:val="20"/>
          <w:szCs w:val="20"/>
        </w:rPr>
        <w:pict>
          <v:shape style="width:453.8pt;height:188.55pt;mso-position-horizontal-relative:char;mso-position-vertical-relative:line" type="#_x0000_t202" filled="false" stroked="true" strokeweight=".47998pt" strokecolor="#000000">
            <w10:anchorlock/>
            <v:textbox inset="0,0,0,0">
              <w:txbxContent>
                <w:p>
                  <w:pPr>
                    <w:spacing w:line="345" w:lineRule="auto" w:before="116"/>
                    <w:ind w:left="103" w:right="103"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、独立董事提出，公司内部的机制体制已经落后于企业的发展，建议要尽快完善公司的治理结构，建立相应</w:t>
                  </w:r>
                  <w:r>
                    <w:rPr>
                      <w:rFonts w:ascii="宋体" w:hAnsi="宋体" w:cs="宋体" w:eastAsia="宋体" w:hint="default"/>
                      <w:sz w:val="18"/>
                      <w:szCs w:val="18"/>
                    </w:rPr>
                    <w:t> 的激励机制。公司采纳了独立董事的建议，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年公司成立全面深化改革领导小组，研究制定《综合改革实施方 </w:t>
                  </w:r>
                  <w:r>
                    <w:rPr>
                      <w:rFonts w:ascii="宋体" w:hAnsi="宋体" w:cs="宋体" w:eastAsia="宋体" w:hint="default"/>
                      <w:spacing w:val="-4"/>
                      <w:sz w:val="18"/>
                      <w:szCs w:val="18"/>
                    </w:rPr>
                    <w:t>案》，在公司治理、长效激励等方面启动了改革工作。</w:t>
                  </w:r>
                </w:p>
                <w:p>
                  <w:pPr>
                    <w:spacing w:line="360" w:lineRule="auto" w:before="88"/>
                    <w:ind w:left="103" w:right="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、独立董事提出，公司要关注区块链、大数据等技术的发展，深入研究新形势下新技术的应用，利用公司旗 </w:t>
                  </w:r>
                  <w:r>
                    <w:rPr>
                      <w:rFonts w:ascii="宋体" w:hAnsi="宋体" w:cs="宋体" w:eastAsia="宋体" w:hint="default"/>
                      <w:spacing w:val="-2"/>
                      <w:sz w:val="18"/>
                      <w:szCs w:val="18"/>
                    </w:rPr>
                    <w:t>下大白菜科技公司等企业积累的技术优势和经验，加强人流、物流、商流、资金流的相互融合，做好大数据应用。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公司采纳了独立董事的建议，制定并启动集团信息化建设三年规划的总体方案，全面推进集团信息化建设，研发 并优化集团版档位管理系统、智慧海吉星管理系统，加快在旗下市场部署和应用，推动集团云数据平台的建设。</w:t>
                  </w:r>
                </w:p>
                <w:p>
                  <w:pPr>
                    <w:spacing w:line="355" w:lineRule="auto" w:before="75"/>
                    <w:ind w:left="103" w:right="105"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、独立董事提出，公司资产规模较大，建议公司在现有基础上充分发挥自身优势加强精细化管理，提高资产</w:t>
                  </w:r>
                  <w:r>
                    <w:rPr>
                      <w:rFonts w:ascii="宋体" w:hAnsi="宋体" w:cs="宋体" w:eastAsia="宋体" w:hint="default"/>
                      <w:sz w:val="18"/>
                      <w:szCs w:val="18"/>
                    </w:rPr>
                    <w:t> 利用效率。公司采纳了独立董事的建议，加强对深圳、上海等成熟市场深耕细作、挖潜增效，提高市场整体盈利 水平；加快岳阳海吉星等市场培育速度，提高盈利市场覆盖面。</w:t>
                  </w:r>
                </w:p>
              </w:txbxContent>
            </v:textbox>
          </v:shape>
        </w:pict>
      </w:r>
      <w:r>
        <w:rPr>
          <w:rFonts w:ascii="Microsoft JhengHei" w:hAnsi="Microsoft JhengHei" w:cs="Microsoft JhengHei" w:eastAsia="Microsoft JhengHei" w:hint="default"/>
          <w:position w:val="-74"/>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1"/>
          <w:szCs w:val="21"/>
        </w:rPr>
      </w:pPr>
    </w:p>
    <w:p>
      <w:pPr>
        <w:pStyle w:val="Heading4"/>
        <w:spacing w:line="367" w:lineRule="exact"/>
        <w:ind w:left="538" w:right="1560"/>
        <w:jc w:val="left"/>
        <w:rPr>
          <w:b w:val="0"/>
          <w:bCs w:val="0"/>
        </w:rPr>
      </w:pPr>
      <w:r>
        <w:rPr/>
        <w:t>六、董事会下设专门委员会在报告期内履行职责情况</w:t>
      </w:r>
      <w:r>
        <w:rPr>
          <w:b w:val="0"/>
          <w:bCs w:val="0"/>
        </w:rPr>
      </w:r>
    </w:p>
    <w:p>
      <w:pPr>
        <w:spacing w:line="240" w:lineRule="auto" w:before="11"/>
        <w:rPr>
          <w:rFonts w:ascii="Microsoft JhengHei" w:hAnsi="Microsoft JhengHei" w:cs="Microsoft JhengHei" w:eastAsia="Microsoft JhengHei" w:hint="default"/>
          <w:b/>
          <w:bCs/>
          <w:sz w:val="20"/>
          <w:szCs w:val="20"/>
        </w:rPr>
      </w:pPr>
    </w:p>
    <w:p>
      <w:pPr>
        <w:spacing w:line="4589" w:lineRule="exact"/>
        <w:ind w:left="11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1"/>
          <w:sz w:val="20"/>
          <w:szCs w:val="20"/>
        </w:rPr>
        <w:pict>
          <v:shape style="width:453.8pt;height:229.5pt;mso-position-horizontal-relative:char;mso-position-vertical-relative:line" type="#_x0000_t202" filled="false" stroked="true" strokeweight=".47998pt" strokecolor="#000000">
            <w10:anchorlock/>
            <v:textbox inset="0,0,0,0">
              <w:txbxContent>
                <w:p>
                  <w:pPr>
                    <w:spacing w:line="345" w:lineRule="auto" w:before="0"/>
                    <w:ind w:left="576"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（一）董事会审计委员会履职情况</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董事会审计委员会是董事会设立的专门工作机构，主要负责公司内、外部审计的沟通、监督</w:t>
                  </w:r>
                </w:p>
                <w:p>
                  <w:pPr>
                    <w:pStyle w:val="BodyText"/>
                    <w:spacing w:line="398" w:lineRule="auto" w:before="91"/>
                    <w:ind w:left="103" w:right="98"/>
                    <w:jc w:val="left"/>
                  </w:pPr>
                  <w:r>
                    <w:rPr/>
                    <w:t>和核查工作，对董事会负责。公司第八届董事会审计委员会由 </w:t>
                  </w:r>
                  <w:r>
                    <w:rPr>
                      <w:rFonts w:ascii="宋体" w:hAnsi="宋体" w:cs="宋体" w:eastAsia="宋体" w:hint="default"/>
                    </w:rPr>
                    <w:t>4 </w:t>
                  </w:r>
                  <w:r>
                    <w:rPr/>
                    <w:t>名董事组成，其中：独立董事</w:t>
                  </w:r>
                  <w:r>
                    <w:rPr>
                      <w:spacing w:val="-76"/>
                    </w:rPr>
                    <w:t> </w:t>
                  </w:r>
                  <w:r>
                    <w:rPr>
                      <w:rFonts w:ascii="宋体" w:hAnsi="宋体" w:cs="宋体" w:eastAsia="宋体" w:hint="default"/>
                    </w:rPr>
                    <w:t>3</w:t>
                  </w:r>
                  <w:r>
                    <w:rPr>
                      <w:rFonts w:ascii="宋体" w:hAnsi="宋体" w:cs="宋体" w:eastAsia="宋体" w:hint="default"/>
                      <w:w w:val="100"/>
                    </w:rPr>
                    <w:t> </w:t>
                  </w:r>
                  <w:r>
                    <w:rPr/>
                    <w:t>名，主任委员由其中一名有专业财务背景的独立董事担任。</w:t>
                  </w:r>
                </w:p>
                <w:p>
                  <w:pPr>
                    <w:pStyle w:val="BodyText"/>
                    <w:spacing w:line="400" w:lineRule="auto" w:before="45"/>
                    <w:ind w:left="576" w:right="98"/>
                    <w:jc w:val="left"/>
                  </w:pPr>
                  <w:r>
                    <w:rPr/>
                    <w:t>报告期内，审计委员会共召开八次会议，主要工作情况如下：</w:t>
                  </w:r>
                  <w:r>
                    <w:rPr>
                      <w:w w:val="100"/>
                    </w:rPr>
                    <w:t> </w:t>
                  </w:r>
                  <w:r>
                    <w:rPr>
                      <w:rFonts w:ascii="宋体" w:hAnsi="宋体" w:cs="宋体" w:eastAsia="宋体" w:hint="default"/>
                      <w:spacing w:val="-2"/>
                    </w:rPr>
                    <w:t>1</w:t>
                  </w:r>
                  <w:r>
                    <w:rPr>
                      <w:spacing w:val="-2"/>
                    </w:rPr>
                    <w:t>、审议并同意公司选聘工作小组自行组织公开招标选聘 </w:t>
                  </w:r>
                  <w:r>
                    <w:rPr>
                      <w:rFonts w:ascii="宋体" w:hAnsi="宋体" w:cs="宋体" w:eastAsia="宋体" w:hint="default"/>
                    </w:rPr>
                    <w:t>2018</w:t>
                  </w:r>
                  <w:r>
                    <w:rPr>
                      <w:rFonts w:ascii="宋体" w:hAnsi="宋体" w:cs="宋体" w:eastAsia="宋体" w:hint="default"/>
                      <w:spacing w:val="-78"/>
                    </w:rPr>
                    <w:t> </w:t>
                  </w:r>
                  <w:r>
                    <w:rPr/>
                    <w:t>年度审计机构，并且对公司聘</w:t>
                  </w:r>
                </w:p>
                <w:p>
                  <w:pPr>
                    <w:pStyle w:val="BodyText"/>
                    <w:spacing w:line="240" w:lineRule="auto" w:before="43"/>
                    <w:ind w:left="103" w:right="0"/>
                    <w:jc w:val="left"/>
                  </w:pPr>
                  <w:r>
                    <w:rPr/>
                    <w:t>请</w:t>
                  </w:r>
                  <w:r>
                    <w:rPr>
                      <w:spacing w:val="-54"/>
                    </w:rPr>
                    <w:t> </w:t>
                  </w:r>
                  <w:r>
                    <w:rPr>
                      <w:rFonts w:ascii="宋体" w:hAnsi="宋体" w:cs="宋体" w:eastAsia="宋体" w:hint="default"/>
                    </w:rPr>
                    <w:t>2018</w:t>
                  </w:r>
                  <w:r>
                    <w:rPr>
                      <w:rFonts w:ascii="宋体" w:hAnsi="宋体" w:cs="宋体" w:eastAsia="宋体" w:hint="default"/>
                      <w:spacing w:val="-54"/>
                    </w:rPr>
                    <w:t> </w:t>
                  </w:r>
                  <w:r>
                    <w:rPr/>
                    <w:t>年度会计师事务所提出意见；</w:t>
                  </w:r>
                </w:p>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before="0"/>
                    <w:ind w:left="576" w:right="0"/>
                    <w:jc w:val="left"/>
                  </w:pPr>
                  <w:r>
                    <w:rPr>
                      <w:rFonts w:ascii="宋体" w:hAnsi="宋体" w:cs="宋体" w:eastAsia="宋体" w:hint="default"/>
                    </w:rPr>
                    <w:t>2</w:t>
                  </w:r>
                  <w:r>
                    <w:rPr/>
                    <w:t>、对公司</w:t>
                  </w:r>
                  <w:r>
                    <w:rPr>
                      <w:spacing w:val="-55"/>
                    </w:rPr>
                    <w:t> </w:t>
                  </w:r>
                  <w:r>
                    <w:rPr>
                      <w:rFonts w:ascii="宋体" w:hAnsi="宋体" w:cs="宋体" w:eastAsia="宋体" w:hint="default"/>
                    </w:rPr>
                    <w:t>2017</w:t>
                  </w:r>
                  <w:r>
                    <w:rPr>
                      <w:rFonts w:ascii="宋体" w:hAnsi="宋体" w:cs="宋体" w:eastAsia="宋体" w:hint="default"/>
                      <w:spacing w:val="-55"/>
                    </w:rPr>
                    <w:t> </w:t>
                  </w:r>
                  <w:r>
                    <w:rPr/>
                    <w:t>年度财务报告和内部控制情况发表审计意见等事项进行审核并提出建议；</w:t>
                  </w:r>
                </w:p>
                <w:p>
                  <w:pPr>
                    <w:spacing w:line="240" w:lineRule="auto" w:before="10"/>
                    <w:rPr>
                      <w:rFonts w:ascii="Microsoft JhengHei" w:hAnsi="Microsoft JhengHei" w:cs="Microsoft JhengHei" w:eastAsia="Microsoft JhengHei" w:hint="default"/>
                      <w:b/>
                      <w:bCs/>
                      <w:sz w:val="10"/>
                      <w:szCs w:val="10"/>
                    </w:rPr>
                  </w:pPr>
                </w:p>
                <w:p>
                  <w:pPr>
                    <w:pStyle w:val="BodyText"/>
                    <w:spacing w:line="240" w:lineRule="auto" w:before="0"/>
                    <w:ind w:left="576" w:right="0"/>
                    <w:jc w:val="left"/>
                  </w:pPr>
                  <w:r>
                    <w:rPr>
                      <w:rFonts w:ascii="宋体" w:hAnsi="宋体" w:cs="宋体" w:eastAsia="宋体" w:hint="default"/>
                    </w:rPr>
                    <w:t>3</w:t>
                  </w:r>
                  <w:r>
                    <w:rPr/>
                    <w:t>、审核公司</w:t>
                  </w:r>
                  <w:r>
                    <w:rPr>
                      <w:spacing w:val="-56"/>
                    </w:rPr>
                    <w:t> </w:t>
                  </w:r>
                  <w:r>
                    <w:rPr>
                      <w:rFonts w:ascii="宋体" w:hAnsi="宋体" w:cs="宋体" w:eastAsia="宋体" w:hint="default"/>
                    </w:rPr>
                    <w:t>2017</w:t>
                  </w:r>
                  <w:r>
                    <w:rPr>
                      <w:rFonts w:ascii="宋体" w:hAnsi="宋体" w:cs="宋体" w:eastAsia="宋体" w:hint="default"/>
                      <w:spacing w:val="-56"/>
                    </w:rPr>
                    <w:t> </w:t>
                  </w:r>
                  <w:r>
                    <w:rPr/>
                    <w:t>年度、</w:t>
                  </w:r>
                  <w:r>
                    <w:rPr>
                      <w:rFonts w:ascii="宋体" w:hAnsi="宋体" w:cs="宋体" w:eastAsia="宋体" w:hint="default"/>
                    </w:rPr>
                    <w:t>2018</w:t>
                  </w:r>
                  <w:r>
                    <w:rPr>
                      <w:rFonts w:ascii="宋体" w:hAnsi="宋体" w:cs="宋体" w:eastAsia="宋体" w:hint="default"/>
                      <w:spacing w:val="-56"/>
                    </w:rPr>
                    <w:t> </w:t>
                  </w:r>
                  <w:r>
                    <w:rPr/>
                    <w:t>年第一季度、半年度和第三季度财务报告；</w:t>
                  </w:r>
                </w:p>
                <w:p>
                  <w:pPr>
                    <w:spacing w:line="240" w:lineRule="auto" w:before="9"/>
                    <w:rPr>
                      <w:rFonts w:ascii="Microsoft JhengHei" w:hAnsi="Microsoft JhengHei" w:cs="Microsoft JhengHei" w:eastAsia="Microsoft JhengHei" w:hint="default"/>
                      <w:b/>
                      <w:bCs/>
                      <w:sz w:val="10"/>
                      <w:szCs w:val="10"/>
                    </w:rPr>
                  </w:pPr>
                </w:p>
                <w:p>
                  <w:pPr>
                    <w:pStyle w:val="BodyText"/>
                    <w:spacing w:line="240" w:lineRule="auto" w:before="0"/>
                    <w:ind w:left="576" w:right="0"/>
                    <w:jc w:val="left"/>
                  </w:pPr>
                  <w:r>
                    <w:rPr>
                      <w:rFonts w:ascii="宋体" w:hAnsi="宋体" w:cs="宋体" w:eastAsia="宋体" w:hint="default"/>
                    </w:rPr>
                    <w:t>4</w:t>
                  </w:r>
                  <w:r>
                    <w:rPr/>
                    <w:t>、监督公司</w:t>
                  </w:r>
                  <w:r>
                    <w:rPr>
                      <w:spacing w:val="-57"/>
                    </w:rPr>
                    <w:t> </w:t>
                  </w:r>
                  <w:r>
                    <w:rPr>
                      <w:rFonts w:ascii="宋体" w:hAnsi="宋体" w:cs="宋体" w:eastAsia="宋体" w:hint="default"/>
                    </w:rPr>
                    <w:t>2018</w:t>
                  </w:r>
                  <w:r>
                    <w:rPr>
                      <w:rFonts w:ascii="宋体" w:hAnsi="宋体" w:cs="宋体" w:eastAsia="宋体" w:hint="default"/>
                      <w:spacing w:val="-57"/>
                    </w:rPr>
                    <w:t> </w:t>
                  </w:r>
                  <w:r>
                    <w:rPr/>
                    <w:t>年内部审计制度的实施，包括核查和监督公司募集资金存放及使用情况，</w:t>
                  </w:r>
                </w:p>
              </w:txbxContent>
            </v:textbox>
          </v:shape>
        </w:pict>
      </w:r>
      <w:r>
        <w:rPr>
          <w:rFonts w:ascii="Microsoft JhengHei" w:hAnsi="Microsoft JhengHei" w:cs="Microsoft JhengHei" w:eastAsia="Microsoft JhengHei" w:hint="default"/>
          <w:position w:val="-91"/>
          <w:sz w:val="20"/>
          <w:szCs w:val="20"/>
        </w:rPr>
      </w:r>
    </w:p>
    <w:p>
      <w:pPr>
        <w:spacing w:after="0" w:line="4589" w:lineRule="exact"/>
        <w:rPr>
          <w:rFonts w:ascii="Microsoft JhengHei" w:hAnsi="Microsoft JhengHei" w:cs="Microsoft JhengHei" w:eastAsia="Microsoft JhengHei" w:hint="default"/>
          <w:sz w:val="20"/>
          <w:szCs w:val="20"/>
        </w:rPr>
        <w:sectPr>
          <w:pgSz w:w="11910" w:h="16850"/>
          <w:pgMar w:header="877" w:footer="1265" w:top="1100" w:bottom="1460" w:left="1260" w:right="0"/>
        </w:sectPr>
      </w:pPr>
    </w:p>
    <w:p>
      <w:pPr>
        <w:spacing w:line="240" w:lineRule="auto" w:before="6"/>
        <w:rPr>
          <w:rFonts w:ascii="Microsoft JhengHei" w:hAnsi="Microsoft JhengHei" w:cs="Microsoft JhengHei" w:eastAsia="Microsoft JhengHei" w:hint="default"/>
          <w:b/>
          <w:bCs/>
          <w:sz w:val="20"/>
          <w:szCs w:val="20"/>
        </w:rPr>
      </w:pPr>
      <w:r>
        <w:rPr/>
        <w:pict>
          <v:group style="position:absolute;margin-left:68.304001pt;margin-top:71.759979pt;width:454.3pt;height:688.2pt;mso-position-horizontal-relative:page;mso-position-vertical-relative:page;z-index:-1636696" coordorigin="1366,1435" coordsize="9086,13764">
            <v:group style="position:absolute;left:1376;top:1445;width:9067;height:2" coordorigin="1376,1445" coordsize="9067,2">
              <v:shape style="position:absolute;left:1376;top:1445;width:9067;height:2" coordorigin="1376,1445" coordsize="9067,0" path="m1376,1445l10442,1445e" filled="false" stroked="true" strokeweight=".48pt" strokecolor="#000000">
                <v:path arrowok="t"/>
              </v:shape>
            </v:group>
            <v:group style="position:absolute;left:1371;top:1440;width:2;height:13754" coordorigin="1371,1440" coordsize="2,13754">
              <v:shape style="position:absolute;left:1371;top:1440;width:2;height:13754" coordorigin="1371,1440" coordsize="0,13754" path="m1371,1440l1371,15194e" filled="false" stroked="true" strokeweight=".48pt" strokecolor="#000000">
                <v:path arrowok="t"/>
              </v:shape>
            </v:group>
            <v:group style="position:absolute;left:1376;top:15189;width:9067;height:2" coordorigin="1376,15189" coordsize="9067,2">
              <v:shape style="position:absolute;left:1376;top:15189;width:9067;height:2" coordorigin="1376,15189" coordsize="9067,0" path="m1376,15189l10442,15189e" filled="false" stroked="true" strokeweight=".47998pt" strokecolor="#000000">
                <v:path arrowok="t"/>
              </v:shape>
            </v:group>
            <v:group style="position:absolute;left:10447;top:1440;width:2;height:13754" coordorigin="10447,1440" coordsize="2,13754">
              <v:shape style="position:absolute;left:10447;top:1440;width:2;height:13754" coordorigin="10447,1440" coordsize="0,13754" path="m10447,1440l10447,15194e" filled="false" stroked="true" strokeweight=".47998pt" strokecolor="#000000">
                <v:path arrowok="t"/>
              </v:shape>
            </v:group>
            <w10:wrap type="none"/>
          </v:group>
        </w:pict>
      </w:r>
    </w:p>
    <w:p>
      <w:pPr>
        <w:pStyle w:val="BodyText"/>
        <w:spacing w:line="400" w:lineRule="auto"/>
        <w:ind w:left="691" w:right="1560" w:hanging="473"/>
        <w:jc w:val="left"/>
      </w:pPr>
      <w:r>
        <w:rPr>
          <w:spacing w:val="-2"/>
        </w:rPr>
        <w:t>对公司变更部分募集资金投向事项提出意见，并对公司内部控制规范建设工作进行指导和评价；</w:t>
      </w:r>
      <w:r>
        <w:rPr>
          <w:spacing w:val="-25"/>
        </w:rPr>
        <w:t> </w:t>
      </w:r>
      <w:r>
        <w:rPr>
          <w:spacing w:val="-25"/>
        </w:rPr>
      </w:r>
      <w:r>
        <w:rPr>
          <w:rFonts w:ascii="宋体" w:hAnsi="宋体" w:cs="宋体" w:eastAsia="宋体" w:hint="default"/>
          <w:spacing w:val="-4"/>
        </w:rPr>
        <w:t>5</w:t>
      </w:r>
      <w:r>
        <w:rPr>
          <w:spacing w:val="-4"/>
        </w:rPr>
        <w:t>、审核在深圳联合产权交易所以公开挂牌方式出售直接持有的中农网</w:t>
      </w:r>
      <w:r>
        <w:rPr>
          <w:spacing w:val="-6"/>
        </w:rPr>
        <w:t> </w:t>
      </w:r>
      <w:r>
        <w:rPr>
          <w:rFonts w:ascii="宋体" w:hAnsi="宋体" w:cs="宋体" w:eastAsia="宋体" w:hint="default"/>
        </w:rPr>
        <w:t>8.36%</w:t>
      </w:r>
      <w:r>
        <w:rPr/>
        <w:t>股权事项相关审</w:t>
      </w:r>
    </w:p>
    <w:p>
      <w:pPr>
        <w:pStyle w:val="BodyText"/>
        <w:spacing w:line="398" w:lineRule="auto" w:before="43"/>
        <w:ind w:left="691" w:right="2197" w:hanging="473"/>
        <w:jc w:val="left"/>
      </w:pPr>
      <w:r>
        <w:rPr/>
        <w:t>计报告、备考审阅报告、资产评估报告；</w:t>
      </w:r>
      <w:r>
        <w:rPr>
          <w:w w:val="100"/>
        </w:rPr>
        <w:t> </w:t>
      </w:r>
      <w:r>
        <w:rPr>
          <w:rFonts w:ascii="宋体" w:hAnsi="宋体" w:cs="宋体" w:eastAsia="宋体" w:hint="default"/>
          <w:spacing w:val="-2"/>
        </w:rPr>
        <w:t>6</w:t>
      </w:r>
      <w:r>
        <w:rPr>
          <w:spacing w:val="-2"/>
        </w:rPr>
        <w:t>、对公司拟向深圳市国资委借款事项提出意见。</w:t>
      </w:r>
    </w:p>
    <w:p>
      <w:pPr>
        <w:pStyle w:val="BodyText"/>
        <w:spacing w:line="240" w:lineRule="auto" w:before="45"/>
        <w:ind w:left="691" w:right="1560"/>
        <w:jc w:val="left"/>
      </w:pPr>
      <w:r>
        <w:rPr>
          <w:rFonts w:ascii="宋体" w:hAnsi="宋体" w:cs="宋体" w:eastAsia="宋体" w:hint="default"/>
        </w:rPr>
        <w:t>2018</w:t>
      </w:r>
      <w:r>
        <w:rPr>
          <w:rFonts w:ascii="宋体" w:hAnsi="宋体" w:cs="宋体" w:eastAsia="宋体" w:hint="default"/>
          <w:spacing w:val="4"/>
        </w:rPr>
        <w:t> </w:t>
      </w:r>
      <w:r>
        <w:rPr>
          <w:spacing w:val="-2"/>
        </w:rPr>
        <w:t>年年报编制过程中，审计委员会共召开三次会议，主要工作内容如下：</w:t>
      </w:r>
    </w:p>
    <w:p>
      <w:pPr>
        <w:spacing w:line="240" w:lineRule="auto" w:before="0"/>
        <w:rPr>
          <w:rFonts w:ascii="宋体" w:hAnsi="宋体" w:cs="宋体" w:eastAsia="宋体" w:hint="default"/>
          <w:sz w:val="14"/>
          <w:szCs w:val="14"/>
        </w:rPr>
      </w:pPr>
    </w:p>
    <w:p>
      <w:pPr>
        <w:pStyle w:val="BodyText"/>
        <w:spacing w:line="240" w:lineRule="auto" w:before="0"/>
        <w:ind w:left="691" w:right="0"/>
        <w:jc w:val="left"/>
      </w:pPr>
      <w:r>
        <w:rPr>
          <w:rFonts w:ascii="宋体" w:hAnsi="宋体" w:cs="宋体" w:eastAsia="宋体" w:hint="default"/>
          <w:spacing w:val="-3"/>
        </w:rPr>
        <w:t>1</w:t>
      </w:r>
      <w:r>
        <w:rPr>
          <w:spacing w:val="-3"/>
        </w:rPr>
        <w:t>、认真审阅了公司</w:t>
      </w:r>
      <w:r>
        <w:rPr>
          <w:spacing w:val="-51"/>
        </w:rPr>
        <w:t> </w:t>
      </w:r>
      <w:r>
        <w:rPr>
          <w:rFonts w:ascii="宋体" w:hAnsi="宋体" w:cs="宋体" w:eastAsia="宋体" w:hint="default"/>
        </w:rPr>
        <w:t>2018</w:t>
      </w:r>
      <w:r>
        <w:rPr>
          <w:rFonts w:ascii="宋体" w:hAnsi="宋体" w:cs="宋体" w:eastAsia="宋体" w:hint="default"/>
          <w:spacing w:val="-53"/>
        </w:rPr>
        <w:t> </w:t>
      </w:r>
      <w:r>
        <w:rPr/>
        <w:t>年度审计工作计划及相关资料，与负责公司年度审计工作的立信会</w:t>
      </w:r>
    </w:p>
    <w:p>
      <w:pPr>
        <w:spacing w:line="240" w:lineRule="auto" w:before="11"/>
        <w:rPr>
          <w:rFonts w:ascii="宋体" w:hAnsi="宋体" w:cs="宋体" w:eastAsia="宋体" w:hint="default"/>
          <w:sz w:val="13"/>
          <w:szCs w:val="13"/>
        </w:rPr>
      </w:pPr>
    </w:p>
    <w:p>
      <w:pPr>
        <w:pStyle w:val="BodyText"/>
        <w:spacing w:line="400" w:lineRule="auto" w:before="0"/>
        <w:ind w:left="691" w:right="1560" w:hanging="473"/>
        <w:jc w:val="left"/>
      </w:pPr>
      <w:r>
        <w:rPr/>
        <w:t>计师事务所注册会计师协商确定了公司</w:t>
      </w:r>
      <w:r>
        <w:rPr>
          <w:spacing w:val="-54"/>
        </w:rPr>
        <w:t> </w:t>
      </w:r>
      <w:r>
        <w:rPr>
          <w:rFonts w:ascii="宋体" w:hAnsi="宋体" w:cs="宋体" w:eastAsia="宋体" w:hint="default"/>
        </w:rPr>
        <w:t>2018</w:t>
      </w:r>
      <w:r>
        <w:rPr>
          <w:rFonts w:ascii="宋体" w:hAnsi="宋体" w:cs="宋体" w:eastAsia="宋体" w:hint="default"/>
          <w:spacing w:val="-56"/>
        </w:rPr>
        <w:t> </w:t>
      </w:r>
      <w:r>
        <w:rPr/>
        <w:t>年度财务报告审计工作的时间安排；</w:t>
      </w:r>
      <w:r>
        <w:rPr>
          <w:w w:val="100"/>
        </w:rPr>
        <w:t> </w:t>
      </w:r>
      <w:r>
        <w:rPr>
          <w:rFonts w:ascii="宋体" w:hAnsi="宋体" w:cs="宋体" w:eastAsia="宋体" w:hint="default"/>
        </w:rPr>
        <w:t>2</w:t>
      </w:r>
      <w:r>
        <w:rPr/>
        <w:t>、在年审注册会计师进场前，认真审阅了公司初步编制的财务会计报表，并出具了书面审</w:t>
      </w:r>
    </w:p>
    <w:p>
      <w:pPr>
        <w:pStyle w:val="BodyText"/>
        <w:spacing w:line="240" w:lineRule="auto" w:before="43"/>
        <w:ind w:left="218" w:right="1560"/>
        <w:jc w:val="left"/>
      </w:pPr>
      <w:r>
        <w:rPr/>
        <w:t>议意见；</w:t>
      </w:r>
    </w:p>
    <w:p>
      <w:pPr>
        <w:spacing w:line="240" w:lineRule="auto" w:before="0"/>
        <w:rPr>
          <w:rFonts w:ascii="宋体" w:hAnsi="宋体" w:cs="宋体" w:eastAsia="宋体" w:hint="default"/>
          <w:sz w:val="14"/>
          <w:szCs w:val="14"/>
        </w:rPr>
      </w:pPr>
    </w:p>
    <w:p>
      <w:pPr>
        <w:pStyle w:val="BodyText"/>
        <w:spacing w:line="398" w:lineRule="auto" w:before="0"/>
        <w:ind w:left="218" w:right="1560" w:firstLine="472"/>
        <w:jc w:val="left"/>
      </w:pPr>
      <w:r>
        <w:rPr>
          <w:rFonts w:ascii="宋体" w:hAnsi="宋体" w:cs="宋体" w:eastAsia="宋体" w:hint="default"/>
        </w:rPr>
        <w:t>3</w:t>
      </w:r>
      <w:r>
        <w:rPr/>
        <w:t>、公司年审注册会计师进场后，董事会审计委员会与公司年审注册会计师就审计过程中发</w:t>
      </w:r>
      <w:r>
        <w:rPr>
          <w:w w:val="100"/>
        </w:rPr>
        <w:t> </w:t>
      </w:r>
      <w:r>
        <w:rPr/>
        <w:t>现的问题以及审计报告提交的时间进行了沟通和交流；</w:t>
      </w:r>
    </w:p>
    <w:p>
      <w:pPr>
        <w:pStyle w:val="BodyText"/>
        <w:spacing w:line="400" w:lineRule="auto" w:before="45"/>
        <w:ind w:left="218" w:right="1557" w:firstLine="472"/>
        <w:jc w:val="left"/>
      </w:pPr>
      <w:r>
        <w:rPr>
          <w:rFonts w:ascii="宋体" w:hAnsi="宋体" w:cs="宋体" w:eastAsia="宋体" w:hint="default"/>
        </w:rPr>
        <w:t>4</w:t>
      </w:r>
      <w:r>
        <w:rPr/>
        <w:t>、公司年审注册会计师出具初步审计意见后，董事会审计委员会再次审阅了公司</w:t>
      </w:r>
      <w:r>
        <w:rPr>
          <w:spacing w:val="-62"/>
        </w:rPr>
        <w:t> </w:t>
      </w:r>
      <w:r>
        <w:rPr>
          <w:rFonts w:ascii="宋体" w:hAnsi="宋体" w:cs="宋体" w:eastAsia="宋体" w:hint="default"/>
        </w:rPr>
        <w:t>2018</w:t>
      </w:r>
      <w:r>
        <w:rPr>
          <w:rFonts w:ascii="宋体" w:hAnsi="宋体" w:cs="宋体" w:eastAsia="宋体" w:hint="default"/>
          <w:spacing w:val="-64"/>
        </w:rPr>
        <w:t> </w:t>
      </w:r>
      <w:r>
        <w:rPr/>
        <w:t>年度</w:t>
      </w:r>
      <w:r>
        <w:rPr>
          <w:w w:val="100"/>
        </w:rPr>
        <w:t> </w:t>
      </w:r>
      <w:r>
        <w:rPr/>
        <w:t>财务会计报表，并形成书面审议意见；</w:t>
      </w:r>
    </w:p>
    <w:p>
      <w:pPr>
        <w:pStyle w:val="BodyText"/>
        <w:spacing w:line="240" w:lineRule="auto" w:before="40"/>
        <w:ind w:left="691" w:right="0"/>
        <w:jc w:val="left"/>
      </w:pPr>
      <w:r>
        <w:rPr>
          <w:rFonts w:ascii="宋体" w:hAnsi="宋体" w:cs="宋体" w:eastAsia="宋体" w:hint="default"/>
          <w:spacing w:val="-2"/>
        </w:rPr>
        <w:t>5</w:t>
      </w:r>
      <w:r>
        <w:rPr>
          <w:spacing w:val="-2"/>
        </w:rPr>
        <w:t>、在立信会计师事务所出具</w:t>
      </w:r>
      <w:r>
        <w:rPr/>
        <w:t> </w:t>
      </w:r>
      <w:r>
        <w:rPr>
          <w:rFonts w:ascii="宋体" w:hAnsi="宋体" w:cs="宋体" w:eastAsia="宋体" w:hint="default"/>
          <w:spacing w:val="-1"/>
        </w:rPr>
        <w:t>2018</w:t>
      </w:r>
      <w:r>
        <w:rPr>
          <w:rFonts w:ascii="宋体" w:hAnsi="宋体" w:cs="宋体" w:eastAsia="宋体" w:hint="default"/>
          <w:spacing w:val="-51"/>
        </w:rPr>
        <w:t> </w:t>
      </w:r>
      <w:r>
        <w:rPr>
          <w:spacing w:val="-2"/>
        </w:rPr>
        <w:t>年度审计报告后，董事会审计委员会召开会议，对立信会</w:t>
      </w:r>
    </w:p>
    <w:p>
      <w:pPr>
        <w:spacing w:line="240" w:lineRule="auto" w:before="0"/>
        <w:rPr>
          <w:rFonts w:ascii="宋体" w:hAnsi="宋体" w:cs="宋体" w:eastAsia="宋体" w:hint="default"/>
          <w:sz w:val="14"/>
          <w:szCs w:val="14"/>
        </w:rPr>
      </w:pPr>
    </w:p>
    <w:p>
      <w:pPr>
        <w:pStyle w:val="BodyText"/>
        <w:spacing w:line="400" w:lineRule="auto" w:before="0"/>
        <w:ind w:left="218" w:right="1563"/>
        <w:jc w:val="both"/>
      </w:pPr>
      <w:r>
        <w:rPr>
          <w:spacing w:val="-4"/>
        </w:rPr>
        <w:t>计师事务所从事本年度公司的审计工作进行了总结，并就公司</w:t>
      </w:r>
      <w:r>
        <w:rPr>
          <w:spacing w:val="-39"/>
        </w:rPr>
        <w:t> </w:t>
      </w:r>
      <w:r>
        <w:rPr>
          <w:rFonts w:ascii="宋体" w:hAnsi="宋体" w:cs="宋体" w:eastAsia="宋体" w:hint="default"/>
        </w:rPr>
        <w:t>2018</w:t>
      </w:r>
      <w:r>
        <w:rPr>
          <w:rFonts w:ascii="宋体" w:hAnsi="宋体" w:cs="宋体" w:eastAsia="宋体" w:hint="default"/>
          <w:spacing w:val="-41"/>
        </w:rPr>
        <w:t> </w:t>
      </w:r>
      <w:r>
        <w:rPr/>
        <w:t>年度财务报告等议案进行表决</w:t>
      </w:r>
      <w:r>
        <w:rPr>
          <w:spacing w:val="-100"/>
        </w:rPr>
        <w:t> </w:t>
      </w:r>
      <w:r>
        <w:rPr>
          <w:spacing w:val="-100"/>
        </w:rPr>
      </w:r>
      <w:r>
        <w:rPr/>
        <w:t>并形成决议。</w:t>
      </w:r>
    </w:p>
    <w:p>
      <w:pPr>
        <w:pStyle w:val="BodyText"/>
        <w:spacing w:line="400" w:lineRule="auto" w:before="41"/>
        <w:ind w:left="691" w:right="1560"/>
        <w:jc w:val="left"/>
      </w:pPr>
      <w:r>
        <w:rPr/>
        <w:t>（二）董事会薪酬与考核委员会履职情况</w:t>
      </w:r>
      <w:r>
        <w:rPr>
          <w:w w:val="100"/>
        </w:rPr>
        <w:t> </w:t>
      </w:r>
      <w:r>
        <w:rPr>
          <w:spacing w:val="-2"/>
        </w:rPr>
        <w:t>董事会薪酬与考核委员会是董事会设立的专门工作机构，主要负责制订公司高级管理人员的</w:t>
      </w:r>
    </w:p>
    <w:p>
      <w:pPr>
        <w:pStyle w:val="BodyText"/>
        <w:spacing w:line="398" w:lineRule="auto" w:before="43"/>
        <w:ind w:left="218" w:right="1563"/>
        <w:jc w:val="both"/>
      </w:pPr>
      <w:r>
        <w:rPr>
          <w:spacing w:val="-1"/>
        </w:rPr>
        <w:t>考核标准并进行考核；负责制定、审查公司董事及经理人员的薪酬政策与方案，对董事会负责。</w:t>
      </w:r>
      <w:r>
        <w:rPr>
          <w:spacing w:val="-25"/>
        </w:rPr>
        <w:t> </w:t>
      </w:r>
      <w:r>
        <w:rPr>
          <w:spacing w:val="-25"/>
        </w:rPr>
      </w:r>
      <w:r>
        <w:rPr/>
        <w:t>公司第八届董事会薪酬与考核委员会成员由</w:t>
      </w:r>
      <w:r>
        <w:rPr>
          <w:spacing w:val="-48"/>
        </w:rPr>
        <w:t> </w:t>
      </w:r>
      <w:r>
        <w:rPr>
          <w:rFonts w:ascii="宋体" w:hAnsi="宋体" w:cs="宋体" w:eastAsia="宋体" w:hint="default"/>
        </w:rPr>
        <w:t>6</w:t>
      </w:r>
      <w:r>
        <w:rPr>
          <w:rFonts w:ascii="宋体" w:hAnsi="宋体" w:cs="宋体" w:eastAsia="宋体" w:hint="default"/>
          <w:spacing w:val="-45"/>
        </w:rPr>
        <w:t> </w:t>
      </w:r>
      <w:r>
        <w:rPr/>
        <w:t>名董事组成，其中：独立董事</w:t>
      </w:r>
      <w:r>
        <w:rPr>
          <w:spacing w:val="-48"/>
        </w:rPr>
        <w:t> </w:t>
      </w:r>
      <w:r>
        <w:rPr>
          <w:rFonts w:ascii="宋体" w:hAnsi="宋体" w:cs="宋体" w:eastAsia="宋体" w:hint="default"/>
        </w:rPr>
        <w:t>3</w:t>
      </w:r>
      <w:r>
        <w:rPr>
          <w:rFonts w:ascii="宋体" w:hAnsi="宋体" w:cs="宋体" w:eastAsia="宋体" w:hint="default"/>
          <w:spacing w:val="-45"/>
        </w:rPr>
        <w:t> </w:t>
      </w:r>
      <w:r>
        <w:rPr/>
        <w:t>名，主任委员由独</w:t>
      </w:r>
      <w:r>
        <w:rPr>
          <w:w w:val="100"/>
        </w:rPr>
        <w:t> </w:t>
      </w:r>
      <w:r>
        <w:rPr/>
        <w:t>立董事担任。</w:t>
      </w:r>
    </w:p>
    <w:p>
      <w:pPr>
        <w:pStyle w:val="BodyText"/>
        <w:spacing w:line="400" w:lineRule="auto" w:before="45"/>
        <w:ind w:left="691" w:right="1560"/>
        <w:jc w:val="left"/>
        <w:rPr>
          <w:rFonts w:ascii="宋体" w:hAnsi="宋体" w:cs="宋体" w:eastAsia="宋体" w:hint="default"/>
        </w:rPr>
      </w:pPr>
      <w:r>
        <w:rPr/>
        <w:t>报告期内，薪酬与考核委员会共召开三次会议，主要工作情况如下：</w:t>
      </w:r>
      <w:r>
        <w:rPr>
          <w:w w:val="100"/>
        </w:rPr>
        <w:t> </w:t>
      </w:r>
      <w:r>
        <w:rPr>
          <w:rFonts w:ascii="宋体" w:hAnsi="宋体" w:cs="宋体" w:eastAsia="宋体" w:hint="default"/>
        </w:rPr>
        <w:t>1</w:t>
      </w:r>
      <w:r>
        <w:rPr/>
        <w:t>、薪酬与考核委员会听取高级管理人员 </w:t>
      </w:r>
      <w:r>
        <w:rPr>
          <w:rFonts w:ascii="宋体" w:hAnsi="宋体" w:cs="宋体" w:eastAsia="宋体" w:hint="default"/>
        </w:rPr>
        <w:t>2017 </w:t>
      </w:r>
      <w:r>
        <w:rPr/>
        <w:t>年度工作述职报告，考核高级管理人员</w:t>
      </w:r>
      <w:r>
        <w:rPr>
          <w:spacing w:val="-25"/>
        </w:rPr>
        <w:t> </w:t>
      </w:r>
      <w:r>
        <w:rPr>
          <w:rFonts w:ascii="宋体" w:hAnsi="宋体" w:cs="宋体" w:eastAsia="宋体" w:hint="default"/>
        </w:rPr>
        <w:t>2017</w:t>
      </w:r>
    </w:p>
    <w:p>
      <w:pPr>
        <w:pStyle w:val="BodyText"/>
        <w:spacing w:line="240" w:lineRule="auto" w:before="40"/>
        <w:ind w:left="218" w:right="1560"/>
        <w:jc w:val="left"/>
      </w:pPr>
      <w:r>
        <w:rPr/>
        <w:t>年度的经营业绩指标完成情况，并审议董事、高级管理人员</w:t>
      </w:r>
      <w:r>
        <w:rPr>
          <w:spacing w:val="-54"/>
        </w:rPr>
        <w:t> </w:t>
      </w:r>
      <w:r>
        <w:rPr>
          <w:rFonts w:ascii="宋体" w:hAnsi="宋体" w:cs="宋体" w:eastAsia="宋体" w:hint="default"/>
        </w:rPr>
        <w:t>2017</w:t>
      </w:r>
      <w:r>
        <w:rPr>
          <w:rFonts w:ascii="宋体" w:hAnsi="宋体" w:cs="宋体" w:eastAsia="宋体" w:hint="default"/>
          <w:spacing w:val="-57"/>
        </w:rPr>
        <w:t> </w:t>
      </w:r>
      <w:r>
        <w:rPr/>
        <w:t>年度薪酬；</w:t>
      </w:r>
    </w:p>
    <w:p>
      <w:pPr>
        <w:spacing w:line="240" w:lineRule="auto" w:before="1"/>
        <w:rPr>
          <w:rFonts w:ascii="宋体" w:hAnsi="宋体" w:cs="宋体" w:eastAsia="宋体" w:hint="default"/>
          <w:sz w:val="14"/>
          <w:szCs w:val="14"/>
        </w:rPr>
      </w:pPr>
    </w:p>
    <w:p>
      <w:pPr>
        <w:pStyle w:val="BodyText"/>
        <w:spacing w:line="240" w:lineRule="auto" w:before="0"/>
        <w:ind w:left="691" w:right="1560"/>
        <w:jc w:val="left"/>
      </w:pPr>
      <w:r>
        <w:rPr>
          <w:rFonts w:ascii="宋体" w:hAnsi="宋体" w:cs="宋体" w:eastAsia="宋体" w:hint="default"/>
        </w:rPr>
        <w:t>2</w:t>
      </w:r>
      <w:r>
        <w:rPr/>
        <w:t>、审议并与公司高级管理人员签署</w:t>
      </w:r>
      <w:r>
        <w:rPr>
          <w:spacing w:val="-57"/>
        </w:rPr>
        <w:t> </w:t>
      </w:r>
      <w:r>
        <w:rPr>
          <w:rFonts w:ascii="宋体" w:hAnsi="宋体" w:cs="宋体" w:eastAsia="宋体" w:hint="default"/>
        </w:rPr>
        <w:t>2018</w:t>
      </w:r>
      <w:r>
        <w:rPr>
          <w:rFonts w:ascii="宋体" w:hAnsi="宋体" w:cs="宋体" w:eastAsia="宋体" w:hint="default"/>
          <w:spacing w:val="-58"/>
        </w:rPr>
        <w:t> </w:t>
      </w:r>
      <w:r>
        <w:rPr/>
        <w:t>年经营业绩责任书。</w:t>
      </w:r>
    </w:p>
    <w:p>
      <w:pPr>
        <w:spacing w:line="240" w:lineRule="auto" w:before="0"/>
        <w:rPr>
          <w:rFonts w:ascii="宋体" w:hAnsi="宋体" w:cs="宋体" w:eastAsia="宋体" w:hint="default"/>
          <w:sz w:val="14"/>
          <w:szCs w:val="14"/>
        </w:rPr>
      </w:pPr>
    </w:p>
    <w:p>
      <w:pPr>
        <w:pStyle w:val="BodyText"/>
        <w:spacing w:line="400" w:lineRule="auto" w:before="0"/>
        <w:ind w:left="691" w:right="1560"/>
        <w:jc w:val="left"/>
      </w:pPr>
      <w:r>
        <w:rPr/>
        <w:t>（三）董事会战略管理委员会履职情况</w:t>
      </w:r>
      <w:r>
        <w:rPr>
          <w:w w:val="100"/>
        </w:rPr>
        <w:t> </w:t>
      </w:r>
      <w:r>
        <w:rPr>
          <w:spacing w:val="-2"/>
        </w:rPr>
        <w:t>董事会战略管理委员会是董事会设立的专门工作机构，主要负责对公司长期发展战略和重大</w:t>
      </w:r>
    </w:p>
    <w:p>
      <w:pPr>
        <w:pStyle w:val="BodyText"/>
        <w:spacing w:line="240" w:lineRule="auto" w:before="40"/>
        <w:ind w:left="218" w:right="0"/>
        <w:jc w:val="left"/>
      </w:pPr>
      <w:r>
        <w:rPr/>
        <w:t>投资决策进行研究并提出建议，对董事会负责。公司第八届董事会战略管理委员会成员由 </w:t>
      </w:r>
      <w:r>
        <w:rPr>
          <w:rFonts w:ascii="宋体" w:hAnsi="宋体" w:cs="宋体" w:eastAsia="宋体" w:hint="default"/>
        </w:rPr>
        <w:t>5</w:t>
      </w:r>
      <w:r>
        <w:rPr>
          <w:rFonts w:ascii="宋体" w:hAnsi="宋体" w:cs="宋体" w:eastAsia="宋体" w:hint="default"/>
          <w:spacing w:val="-73"/>
        </w:rPr>
        <w:t> </w:t>
      </w:r>
      <w:r>
        <w:rPr>
          <w:spacing w:val="-3"/>
        </w:rPr>
        <w:t>名董</w:t>
      </w:r>
      <w:r>
        <w:rPr/>
      </w:r>
    </w:p>
    <w:p>
      <w:pPr>
        <w:spacing w:line="240" w:lineRule="auto" w:before="0"/>
        <w:rPr>
          <w:rFonts w:ascii="宋体" w:hAnsi="宋体" w:cs="宋体" w:eastAsia="宋体" w:hint="default"/>
          <w:sz w:val="14"/>
          <w:szCs w:val="14"/>
        </w:rPr>
      </w:pPr>
    </w:p>
    <w:p>
      <w:pPr>
        <w:pStyle w:val="BodyText"/>
        <w:spacing w:line="400" w:lineRule="auto" w:before="0"/>
        <w:ind w:left="691" w:right="1560" w:hanging="473"/>
        <w:jc w:val="left"/>
      </w:pPr>
      <w:r>
        <w:rPr/>
        <w:t>事组成，其中：独立董事</w:t>
      </w:r>
      <w:r>
        <w:rPr>
          <w:spacing w:val="-56"/>
        </w:rPr>
        <w:t> </w:t>
      </w:r>
      <w:r>
        <w:rPr>
          <w:rFonts w:ascii="宋体" w:hAnsi="宋体" w:cs="宋体" w:eastAsia="宋体" w:hint="default"/>
        </w:rPr>
        <w:t>2</w:t>
      </w:r>
      <w:r>
        <w:rPr>
          <w:rFonts w:ascii="宋体" w:hAnsi="宋体" w:cs="宋体" w:eastAsia="宋体" w:hint="default"/>
          <w:spacing w:val="-54"/>
        </w:rPr>
        <w:t> </w:t>
      </w:r>
      <w:r>
        <w:rPr/>
        <w:t>名，主任委员由董事长何建锋先生担任。</w:t>
      </w:r>
      <w:r>
        <w:rPr>
          <w:w w:val="100"/>
        </w:rPr>
        <w:t> </w:t>
      </w:r>
      <w:r>
        <w:rPr>
          <w:spacing w:val="-2"/>
        </w:rPr>
        <w:t>报告期内，董事会战略管理委员会共召开八次会议，主要工作情况如下：</w:t>
      </w:r>
    </w:p>
    <w:p>
      <w:pPr>
        <w:spacing w:after="0" w:line="400" w:lineRule="auto"/>
        <w:jc w:val="left"/>
        <w:sectPr>
          <w:pgSz w:w="11910" w:h="16850"/>
          <w:pgMar w:header="877" w:footer="1265" w:top="1100" w:bottom="1460" w:left="1260" w:right="0"/>
        </w:sectPr>
      </w:pPr>
    </w:p>
    <w:p>
      <w:pPr>
        <w:spacing w:line="240" w:lineRule="auto" w:before="12"/>
        <w:rPr>
          <w:rFonts w:ascii="宋体" w:hAnsi="宋体" w:cs="宋体" w:eastAsia="宋体" w:hint="default"/>
          <w:sz w:val="24"/>
          <w:szCs w:val="24"/>
        </w:rPr>
      </w:pPr>
    </w:p>
    <w:p>
      <w:pPr>
        <w:spacing w:line="3214" w:lineRule="exact"/>
        <w:ind w:left="410" w:right="0" w:firstLine="0"/>
        <w:rPr>
          <w:rFonts w:ascii="宋体" w:hAnsi="宋体" w:cs="宋体" w:eastAsia="宋体" w:hint="default"/>
          <w:sz w:val="20"/>
          <w:szCs w:val="20"/>
        </w:rPr>
      </w:pPr>
      <w:r>
        <w:rPr>
          <w:rFonts w:ascii="宋体" w:hAnsi="宋体" w:cs="宋体" w:eastAsia="宋体" w:hint="default"/>
          <w:position w:val="-63"/>
          <w:sz w:val="20"/>
          <w:szCs w:val="20"/>
        </w:rPr>
        <w:pict>
          <v:shape style="width:453.8pt;height:160.7pt;mso-position-horizontal-relative:char;mso-position-vertical-relative:line" type="#_x0000_t202" filled="false" stroked="true" strokeweight=".47998pt" strokecolor="#000000">
            <w10:anchorlock/>
            <v:textbox inset="0,0,0,0">
              <w:txbxContent>
                <w:p>
                  <w:pPr>
                    <w:pStyle w:val="BodyText"/>
                    <w:spacing w:line="240" w:lineRule="auto" w:before="59"/>
                    <w:ind w:left="576" w:right="0"/>
                    <w:jc w:val="left"/>
                  </w:pPr>
                  <w:r>
                    <w:rPr>
                      <w:rFonts w:ascii="宋体" w:hAnsi="宋体" w:cs="宋体" w:eastAsia="宋体" w:hint="default"/>
                    </w:rPr>
                    <w:t>1</w:t>
                  </w:r>
                  <w:r>
                    <w:rPr/>
                    <w:t>、审议公司对外投资事项；</w:t>
                  </w:r>
                </w:p>
                <w:p>
                  <w:pPr>
                    <w:spacing w:line="240" w:lineRule="auto" w:before="1"/>
                    <w:rPr>
                      <w:rFonts w:ascii="宋体" w:hAnsi="宋体" w:cs="宋体" w:eastAsia="宋体" w:hint="default"/>
                      <w:sz w:val="14"/>
                      <w:szCs w:val="14"/>
                    </w:rPr>
                  </w:pPr>
                </w:p>
                <w:p>
                  <w:pPr>
                    <w:pStyle w:val="BodyText"/>
                    <w:spacing w:line="240" w:lineRule="auto" w:before="0"/>
                    <w:ind w:left="576" w:right="0"/>
                    <w:jc w:val="left"/>
                  </w:pPr>
                  <w:r>
                    <w:rPr>
                      <w:rFonts w:ascii="宋体" w:hAnsi="宋体" w:cs="宋体" w:eastAsia="宋体" w:hint="default"/>
                    </w:rPr>
                    <w:t>2</w:t>
                  </w:r>
                  <w:r>
                    <w:rPr/>
                    <w:t>、审议公司股权转让事项。</w:t>
                  </w:r>
                </w:p>
                <w:p>
                  <w:pPr>
                    <w:spacing w:line="240" w:lineRule="auto" w:before="0"/>
                    <w:rPr>
                      <w:rFonts w:ascii="宋体" w:hAnsi="宋体" w:cs="宋体" w:eastAsia="宋体" w:hint="default"/>
                      <w:sz w:val="14"/>
                      <w:szCs w:val="14"/>
                    </w:rPr>
                  </w:pPr>
                </w:p>
                <w:p>
                  <w:pPr>
                    <w:pStyle w:val="BodyText"/>
                    <w:spacing w:line="398" w:lineRule="auto" w:before="0"/>
                    <w:ind w:left="576" w:right="82"/>
                    <w:jc w:val="left"/>
                  </w:pPr>
                  <w:r>
                    <w:rPr/>
                    <w:t>（四）董事会提名委员会履职情况</w:t>
                  </w:r>
                  <w:r>
                    <w:rPr>
                      <w:w w:val="100"/>
                    </w:rPr>
                    <w:t> </w:t>
                  </w:r>
                  <w:r>
                    <w:rPr>
                      <w:spacing w:val="-2"/>
                    </w:rPr>
                    <w:t>董事会提名委员会是董事会设立的专门工作机构，主要负责对公司董事和经理人员的人选、</w:t>
                  </w:r>
                </w:p>
                <w:p>
                  <w:pPr>
                    <w:pStyle w:val="BodyText"/>
                    <w:spacing w:line="240" w:lineRule="auto" w:before="45"/>
                    <w:ind w:left="103" w:right="0"/>
                    <w:jc w:val="left"/>
                  </w:pPr>
                  <w:r>
                    <w:rPr/>
                    <w:t>选择标准和程序进行确定并提出建议，对董事会负责。公司第八届董事会提名委员会成员由 </w:t>
                  </w:r>
                  <w:r>
                    <w:rPr>
                      <w:rFonts w:ascii="宋体" w:hAnsi="宋体" w:cs="宋体" w:eastAsia="宋体" w:hint="default"/>
                    </w:rPr>
                    <w:t>4</w:t>
                  </w:r>
                  <w:r>
                    <w:rPr>
                      <w:rFonts w:ascii="宋体" w:hAnsi="宋体" w:cs="宋体" w:eastAsia="宋体" w:hint="default"/>
                      <w:spacing w:val="-76"/>
                    </w:rPr>
                    <w:t> </w:t>
                  </w:r>
                  <w:r>
                    <w:rPr/>
                    <w:t>名</w:t>
                  </w:r>
                </w:p>
                <w:p>
                  <w:pPr>
                    <w:pStyle w:val="BodyText"/>
                    <w:spacing w:line="450" w:lineRule="atLeast" w:before="8"/>
                    <w:ind w:left="576" w:right="1342" w:hanging="473"/>
                    <w:jc w:val="left"/>
                  </w:pPr>
                  <w:r>
                    <w:rPr/>
                    <w:t>董事组成，其中：独立董事</w:t>
                  </w:r>
                  <w:r>
                    <w:rPr>
                      <w:spacing w:val="-53"/>
                    </w:rPr>
                    <w:t> </w:t>
                  </w:r>
                  <w:r>
                    <w:rPr>
                      <w:rFonts w:ascii="宋体" w:hAnsi="宋体" w:cs="宋体" w:eastAsia="宋体" w:hint="default"/>
                    </w:rPr>
                    <w:t>2</w:t>
                  </w:r>
                  <w:r>
                    <w:rPr>
                      <w:rFonts w:ascii="宋体" w:hAnsi="宋体" w:cs="宋体" w:eastAsia="宋体" w:hint="default"/>
                      <w:spacing w:val="-53"/>
                    </w:rPr>
                    <w:t> </w:t>
                  </w:r>
                  <w:r>
                    <w:rPr/>
                    <w:t>名，主任委员由独立董事担任。</w:t>
                  </w:r>
                  <w:r>
                    <w:rPr>
                      <w:w w:val="100"/>
                    </w:rPr>
                    <w:t> </w:t>
                  </w:r>
                  <w:r>
                    <w:rPr>
                      <w:spacing w:val="-2"/>
                    </w:rPr>
                    <w:t>报告期内，董事会提名委员会召开三次会议，审议关于提名董事及总裁事项。</w:t>
                  </w:r>
                </w:p>
              </w:txbxContent>
            </v:textbox>
          </v:shape>
        </w:pict>
      </w:r>
      <w:r>
        <w:rPr>
          <w:rFonts w:ascii="宋体" w:hAnsi="宋体" w:cs="宋体" w:eastAsia="宋体" w:hint="default"/>
          <w:position w:val="-6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367" w:lineRule="exact"/>
        <w:ind w:left="838" w:right="857"/>
        <w:jc w:val="left"/>
        <w:rPr>
          <w:b w:val="0"/>
          <w:bCs w:val="0"/>
        </w:rPr>
      </w:pPr>
      <w:r>
        <w:rPr/>
        <w:t>七、监事会工作情况</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6"/>
        <w:spacing w:line="240" w:lineRule="auto"/>
        <w:ind w:left="838" w:right="857"/>
        <w:jc w:val="left"/>
        <w:rPr>
          <w:b w:val="0"/>
          <w:bCs w:val="0"/>
        </w:rPr>
      </w:pPr>
      <w:r>
        <w:rPr>
          <w:rFonts w:ascii="Times New Roman" w:hAnsi="Times New Roman" w:cs="Times New Roman" w:eastAsia="Times New Roman" w:hint="default"/>
        </w:rPr>
        <w:t>1</w:t>
      </w:r>
      <w:r>
        <w:rPr/>
        <w:t>、监事会工作报告</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307" w:lineRule="auto" w:before="0"/>
        <w:ind w:left="213" w:right="1164" w:firstLine="463"/>
        <w:jc w:val="both"/>
      </w:pPr>
      <w:r>
        <w:rPr/>
        <w:pict>
          <v:group style="position:absolute;margin-left:53.040001pt;margin-top:-4.776325pt;width:489.35pt;height:431.45pt;mso-position-horizontal-relative:page;mso-position-vertical-relative:paragraph;z-index:-1636648" coordorigin="1061,-96" coordsize="9787,8629">
            <v:group style="position:absolute;left:1070;top:-86;width:9768;height:2" coordorigin="1070,-86" coordsize="9768,2">
              <v:shape style="position:absolute;left:1070;top:-86;width:9768;height:2" coordorigin="1070,-86" coordsize="9768,0" path="m1070,-86l10838,-86e" filled="false" stroked="true" strokeweight=".48001pt" strokecolor="#000000">
                <v:path arrowok="t"/>
              </v:shape>
            </v:group>
            <v:group style="position:absolute;left:1066;top:-91;width:2;height:8620" coordorigin="1066,-91" coordsize="2,8620">
              <v:shape style="position:absolute;left:1066;top:-91;width:2;height:8620" coordorigin="1066,-91" coordsize="0,8620" path="m1066,-91l1066,8529e" filled="false" stroked="true" strokeweight=".48pt" strokecolor="#000000">
                <v:path arrowok="t"/>
              </v:shape>
            </v:group>
            <v:group style="position:absolute;left:1070;top:8524;width:9768;height:2" coordorigin="1070,8524" coordsize="9768,2">
              <v:shape style="position:absolute;left:1070;top:8524;width:9768;height:2" coordorigin="1070,8524" coordsize="9768,0" path="m1070,8524l10838,8524e" filled="false" stroked="true" strokeweight=".47998pt" strokecolor="#000000">
                <v:path arrowok="t"/>
              </v:shape>
            </v:group>
            <v:group style="position:absolute;left:10843;top:-91;width:2;height:8620" coordorigin="10843,-91" coordsize="2,8620">
              <v:shape style="position:absolute;left:10843;top:-91;width:2;height:8620" coordorigin="10843,-91" coordsize="0,8620" path="m10843,-91l10843,8529e" filled="false" stroked="true" strokeweight=".47998pt" strokecolor="#000000">
                <v:path arrowok="t"/>
              </v:shape>
            </v:group>
            <w10:wrap type="none"/>
          </v:group>
        </w:pic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23"/>
          <w:w w:val="100"/>
        </w:rPr>
        <w:t> </w:t>
      </w:r>
      <w:r>
        <w:rPr>
          <w:spacing w:val="-7"/>
          <w:w w:val="100"/>
        </w:rPr>
        <w:t>年，公司监事会严格按照公司法、《深圳市农产品集团股份有限公司章程》以及其他相关法律法</w:t>
      </w:r>
      <w:r>
        <w:rPr>
          <w:w w:val="100"/>
        </w:rPr>
        <w:t> </w:t>
      </w:r>
      <w:r>
        <w:rPr>
          <w:spacing w:val="-4"/>
        </w:rPr>
        <w:t>规的要求，本着保障公司依法运作和对全体股东负责的精神，加强与董事会及经理班子的沟通协商，认真</w:t>
      </w:r>
      <w:r>
        <w:rPr>
          <w:spacing w:val="-28"/>
        </w:rPr>
        <w:t> </w:t>
      </w:r>
      <w:r>
        <w:rPr>
          <w:spacing w:val="-28"/>
        </w:rPr>
      </w:r>
      <w:r>
        <w:rPr>
          <w:spacing w:val="-4"/>
        </w:rPr>
        <w:t>履行监督职责。通过对公司依法运作、招投标、制度建设等进行监督检查，对全面风险管理体系建设进行</w:t>
      </w:r>
      <w:r>
        <w:rPr>
          <w:spacing w:val="-33"/>
        </w:rPr>
        <w:t> </w:t>
      </w:r>
      <w:r>
        <w:rPr>
          <w:spacing w:val="-33"/>
        </w:rPr>
      </w:r>
      <w:r>
        <w:rPr/>
        <w:t>督导，保障公司规范运行，较好地维护了国有资产的安全运营和保值增值，保障了公司和股东的权益。</w:t>
      </w:r>
    </w:p>
    <w:p>
      <w:pPr>
        <w:pStyle w:val="BodyText"/>
        <w:spacing w:line="240" w:lineRule="auto" w:before="67"/>
        <w:ind w:left="677" w:right="857"/>
        <w:jc w:val="left"/>
      </w:pPr>
      <w:r>
        <w:rPr/>
        <w:t>一、监事会会议召开情况</w:t>
      </w:r>
    </w:p>
    <w:p>
      <w:pPr>
        <w:pStyle w:val="BodyText"/>
        <w:spacing w:line="240" w:lineRule="auto" w:before="126"/>
        <w:ind w:left="677" w:right="857"/>
        <w:jc w:val="left"/>
      </w:pPr>
      <w:r>
        <w:rPr/>
        <w:t>报告期内，监事会共召开</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次会议，审议通过了</w:t>
      </w:r>
      <w:r>
        <w:rPr>
          <w:spacing w:val="-54"/>
        </w:rPr>
        <w:t> </w:t>
      </w:r>
      <w:r>
        <w:rPr>
          <w:rFonts w:ascii="Times New Roman" w:hAnsi="Times New Roman" w:cs="Times New Roman" w:eastAsia="Times New Roman" w:hint="default"/>
        </w:rPr>
        <w:t>34</w:t>
      </w:r>
      <w:r>
        <w:rPr>
          <w:rFonts w:ascii="Times New Roman" w:hAnsi="Times New Roman" w:cs="Times New Roman" w:eastAsia="Times New Roman" w:hint="default"/>
          <w:spacing w:val="-3"/>
        </w:rPr>
        <w:t> </w:t>
      </w:r>
      <w:r>
        <w:rPr/>
        <w:t>个议案。</w:t>
      </w:r>
    </w:p>
    <w:p>
      <w:pPr>
        <w:pStyle w:val="BodyText"/>
        <w:spacing w:line="240" w:lineRule="auto" w:before="110"/>
        <w:ind w:left="677" w:right="857"/>
        <w:jc w:val="left"/>
      </w:pPr>
      <w:r>
        <w:rPr>
          <w:rFonts w:ascii="Times New Roman" w:hAnsi="Times New Roman" w:cs="Times New Roman" w:eastAsia="Times New Roman" w:hint="default"/>
        </w:rPr>
        <w:t>1</w:t>
      </w:r>
      <w:r>
        <w:rPr/>
        <w:t>、第八届监事会第八次会议于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日下午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点</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分召开。会议应到监事</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人，实到监</w:t>
      </w:r>
    </w:p>
    <w:p>
      <w:pPr>
        <w:pStyle w:val="BodyText"/>
        <w:spacing w:line="304" w:lineRule="auto" w:before="69"/>
        <w:ind w:left="213" w:right="1167"/>
        <w:jc w:val="both"/>
      </w:pPr>
      <w:r>
        <w:rPr/>
        <w:t>事 </w:t>
      </w:r>
      <w:r>
        <w:rPr>
          <w:rFonts w:ascii="Times New Roman" w:hAnsi="Times New Roman" w:cs="Times New Roman" w:eastAsia="Times New Roman" w:hint="default"/>
        </w:rPr>
        <w:t>3 </w:t>
      </w:r>
      <w:r>
        <w:rPr>
          <w:spacing w:val="-4"/>
        </w:rPr>
        <w:t>人。陈凤华女士请假，委托监事廖红丽女士出席并代为表决；林映文女士请假，委托监事廖红丽女士</w:t>
      </w:r>
      <w:r>
        <w:rPr>
          <w:spacing w:val="-97"/>
        </w:rPr>
        <w:t> </w:t>
      </w:r>
      <w:r>
        <w:rPr>
          <w:spacing w:val="-97"/>
        </w:rPr>
      </w:r>
      <w:r>
        <w:rPr>
          <w:spacing w:val="-4"/>
        </w:rPr>
        <w:t>出席并代为表决。会议由监事会主席曹宇女士主持，审议通过了关于修订《深圳市农产品股份有限公司章</w:t>
      </w:r>
      <w:r>
        <w:rPr>
          <w:spacing w:val="-34"/>
        </w:rPr>
        <w:t> </w:t>
      </w:r>
      <w:r>
        <w:rPr>
          <w:spacing w:val="-34"/>
        </w:rPr>
      </w:r>
      <w:r>
        <w:rPr/>
        <w:t>程》的议案、关于深深宝重大资产重组原则性意见的议案。</w:t>
      </w:r>
    </w:p>
    <w:p>
      <w:pPr>
        <w:pStyle w:val="BodyText"/>
        <w:spacing w:line="240" w:lineRule="auto" w:before="71"/>
        <w:ind w:left="677" w:right="857"/>
        <w:jc w:val="left"/>
      </w:pPr>
      <w:r>
        <w:rPr>
          <w:rFonts w:ascii="Times New Roman" w:hAnsi="Times New Roman" w:cs="Times New Roman" w:eastAsia="Times New Roman" w:hint="default"/>
          <w:spacing w:val="-3"/>
        </w:rPr>
        <w:t>2</w:t>
      </w:r>
      <w:r>
        <w:rPr>
          <w:spacing w:val="-3"/>
        </w:rPr>
        <w:t>、第八届监事会第九次会议于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日上午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点</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分以通讯表决方式召开。会议应到监</w:t>
      </w:r>
    </w:p>
    <w:p>
      <w:pPr>
        <w:pStyle w:val="BodyText"/>
        <w:spacing w:line="295" w:lineRule="auto" w:before="69"/>
        <w:ind w:left="213" w:right="1165"/>
        <w:jc w:val="both"/>
      </w:pPr>
      <w:r>
        <w:rPr/>
        <w:t>事</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spacing w:val="-6"/>
        </w:rPr>
        <w:t>人，实到监事</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spacing w:val="-4"/>
        </w:rPr>
        <w:t>人。会议由监事会主席曹宇女士主持，审议通过了关于发行超短期融资券的议案、关</w:t>
      </w:r>
      <w:r>
        <w:rPr>
          <w:spacing w:val="-98"/>
        </w:rPr>
        <w:t> </w:t>
      </w:r>
      <w:r>
        <w:rPr>
          <w:spacing w:val="-98"/>
        </w:rPr>
      </w:r>
      <w:r>
        <w:rPr/>
        <w:t>于发行中期票据的议案。</w:t>
      </w:r>
    </w:p>
    <w:p>
      <w:pPr>
        <w:pStyle w:val="BodyText"/>
        <w:spacing w:line="304" w:lineRule="auto" w:before="80"/>
        <w:ind w:left="213" w:right="857" w:firstLine="463"/>
        <w:jc w:val="left"/>
      </w:pPr>
      <w:r>
        <w:rPr>
          <w:rFonts w:ascii="Times New Roman" w:hAnsi="Times New Roman" w:cs="Times New Roman" w:eastAsia="Times New Roman" w:hint="default"/>
          <w:spacing w:val="-5"/>
        </w:rPr>
        <w:t>3</w:t>
      </w:r>
      <w:r>
        <w:rPr>
          <w:spacing w:val="-5"/>
        </w:rPr>
        <w:t>、第八届监事会第十次会议于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日下午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7"/>
        </w:rPr>
        <w:t>点召开。会议应到监事</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0"/>
        </w:rPr>
        <w:t>人，实到监事</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人。</w:t>
      </w:r>
      <w:r>
        <w:rPr>
          <w:w w:val="100"/>
        </w:rPr>
        <w:t> </w:t>
      </w:r>
      <w:r>
        <w:rPr>
          <w:spacing w:val="-4"/>
        </w:rPr>
        <w:t>王道海先生因公未能出席，委托曹宇女士出席并代为表决。会议由监事会主席曹宇女士主持，审议通过了</w:t>
      </w:r>
      <w:r>
        <w:rPr>
          <w:spacing w:val="-31"/>
        </w:rPr>
        <w:t> </w:t>
      </w:r>
      <w:r>
        <w:rPr>
          <w:spacing w:val="-31"/>
        </w:rPr>
      </w:r>
      <w:r>
        <w:rPr/>
        <w:t>关于公司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年度监事会工作报告的议案、关于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年度监事薪酬的议案、关于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年度财务报告的</w:t>
      </w:r>
    </w:p>
    <w:p>
      <w:pPr>
        <w:pStyle w:val="BodyText"/>
        <w:spacing w:line="240" w:lineRule="auto" w:before="7"/>
        <w:ind w:left="213" w:right="0"/>
        <w:jc w:val="both"/>
      </w:pPr>
      <w:r>
        <w:rPr>
          <w:spacing w:val="-8"/>
        </w:rPr>
        <w:t>议案、关于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spacing w:val="-4"/>
        </w:rPr>
        <w:t>年度利润分配预案的议案、关于转回及计提资产减值准备的议案、关于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年度募集资</w:t>
      </w:r>
    </w:p>
    <w:p>
      <w:pPr>
        <w:pStyle w:val="BodyText"/>
        <w:spacing w:line="240" w:lineRule="auto" w:before="69"/>
        <w:ind w:left="213" w:right="0"/>
        <w:jc w:val="both"/>
      </w:pPr>
      <w:r>
        <w:rPr>
          <w:spacing w:val="-4"/>
        </w:rPr>
        <w:t>金存放与使用情况的专项报告的议案、关于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spacing w:val="-5"/>
        </w:rPr>
        <w:t>年度内部控制评价报告的议案、关于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年度全面风险</w:t>
      </w:r>
    </w:p>
    <w:p>
      <w:pPr>
        <w:pStyle w:val="BodyText"/>
        <w:spacing w:line="240" w:lineRule="auto" w:before="67"/>
        <w:ind w:left="213" w:right="0"/>
        <w:jc w:val="both"/>
      </w:pPr>
      <w:r>
        <w:rPr/>
        <w:t>管理报告的议案、关于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年度报告及其摘要的议案、关于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年第一季度报告的议案。</w:t>
      </w:r>
    </w:p>
    <w:p>
      <w:pPr>
        <w:pStyle w:val="BodyText"/>
        <w:spacing w:line="304" w:lineRule="auto" w:before="110"/>
        <w:ind w:left="213" w:right="1164" w:firstLine="463"/>
        <w:jc w:val="both"/>
      </w:pPr>
      <w:r>
        <w:rPr>
          <w:rFonts w:ascii="Times New Roman" w:hAnsi="Times New Roman" w:cs="Times New Roman" w:eastAsia="Times New Roman" w:hint="default"/>
        </w:rPr>
        <w:t>4</w:t>
      </w:r>
      <w:r>
        <w:rPr/>
        <w:t>、第八届监事会第十一次会议于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日下午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点召开。会议应到监事</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人，实到监事</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w w:val="100"/>
        </w:rPr>
        <w:t> </w:t>
      </w:r>
      <w:r>
        <w:rPr>
          <w:spacing w:val="-4"/>
        </w:rPr>
        <w:t>人。会议由监事会主席曹宇女士主持，审议通过了关于同意控股子公司天津海吉星公开挂牌转让其下属三</w:t>
      </w:r>
      <w:r>
        <w:rPr>
          <w:spacing w:val="-31"/>
        </w:rPr>
        <w:t> </w:t>
      </w:r>
      <w:r>
        <w:rPr>
          <w:spacing w:val="-31"/>
        </w:rPr>
      </w:r>
      <w:r>
        <w:rPr/>
        <w:t>家全资子公司</w:t>
      </w:r>
      <w:r>
        <w:rPr>
          <w:spacing w:val="-51"/>
        </w:rPr>
        <w:t> </w:t>
      </w:r>
      <w:r>
        <w:rPr>
          <w:rFonts w:ascii="Times New Roman" w:hAnsi="Times New Roman" w:cs="Times New Roman" w:eastAsia="Times New Roman" w:hint="default"/>
        </w:rPr>
        <w:t>100%</w:t>
      </w:r>
      <w:r>
        <w:rPr/>
        <w:t>股权的议案。</w:t>
      </w:r>
    </w:p>
    <w:p>
      <w:pPr>
        <w:pStyle w:val="BodyText"/>
        <w:spacing w:line="240" w:lineRule="auto" w:before="49"/>
        <w:ind w:left="677" w:right="857"/>
        <w:jc w:val="left"/>
        <w:rPr>
          <w:rFonts w:ascii="Times New Roman" w:hAnsi="Times New Roman" w:cs="Times New Roman" w:eastAsia="Times New Roman" w:hint="default"/>
        </w:rPr>
      </w:pPr>
      <w:r>
        <w:rPr>
          <w:rFonts w:ascii="Times New Roman" w:hAnsi="Times New Roman" w:cs="Times New Roman" w:eastAsia="Times New Roman" w:hint="default"/>
          <w:spacing w:val="-4"/>
        </w:rPr>
        <w:t>5</w:t>
      </w:r>
      <w:r>
        <w:rPr>
          <w:spacing w:val="-4"/>
        </w:rPr>
        <w:t>、第八届监事会第十二次会议于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日上午</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spacing w:val="-5"/>
        </w:rPr>
        <w:t>点召开。会议应到监事</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6"/>
        </w:rPr>
        <w:t>人，实到监事</w:t>
      </w:r>
      <w:r>
        <w:rPr>
          <w:spacing w:val="-48"/>
        </w:rPr>
        <w:t> </w:t>
      </w:r>
      <w:r>
        <w:rPr>
          <w:rFonts w:ascii="Times New Roman" w:hAnsi="Times New Roman" w:cs="Times New Roman" w:eastAsia="Times New Roman" w:hint="default"/>
        </w:rPr>
        <w:t>5</w:t>
      </w:r>
    </w:p>
    <w:p>
      <w:pPr>
        <w:spacing w:after="0" w:line="240" w:lineRule="auto"/>
        <w:jc w:val="left"/>
        <w:rPr>
          <w:rFonts w:ascii="Times New Roman" w:hAnsi="Times New Roman" w:cs="Times New Roman" w:eastAsia="Times New Roman" w:hint="default"/>
        </w:rPr>
        <w:sectPr>
          <w:footerReference w:type="default" r:id="rId31"/>
          <w:pgSz w:w="11910" w:h="16850"/>
          <w:pgMar w:footer="1265" w:header="877" w:top="1100" w:bottom="1460" w:left="960" w:right="0"/>
          <w:pgNumType w:start="70"/>
        </w:sectPr>
      </w:pPr>
    </w:p>
    <w:p>
      <w:pPr>
        <w:spacing w:line="240" w:lineRule="auto" w:before="4"/>
        <w:rPr>
          <w:rFonts w:ascii="Times New Roman" w:hAnsi="Times New Roman" w:cs="Times New Roman" w:eastAsia="Times New Roman" w:hint="default"/>
          <w:sz w:val="29"/>
          <w:szCs w:val="29"/>
        </w:rPr>
      </w:pPr>
      <w:r>
        <w:rPr/>
        <w:pict>
          <v:group style="position:absolute;margin-left:53.040001pt;margin-top:71.759979pt;width:489.35pt;height:695.65pt;mso-position-horizontal-relative:page;mso-position-vertical-relative:page;z-index:-1636624" coordorigin="1061,1435" coordsize="9787,13913">
            <v:group style="position:absolute;left:1070;top:1445;width:9768;height:2" coordorigin="1070,1445" coordsize="9768,2">
              <v:shape style="position:absolute;left:1070;top:1445;width:9768;height:2" coordorigin="1070,1445" coordsize="9768,0" path="m1070,1445l10838,1445e" filled="false" stroked="true" strokeweight=".48pt" strokecolor="#000000">
                <v:path arrowok="t"/>
              </v:shape>
            </v:group>
            <v:group style="position:absolute;left:1066;top:1440;width:2;height:13903" coordorigin="1066,1440" coordsize="2,13903">
              <v:shape style="position:absolute;left:1066;top:1440;width:2;height:13903" coordorigin="1066,1440" coordsize="0,13903" path="m1066,1440l1066,15343e" filled="false" stroked="true" strokeweight=".48pt" strokecolor="#000000">
                <v:path arrowok="t"/>
              </v:shape>
            </v:group>
            <v:group style="position:absolute;left:1070;top:15338;width:9768;height:2" coordorigin="1070,15338" coordsize="9768,2">
              <v:shape style="position:absolute;left:1070;top:15338;width:9768;height:2" coordorigin="1070,15338" coordsize="9768,0" path="m1070,15338l10838,15338e" filled="false" stroked="true" strokeweight=".47998pt" strokecolor="#000000">
                <v:path arrowok="t"/>
              </v:shape>
            </v:group>
            <v:group style="position:absolute;left:10843;top:1440;width:2;height:13903" coordorigin="10843,1440" coordsize="2,13903">
              <v:shape style="position:absolute;left:10843;top:1440;width:2;height:13903" coordorigin="10843,1440" coordsize="0,13903" path="m10843,1440l10843,15343e" filled="false" stroked="true" strokeweight=".47998pt" strokecolor="#000000">
                <v:path arrowok="t"/>
              </v:shape>
            </v:group>
            <w10:wrap type="none"/>
          </v:group>
        </w:pict>
      </w:r>
    </w:p>
    <w:p>
      <w:pPr>
        <w:pStyle w:val="BodyText"/>
        <w:spacing w:line="304" w:lineRule="auto"/>
        <w:ind w:left="213" w:right="1165"/>
        <w:jc w:val="both"/>
      </w:pPr>
      <w:r>
        <w:rPr/>
        <w:t>人。会议由监事会主席曹宇女士主持，审议通过了关于 </w:t>
      </w:r>
      <w:r>
        <w:rPr>
          <w:rFonts w:ascii="Times New Roman" w:hAnsi="Times New Roman" w:cs="Times New Roman" w:eastAsia="Times New Roman" w:hint="default"/>
        </w:rPr>
        <w:t>2018 </w:t>
      </w:r>
      <w:r>
        <w:rPr/>
        <w:t>年半年度报告及其摘要的议案、关于</w:t>
      </w:r>
      <w:r>
        <w:rPr>
          <w:spacing w:val="-6"/>
        </w:rPr>
        <w:t> </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spacing w:val="-4"/>
          <w:w w:val="100"/>
        </w:rPr>
        <w:t>年半年度募集资金存放与使用情况的专项报告的议案、关于使用部分闲置募集资金投资银行保本理财产品</w:t>
      </w:r>
      <w:r>
        <w:rPr>
          <w:spacing w:val="-89"/>
          <w:w w:val="100"/>
        </w:rPr>
        <w:t> </w:t>
      </w:r>
      <w:r>
        <w:rPr>
          <w:spacing w:val="-89"/>
          <w:w w:val="100"/>
        </w:rPr>
      </w:r>
      <w:r>
        <w:rPr>
          <w:spacing w:val="-4"/>
        </w:rPr>
        <w:t>的议案、关于变更部分募集资金投向的议案、关于计提及转回减值准备的议案、关于修改公司名称暨修订</w:t>
      </w:r>
    </w:p>
    <w:p>
      <w:pPr>
        <w:pStyle w:val="BodyText"/>
        <w:spacing w:line="240" w:lineRule="auto" w:before="26"/>
        <w:ind w:left="213" w:right="0"/>
        <w:jc w:val="both"/>
      </w:pPr>
      <w:r>
        <w:rPr/>
        <w:t>《公司章程》的议案。</w:t>
      </w:r>
    </w:p>
    <w:p>
      <w:pPr>
        <w:pStyle w:val="BodyText"/>
        <w:spacing w:line="240" w:lineRule="auto" w:before="128"/>
        <w:ind w:left="677" w:right="857"/>
        <w:jc w:val="left"/>
        <w:rPr>
          <w:rFonts w:ascii="Times New Roman" w:hAnsi="Times New Roman" w:cs="Times New Roman" w:eastAsia="Times New Roman" w:hint="default"/>
        </w:rPr>
      </w:pPr>
      <w:r>
        <w:rPr>
          <w:rFonts w:ascii="Times New Roman" w:hAnsi="Times New Roman" w:cs="Times New Roman" w:eastAsia="Times New Roman" w:hint="default"/>
        </w:rPr>
        <w:t>6</w:t>
      </w:r>
      <w:r>
        <w:rPr/>
        <w:t>、第八届监事会第十三次会议于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日下午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点以通讯表决方式召开。会议应到监事</w:t>
      </w:r>
      <w:r>
        <w:rPr>
          <w:spacing w:val="-51"/>
        </w:rPr>
        <w:t> </w:t>
      </w:r>
      <w:r>
        <w:rPr>
          <w:rFonts w:ascii="Times New Roman" w:hAnsi="Times New Roman" w:cs="Times New Roman" w:eastAsia="Times New Roman" w:hint="default"/>
        </w:rPr>
        <w:t>5</w:t>
      </w:r>
    </w:p>
    <w:p>
      <w:pPr>
        <w:pStyle w:val="BodyText"/>
        <w:spacing w:line="295" w:lineRule="auto" w:before="69"/>
        <w:ind w:left="213" w:right="1167"/>
        <w:jc w:val="both"/>
      </w:pPr>
      <w:r>
        <w:rPr/>
        <w:t>人，实到监事</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人。会议由监事会主席曹宇女士主持，审议通过了关于聘请</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年度会计师事务所的议</w:t>
      </w:r>
      <w:r>
        <w:rPr>
          <w:w w:val="100"/>
        </w:rPr>
        <w:t> </w:t>
      </w:r>
      <w:r>
        <w:rPr/>
        <w:t>案。</w:t>
      </w:r>
    </w:p>
    <w:p>
      <w:pPr>
        <w:pStyle w:val="BodyText"/>
        <w:spacing w:line="240" w:lineRule="auto" w:before="80"/>
        <w:ind w:left="677" w:right="857"/>
        <w:jc w:val="left"/>
      </w:pPr>
      <w:r>
        <w:rPr>
          <w:rFonts w:ascii="Times New Roman" w:hAnsi="Times New Roman" w:cs="Times New Roman" w:eastAsia="Times New Roman" w:hint="default"/>
        </w:rPr>
        <w:t>7</w:t>
      </w:r>
      <w:r>
        <w:rPr/>
        <w:t>、第八届监事会第十四次会议于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日上午</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点</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分召开。会议应到监事</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人，实</w:t>
      </w:r>
    </w:p>
    <w:p>
      <w:pPr>
        <w:pStyle w:val="BodyText"/>
        <w:spacing w:line="309" w:lineRule="auto" w:before="69"/>
        <w:ind w:left="213" w:right="1165"/>
        <w:jc w:val="both"/>
      </w:pPr>
      <w:r>
        <w:rPr/>
        <w:t>到监事</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人。会议由监事会主席曹宇女士主持，审议通过了关于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年第三季度报告的议案，关于在深</w:t>
      </w:r>
      <w:r>
        <w:rPr>
          <w:w w:val="100"/>
        </w:rPr>
        <w:t> </w:t>
      </w:r>
      <w:r>
        <w:rPr/>
        <w:t>圳联合产权交易所以公开挂牌方式出售中农网</w:t>
      </w:r>
      <w:r>
        <w:rPr>
          <w:spacing w:val="-27"/>
        </w:rPr>
        <w:t> </w:t>
      </w:r>
      <w:r>
        <w:rPr>
          <w:rFonts w:ascii="Times New Roman" w:hAnsi="Times New Roman" w:cs="Times New Roman" w:eastAsia="Times New Roman" w:hint="default"/>
          <w:spacing w:val="-4"/>
        </w:rPr>
        <w:t>8.36%</w:t>
      </w:r>
      <w:r>
        <w:rPr>
          <w:spacing w:val="-4"/>
        </w:rPr>
        <w:t>股权的议案，关于批准本次交易相关审计报告、备考</w:t>
      </w:r>
      <w:r>
        <w:rPr>
          <w:spacing w:val="-95"/>
        </w:rPr>
        <w:t> </w:t>
      </w:r>
      <w:r>
        <w:rPr>
          <w:spacing w:val="-95"/>
        </w:rPr>
      </w:r>
      <w:r>
        <w:rPr>
          <w:spacing w:val="-4"/>
        </w:rPr>
        <w:t>审阅报告、资产评估报告的议案，关于评估机构的独立性、评估假设前提的合理性、评估方法与评估目的</w:t>
      </w:r>
      <w:r>
        <w:rPr>
          <w:spacing w:val="-35"/>
        </w:rPr>
        <w:t> </w:t>
      </w:r>
      <w:r>
        <w:rPr>
          <w:spacing w:val="-35"/>
        </w:rPr>
      </w:r>
      <w:r>
        <w:rPr>
          <w:spacing w:val="-4"/>
        </w:rPr>
        <w:t>的相关性以及评估定价的公允性的议案，关于本次重大资产出售方案的议案，关于《深圳市农产品股份有</w:t>
      </w:r>
      <w:r>
        <w:rPr>
          <w:spacing w:val="-31"/>
        </w:rPr>
        <w:t> </w:t>
      </w:r>
      <w:r>
        <w:rPr>
          <w:spacing w:val="-31"/>
        </w:rPr>
      </w:r>
      <w:r>
        <w:rPr>
          <w:spacing w:val="-4"/>
        </w:rPr>
        <w:t>限公司重大资产出售预案》的议案，关于本次重大资产出售符合相关法律、法规规定的议案，关于本次重</w:t>
      </w:r>
      <w:r>
        <w:rPr>
          <w:spacing w:val="-32"/>
        </w:rPr>
        <w:t> </w:t>
      </w:r>
      <w:r>
        <w:rPr>
          <w:spacing w:val="-32"/>
        </w:rPr>
      </w:r>
      <w:r>
        <w:rPr>
          <w:spacing w:val="-4"/>
        </w:rPr>
        <w:t>大资产出售履行法定程序的完备性、合规性及提交法律文件的有效性的说明的议案，关于本次重大资产出</w:t>
      </w:r>
      <w:r>
        <w:rPr>
          <w:spacing w:val="-30"/>
        </w:rPr>
        <w:t> </w:t>
      </w:r>
      <w:r>
        <w:rPr>
          <w:spacing w:val="-30"/>
        </w:rPr>
      </w:r>
      <w:r>
        <w:rPr>
          <w:spacing w:val="-4"/>
        </w:rPr>
        <w:t>售符合《关于规范上市公司重大资产重组若干问题的规定》第四条规定的议案，关于本次重大资产出售不</w:t>
      </w:r>
      <w:r>
        <w:rPr>
          <w:spacing w:val="-30"/>
        </w:rPr>
        <w:t> </w:t>
      </w:r>
      <w:r>
        <w:rPr>
          <w:spacing w:val="-30"/>
        </w:rPr>
      </w:r>
      <w:r>
        <w:rPr>
          <w:spacing w:val="-4"/>
        </w:rPr>
        <w:t>构成《上市公司重大资产重组管理办法》第十三条规定的重组上市情形的议案，关于本次重大资产出售摊</w:t>
      </w:r>
      <w:r>
        <w:rPr>
          <w:spacing w:val="-30"/>
        </w:rPr>
        <w:t> </w:t>
      </w:r>
      <w:r>
        <w:rPr>
          <w:spacing w:val="-30"/>
        </w:rPr>
      </w:r>
      <w:r>
        <w:rPr/>
        <w:t>薄即期回报的风险提示及填补措施的议案。</w:t>
      </w:r>
    </w:p>
    <w:p>
      <w:pPr>
        <w:pStyle w:val="BodyText"/>
        <w:spacing w:line="240" w:lineRule="auto" w:before="65"/>
        <w:ind w:left="677" w:right="857"/>
        <w:jc w:val="left"/>
      </w:pPr>
      <w:r>
        <w:rPr>
          <w:rFonts w:ascii="Times New Roman" w:hAnsi="Times New Roman" w:cs="Times New Roman" w:eastAsia="Times New Roman" w:hint="default"/>
        </w:rPr>
        <w:t>8</w:t>
      </w:r>
      <w:r>
        <w:rPr/>
        <w:t>、第八届监事会第十五次会议于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日上午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点</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分以通讯表决方式召开。会议应</w:t>
      </w:r>
    </w:p>
    <w:p>
      <w:pPr>
        <w:pStyle w:val="BodyText"/>
        <w:spacing w:line="295" w:lineRule="auto" w:before="69"/>
        <w:ind w:left="213" w:right="1165"/>
        <w:jc w:val="both"/>
      </w:pPr>
      <w:r>
        <w:rPr/>
        <w:t>到监事</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spacing w:val="-8"/>
        </w:rPr>
        <w:t>人，实到监事</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spacing w:val="-4"/>
        </w:rPr>
        <w:t>人。会议由监事会主席曹宇女士主持，审议通过了关于向深圳市国资委借款的议</w:t>
      </w:r>
      <w:r>
        <w:rPr>
          <w:spacing w:val="-98"/>
        </w:rPr>
        <w:t> </w:t>
      </w:r>
      <w:r>
        <w:rPr>
          <w:spacing w:val="-98"/>
        </w:rPr>
      </w:r>
      <w:r>
        <w:rPr/>
        <w:t>案。</w:t>
      </w:r>
    </w:p>
    <w:p>
      <w:pPr>
        <w:pStyle w:val="BodyText"/>
        <w:spacing w:line="240" w:lineRule="auto" w:before="78"/>
        <w:ind w:left="677" w:right="857"/>
        <w:jc w:val="left"/>
      </w:pPr>
      <w:r>
        <w:rPr/>
        <w:t>二、监事会监督检查、调研等情况</w:t>
      </w:r>
    </w:p>
    <w:p>
      <w:pPr>
        <w:pStyle w:val="BodyText"/>
        <w:spacing w:line="240" w:lineRule="auto" w:before="126"/>
        <w:ind w:left="634" w:right="857"/>
        <w:jc w:val="left"/>
      </w:pPr>
      <w:r>
        <w:rPr/>
        <w:t>（一）制定监督要点，深入开展监督检查，紧抓监督成效。</w:t>
      </w:r>
    </w:p>
    <w:p>
      <w:pPr>
        <w:pStyle w:val="BodyText"/>
        <w:spacing w:line="240" w:lineRule="auto" w:before="123"/>
        <w:ind w:left="634" w:right="857"/>
        <w:jc w:val="left"/>
      </w:pPr>
      <w:r>
        <w:rPr>
          <w:rFonts w:ascii="Times New Roman" w:hAnsi="Times New Roman" w:cs="Times New Roman" w:eastAsia="Times New Roman" w:hint="default"/>
        </w:rPr>
        <w:t>1. </w:t>
      </w:r>
      <w:r>
        <w:rPr/>
        <w:t>组织制定集团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年度监督工作要点。</w:t>
      </w:r>
    </w:p>
    <w:p>
      <w:pPr>
        <w:pStyle w:val="BodyText"/>
        <w:spacing w:line="304" w:lineRule="auto" w:before="112"/>
        <w:ind w:left="213" w:right="1164" w:firstLine="420"/>
        <w:jc w:val="both"/>
      </w:pPr>
      <w:r>
        <w:rPr>
          <w:spacing w:val="-4"/>
          <w:w w:val="100"/>
        </w:rPr>
        <w:t>监事会结合企业实际，牵头制定了《深圳市农产品股份有限公司</w:t>
      </w:r>
      <w:r>
        <w:rPr>
          <w:spacing w:val="-46"/>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spacing w:val="-12"/>
          <w:w w:val="100"/>
        </w:rPr>
        <w:t>年监督工作要点》，并对要点进</w:t>
      </w:r>
      <w:r>
        <w:rPr>
          <w:w w:val="100"/>
        </w:rPr>
        <w:t> </w:t>
      </w:r>
      <w:r>
        <w:rPr>
          <w:spacing w:val="-4"/>
        </w:rPr>
        <w:t>行了责任分解和落实时间的明确，做到既全面统筹，又分工明确、责任到人。同时，定期跟进要点事项开</w:t>
      </w:r>
      <w:r>
        <w:rPr>
          <w:spacing w:val="-33"/>
        </w:rPr>
        <w:t> </w:t>
      </w:r>
      <w:r>
        <w:rPr>
          <w:spacing w:val="-33"/>
        </w:rPr>
      </w:r>
      <w:r>
        <w:rPr/>
        <w:t>展情况，及时提示风险。</w:t>
      </w:r>
    </w:p>
    <w:p>
      <w:pPr>
        <w:pStyle w:val="BodyText"/>
        <w:spacing w:line="331" w:lineRule="auto" w:before="69"/>
        <w:ind w:left="634" w:right="85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开展招标采购审计及工程变更专项调研。</w:t>
      </w:r>
      <w:r>
        <w:rPr>
          <w:w w:val="100"/>
        </w:rPr>
        <w:t> </w:t>
      </w:r>
      <w:r>
        <w:rPr>
          <w:spacing w:val="-4"/>
          <w:w w:val="100"/>
        </w:rPr>
        <w:t>监事会主席牵头开展了招标采购审计和工程变更专项调研。通过收集汇总各下属企业近三年相关资料</w:t>
      </w:r>
    </w:p>
    <w:p>
      <w:pPr>
        <w:pStyle w:val="BodyText"/>
        <w:spacing w:line="312" w:lineRule="auto" w:before="5"/>
        <w:ind w:left="213" w:right="857"/>
        <w:jc w:val="left"/>
      </w:pPr>
      <w:r>
        <w:rPr>
          <w:spacing w:val="-4"/>
        </w:rPr>
        <w:t>信息，以及前往实地开展现场检查等，对集团招标采购及工程变更情况进行全面梳理，针对检查发现问题</w:t>
      </w:r>
      <w:r>
        <w:rPr>
          <w:spacing w:val="-29"/>
        </w:rPr>
        <w:t> </w:t>
      </w:r>
      <w:r>
        <w:rPr>
          <w:spacing w:val="-29"/>
        </w:rPr>
      </w:r>
      <w:r>
        <w:rPr/>
        <w:t>提出了改进意见和建议。</w:t>
      </w:r>
    </w:p>
    <w:p>
      <w:pPr>
        <w:pStyle w:val="BodyText"/>
        <w:spacing w:line="333" w:lineRule="auto" w:before="63"/>
        <w:ind w:left="634" w:right="85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开展资源性资产租赁检查。</w:t>
      </w:r>
      <w:r>
        <w:rPr>
          <w:w w:val="100"/>
        </w:rPr>
        <w:t> </w:t>
      </w:r>
      <w:r>
        <w:rPr>
          <w:spacing w:val="-2"/>
        </w:rPr>
        <w:t>监事会联合业务部门开展了资源性资产租赁情况检查，通过企业自查自纠、检查组现场检查等方式，</w:t>
      </w:r>
    </w:p>
    <w:p>
      <w:pPr>
        <w:pStyle w:val="BodyText"/>
        <w:spacing w:line="240" w:lineRule="auto" w:before="1"/>
        <w:ind w:left="213" w:right="857"/>
        <w:jc w:val="left"/>
      </w:pPr>
      <w:r>
        <w:rPr/>
        <w:t>进一步规范了资源性资产租赁行为，促进廉洁从业。</w:t>
      </w:r>
    </w:p>
    <w:p>
      <w:pPr>
        <w:pStyle w:val="BodyText"/>
        <w:spacing w:line="240" w:lineRule="auto" w:before="123"/>
        <w:ind w:left="634" w:right="85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t>加强对招投标、工程等关键领域的监督检查。</w:t>
      </w:r>
    </w:p>
    <w:p>
      <w:pPr>
        <w:pStyle w:val="BodyText"/>
        <w:spacing w:line="295" w:lineRule="auto" w:before="112"/>
        <w:ind w:left="213" w:right="857" w:firstLine="420"/>
        <w:jc w:val="left"/>
      </w:pPr>
      <w:r>
        <w:rPr>
          <w:spacing w:val="-7"/>
          <w:w w:val="100"/>
        </w:rPr>
        <w:t>监事会联合工程管理部门、财务部门开展了</w:t>
      </w:r>
      <w:r>
        <w:rPr>
          <w:spacing w:val="-46"/>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8"/>
          <w:w w:val="100"/>
        </w:rPr>
        <w:t> </w:t>
      </w:r>
      <w:r>
        <w:rPr>
          <w:spacing w:val="-2"/>
          <w:w w:val="100"/>
        </w:rPr>
        <w:t>家异地下属企业自行审批权限范围内的工程管理流程专</w:t>
      </w:r>
      <w:r>
        <w:rPr>
          <w:w w:val="100"/>
        </w:rPr>
        <w:t> </w:t>
      </w:r>
      <w:r>
        <w:rPr/>
        <w:t>项检查，推动下属企业加强工程领域的制度建设和流程规范。</w:t>
      </w:r>
    </w:p>
    <w:p>
      <w:pPr>
        <w:pStyle w:val="BodyText"/>
        <w:spacing w:line="240" w:lineRule="auto" w:before="80"/>
        <w:ind w:left="634" w:right="857"/>
        <w:jc w:val="left"/>
      </w:pPr>
      <w:r>
        <w:rPr>
          <w:spacing w:val="-4"/>
        </w:rPr>
        <w:t>此外，监事会还参与了招投标等重大事项的过程监督，包括列席招标领导小组会议，对决策过程进行</w:t>
      </w:r>
    </w:p>
    <w:p>
      <w:pPr>
        <w:spacing w:after="0" w:line="240" w:lineRule="auto"/>
        <w:jc w:val="left"/>
        <w:sectPr>
          <w:pgSz w:w="11910" w:h="16850"/>
          <w:pgMar w:header="877" w:footer="1265" w:top="1100" w:bottom="1460" w:left="960" w:right="0"/>
        </w:sectPr>
      </w:pPr>
    </w:p>
    <w:p>
      <w:pPr>
        <w:spacing w:line="240" w:lineRule="auto" w:before="11"/>
        <w:rPr>
          <w:rFonts w:ascii="宋体" w:hAnsi="宋体" w:cs="宋体" w:eastAsia="宋体" w:hint="default"/>
          <w:sz w:val="25"/>
          <w:szCs w:val="25"/>
        </w:rPr>
      </w:pPr>
      <w:r>
        <w:rPr/>
        <w:pict>
          <v:group style="position:absolute;margin-left:53.040001pt;margin-top:71.759979pt;width:489.35pt;height:693.6pt;mso-position-horizontal-relative:page;mso-position-vertical-relative:page;z-index:-1636600" coordorigin="1061,1435" coordsize="9787,13872">
            <v:group style="position:absolute;left:1070;top:1445;width:9768;height:2" coordorigin="1070,1445" coordsize="9768,2">
              <v:shape style="position:absolute;left:1070;top:1445;width:9768;height:2" coordorigin="1070,1445" coordsize="9768,0" path="m1070,1445l10838,1445e" filled="false" stroked="true" strokeweight=".48pt" strokecolor="#000000">
                <v:path arrowok="t"/>
              </v:shape>
            </v:group>
            <v:group style="position:absolute;left:1066;top:1440;width:2;height:13862" coordorigin="1066,1440" coordsize="2,13862">
              <v:shape style="position:absolute;left:1066;top:1440;width:2;height:13862" coordorigin="1066,1440" coordsize="0,13862" path="m1066,1440l1066,15302e" filled="false" stroked="true" strokeweight=".48pt" strokecolor="#000000">
                <v:path arrowok="t"/>
              </v:shape>
            </v:group>
            <v:group style="position:absolute;left:1070;top:15297;width:9768;height:2" coordorigin="1070,15297" coordsize="9768,2">
              <v:shape style="position:absolute;left:1070;top:15297;width:9768;height:2" coordorigin="1070,15297" coordsize="9768,0" path="m1070,15297l10838,15297e" filled="false" stroked="true" strokeweight=".47998pt" strokecolor="#000000">
                <v:path arrowok="t"/>
              </v:shape>
            </v:group>
            <v:group style="position:absolute;left:10843;top:1440;width:2;height:13862" coordorigin="10843,1440" coordsize="2,13862">
              <v:shape style="position:absolute;left:10843;top:1440;width:2;height:13862" coordorigin="10843,1440" coordsize="0,13862" path="m10843,1440l10843,15302e" filled="false" stroked="true" strokeweight=".47998pt" strokecolor="#000000">
                <v:path arrowok="t"/>
              </v:shape>
            </v:group>
            <w10:wrap type="none"/>
          </v:group>
        </w:pict>
      </w:r>
    </w:p>
    <w:p>
      <w:pPr>
        <w:pStyle w:val="BodyText"/>
        <w:spacing w:line="312" w:lineRule="auto"/>
        <w:ind w:left="213" w:right="857"/>
        <w:jc w:val="left"/>
      </w:pPr>
      <w:r>
        <w:rPr>
          <w:spacing w:val="-4"/>
        </w:rPr>
        <w:t>监督；派员对定标委员会成员的产生过程进行见证监督；派员前往招投标现场，对开、评标过程进行监督</w:t>
      </w:r>
      <w:r>
        <w:rPr>
          <w:spacing w:val="-33"/>
        </w:rPr>
        <w:t> </w:t>
      </w:r>
      <w:r>
        <w:rPr>
          <w:spacing w:val="-33"/>
        </w:rPr>
      </w:r>
      <w:r>
        <w:rPr/>
        <w:t>等。</w:t>
      </w:r>
    </w:p>
    <w:p>
      <w:pPr>
        <w:pStyle w:val="BodyText"/>
        <w:spacing w:line="240" w:lineRule="auto" w:before="63"/>
        <w:ind w:left="857" w:right="857"/>
        <w:jc w:val="left"/>
      </w:pPr>
      <w:r>
        <w:rPr/>
        <w:t>（二）开展调研工作，从监督角度提出意见和建议。</w:t>
      </w:r>
    </w:p>
    <w:p>
      <w:pPr>
        <w:pStyle w:val="BodyText"/>
        <w:spacing w:line="307" w:lineRule="auto" w:before="128"/>
        <w:ind w:left="213" w:right="1165"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1"/>
        </w:rPr>
        <w:t> </w:t>
      </w:r>
      <w:r>
        <w:rPr/>
        <w:t>年，监事会主席先后带队前往长沙、岳阳、惠州、南宁、西安、青海、云南、成都等多地市场</w:t>
      </w:r>
      <w:r>
        <w:rPr>
          <w:w w:val="100"/>
        </w:rPr>
        <w:t> </w:t>
      </w:r>
      <w:r>
        <w:rPr>
          <w:spacing w:val="-4"/>
        </w:rPr>
        <w:t>及深圳市内的多家下属企业开展实地调研，通过实地考察、召开座谈会、听取下属企业相关情况汇报等深</w:t>
      </w:r>
      <w:r>
        <w:rPr>
          <w:spacing w:val="-34"/>
        </w:rPr>
        <w:t> </w:t>
      </w:r>
      <w:r>
        <w:rPr>
          <w:spacing w:val="-34"/>
        </w:rPr>
      </w:r>
      <w:r>
        <w:rPr>
          <w:spacing w:val="-4"/>
        </w:rPr>
        <w:t>入了解下属企业的经营管理情况。目前，监事会已初步建立了下属企业的经营管理信息档案，包括企业经</w:t>
      </w:r>
      <w:r>
        <w:rPr>
          <w:spacing w:val="-32"/>
        </w:rPr>
        <w:t> </w:t>
      </w:r>
      <w:r>
        <w:rPr>
          <w:spacing w:val="-32"/>
        </w:rPr>
      </w:r>
      <w:r>
        <w:rPr/>
        <w:t>营状况、财务状况及员工基本情况等，为更好地开展监督工作打下基础。</w:t>
      </w:r>
    </w:p>
    <w:p>
      <w:pPr>
        <w:pStyle w:val="BodyText"/>
        <w:spacing w:line="352" w:lineRule="auto" w:before="64"/>
        <w:ind w:left="634" w:right="857" w:firstLine="223"/>
        <w:jc w:val="left"/>
      </w:pPr>
      <w:r>
        <w:rPr/>
        <w:t>（三）建立横向监督协同机制，提升监督整体效能。</w:t>
      </w:r>
      <w:r>
        <w:rPr>
          <w:w w:val="100"/>
        </w:rPr>
        <w:t> </w:t>
      </w:r>
      <w:r>
        <w:rPr>
          <w:spacing w:val="-4"/>
        </w:rPr>
        <w:t>由监事会主席牵头，联合财务总监、纪检监察、审计风控、党工、信访、法务、工会等监督力量，定</w:t>
      </w:r>
    </w:p>
    <w:p>
      <w:pPr>
        <w:pStyle w:val="BodyText"/>
        <w:spacing w:line="261" w:lineRule="exact" w:before="0"/>
        <w:ind w:left="213" w:right="0"/>
        <w:jc w:val="both"/>
      </w:pPr>
      <w:r>
        <w:rPr>
          <w:spacing w:val="-4"/>
        </w:rPr>
        <w:t>期召开内部监督工作联席会，内容包括研究部署监督工作计划、信息通报、问题线索梳理等，并根据议题</w:t>
      </w:r>
    </w:p>
    <w:p>
      <w:pPr>
        <w:pStyle w:val="BodyText"/>
        <w:spacing w:line="302" w:lineRule="auto" w:before="85"/>
        <w:ind w:left="213" w:right="1164"/>
        <w:jc w:val="both"/>
      </w:pPr>
      <w:r>
        <w:rPr>
          <w:spacing w:val="-4"/>
        </w:rPr>
        <w:t>邀请公司相关领导和部门参加会议，深入了解有关情况。同时，及时对存在风险事项进行商讨研究，以会</w:t>
      </w:r>
      <w:r>
        <w:rPr>
          <w:spacing w:val="-34"/>
        </w:rPr>
        <w:t> </w:t>
      </w:r>
      <w:r>
        <w:rPr>
          <w:spacing w:val="-34"/>
        </w:rPr>
      </w:r>
      <w:r>
        <w:rPr>
          <w:spacing w:val="-4"/>
        </w:rPr>
        <w:t>议纪要、质询函及提示函等形式，对集团总部及下属企业存在的风险进行提示，督促做好风险防控。</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年共发出提示函</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7"/>
        </w:rPr>
        <w:t>份、质询函</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5"/>
        </w:rPr>
        <w:t>份；另外，通过会议纪要的方式将</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3"/>
        </w:rPr>
        <w:t>大类风险做出提示，并传阅给集团领</w:t>
      </w:r>
      <w:r>
        <w:rPr>
          <w:spacing w:val="-102"/>
        </w:rPr>
        <w:t> </w:t>
      </w:r>
      <w:r>
        <w:rPr>
          <w:spacing w:val="-102"/>
        </w:rPr>
      </w:r>
      <w:r>
        <w:rPr/>
        <w:t>导班子。</w:t>
      </w:r>
    </w:p>
    <w:p>
      <w:pPr>
        <w:pStyle w:val="BodyText"/>
        <w:spacing w:line="240" w:lineRule="auto" w:before="71"/>
        <w:ind w:left="857" w:right="857"/>
        <w:jc w:val="left"/>
      </w:pPr>
      <w:r>
        <w:rPr/>
        <w:t>（四）梳理完善监事会制度，推动工作规范开展。</w:t>
      </w:r>
    </w:p>
    <w:p>
      <w:pPr>
        <w:pStyle w:val="BodyText"/>
        <w:spacing w:line="295" w:lineRule="auto" w:before="126"/>
        <w:ind w:left="213" w:right="1164" w:firstLine="420"/>
        <w:jc w:val="both"/>
      </w:pPr>
      <w:r>
        <w:rPr/>
        <w:t>结合公司章程的修订，</w:t>
      </w:r>
      <w:r>
        <w:rPr>
          <w:rFonts w:ascii="Times New Roman" w:hAnsi="Times New Roman" w:cs="Times New Roman" w:eastAsia="Times New Roman" w:hint="default"/>
        </w:rPr>
        <w:t>2018</w:t>
      </w:r>
      <w:r>
        <w:rPr>
          <w:rFonts w:ascii="Times New Roman" w:hAnsi="Times New Roman" w:cs="Times New Roman" w:eastAsia="Times New Roman" w:hint="default"/>
          <w:spacing w:val="51"/>
        </w:rPr>
        <w:t> </w:t>
      </w:r>
      <w:r>
        <w:rPr/>
        <w:t>年监事会启动了监事会议事规则的修订，新规则的表述和条款更好的结</w:t>
      </w:r>
      <w:r>
        <w:rPr>
          <w:w w:val="100"/>
        </w:rPr>
        <w:t> </w:t>
      </w:r>
      <w:r>
        <w:rPr/>
        <w:t>合了相关规定及实际操作，并进一步明确了监事会的监督重点。</w:t>
      </w:r>
    </w:p>
    <w:p>
      <w:pPr>
        <w:pStyle w:val="BodyText"/>
        <w:spacing w:line="240" w:lineRule="auto" w:before="77"/>
        <w:ind w:left="634" w:right="857"/>
        <w:jc w:val="left"/>
      </w:pPr>
      <w:r>
        <w:rPr/>
        <w:t>三、监事会对有关事项的意见</w:t>
      </w:r>
    </w:p>
    <w:p>
      <w:pPr>
        <w:pStyle w:val="BodyText"/>
        <w:spacing w:line="350" w:lineRule="auto" w:before="126"/>
        <w:ind w:left="634" w:right="857"/>
        <w:jc w:val="left"/>
      </w:pPr>
      <w:r>
        <w:rPr/>
        <w:t>（一）公司依法运作情况。</w:t>
      </w:r>
      <w:r>
        <w:rPr>
          <w:w w:val="100"/>
        </w:rPr>
        <w:t> </w:t>
      </w:r>
      <w:r>
        <w:rPr>
          <w:spacing w:val="-4"/>
        </w:rPr>
        <w:t>经对股东大会和董事会的召开程序、决议事项、董事会对股东大会决议的执行情况及公司董事、高级</w:t>
      </w:r>
    </w:p>
    <w:p>
      <w:pPr>
        <w:pStyle w:val="BodyText"/>
        <w:spacing w:line="309" w:lineRule="auto" w:before="0"/>
        <w:ind w:left="213" w:right="857"/>
        <w:jc w:val="left"/>
      </w:pPr>
      <w:r>
        <w:rPr>
          <w:spacing w:val="-2"/>
        </w:rPr>
        <w:t>管理人员履行职务情况等的监督和检查，监事会认为：公司法人治理结构规范完善，与控股股东在人员、</w:t>
      </w:r>
      <w:r>
        <w:rPr>
          <w:spacing w:val="-20"/>
        </w:rPr>
        <w:t> </w:t>
      </w:r>
      <w:r>
        <w:rPr>
          <w:spacing w:val="-20"/>
        </w:rPr>
      </w:r>
      <w:r>
        <w:rPr>
          <w:spacing w:val="-4"/>
        </w:rPr>
        <w:t>财产、财务、机构和业务等方面做到</w:t>
      </w:r>
      <w:r>
        <w:rPr>
          <w:rFonts w:ascii="Times New Roman" w:hAnsi="Times New Roman" w:cs="Times New Roman" w:eastAsia="Times New Roman" w:hint="default"/>
          <w:spacing w:val="-4"/>
        </w:rPr>
        <w:t>“</w:t>
      </w:r>
      <w:r>
        <w:rPr>
          <w:spacing w:val="-4"/>
        </w:rPr>
        <w:t>五独立</w:t>
      </w:r>
      <w:r>
        <w:rPr>
          <w:rFonts w:ascii="Times New Roman" w:hAnsi="Times New Roman" w:cs="Times New Roman" w:eastAsia="Times New Roman" w:hint="default"/>
          <w:spacing w:val="-4"/>
        </w:rPr>
        <w:t>”</w:t>
      </w:r>
      <w:r>
        <w:rPr>
          <w:spacing w:val="-4"/>
        </w:rPr>
        <w:t>，公司董事会、监事会和内部机构能够独立运作；公司信息</w:t>
      </w:r>
      <w:r>
        <w:rPr>
          <w:spacing w:val="-9"/>
        </w:rPr>
        <w:t> </w:t>
      </w:r>
      <w:r>
        <w:rPr>
          <w:spacing w:val="-9"/>
        </w:rPr>
      </w:r>
      <w:r>
        <w:rPr>
          <w:spacing w:val="-2"/>
        </w:rPr>
        <w:t>披露做到了及时、准确、真实、完整；重大决策符合法定程序。各位董事能够做到诚信勤勉、奉公守法、</w:t>
      </w:r>
      <w:r>
        <w:rPr>
          <w:spacing w:val="-21"/>
        </w:rPr>
        <w:t> </w:t>
      </w:r>
      <w:r>
        <w:rPr>
          <w:spacing w:val="-21"/>
        </w:rPr>
      </w:r>
      <w:r>
        <w:rPr>
          <w:spacing w:val="-4"/>
        </w:rPr>
        <w:t>按章办事，维护公司和股东利益，较好地履行了各自的职责。各位高级管理人员在履行职务时能按照国家</w:t>
      </w:r>
      <w:r>
        <w:rPr>
          <w:spacing w:val="-29"/>
        </w:rPr>
        <w:t> </w:t>
      </w:r>
      <w:r>
        <w:rPr>
          <w:spacing w:val="-29"/>
        </w:rPr>
      </w:r>
      <w:r>
        <w:rPr>
          <w:spacing w:val="-2"/>
        </w:rPr>
        <w:t>法律、法规和公司章程办事，努力做到诚信勤勉、廉洁自律、恪尽职守，较好地发挥了各自应有的作用。</w:t>
      </w:r>
    </w:p>
    <w:p>
      <w:pPr>
        <w:pStyle w:val="BodyText"/>
        <w:spacing w:line="240" w:lineRule="auto" w:before="65"/>
        <w:ind w:left="634" w:right="857"/>
        <w:jc w:val="left"/>
      </w:pPr>
      <w:r>
        <w:rPr/>
        <w:t>（二）公司财务检查情况。</w:t>
      </w:r>
    </w:p>
    <w:p>
      <w:pPr>
        <w:pStyle w:val="BodyText"/>
        <w:spacing w:line="295" w:lineRule="auto" w:before="128"/>
        <w:ind w:left="213" w:right="1164" w:firstLine="571"/>
        <w:jc w:val="both"/>
      </w:pPr>
      <w:r>
        <w:rPr/>
        <w:t>监事会审查了 </w:t>
      </w:r>
      <w:r>
        <w:rPr>
          <w:rFonts w:ascii="Times New Roman" w:hAnsi="Times New Roman" w:cs="Times New Roman" w:eastAsia="Times New Roman" w:hint="default"/>
        </w:rPr>
        <w:t>2017 </w:t>
      </w:r>
      <w:r>
        <w:rPr>
          <w:spacing w:val="-3"/>
        </w:rPr>
        <w:t>年度财务报告和有关公告、</w:t>
      </w:r>
      <w:r>
        <w:rPr>
          <w:rFonts w:ascii="Times New Roman" w:hAnsi="Times New Roman" w:cs="Times New Roman" w:eastAsia="Times New Roman" w:hint="default"/>
          <w:spacing w:val="-3"/>
        </w:rPr>
        <w:t>2018 </w:t>
      </w:r>
      <w:r>
        <w:rPr>
          <w:spacing w:val="-3"/>
        </w:rPr>
        <w:t>年第一季度财务报告、</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5"/>
        </w:rPr>
        <w:t> </w:t>
      </w:r>
      <w:r>
        <w:rPr/>
        <w:t>年半年度财务报告</w:t>
      </w:r>
      <w:r>
        <w:rPr>
          <w:w w:val="100"/>
        </w:rPr>
        <w:t> </w:t>
      </w:r>
      <w:r>
        <w:rPr/>
        <w:t>和</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年第三季度财务报告及有关公告等财务报告和资料，监事会认为：公司能够执行国家统一的会计</w:t>
      </w:r>
      <w:r>
        <w:rPr>
          <w:w w:val="100"/>
        </w:rPr>
        <w:t> </w:t>
      </w:r>
      <w:r>
        <w:rPr/>
        <w:t>制度，会计信息真实、可靠，能够公允、客观、真实地反映企业的财务状况和经营成果。</w:t>
      </w:r>
    </w:p>
    <w:p>
      <w:pPr>
        <w:pStyle w:val="BodyText"/>
        <w:spacing w:line="240" w:lineRule="auto" w:before="76"/>
        <w:ind w:left="634" w:right="857"/>
        <w:jc w:val="left"/>
      </w:pPr>
      <w:r>
        <w:rPr/>
        <w:t>（三）募集资金存放和使用情况。</w:t>
      </w:r>
    </w:p>
    <w:p>
      <w:pPr>
        <w:pStyle w:val="BodyText"/>
        <w:spacing w:line="240" w:lineRule="auto" w:before="128"/>
        <w:ind w:left="338" w:right="1183"/>
        <w:jc w:val="center"/>
      </w:pP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年，公司通过非公开发行股票募集资金净额为</w:t>
      </w:r>
      <w:r>
        <w:rPr>
          <w:spacing w:val="-56"/>
        </w:rPr>
        <w:t> </w:t>
      </w:r>
      <w:r>
        <w:rPr>
          <w:rFonts w:ascii="Times New Roman" w:hAnsi="Times New Roman" w:cs="Times New Roman" w:eastAsia="Times New Roman" w:hint="default"/>
        </w:rPr>
        <w:t>1,670,671,339.94</w:t>
      </w:r>
      <w:r>
        <w:rPr>
          <w:rFonts w:ascii="Times New Roman" w:hAnsi="Times New Roman" w:cs="Times New Roman" w:eastAsia="Times New Roman" w:hint="default"/>
          <w:spacing w:val="-3"/>
        </w:rPr>
        <w:t> </w:t>
      </w:r>
      <w:r>
        <w:rPr/>
        <w:t>元，用于天津翰吉斯国际农产品物</w:t>
      </w:r>
    </w:p>
    <w:p>
      <w:pPr>
        <w:pStyle w:val="BodyText"/>
        <w:spacing w:line="240" w:lineRule="auto" w:before="69"/>
        <w:ind w:left="242" w:right="0"/>
        <w:jc w:val="both"/>
      </w:pPr>
      <w:r>
        <w:rPr>
          <w:spacing w:val="-3"/>
        </w:rPr>
        <w:t>流园项目、广西海吉星农产品国际物流中心项目及偿还银行借款。截至</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日，承诺偿还银</w:t>
      </w:r>
    </w:p>
    <w:p>
      <w:pPr>
        <w:pStyle w:val="BodyText"/>
        <w:spacing w:line="304" w:lineRule="auto" w:before="69"/>
        <w:ind w:left="242" w:right="1085"/>
        <w:jc w:val="both"/>
      </w:pPr>
      <w:r>
        <w:rPr>
          <w:spacing w:val="-3"/>
        </w:rPr>
        <w:t>行贷款用途和用于天津翰吉斯物流园的募集资金已全部使用完毕。募集资金余额为 </w:t>
      </w:r>
      <w:r>
        <w:rPr>
          <w:rFonts w:ascii="Times New Roman" w:hAnsi="Times New Roman" w:cs="Times New Roman" w:eastAsia="Times New Roman" w:hint="default"/>
        </w:rPr>
        <w:t>23,965.76 </w:t>
      </w:r>
      <w:r>
        <w:rPr>
          <w:spacing w:val="-8"/>
        </w:rPr>
        <w:t>万元（含募</w:t>
      </w:r>
      <w:r>
        <w:rPr>
          <w:spacing w:val="-70"/>
        </w:rPr>
        <w:t> </w:t>
      </w:r>
      <w:r>
        <w:rPr>
          <w:spacing w:val="-70"/>
        </w:rPr>
      </w:r>
      <w:r>
        <w:rPr>
          <w:spacing w:val="-5"/>
          <w:w w:val="100"/>
        </w:rPr>
        <w:t>集资金存款利息收入和闲置募集资金投资银行保本理财产品产生的收益）；其中，公司募集资金存储专户</w:t>
      </w:r>
      <w:r>
        <w:rPr>
          <w:spacing w:val="-99"/>
          <w:w w:val="100"/>
        </w:rPr>
        <w:t> </w:t>
      </w:r>
      <w:r>
        <w:rPr>
          <w:spacing w:val="-99"/>
          <w:w w:val="100"/>
        </w:rPr>
      </w:r>
      <w:r>
        <w:rPr/>
        <w:t>的余额为</w:t>
      </w:r>
      <w:r>
        <w:rPr>
          <w:spacing w:val="-39"/>
        </w:rPr>
        <w:t> </w:t>
      </w:r>
      <w:r>
        <w:rPr>
          <w:rFonts w:ascii="Times New Roman" w:hAnsi="Times New Roman" w:cs="Times New Roman" w:eastAsia="Times New Roman" w:hint="default"/>
        </w:rPr>
        <w:t>965.76</w:t>
      </w:r>
      <w:r>
        <w:rPr>
          <w:rFonts w:ascii="Times New Roman" w:hAnsi="Times New Roman" w:cs="Times New Roman" w:eastAsia="Times New Roman" w:hint="default"/>
          <w:spacing w:val="13"/>
        </w:rPr>
        <w:t> </w:t>
      </w:r>
      <w:r>
        <w:rPr>
          <w:spacing w:val="-6"/>
        </w:rPr>
        <w:t>万元；用于购买银行保本理财产品余额为</w:t>
      </w:r>
      <w:r>
        <w:rPr>
          <w:spacing w:val="-39"/>
        </w:rPr>
        <w:t> </w:t>
      </w:r>
      <w:r>
        <w:rPr>
          <w:rFonts w:ascii="Times New Roman" w:hAnsi="Times New Roman" w:cs="Times New Roman" w:eastAsia="Times New Roman" w:hint="default"/>
        </w:rPr>
        <w:t>23,000</w:t>
      </w:r>
      <w:r>
        <w:rPr>
          <w:rFonts w:ascii="Times New Roman" w:hAnsi="Times New Roman" w:cs="Times New Roman" w:eastAsia="Times New Roman" w:hint="default"/>
          <w:spacing w:val="10"/>
        </w:rPr>
        <w:t> </w:t>
      </w:r>
      <w:r>
        <w:rPr>
          <w:spacing w:val="-6"/>
        </w:rPr>
        <w:t>万元。根据变更后的募集资金使用计划，</w:t>
      </w:r>
    </w:p>
    <w:p>
      <w:pPr>
        <w:pStyle w:val="BodyText"/>
        <w:spacing w:line="297" w:lineRule="auto" w:before="6"/>
        <w:ind w:left="242" w:right="1190"/>
        <w:jc w:val="left"/>
      </w:pPr>
      <w:r>
        <w:rPr/>
        <w:t>计划使用于广西海吉星物流园和深圳海吉星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号楼项目的尚未使用的募集资金，将继续用于该两个募投</w:t>
      </w:r>
      <w:r>
        <w:rPr>
          <w:w w:val="100"/>
        </w:rPr>
        <w:t> </w:t>
      </w:r>
      <w:r>
        <w:rPr/>
        <w:t>项目建设。募集资金的存放和管理遵照《上市公司募集资金管理办法》和《深圳市农产品集团股份有限</w:t>
      </w:r>
    </w:p>
    <w:p>
      <w:pPr>
        <w:spacing w:after="0" w:line="297" w:lineRule="auto"/>
        <w:jc w:val="left"/>
        <w:sectPr>
          <w:pgSz w:w="11910" w:h="16850"/>
          <w:pgMar w:header="877" w:footer="1265" w:top="1100" w:bottom="1460" w:left="960" w:right="0"/>
        </w:sectPr>
      </w:pPr>
    </w:p>
    <w:p>
      <w:pPr>
        <w:spacing w:line="240" w:lineRule="auto" w:before="12"/>
        <w:rPr>
          <w:rFonts w:ascii="宋体" w:hAnsi="宋体" w:cs="宋体" w:eastAsia="宋体" w:hint="default"/>
          <w:sz w:val="24"/>
          <w:szCs w:val="24"/>
        </w:rPr>
      </w:pPr>
    </w:p>
    <w:p>
      <w:pPr>
        <w:spacing w:line="3850" w:lineRule="exact"/>
        <w:ind w:left="105" w:right="0" w:firstLine="0"/>
        <w:rPr>
          <w:rFonts w:ascii="宋体" w:hAnsi="宋体" w:cs="宋体" w:eastAsia="宋体" w:hint="default"/>
          <w:sz w:val="20"/>
          <w:szCs w:val="20"/>
        </w:rPr>
      </w:pPr>
      <w:r>
        <w:rPr>
          <w:rFonts w:ascii="宋体" w:hAnsi="宋体" w:cs="宋体" w:eastAsia="宋体" w:hint="default"/>
          <w:position w:val="-76"/>
          <w:sz w:val="20"/>
          <w:szCs w:val="20"/>
        </w:rPr>
        <w:pict>
          <v:shape style="width:488.9pt;height:192.5pt;mso-position-horizontal-relative:char;mso-position-vertical-relative:line" type="#_x0000_t202" filled="false" stroked="true" strokeweight=".47998pt" strokecolor="#000000">
            <w10:anchorlock/>
            <v:textbox inset="0,0,0,0">
              <w:txbxContent>
                <w:p>
                  <w:pPr>
                    <w:pStyle w:val="BodyText"/>
                    <w:spacing w:line="240" w:lineRule="auto" w:before="40"/>
                    <w:ind w:left="132" w:right="0"/>
                    <w:jc w:val="left"/>
                  </w:pPr>
                  <w:r>
                    <w:rPr/>
                    <w:t>公司募集资金管理办法》执行。</w:t>
                  </w:r>
                </w:p>
                <w:p>
                  <w:pPr>
                    <w:pStyle w:val="BodyText"/>
                    <w:spacing w:line="240" w:lineRule="auto" w:before="126"/>
                    <w:ind w:left="523" w:right="0"/>
                    <w:jc w:val="left"/>
                  </w:pPr>
                  <w:r>
                    <w:rPr/>
                    <w:t>监事会认为，公司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年度募集资金的存放和使用程序规范，不存在违规行为。</w:t>
                  </w:r>
                </w:p>
                <w:p>
                  <w:pPr>
                    <w:pStyle w:val="BodyText"/>
                    <w:spacing w:line="331" w:lineRule="auto" w:before="110"/>
                    <w:ind w:left="744" w:right="104" w:hanging="221"/>
                    <w:jc w:val="left"/>
                  </w:pPr>
                  <w:r>
                    <w:rPr/>
                    <w:t>（四）关于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年度内部控制评价报告的意见。</w:t>
                  </w:r>
                  <w:r>
                    <w:rPr>
                      <w:w w:val="100"/>
                    </w:rPr>
                    <w:t> </w:t>
                  </w:r>
                  <w:r>
                    <w:rPr/>
                    <w:t>公司根据《企业内部控制基本规范》及其配套指引的规定和其他内部控制监管要求，结合公司内</w:t>
                  </w:r>
                </w:p>
                <w:p>
                  <w:pPr>
                    <w:pStyle w:val="BodyText"/>
                    <w:spacing w:line="295" w:lineRule="auto" w:before="5"/>
                    <w:ind w:left="103" w:right="101"/>
                    <w:jc w:val="left"/>
                  </w:pPr>
                  <w:r>
                    <w:rPr/>
                    <w:t>部控制制度和评价办法，在内部控制日常监督和专项监督的基础上，对公司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日（内部控</w:t>
                  </w:r>
                  <w:r>
                    <w:rPr>
                      <w:spacing w:val="-3"/>
                      <w:w w:val="100"/>
                    </w:rPr>
                    <w:t> </w:t>
                  </w:r>
                  <w:r>
                    <w:rPr/>
                    <w:t>制评价报告基准日）的内部控制有效性进行了评价。</w:t>
                  </w:r>
                </w:p>
                <w:p>
                  <w:pPr>
                    <w:pStyle w:val="BodyText"/>
                    <w:spacing w:line="240" w:lineRule="auto" w:before="77"/>
                    <w:ind w:left="744" w:right="0"/>
                    <w:jc w:val="left"/>
                  </w:pPr>
                  <w:r>
                    <w:rPr/>
                    <w:t>监事会认为，公司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年度内部控制评价客观地反映了公司内部控制的实际情况。</w:t>
                  </w:r>
                </w:p>
                <w:p>
                  <w:pPr>
                    <w:pStyle w:val="BodyText"/>
                    <w:spacing w:line="240" w:lineRule="auto" w:before="110"/>
                    <w:ind w:left="523" w:right="0"/>
                    <w:jc w:val="left"/>
                  </w:pPr>
                  <w:r>
                    <w:rPr/>
                    <w:t>（五）公司对外投资和对外出售资产情况。</w:t>
                  </w:r>
                </w:p>
                <w:p>
                  <w:pPr>
                    <w:pStyle w:val="BodyText"/>
                    <w:spacing w:line="360" w:lineRule="atLeast" w:before="40"/>
                    <w:ind w:left="103" w:right="96"/>
                    <w:jc w:val="left"/>
                  </w:pPr>
                  <w:r>
                    <w:rPr>
                      <w:spacing w:val="-4"/>
                    </w:rPr>
                    <w:t>报告期内，公司无对外投资项目。出售资产交易程序合法，交易价格合理，没有发现内幕交易和损害股东</w:t>
                  </w:r>
                  <w:r>
                    <w:rPr>
                      <w:spacing w:val="-32"/>
                    </w:rPr>
                    <w:t> </w:t>
                  </w:r>
                  <w:r>
                    <w:rPr>
                      <w:spacing w:val="-32"/>
                    </w:rPr>
                  </w:r>
                  <w:r>
                    <w:rPr/>
                    <w:t>权益或造成公司资产流失的行为。</w:t>
                  </w:r>
                </w:p>
              </w:txbxContent>
            </v:textbox>
          </v:shape>
        </w:pict>
      </w:r>
      <w:r>
        <w:rPr>
          <w:rFonts w:ascii="宋体" w:hAnsi="宋体" w:cs="宋体" w:eastAsia="宋体" w:hint="default"/>
          <w:position w:val="-76"/>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6"/>
        <w:spacing w:line="335" w:lineRule="exact"/>
        <w:ind w:left="838" w:right="857"/>
        <w:jc w:val="left"/>
        <w:rPr>
          <w:b w:val="0"/>
          <w:bCs w:val="0"/>
        </w:rPr>
      </w:pPr>
      <w:r>
        <w:rPr>
          <w:rFonts w:ascii="Times New Roman" w:hAnsi="Times New Roman" w:cs="Times New Roman" w:eastAsia="Times New Roman" w:hint="default"/>
        </w:rPr>
        <w:t>2</w:t>
      </w:r>
      <w:r>
        <w:rPr/>
        <w:t>、监事会在报告期内的监督活动中发现公司是否存在风险</w:t>
      </w:r>
      <w:r>
        <w:rPr>
          <w:b w:val="0"/>
          <w:bCs w:val="0"/>
        </w:rPr>
      </w:r>
    </w:p>
    <w:p>
      <w:pPr>
        <w:spacing w:line="240" w:lineRule="auto" w:before="14"/>
        <w:rPr>
          <w:rFonts w:ascii="Microsoft JhengHei" w:hAnsi="Microsoft JhengHei" w:cs="Microsoft JhengHei" w:eastAsia="Microsoft JhengHei" w:hint="default"/>
          <w:b/>
          <w:bCs/>
          <w:sz w:val="13"/>
          <w:szCs w:val="13"/>
        </w:rPr>
      </w:pPr>
    </w:p>
    <w:p>
      <w:pPr>
        <w:spacing w:before="0"/>
        <w:ind w:left="838" w:right="8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p>
      <w:pPr>
        <w:pStyle w:val="BodyText"/>
        <w:spacing w:line="240" w:lineRule="auto" w:before="0"/>
        <w:ind w:left="838" w:right="857"/>
        <w:jc w:val="left"/>
      </w:pPr>
      <w:r>
        <w:rPr/>
        <w:t>监事会对报告期内的监督事项无异议。</w:t>
      </w:r>
    </w:p>
    <w:p>
      <w:pPr>
        <w:spacing w:line="240" w:lineRule="auto" w:before="5"/>
        <w:rPr>
          <w:rFonts w:ascii="宋体" w:hAnsi="宋体" w:cs="宋体" w:eastAsia="宋体" w:hint="default"/>
          <w:sz w:val="24"/>
          <w:szCs w:val="24"/>
        </w:rPr>
      </w:pPr>
    </w:p>
    <w:p>
      <w:pPr>
        <w:pStyle w:val="Heading4"/>
        <w:spacing w:line="240" w:lineRule="auto"/>
        <w:ind w:left="838" w:right="857"/>
        <w:jc w:val="left"/>
        <w:rPr>
          <w:b w:val="0"/>
          <w:bCs w:val="0"/>
        </w:rPr>
      </w:pPr>
      <w:r>
        <w:rPr/>
        <w:t>八、高级管理人员的考评及激励情况</w:t>
      </w:r>
      <w:r>
        <w:rPr>
          <w:b w:val="0"/>
          <w:bCs w:val="0"/>
        </w:rPr>
      </w:r>
    </w:p>
    <w:p>
      <w:pPr>
        <w:spacing w:line="240" w:lineRule="auto" w:before="11"/>
        <w:rPr>
          <w:rFonts w:ascii="Microsoft JhengHei" w:hAnsi="Microsoft JhengHei" w:cs="Microsoft JhengHei" w:eastAsia="Microsoft JhengHei" w:hint="default"/>
          <w:b/>
          <w:bCs/>
          <w:sz w:val="20"/>
          <w:szCs w:val="20"/>
        </w:rPr>
      </w:pPr>
    </w:p>
    <w:p>
      <w:pPr>
        <w:spacing w:line="4010" w:lineRule="exact"/>
        <w:ind w:left="73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9"/>
          <w:sz w:val="20"/>
          <w:szCs w:val="20"/>
        </w:rPr>
        <w:pict>
          <v:shape style="width:426.6pt;height:200.55pt;mso-position-horizontal-relative:char;mso-position-vertical-relative:line" type="#_x0000_t202" filled="false" stroked="true" strokeweight=".47998pt" strokecolor="#000000">
            <w10:anchorlock/>
            <v:textbox inset="0,0,0,0">
              <w:txbxContent>
                <w:p>
                  <w:pPr>
                    <w:pStyle w:val="BodyText"/>
                    <w:spacing w:line="350" w:lineRule="auto" w:before="74"/>
                    <w:ind w:left="103" w:right="96" w:firstLine="419"/>
                    <w:jc w:val="both"/>
                  </w:pPr>
                  <w:r>
                    <w:rPr>
                      <w:spacing w:val="-4"/>
                    </w:rPr>
                    <w:t>公司高级管理人员的考核及激励机制以公司年度业绩考核指标为基础，并由公司董事会</w:t>
                  </w:r>
                  <w:r>
                    <w:rPr>
                      <w:w w:val="100"/>
                    </w:rPr>
                    <w:t> </w:t>
                  </w:r>
                  <w:r>
                    <w:rPr/>
                    <w:t>薪酬与考核委员会负责高级管理人员的考核及激励机制的建立和实施。</w:t>
                  </w:r>
                </w:p>
                <w:p>
                  <w:pPr>
                    <w:pStyle w:val="BodyText"/>
                    <w:spacing w:line="348" w:lineRule="auto" w:before="29"/>
                    <w:ind w:left="103" w:right="96" w:firstLine="419"/>
                    <w:jc w:val="both"/>
                  </w:pPr>
                  <w:r>
                    <w:rPr>
                      <w:spacing w:val="-4"/>
                    </w:rPr>
                    <w:t>每年年初，根据上一年的经营业绩指标完成情况以及当年经营发展计划和重要工作，确</w:t>
                  </w:r>
                  <w:r>
                    <w:rPr>
                      <w:w w:val="100"/>
                    </w:rPr>
                    <w:t> </w:t>
                  </w:r>
                  <w:r>
                    <w:rPr>
                      <w:spacing w:val="-4"/>
                    </w:rPr>
                    <w:t>定年度的业绩考核指标，公司高级管理人员与董事会薪酬与考核委员会签订《年度经营业绩</w:t>
                  </w:r>
                  <w:r>
                    <w:rPr>
                      <w:spacing w:val="-40"/>
                    </w:rPr>
                    <w:t> </w:t>
                  </w:r>
                  <w:r>
                    <w:rPr>
                      <w:spacing w:val="-40"/>
                    </w:rPr>
                  </w:r>
                  <w:r>
                    <w:rPr>
                      <w:spacing w:val="-4"/>
                    </w:rPr>
                    <w:t>责任书》。年度终了，召开董事会薪酬与考核委员会会议，公司监事会主席列席薪酬与考核</w:t>
                  </w:r>
                  <w:r>
                    <w:rPr>
                      <w:spacing w:val="-57"/>
                    </w:rPr>
                    <w:t> </w:t>
                  </w:r>
                  <w:r>
                    <w:rPr>
                      <w:spacing w:val="-57"/>
                    </w:rPr>
                  </w:r>
                  <w:r>
                    <w:rPr>
                      <w:spacing w:val="-4"/>
                    </w:rPr>
                    <w:t>委员会会议，通过高级管理人员年度述职、委员质询方式，对高级管理人员进行考评，主要</w:t>
                  </w:r>
                  <w:r>
                    <w:rPr>
                      <w:spacing w:val="-39"/>
                    </w:rPr>
                    <w:t> </w:t>
                  </w:r>
                  <w:r>
                    <w:rPr>
                      <w:spacing w:val="-39"/>
                    </w:rPr>
                  </w:r>
                  <w:r>
                    <w:rPr>
                      <w:spacing w:val="-4"/>
                    </w:rPr>
                    <w:t>考核高级管理人员经营业绩指标及管理目标的达成情况，考评结果作为确定高级管理人员绩</w:t>
                  </w:r>
                  <w:r>
                    <w:rPr>
                      <w:spacing w:val="-57"/>
                    </w:rPr>
                    <w:t> </w:t>
                  </w:r>
                  <w:r>
                    <w:rPr>
                      <w:spacing w:val="-57"/>
                    </w:rPr>
                  </w:r>
                  <w:r>
                    <w:rPr/>
                    <w:t>效工资的依据。</w:t>
                  </w:r>
                </w:p>
                <w:p>
                  <w:pPr>
                    <w:pStyle w:val="BodyText"/>
                    <w:spacing w:line="240" w:lineRule="auto" w:before="31"/>
                    <w:ind w:left="52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spacing w:val="-3"/>
                    </w:rPr>
                    <w:t>日，公司召开第八届董事会薪酬与考核委员会第七次会议，薪酬与考核</w:t>
                  </w:r>
                </w:p>
                <w:p>
                  <w:pPr>
                    <w:pStyle w:val="BodyText"/>
                    <w:spacing w:line="240" w:lineRule="auto" w:before="107"/>
                    <w:ind w:left="103" w:right="0"/>
                    <w:jc w:val="left"/>
                  </w:pPr>
                  <w:r>
                    <w:rPr/>
                    <w:t>委员会委员听取公司高级管理人员</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年度述职报告，对其进行质询和年度考评。</w:t>
                  </w:r>
                </w:p>
              </w:txbxContent>
            </v:textbox>
          </v:shape>
        </w:pict>
      </w:r>
      <w:r>
        <w:rPr>
          <w:rFonts w:ascii="Microsoft JhengHei" w:hAnsi="Microsoft JhengHei" w:cs="Microsoft JhengHei" w:eastAsia="Microsoft JhengHei" w:hint="default"/>
          <w:position w:val="-79"/>
          <w:sz w:val="20"/>
          <w:szCs w:val="20"/>
        </w:rPr>
      </w:r>
    </w:p>
    <w:p>
      <w:pPr>
        <w:spacing w:line="240" w:lineRule="auto" w:before="7"/>
        <w:rPr>
          <w:rFonts w:ascii="Microsoft JhengHei" w:hAnsi="Microsoft JhengHei" w:cs="Microsoft JhengHei" w:eastAsia="Microsoft JhengHei" w:hint="default"/>
          <w:b/>
          <w:bCs/>
          <w:sz w:val="16"/>
          <w:szCs w:val="16"/>
        </w:rPr>
      </w:pPr>
    </w:p>
    <w:p>
      <w:pPr>
        <w:pStyle w:val="Heading4"/>
        <w:spacing w:line="367" w:lineRule="exact"/>
        <w:ind w:left="838" w:right="857"/>
        <w:jc w:val="left"/>
        <w:rPr>
          <w:b w:val="0"/>
          <w:bCs w:val="0"/>
        </w:rPr>
      </w:pPr>
      <w:r>
        <w:rPr/>
        <w:t>九、内部控制情况</w:t>
      </w:r>
      <w:r>
        <w:rPr>
          <w:b w:val="0"/>
          <w:bCs w:val="0"/>
        </w:rPr>
      </w:r>
    </w:p>
    <w:p>
      <w:pPr>
        <w:spacing w:line="240" w:lineRule="auto" w:before="17"/>
        <w:rPr>
          <w:rFonts w:ascii="Microsoft JhengHei" w:hAnsi="Microsoft JhengHei" w:cs="Microsoft JhengHei" w:eastAsia="Microsoft JhengHei" w:hint="default"/>
          <w:b/>
          <w:bCs/>
          <w:sz w:val="18"/>
          <w:szCs w:val="18"/>
        </w:rPr>
      </w:pPr>
    </w:p>
    <w:p>
      <w:pPr>
        <w:pStyle w:val="Heading6"/>
        <w:spacing w:line="240" w:lineRule="auto"/>
        <w:ind w:left="838" w:right="85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1"/>
        <w:rPr>
          <w:rFonts w:ascii="Microsoft JhengHei" w:hAnsi="Microsoft JhengHei" w:cs="Microsoft JhengHei" w:eastAsia="Microsoft JhengHei" w:hint="default"/>
          <w:b/>
          <w:bCs/>
          <w:sz w:val="22"/>
          <w:szCs w:val="22"/>
        </w:rPr>
      </w:pPr>
    </w:p>
    <w:p>
      <w:pPr>
        <w:spacing w:before="0"/>
        <w:ind w:left="838" w:right="8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6"/>
        <w:spacing w:line="240" w:lineRule="auto" w:before="37"/>
        <w:ind w:left="838" w:right="857"/>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7"/>
        <w:rPr>
          <w:rFonts w:ascii="Microsoft JhengHei" w:hAnsi="Microsoft JhengHei" w:cs="Microsoft JhengHei" w:eastAsia="Microsoft JhengHei" w:hint="default"/>
          <w:b/>
          <w:bCs/>
          <w:sz w:val="3"/>
          <w:szCs w:val="3"/>
        </w:rPr>
      </w:pPr>
    </w:p>
    <w:tbl>
      <w:tblPr>
        <w:tblW w:w="0" w:type="auto"/>
        <w:jc w:val="left"/>
        <w:tblInd w:w="792" w:type="dxa"/>
        <w:tblLayout w:type="fixed"/>
        <w:tblCellMar>
          <w:top w:w="0" w:type="dxa"/>
          <w:left w:w="0" w:type="dxa"/>
          <w:bottom w:w="0" w:type="dxa"/>
          <w:right w:w="0" w:type="dxa"/>
        </w:tblCellMar>
        <w:tblLook w:val="01E0"/>
      </w:tblPr>
      <w:tblGrid>
        <w:gridCol w:w="3183"/>
        <w:gridCol w:w="5211"/>
      </w:tblGrid>
      <w:tr>
        <w:trPr>
          <w:trHeight w:val="39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2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877" w:footer="1265" w:top="1100" w:bottom="1460" w:left="960" w:right="0"/>
        </w:sectPr>
      </w:pPr>
    </w:p>
    <w:p>
      <w:pPr>
        <w:spacing w:line="240" w:lineRule="auto" w:before="8"/>
        <w:rPr>
          <w:rFonts w:ascii="Microsoft JhengHei" w:hAnsi="Microsoft JhengHei" w:cs="Microsoft JhengHei" w:eastAsia="Microsoft JhengHei" w:hint="default"/>
          <w:b/>
          <w:bCs/>
          <w:sz w:val="18"/>
          <w:szCs w:val="18"/>
        </w:rPr>
      </w:pPr>
      <w:r>
        <w:rPr/>
        <w:pict>
          <v:group style="position:absolute;margin-left:60.599998pt;margin-top:704.97998pt;width:95.2pt;height:48.15pt;mso-position-horizontal-relative:page;mso-position-vertical-relative:page;z-index:-1636504" coordorigin="1212,14100" coordsize="1904,963">
            <v:shape style="position:absolute;left:1212;top:14100;width:1904;height:963" coordorigin="1212,14100" coordsize="1904,963" path="m1212,14100l3116,15062e" filled="false" stroked="true" strokeweight=".48pt" strokecolor="#000000">
              <v:path arrowok="t"/>
            </v:shape>
            <w10:wrap type="none"/>
          </v:group>
        </w:pict>
      </w:r>
    </w:p>
    <w:tbl>
      <w:tblPr>
        <w:tblW w:w="0" w:type="auto"/>
        <w:jc w:val="left"/>
        <w:tblInd w:w="772" w:type="dxa"/>
        <w:tblLayout w:type="fixed"/>
        <w:tblCellMar>
          <w:top w:w="0" w:type="dxa"/>
          <w:left w:w="0" w:type="dxa"/>
          <w:bottom w:w="0" w:type="dxa"/>
          <w:right w:w="0" w:type="dxa"/>
        </w:tblCellMar>
        <w:tblLook w:val="01E0"/>
      </w:tblPr>
      <w:tblGrid>
        <w:gridCol w:w="3195"/>
        <w:gridCol w:w="5199"/>
      </w:tblGrid>
      <w:tr>
        <w:trPr>
          <w:trHeight w:val="69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68"/>
              <w:ind w:left="23" w:right="74"/>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日刊登在巨潮资讯网的公司《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度内部控制评价报告》</w:t>
            </w:r>
          </w:p>
        </w:tc>
      </w:tr>
      <w:tr>
        <w:trPr>
          <w:trHeight w:val="68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8"/>
              <w:ind w:left="23"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r>
      <w:tr>
        <w:trPr>
          <w:trHeight w:val="69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68"/>
              <w:ind w:left="23"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宋体" w:hAnsi="宋体" w:cs="宋体" w:eastAsia="宋体" w:hint="default"/>
                <w:sz w:val="18"/>
                <w:szCs w:val="18"/>
              </w:rPr>
              <w:t>以上</w:t>
            </w:r>
          </w:p>
        </w:tc>
      </w:tr>
      <w:tr>
        <w:trPr>
          <w:trHeight w:val="38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0</w:t>
            </w:r>
          </w:p>
        </w:tc>
      </w:tr>
      <w:tr>
        <w:trPr>
          <w:trHeight w:val="38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Microsoft JhengHei" w:hAnsi="Microsoft JhengHei" w:cs="Microsoft JhengHei" w:eastAsia="Microsoft JhengHei" w:hint="default"/>
          <w:b/>
          <w:bCs/>
          <w:sz w:val="22"/>
          <w:szCs w:val="22"/>
        </w:rPr>
      </w:pPr>
    </w:p>
    <w:p>
      <w:pPr>
        <w:pStyle w:val="Heading6"/>
        <w:spacing w:line="335" w:lineRule="exact"/>
        <w:ind w:left="818" w:right="0"/>
        <w:jc w:val="left"/>
        <w:rPr>
          <w:b w:val="0"/>
          <w:bCs w:val="0"/>
        </w:rPr>
      </w:pPr>
      <w:r>
        <w:rPr/>
        <w:pict>
          <v:group style="position:absolute;margin-left:60.119999pt;margin-top:82.474983pt;width:438.35pt;height:128.5500pt;mso-position-horizontal-relative:page;mso-position-vertical-relative:paragraph;z-index:-1636528" coordorigin="1202,1649" coordsize="8767,2571">
            <v:group style="position:absolute;left:1212;top:1659;width:1659;height:2" coordorigin="1212,1659" coordsize="1659,2">
              <v:shape style="position:absolute;left:1212;top:1659;width:1659;height:2" coordorigin="1212,1659" coordsize="1659,0" path="m1212,1659l2871,1659e" filled="false" stroked="true" strokeweight=".48001pt" strokecolor="#000000">
                <v:path arrowok="t"/>
              </v:shape>
            </v:group>
            <v:group style="position:absolute;left:2880;top:1659;width:1835;height:2" coordorigin="2880,1659" coordsize="1835,2">
              <v:shape style="position:absolute;left:2880;top:1659;width:1835;height:2" coordorigin="2880,1659" coordsize="1835,0" path="m2880,1659l4714,1659e" filled="false" stroked="true" strokeweight=".48001pt" strokecolor="#000000">
                <v:path arrowok="t"/>
              </v:shape>
            </v:group>
            <v:group style="position:absolute;left:4724;top:1659;width:2967;height:2" coordorigin="4724,1659" coordsize="2967,2">
              <v:shape style="position:absolute;left:4724;top:1659;width:2967;height:2" coordorigin="4724,1659" coordsize="2967,0" path="m4724,1659l7691,1659e" filled="false" stroked="true" strokeweight=".48001pt" strokecolor="#000000">
                <v:path arrowok="t"/>
              </v:shape>
            </v:group>
            <v:group style="position:absolute;left:7701;top:1659;width:2259;height:2" coordorigin="7701,1659" coordsize="2259,2">
              <v:shape style="position:absolute;left:7701;top:1659;width:2259;height:2" coordorigin="7701,1659" coordsize="2259,0" path="m7701,1659l9959,1659e" filled="false" stroked="true" strokeweight=".48001pt" strokecolor="#000000">
                <v:path arrowok="t"/>
              </v:shape>
            </v:group>
            <v:group style="position:absolute;left:1212;top:1664;width:1659;height:1239" coordorigin="1212,1664" coordsize="1659,1239">
              <v:shape style="position:absolute;left:1212;top:1664;width:1659;height:1239" coordorigin="1212,1664" coordsize="1659,1239" path="m1212,1664l2871,2902e" filled="false" stroked="true" strokeweight=".48pt" strokecolor="#000000">
                <v:path arrowok="t"/>
              </v:shape>
            </v:group>
            <v:group style="position:absolute;left:1212;top:2907;width:1659;height:2" coordorigin="1212,2907" coordsize="1659,2">
              <v:shape style="position:absolute;left:1212;top:2907;width:1659;height:2" coordorigin="1212,2907" coordsize="1659,0" path="m1212,2907l2871,2907e" filled="false" stroked="true" strokeweight=".48001pt" strokecolor="#000000">
                <v:path arrowok="t"/>
              </v:shape>
            </v:group>
            <v:group style="position:absolute;left:2880;top:2907;width:1835;height:2" coordorigin="2880,2907" coordsize="1835,2">
              <v:shape style="position:absolute;left:2880;top:2907;width:1835;height:2" coordorigin="2880,2907" coordsize="1835,0" path="m2880,2907l4714,2907e" filled="false" stroked="true" strokeweight=".48001pt" strokecolor="#000000">
                <v:path arrowok="t"/>
              </v:shape>
            </v:group>
            <v:group style="position:absolute;left:4724;top:2907;width:2967;height:2" coordorigin="4724,2907" coordsize="2967,2">
              <v:shape style="position:absolute;left:4724;top:2907;width:2967;height:2" coordorigin="4724,2907" coordsize="2967,0" path="m4724,2907l7691,2907e" filled="false" stroked="true" strokeweight=".48001pt" strokecolor="#000000">
                <v:path arrowok="t"/>
              </v:shape>
            </v:group>
            <v:group style="position:absolute;left:7701;top:2907;width:2259;height:2" coordorigin="7701,2907" coordsize="2259,2">
              <v:shape style="position:absolute;left:7701;top:2907;width:2259;height:2" coordorigin="7701,2907" coordsize="2259,0" path="m7701,2907l9959,2907e" filled="false" stroked="true" strokeweight=".48001pt" strokecolor="#000000">
                <v:path arrowok="t"/>
              </v:shape>
            </v:group>
            <v:group style="position:absolute;left:1207;top:1654;width:2;height:2562" coordorigin="1207,1654" coordsize="2,2562">
              <v:shape style="position:absolute;left:1207;top:1654;width:2;height:2562" coordorigin="1207,1654" coordsize="0,2562" path="m1207,1654l1207,4215e" filled="false" stroked="true" strokeweight=".48pt" strokecolor="#000000">
                <v:path arrowok="t"/>
              </v:shape>
            </v:group>
            <v:group style="position:absolute;left:1212;top:4211;width:1659;height:2" coordorigin="1212,4211" coordsize="1659,2">
              <v:shape style="position:absolute;left:1212;top:4211;width:1659;height:2" coordorigin="1212,4211" coordsize="1659,0" path="m1212,4211l2871,4211e" filled="false" stroked="true" strokeweight=".47998pt" strokecolor="#000000">
                <v:path arrowok="t"/>
              </v:shape>
            </v:group>
            <v:group style="position:absolute;left:2876;top:1654;width:2;height:2562" coordorigin="2876,1654" coordsize="2,2562">
              <v:shape style="position:absolute;left:2876;top:1654;width:2;height:2562" coordorigin="2876,1654" coordsize="0,2562" path="m2876,1654l2876,4215e" filled="false" stroked="true" strokeweight=".48pt" strokecolor="#000000">
                <v:path arrowok="t"/>
              </v:shape>
            </v:group>
            <v:group style="position:absolute;left:2880;top:4211;width:1835;height:2" coordorigin="2880,4211" coordsize="1835,2">
              <v:shape style="position:absolute;left:2880;top:4211;width:1835;height:2" coordorigin="2880,4211" coordsize="1835,0" path="m2880,4211l4714,4211e" filled="false" stroked="true" strokeweight=".47998pt" strokecolor="#000000">
                <v:path arrowok="t"/>
              </v:shape>
            </v:group>
            <v:group style="position:absolute;left:4719;top:1654;width:2;height:2562" coordorigin="4719,1654" coordsize="2,2562">
              <v:shape style="position:absolute;left:4719;top:1654;width:2;height:2562" coordorigin="4719,1654" coordsize="0,2562" path="m4719,1654l4719,4215e" filled="false" stroked="true" strokeweight=".48001pt" strokecolor="#000000">
                <v:path arrowok="t"/>
              </v:shape>
            </v:group>
            <v:group style="position:absolute;left:4724;top:4211;width:2967;height:2" coordorigin="4724,4211" coordsize="2967,2">
              <v:shape style="position:absolute;left:4724;top:4211;width:2967;height:2" coordorigin="4724,4211" coordsize="2967,0" path="m4724,4211l7691,4211e" filled="false" stroked="true" strokeweight=".47998pt" strokecolor="#000000">
                <v:path arrowok="t"/>
              </v:shape>
            </v:group>
            <v:group style="position:absolute;left:7696;top:1654;width:2;height:2562" coordorigin="7696,1654" coordsize="2,2562">
              <v:shape style="position:absolute;left:7696;top:1654;width:2;height:2562" coordorigin="7696,1654" coordsize="0,2562" path="m7696,1654l7696,4215e" filled="false" stroked="true" strokeweight=".48001pt" strokecolor="#000000">
                <v:path arrowok="t"/>
              </v:shape>
            </v:group>
            <v:group style="position:absolute;left:7701;top:4211;width:2259;height:2" coordorigin="7701,4211" coordsize="2259,2">
              <v:shape style="position:absolute;left:7701;top:4211;width:2259;height:2" coordorigin="7701,4211" coordsize="2259,0" path="m7701,4211l9959,4211e" filled="false" stroked="true" strokeweight=".47998pt" strokecolor="#000000">
                <v:path arrowok="t"/>
              </v:shape>
            </v:group>
            <v:group style="position:absolute;left:9964;top:1654;width:2;height:2562" coordorigin="9964,1654" coordsize="2,2562">
              <v:shape style="position:absolute;left:9964;top:1654;width:2;height:2562" coordorigin="9964,1654" coordsize="0,2562" path="m9964,1654l9964,4215e" filled="false" stroked="true" strokeweight=".47998pt" strokecolor="#000000">
                <v:path arrowok="t"/>
              </v:shape>
            </v:group>
            <w10:wrap type="none"/>
          </v:group>
        </w:pict>
      </w:r>
      <w:r>
        <w:rPr/>
        <w:pict>
          <v:shape style="position:absolute;margin-left:60.360001pt;margin-top:82.954994pt;width:437.9pt;height:127.6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1844"/>
                    <w:gridCol w:w="2976"/>
                    <w:gridCol w:w="2269"/>
                  </w:tblGrid>
                  <w:tr>
                    <w:trPr>
                      <w:trHeight w:val="1248" w:hRule="exact"/>
                    </w:trPr>
                    <w:tc>
                      <w:tcPr>
                        <w:tcW w:w="1668"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
                    </w:tc>
                  </w:tr>
                  <w:tr>
                    <w:trPr>
                      <w:trHeight w:val="1304" w:hRule="exact"/>
                    </w:trPr>
                    <w:tc>
                      <w:tcPr>
                        <w:tcW w:w="1668"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3</w:t>
      </w:r>
      <w:r>
        <w:rPr/>
        <w:t>、内部控制缺陷认定标准</w:t>
      </w:r>
      <w:r>
        <w:rPr>
          <w:b w:val="0"/>
          <w:bCs w:val="0"/>
        </w:rPr>
      </w:r>
    </w:p>
    <w:p>
      <w:pPr>
        <w:spacing w:line="240" w:lineRule="auto" w:before="15"/>
        <w:rPr>
          <w:rFonts w:ascii="Microsoft JhengHei" w:hAnsi="Microsoft JhengHei" w:cs="Microsoft JhengHei" w:eastAsia="Microsoft JhengHei"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13"/>
        <w:gridCol w:w="1913"/>
        <w:gridCol w:w="1856"/>
        <w:gridCol w:w="2916"/>
        <w:gridCol w:w="2062"/>
        <w:gridCol w:w="862"/>
      </w:tblGrid>
      <w:tr>
        <w:trPr>
          <w:trHeight w:val="468" w:hRule="exact"/>
        </w:trPr>
        <w:tc>
          <w:tcPr>
            <w:tcW w:w="9722"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63" w:right="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一、</w:t>
            </w:r>
            <w:r>
              <w:rPr>
                <w:rFonts w:ascii="Microsoft JhengHei" w:hAnsi="Microsoft JhengHei" w:cs="Microsoft JhengHei" w:eastAsia="Microsoft JhengHei" w:hint="default"/>
                <w:b/>
                <w:bCs/>
                <w:sz w:val="18"/>
                <w:szCs w:val="18"/>
              </w:rPr>
              <w:t>财务报告内部控制缺陷认定标准</w:t>
            </w:r>
            <w:r>
              <w:rPr>
                <w:rFonts w:ascii="Microsoft JhengHei" w:hAnsi="Microsoft JhengHei" w:cs="Microsoft JhengHei" w:eastAsia="Microsoft JhengHei" w:hint="default"/>
                <w:sz w:val="18"/>
                <w:szCs w:val="18"/>
              </w:rPr>
            </w:r>
          </w:p>
        </w:tc>
      </w:tr>
      <w:tr>
        <w:trPr>
          <w:trHeight w:val="425"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财务报告内部控制缺陷评价的定量标准：</w:t>
            </w:r>
          </w:p>
        </w:tc>
      </w:tr>
      <w:tr>
        <w:trPr>
          <w:trHeight w:val="425"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763" w:right="0"/>
              <w:jc w:val="left"/>
              <w:rPr>
                <w:rFonts w:ascii="宋体" w:hAnsi="宋体" w:cs="宋体" w:eastAsia="宋体" w:hint="default"/>
                <w:sz w:val="18"/>
                <w:szCs w:val="18"/>
              </w:rPr>
            </w:pPr>
            <w:r>
              <w:rPr>
                <w:rFonts w:ascii="宋体" w:hAnsi="宋体" w:cs="宋体" w:eastAsia="宋体" w:hint="default"/>
                <w:sz w:val="18"/>
                <w:szCs w:val="18"/>
              </w:rPr>
              <w:t>缺陷等级</w:t>
            </w:r>
          </w:p>
        </w:tc>
      </w:tr>
      <w:tr>
        <w:trPr>
          <w:trHeight w:val="40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tabs>
                <w:tab w:pos="4745" w:val="left" w:leader="none"/>
                <w:tab w:pos="7369" w:val="left" w:leader="none"/>
              </w:tabs>
              <w:spacing w:line="240" w:lineRule="auto" w:before="53"/>
              <w:ind w:left="2338" w:right="0"/>
              <w:jc w:val="left"/>
              <w:rPr>
                <w:rFonts w:ascii="宋体" w:hAnsi="宋体" w:cs="宋体" w:eastAsia="宋体" w:hint="default"/>
                <w:sz w:val="18"/>
                <w:szCs w:val="18"/>
              </w:rPr>
            </w:pPr>
            <w:r>
              <w:rPr>
                <w:rFonts w:ascii="宋体" w:hAnsi="宋体" w:cs="宋体" w:eastAsia="宋体" w:hint="default"/>
                <w:sz w:val="18"/>
                <w:szCs w:val="18"/>
              </w:rPr>
              <w:t>一般缺陷</w:t>
              <w:tab/>
              <w:t>重要缺陷</w:t>
              <w:tab/>
              <w:t>重大缺陷</w:t>
            </w:r>
          </w:p>
        </w:tc>
      </w:tr>
      <w:tr>
        <w:trPr>
          <w:trHeight w:val="458"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16" w:right="0"/>
              <w:jc w:val="left"/>
              <w:rPr>
                <w:rFonts w:ascii="宋体" w:hAnsi="宋体" w:cs="宋体" w:eastAsia="宋体" w:hint="default"/>
                <w:sz w:val="18"/>
                <w:szCs w:val="18"/>
              </w:rPr>
            </w:pPr>
            <w:r>
              <w:rPr>
                <w:rFonts w:ascii="宋体" w:hAnsi="宋体" w:cs="宋体" w:eastAsia="宋体" w:hint="default"/>
                <w:sz w:val="18"/>
                <w:szCs w:val="18"/>
              </w:rPr>
              <w:t>缺陷内容</w:t>
            </w:r>
          </w:p>
        </w:tc>
      </w:tr>
      <w:tr>
        <w:trPr>
          <w:trHeight w:val="348"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tabs>
                <w:tab w:pos="3725" w:val="left" w:leader="none"/>
              </w:tabs>
              <w:spacing w:line="240" w:lineRule="auto" w:before="112"/>
              <w:ind w:left="1884" w:right="0"/>
              <w:jc w:val="left"/>
              <w:rPr>
                <w:rFonts w:ascii="宋体" w:hAnsi="宋体" w:cs="宋体" w:eastAsia="宋体" w:hint="default"/>
                <w:sz w:val="18"/>
                <w:szCs w:val="18"/>
              </w:rPr>
            </w:pPr>
            <w:r>
              <w:rPr>
                <w:rFonts w:ascii="宋体" w:hAnsi="宋体" w:cs="宋体" w:eastAsia="宋体" w:hint="default"/>
                <w:sz w:val="18"/>
                <w:szCs w:val="18"/>
              </w:rPr>
              <w:t>错报漏报额度或损失</w:t>
              <w:tab/>
            </w:r>
            <w:r>
              <w:rPr>
                <w:rFonts w:ascii="宋体" w:hAnsi="宋体" w:cs="宋体" w:eastAsia="宋体" w:hint="default"/>
                <w:spacing w:val="3"/>
                <w:sz w:val="18"/>
                <w:szCs w:val="18"/>
              </w:rPr>
              <w:t>错报漏报额度或损失金额大于合并</w:t>
            </w:r>
            <w:r>
              <w:rPr>
                <w:rFonts w:ascii="宋体" w:hAnsi="宋体" w:cs="宋体" w:eastAsia="宋体" w:hint="default"/>
                <w:sz w:val="18"/>
                <w:szCs w:val="18"/>
              </w:rPr>
            </w:r>
          </w:p>
        </w:tc>
      </w:tr>
      <w:tr>
        <w:trPr>
          <w:trHeight w:val="181"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tabs>
                <w:tab w:pos="6704" w:val="left" w:leader="none"/>
              </w:tabs>
              <w:spacing w:line="180" w:lineRule="exact"/>
              <w:ind w:left="221" w:right="0"/>
              <w:jc w:val="left"/>
              <w:rPr>
                <w:rFonts w:ascii="宋体" w:hAnsi="宋体" w:cs="宋体" w:eastAsia="宋体" w:hint="default"/>
                <w:sz w:val="18"/>
                <w:szCs w:val="18"/>
              </w:rPr>
            </w:pPr>
            <w:r>
              <w:rPr>
                <w:rFonts w:ascii="宋体" w:hAnsi="宋体" w:cs="宋体" w:eastAsia="宋体" w:hint="default"/>
                <w:sz w:val="18"/>
                <w:szCs w:val="18"/>
              </w:rPr>
              <w:t>潜在错报、漏报或</w:t>
              <w:tab/>
            </w:r>
            <w:r>
              <w:rPr>
                <w:rFonts w:ascii="宋体" w:hAnsi="宋体" w:cs="宋体" w:eastAsia="宋体" w:hint="default"/>
                <w:spacing w:val="7"/>
                <w:sz w:val="18"/>
                <w:szCs w:val="18"/>
              </w:rPr>
              <w:t>错报漏报额度或损失金额</w:t>
            </w:r>
            <w:r>
              <w:rPr>
                <w:rFonts w:ascii="宋体" w:hAnsi="宋体" w:cs="宋体" w:eastAsia="宋体" w:hint="default"/>
                <w:sz w:val="18"/>
                <w:szCs w:val="18"/>
              </w:rPr>
            </w:r>
          </w:p>
        </w:tc>
      </w:tr>
      <w:tr>
        <w:trPr>
          <w:trHeight w:val="18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tabs>
                <w:tab w:pos="3725" w:val="left" w:leader="none"/>
              </w:tabs>
              <w:spacing w:line="181" w:lineRule="exact"/>
              <w:ind w:left="1884" w:right="0"/>
              <w:jc w:val="left"/>
              <w:rPr>
                <w:rFonts w:ascii="宋体" w:hAnsi="宋体" w:cs="宋体" w:eastAsia="宋体" w:hint="default"/>
                <w:sz w:val="18"/>
                <w:szCs w:val="18"/>
              </w:rPr>
            </w:pPr>
            <w:r>
              <w:rPr>
                <w:rFonts w:ascii="宋体" w:hAnsi="宋体" w:cs="宋体" w:eastAsia="宋体" w:hint="default"/>
                <w:sz w:val="18"/>
                <w:szCs w:val="18"/>
              </w:rPr>
              <w:t>金额小</w:t>
            </w:r>
            <w:r>
              <w:rPr>
                <w:rFonts w:ascii="宋体" w:hAnsi="宋体" w:cs="宋体" w:eastAsia="宋体" w:hint="default"/>
                <w:spacing w:val="2"/>
                <w:sz w:val="18"/>
                <w:szCs w:val="18"/>
              </w:rPr>
              <w:t>于</w:t>
            </w:r>
            <w:r>
              <w:rPr>
                <w:rFonts w:ascii="宋体" w:hAnsi="宋体" w:cs="宋体" w:eastAsia="宋体" w:hint="default"/>
                <w:sz w:val="18"/>
                <w:szCs w:val="18"/>
              </w:rPr>
              <w:t>等于</w:t>
            </w:r>
            <w:r>
              <w:rPr>
                <w:rFonts w:ascii="宋体" w:hAnsi="宋体" w:cs="宋体" w:eastAsia="宋体" w:hint="default"/>
                <w:spacing w:val="2"/>
                <w:sz w:val="18"/>
                <w:szCs w:val="18"/>
              </w:rPr>
              <w:t>合</w:t>
            </w:r>
            <w:r>
              <w:rPr>
                <w:rFonts w:ascii="宋体" w:hAnsi="宋体" w:cs="宋体" w:eastAsia="宋体" w:hint="default"/>
                <w:sz w:val="18"/>
                <w:szCs w:val="18"/>
              </w:rPr>
              <w:t>并净</w:t>
              <w:tab/>
              <w:t>净资产的</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小于等于合</w:t>
            </w:r>
            <w:r>
              <w:rPr>
                <w:rFonts w:ascii="宋体" w:hAnsi="宋体" w:cs="宋体" w:eastAsia="宋体" w:hint="default"/>
                <w:spacing w:val="-3"/>
                <w:sz w:val="18"/>
                <w:szCs w:val="18"/>
              </w:rPr>
              <w:t>并</w:t>
            </w:r>
            <w:r>
              <w:rPr>
                <w:rFonts w:ascii="宋体" w:hAnsi="宋体" w:cs="宋体" w:eastAsia="宋体" w:hint="default"/>
                <w:sz w:val="18"/>
                <w:szCs w:val="18"/>
              </w:rPr>
              <w:t>净资</w:t>
            </w:r>
          </w:p>
        </w:tc>
      </w:tr>
      <w:tr>
        <w:trPr>
          <w:trHeight w:val="179"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tabs>
                <w:tab w:pos="6704" w:val="left" w:leader="none"/>
              </w:tabs>
              <w:spacing w:line="179" w:lineRule="exact"/>
              <w:ind w:left="401" w:right="0"/>
              <w:jc w:val="left"/>
              <w:rPr>
                <w:rFonts w:ascii="宋体" w:hAnsi="宋体" w:cs="宋体" w:eastAsia="宋体" w:hint="default"/>
                <w:sz w:val="18"/>
                <w:szCs w:val="18"/>
              </w:rPr>
            </w:pPr>
            <w:r>
              <w:rPr>
                <w:rFonts w:ascii="宋体" w:hAnsi="宋体" w:cs="宋体" w:eastAsia="宋体" w:hint="default"/>
                <w:sz w:val="18"/>
                <w:szCs w:val="18"/>
              </w:rPr>
              <w:t>潜在经济损失</w:t>
              <w:tab/>
              <w:t>大于合并净资产的</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z w:val="18"/>
                <w:szCs w:val="18"/>
              </w:rPr>
              <w:t>。</w:t>
            </w:r>
          </w:p>
        </w:tc>
      </w:tr>
      <w:tr>
        <w:trPr>
          <w:trHeight w:val="348"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tabs>
                <w:tab w:pos="3725" w:val="left" w:leader="none"/>
              </w:tabs>
              <w:spacing w:line="180" w:lineRule="exact"/>
              <w:ind w:left="1884" w:right="0"/>
              <w:jc w:val="left"/>
              <w:rPr>
                <w:rFonts w:ascii="宋体" w:hAnsi="宋体" w:cs="宋体" w:eastAsia="宋体" w:hint="default"/>
                <w:sz w:val="18"/>
                <w:szCs w:val="18"/>
              </w:rPr>
            </w:pPr>
            <w:r>
              <w:rPr>
                <w:rFonts w:ascii="宋体" w:hAnsi="宋体" w:cs="宋体" w:eastAsia="宋体" w:hint="default"/>
                <w:sz w:val="18"/>
                <w:szCs w:val="18"/>
              </w:rPr>
              <w:t>资产的</w:t>
            </w:r>
            <w:r>
              <w:rPr>
                <w:rFonts w:ascii="宋体" w:hAnsi="宋体" w:cs="宋体" w:eastAsia="宋体" w:hint="default"/>
                <w:spacing w:val="-45"/>
                <w:sz w:val="18"/>
                <w:szCs w:val="18"/>
              </w:rPr>
              <w:t> </w:t>
            </w:r>
            <w:r>
              <w:rPr>
                <w:rFonts w:ascii="宋体" w:hAnsi="宋体" w:cs="宋体" w:eastAsia="宋体" w:hint="default"/>
                <w:sz w:val="18"/>
                <w:szCs w:val="18"/>
              </w:rPr>
              <w:t>0.25%</w:t>
            </w:r>
            <w:r>
              <w:rPr>
                <w:rFonts w:ascii="宋体" w:hAnsi="宋体" w:cs="宋体" w:eastAsia="宋体" w:hint="default"/>
                <w:sz w:val="18"/>
                <w:szCs w:val="18"/>
              </w:rPr>
              <w:t>。</w:t>
              <w:tab/>
              <w:t>产的</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z w:val="18"/>
                <w:szCs w:val="18"/>
              </w:rPr>
              <w:t>。</w:t>
            </w:r>
          </w:p>
        </w:tc>
      </w:tr>
      <w:tr>
        <w:trPr>
          <w:trHeight w:val="457"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463" w:right="0"/>
              <w:jc w:val="left"/>
              <w:rPr>
                <w:rFonts w:ascii="宋体" w:hAnsi="宋体" w:cs="宋体" w:eastAsia="宋体" w:hint="default"/>
                <w:sz w:val="18"/>
                <w:szCs w:val="18"/>
              </w:rPr>
            </w:pPr>
            <w:r>
              <w:rPr>
                <w:rFonts w:ascii="宋体" w:hAnsi="宋体" w:cs="宋体" w:eastAsia="宋体" w:hint="default"/>
                <w:sz w:val="18"/>
                <w:szCs w:val="18"/>
              </w:rPr>
              <w:t>财务报告内部控制缺陷评价的定性标准：</w:t>
            </w:r>
          </w:p>
        </w:tc>
      </w:tr>
      <w:tr>
        <w:trPr>
          <w:trHeight w:val="40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重大缺陷定性标准：</w:t>
            </w:r>
          </w:p>
        </w:tc>
      </w:tr>
      <w:tr>
        <w:trPr>
          <w:trHeight w:val="40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）公司董事、监事和管理层发生对财务报告构成重大影响的舞弊行为；</w:t>
            </w:r>
          </w:p>
        </w:tc>
      </w:tr>
      <w:tr>
        <w:trPr>
          <w:trHeight w:val="40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）财务报告发生重大错报或漏报，而公司内部控制在运行过程中未能发现该错报或漏报；</w:t>
            </w:r>
          </w:p>
        </w:tc>
      </w:tr>
      <w:tr>
        <w:trPr>
          <w:trHeight w:val="401"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）财务报告相关的内控控制环境失效；</w:t>
            </w:r>
          </w:p>
        </w:tc>
      </w:tr>
      <w:tr>
        <w:trPr>
          <w:trHeight w:val="401"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）审计委员会和内部审计机构对内部控制的监督无效。</w:t>
            </w:r>
          </w:p>
        </w:tc>
      </w:tr>
      <w:tr>
        <w:trPr>
          <w:trHeight w:val="38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528" w:right="0"/>
              <w:jc w:val="left"/>
              <w:rPr>
                <w:rFonts w:ascii="宋体" w:hAnsi="宋体" w:cs="宋体" w:eastAsia="宋体" w:hint="default"/>
                <w:sz w:val="18"/>
                <w:szCs w:val="18"/>
              </w:rPr>
            </w:pPr>
            <w:r>
              <w:rPr>
                <w:rFonts w:ascii="宋体" w:hAnsi="宋体" w:cs="宋体" w:eastAsia="宋体" w:hint="default"/>
                <w:sz w:val="18"/>
                <w:szCs w:val="18"/>
              </w:rPr>
              <w:t>重要缺陷定性标准：一项内部控制缺陷单独或连同其他缺陷具备合理可能性，导致公司的内部控制不能及时防止或</w:t>
            </w:r>
          </w:p>
        </w:tc>
      </w:tr>
      <w:tr>
        <w:trPr>
          <w:trHeight w:val="379"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pacing w:val="-3"/>
                <w:sz w:val="18"/>
                <w:szCs w:val="18"/>
              </w:rPr>
              <w:t>发现并纠正财务报告中虽未达到和超过重要水平、但仍应引起董事会和管理层重视的错报，就应将该缺陷认定为重要缺陷。</w:t>
            </w:r>
          </w:p>
        </w:tc>
      </w:tr>
      <w:tr>
        <w:trPr>
          <w:trHeight w:val="401"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528" w:right="0"/>
              <w:jc w:val="left"/>
              <w:rPr>
                <w:rFonts w:ascii="宋体" w:hAnsi="宋体" w:cs="宋体" w:eastAsia="宋体" w:hint="default"/>
                <w:sz w:val="18"/>
                <w:szCs w:val="18"/>
              </w:rPr>
            </w:pPr>
            <w:r>
              <w:rPr>
                <w:rFonts w:ascii="宋体" w:hAnsi="宋体" w:cs="宋体" w:eastAsia="宋体" w:hint="default"/>
                <w:sz w:val="18"/>
                <w:szCs w:val="18"/>
              </w:rPr>
              <w:t>重大缺陷、重要缺陷以外的内控缺陷，认定为一般缺陷。</w:t>
            </w:r>
          </w:p>
        </w:tc>
      </w:tr>
      <w:tr>
        <w:trPr>
          <w:trHeight w:val="400"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311" w:lineRule="exact"/>
              <w:ind w:left="4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二、非财务报告内部控制缺陷认定标准</w:t>
            </w:r>
            <w:r>
              <w:rPr>
                <w:rFonts w:ascii="Microsoft JhengHei" w:hAnsi="Microsoft JhengHei" w:cs="Microsoft JhengHei" w:eastAsia="Microsoft JhengHei" w:hint="default"/>
                <w:sz w:val="18"/>
                <w:szCs w:val="18"/>
              </w:rPr>
            </w:r>
          </w:p>
        </w:tc>
      </w:tr>
      <w:tr>
        <w:trPr>
          <w:trHeight w:val="384" w:hRule="exact"/>
        </w:trPr>
        <w:tc>
          <w:tcPr>
            <w:tcW w:w="972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非财务报告内部控制缺陷评价的定量标准如下：</w:t>
            </w:r>
          </w:p>
        </w:tc>
      </w:tr>
      <w:tr>
        <w:trPr>
          <w:trHeight w:val="982" w:hRule="exact"/>
        </w:trPr>
        <w:tc>
          <w:tcPr>
            <w:tcW w:w="113" w:type="dxa"/>
            <w:tcBorders>
              <w:top w:val="nil" w:sz="6" w:space="0" w:color="auto"/>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864" w:right="0"/>
              <w:jc w:val="left"/>
              <w:rPr>
                <w:rFonts w:ascii="宋体" w:hAnsi="宋体" w:cs="宋体" w:eastAsia="宋体" w:hint="default"/>
                <w:sz w:val="18"/>
                <w:szCs w:val="18"/>
              </w:rPr>
            </w:pPr>
            <w:r>
              <w:rPr>
                <w:rFonts w:ascii="宋体" w:hAnsi="宋体" w:cs="宋体" w:eastAsia="宋体" w:hint="default"/>
                <w:sz w:val="18"/>
                <w:szCs w:val="18"/>
              </w:rPr>
              <w:t>缺陷等级</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缺陷内容</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8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50"/>
          <w:pgMar w:header="877" w:footer="1265" w:top="1100" w:bottom="14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113"/>
        <w:gridCol w:w="1913"/>
        <w:gridCol w:w="1856"/>
        <w:gridCol w:w="2916"/>
        <w:gridCol w:w="2062"/>
        <w:gridCol w:w="862"/>
      </w:tblGrid>
      <w:tr>
        <w:trPr>
          <w:trHeight w:val="1181" w:hRule="exact"/>
        </w:trPr>
        <w:tc>
          <w:tcPr>
            <w:tcW w:w="113"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367" w:lineRule="auto"/>
              <w:ind w:left="862" w:right="139" w:hanging="720"/>
              <w:jc w:val="left"/>
              <w:rPr>
                <w:rFonts w:ascii="宋体" w:hAnsi="宋体" w:cs="宋体" w:eastAsia="宋体" w:hint="default"/>
                <w:sz w:val="18"/>
                <w:szCs w:val="18"/>
              </w:rPr>
            </w:pPr>
            <w:r>
              <w:rPr>
                <w:rFonts w:ascii="宋体" w:hAnsi="宋体" w:cs="宋体" w:eastAsia="宋体" w:hint="default"/>
                <w:sz w:val="18"/>
                <w:szCs w:val="18"/>
              </w:rPr>
              <w:t>造成公司直接经济损 失</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367" w:lineRule="auto"/>
              <w:ind w:left="134" w:right="111" w:hanging="22"/>
              <w:jc w:val="left"/>
              <w:rPr>
                <w:rFonts w:ascii="宋体" w:hAnsi="宋体" w:cs="宋体" w:eastAsia="宋体" w:hint="default"/>
                <w:sz w:val="18"/>
                <w:szCs w:val="18"/>
              </w:rPr>
            </w:pPr>
            <w:r>
              <w:rPr>
                <w:rFonts w:ascii="宋体" w:hAnsi="宋体" w:cs="宋体" w:eastAsia="宋体" w:hint="default"/>
                <w:sz w:val="18"/>
                <w:szCs w:val="18"/>
              </w:rPr>
              <w:t>损失金额小于等于合 并净资产的</w:t>
            </w:r>
            <w:r>
              <w:rPr>
                <w:rFonts w:ascii="宋体" w:hAnsi="宋体" w:cs="宋体" w:eastAsia="宋体" w:hint="default"/>
                <w:spacing w:val="-45"/>
                <w:sz w:val="18"/>
                <w:szCs w:val="18"/>
              </w:rPr>
              <w:t> </w:t>
            </w:r>
            <w:r>
              <w:rPr>
                <w:rFonts w:ascii="宋体" w:hAnsi="宋体" w:cs="宋体" w:eastAsia="宋体" w:hint="default"/>
                <w:sz w:val="18"/>
                <w:szCs w:val="18"/>
              </w:rPr>
              <w:t>0.25%</w:t>
            </w:r>
            <w:r>
              <w:rPr>
                <w:rFonts w:ascii="宋体" w:hAnsi="宋体" w:cs="宋体" w:eastAsia="宋体" w:hint="default"/>
                <w:sz w:val="18"/>
                <w:szCs w:val="18"/>
              </w:rPr>
              <w:t>。</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125"/>
              <w:ind w:left="237" w:right="233" w:hanging="5"/>
              <w:jc w:val="center"/>
              <w:rPr>
                <w:rFonts w:ascii="宋体" w:hAnsi="宋体" w:cs="宋体" w:eastAsia="宋体" w:hint="default"/>
                <w:sz w:val="18"/>
                <w:szCs w:val="18"/>
              </w:rPr>
            </w:pPr>
            <w:r>
              <w:rPr>
                <w:rFonts w:ascii="宋体" w:hAnsi="宋体" w:cs="宋体" w:eastAsia="宋体" w:hint="default"/>
                <w:sz w:val="18"/>
                <w:szCs w:val="18"/>
              </w:rPr>
              <w:t>损失金额大于合并净资产的 </w:t>
            </w:r>
            <w:r>
              <w:rPr>
                <w:rFonts w:ascii="宋体" w:hAnsi="宋体" w:cs="宋体" w:eastAsia="宋体" w:hint="default"/>
                <w:sz w:val="18"/>
                <w:szCs w:val="18"/>
              </w:rPr>
              <w:t>0.25%</w:t>
            </w:r>
            <w:r>
              <w:rPr>
                <w:rFonts w:ascii="宋体" w:hAnsi="宋体" w:cs="宋体" w:eastAsia="宋体" w:hint="default"/>
                <w:sz w:val="18"/>
                <w:szCs w:val="18"/>
              </w:rPr>
              <w:t>，小于等于合并净资产的</w:t>
            </w:r>
          </w:p>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z w:val="18"/>
                <w:szCs w:val="18"/>
              </w:rPr>
              <w:t>。</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367" w:lineRule="auto"/>
              <w:ind w:left="551" w:right="125" w:hanging="428"/>
              <w:jc w:val="left"/>
              <w:rPr>
                <w:rFonts w:ascii="宋体" w:hAnsi="宋体" w:cs="宋体" w:eastAsia="宋体" w:hint="default"/>
                <w:sz w:val="18"/>
                <w:szCs w:val="18"/>
              </w:rPr>
            </w:pPr>
            <w:r>
              <w:rPr>
                <w:rFonts w:ascii="宋体" w:hAnsi="宋体" w:cs="宋体" w:eastAsia="宋体" w:hint="default"/>
                <w:sz w:val="18"/>
                <w:szCs w:val="18"/>
              </w:rPr>
              <w:t>损失金额大于合并净资 产的</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z w:val="18"/>
                <w:szCs w:val="18"/>
              </w:rPr>
              <w:t>。</w:t>
            </w:r>
          </w:p>
        </w:tc>
        <w:tc>
          <w:tcPr>
            <w:tcW w:w="862" w:type="dxa"/>
            <w:tcBorders>
              <w:top w:val="single" w:sz="4" w:space="0" w:color="000000"/>
              <w:left w:val="single" w:sz="4" w:space="0" w:color="000000"/>
              <w:bottom w:val="nil" w:sz="6" w:space="0" w:color="auto"/>
              <w:right w:val="single" w:sz="4" w:space="0" w:color="000000"/>
            </w:tcBorders>
          </w:tcPr>
          <w:p>
            <w:pPr/>
          </w:p>
        </w:tc>
      </w:tr>
      <w:tr>
        <w:trPr>
          <w:trHeight w:val="4409" w:hRule="exact"/>
        </w:trPr>
        <w:tc>
          <w:tcPr>
            <w:tcW w:w="9722" w:type="dxa"/>
            <w:gridSpan w:val="6"/>
            <w:tcBorders>
              <w:top w:val="nil" w:sz="6" w:space="0" w:color="auto"/>
              <w:left w:val="single" w:sz="4" w:space="0" w:color="000000"/>
              <w:bottom w:val="single" w:sz="4" w:space="0" w:color="000000"/>
              <w:right w:val="single" w:sz="4" w:space="0" w:color="000000"/>
            </w:tcBorders>
          </w:tcPr>
          <w:p>
            <w:pPr>
              <w:pStyle w:val="TableParagraph"/>
              <w:spacing w:line="405" w:lineRule="auto" w:before="121"/>
              <w:ind w:left="559" w:right="5399" w:hanging="29"/>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非财务报告内部控制缺陷评价的定性标准如下： 重大缺陷定性标准：</w:t>
            </w:r>
          </w:p>
          <w:p>
            <w:pPr>
              <w:pStyle w:val="TableParagraph"/>
              <w:spacing w:line="240" w:lineRule="auto" w:before="41"/>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）因内部决策程序不科学造成决策失误；</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）违反法律法规并给公司带来重大损失；</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）因食品安全监管不善导致发生严重的食品中毒事件；</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）因消防安全内部控制、监管不善导致发生严重的消防安全事件；</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）主要管理人员或技术骨干流失严重；</w:t>
            </w: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410" w:lineRule="auto"/>
              <w:ind w:left="559" w:right="111" w:hanging="13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）重大或重要缺陷长期未得到有效整改。 重要缺陷定性标准：一个或多个控制缺陷的组合，其严重程度和经济后果低于重大缺陷，但仍有可能导致企业偏离</w:t>
            </w:r>
          </w:p>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控制目标。</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重大缺陷、重要缺陷以外的内控缺陷，认定为一般缺陷。</w:t>
            </w:r>
          </w:p>
        </w:tc>
      </w:tr>
    </w:tbl>
    <w:p>
      <w:pPr>
        <w:spacing w:line="240" w:lineRule="auto" w:before="1"/>
        <w:rPr>
          <w:rFonts w:ascii="Microsoft JhengHei" w:hAnsi="Microsoft JhengHei" w:cs="Microsoft JhengHei" w:eastAsia="Microsoft JhengHei" w:hint="default"/>
          <w:b/>
          <w:bCs/>
          <w:sz w:val="16"/>
          <w:szCs w:val="16"/>
        </w:rPr>
      </w:pPr>
    </w:p>
    <w:p>
      <w:pPr>
        <w:pStyle w:val="Heading4"/>
        <w:spacing w:line="367" w:lineRule="exact"/>
        <w:ind w:left="818" w:right="0"/>
        <w:jc w:val="left"/>
        <w:rPr>
          <w:b w:val="0"/>
          <w:bCs w:val="0"/>
        </w:rPr>
      </w:pPr>
      <w:r>
        <w:rPr/>
        <w:t>十、内部控制审计报告</w:t>
      </w:r>
      <w:r>
        <w:rPr>
          <w:b w:val="0"/>
          <w:bCs w:val="0"/>
        </w:rPr>
      </w:r>
    </w:p>
    <w:p>
      <w:pPr>
        <w:spacing w:line="240" w:lineRule="auto" w:before="5"/>
        <w:rPr>
          <w:rFonts w:ascii="Microsoft JhengHei" w:hAnsi="Microsoft JhengHei" w:cs="Microsoft JhengHei" w:eastAsia="Microsoft JhengHei" w:hint="default"/>
          <w:b/>
          <w:bCs/>
          <w:sz w:val="23"/>
          <w:szCs w:val="23"/>
        </w:rPr>
      </w:pPr>
    </w:p>
    <w:p>
      <w:pPr>
        <w:spacing w:before="0"/>
        <w:ind w:left="8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0"/>
          <w:szCs w:val="10"/>
        </w:rPr>
      </w:pPr>
    </w:p>
    <w:tbl>
      <w:tblPr>
        <w:tblW w:w="0" w:type="auto"/>
        <w:jc w:val="left"/>
        <w:tblInd w:w="760" w:type="dxa"/>
        <w:tblLayout w:type="fixed"/>
        <w:tblCellMar>
          <w:top w:w="0" w:type="dxa"/>
          <w:left w:w="0" w:type="dxa"/>
          <w:bottom w:w="0" w:type="dxa"/>
          <w:right w:w="0" w:type="dxa"/>
        </w:tblCellMar>
        <w:tblLook w:val="01E0"/>
      </w:tblPr>
      <w:tblGrid>
        <w:gridCol w:w="2662"/>
        <w:gridCol w:w="5759"/>
      </w:tblGrid>
      <w:tr>
        <w:trPr>
          <w:trHeight w:val="450" w:hRule="exact"/>
        </w:trPr>
        <w:tc>
          <w:tcPr>
            <w:tcW w:w="8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809" w:hRule="exact"/>
        </w:trPr>
        <w:tc>
          <w:tcPr>
            <w:tcW w:w="8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45" w:lineRule="auto" w:before="116"/>
              <w:ind w:left="21" w:right="22" w:firstLine="359"/>
              <w:jc w:val="left"/>
              <w:rPr>
                <w:rFonts w:ascii="宋体" w:hAnsi="宋体" w:cs="宋体" w:eastAsia="宋体" w:hint="default"/>
                <w:sz w:val="18"/>
                <w:szCs w:val="18"/>
              </w:rPr>
            </w:pPr>
            <w:r>
              <w:rPr>
                <w:rFonts w:ascii="宋体" w:hAnsi="宋体" w:cs="宋体" w:eastAsia="宋体" w:hint="default"/>
                <w:sz w:val="18"/>
                <w:szCs w:val="18"/>
              </w:rPr>
              <w:t>我们认为，农产品公司于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日按照《企业内部控制基本规范》和相关规定在所有重大方 面保持了有效的财务报告内部控制。</w:t>
            </w:r>
          </w:p>
        </w:tc>
      </w:tr>
      <w:tr>
        <w:trPr>
          <w:trHeight w:val="81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118"/>
              <w:ind w:left="21" w:right="96"/>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日刊登在巨潮资讯网上的公司《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 部控制审计报告》</w:t>
            </w:r>
          </w:p>
        </w:tc>
      </w:tr>
      <w:tr>
        <w:trPr>
          <w:trHeight w:val="44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5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6"/>
        <w:spacing w:line="335" w:lineRule="exact"/>
        <w:ind w:left="818" w:right="0"/>
        <w:jc w:val="left"/>
        <w:rPr>
          <w:b w:val="0"/>
          <w:bCs w:val="0"/>
        </w:rPr>
      </w:pPr>
      <w:r>
        <w:rPr/>
        <w:t>会计师事务所是否出具非标准意见的内部控制审计报告</w:t>
      </w:r>
      <w:r>
        <w:rPr>
          <w:b w:val="0"/>
          <w:bCs w:val="0"/>
        </w:rPr>
      </w:r>
    </w:p>
    <w:p>
      <w:pPr>
        <w:spacing w:before="161"/>
        <w:ind w:left="8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6"/>
        <w:spacing w:line="240" w:lineRule="auto" w:before="100"/>
        <w:ind w:left="818" w:right="0"/>
        <w:jc w:val="left"/>
        <w:rPr>
          <w:b w:val="0"/>
          <w:bCs w:val="0"/>
        </w:rPr>
      </w:pPr>
      <w:r>
        <w:rPr/>
        <w:t>会计师事务所出具的内部控制审计报告与董事会的自我评价报告意见是否一致</w:t>
      </w:r>
      <w:r>
        <w:rPr>
          <w:b w:val="0"/>
          <w:bCs w:val="0"/>
        </w:rPr>
      </w:r>
    </w:p>
    <w:p>
      <w:pPr>
        <w:spacing w:before="161"/>
        <w:ind w:left="8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50"/>
          <w:pgMar w:header="877" w:footer="1265"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456" w:lineRule="exact"/>
        <w:ind w:left="2447" w:right="1675"/>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4"/>
        <w:rPr>
          <w:rFonts w:ascii="Microsoft JhengHei" w:hAnsi="Microsoft JhengHei" w:cs="Microsoft JhengHei" w:eastAsia="Microsoft JhengHei" w:hint="default"/>
          <w:b/>
          <w:bCs/>
          <w:sz w:val="37"/>
          <w:szCs w:val="37"/>
        </w:rPr>
      </w:pPr>
    </w:p>
    <w:p>
      <w:pPr>
        <w:pStyle w:val="BodyText"/>
        <w:spacing w:line="348" w:lineRule="auto" w:before="0"/>
        <w:ind w:left="138" w:right="1675"/>
        <w:jc w:val="left"/>
      </w:pPr>
      <w:r>
        <w:rPr>
          <w:spacing w:val="-4"/>
          <w:w w:val="100"/>
        </w:rPr>
        <w:t>公司是否存在公开发行并在证券交易所上市，且在年度报告批准报出日未到期或到期未能全</w:t>
      </w:r>
      <w:r>
        <w:rPr>
          <w:spacing w:val="-87"/>
          <w:w w:val="100"/>
        </w:rPr>
        <w:t> </w:t>
      </w:r>
      <w:r>
        <w:rPr>
          <w:spacing w:val="-87"/>
          <w:w w:val="100"/>
        </w:rPr>
      </w:r>
      <w:r>
        <w:rPr/>
        <w:t>额兑付的公司债券。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0"/>
        <w:ind w:left="138" w:right="167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50"/>
          <w:pgMar w:header="877" w:footer="1265" w:top="1100" w:bottom="14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1"/>
        <w:spacing w:line="456" w:lineRule="exact"/>
        <w:ind w:left="2608" w:right="1675"/>
        <w:jc w:val="left"/>
        <w:rPr>
          <w:b w:val="0"/>
          <w:bCs w:val="0"/>
        </w:rPr>
      </w:pPr>
      <w:bookmarkStart w:name="_bookmark10" w:id="11"/>
      <w:bookmarkEnd w:id="11"/>
      <w:r>
        <w:rPr>
          <w:b w:val="0"/>
          <w:bCs w:val="0"/>
        </w:rPr>
      </w:r>
      <w:r>
        <w:rPr/>
        <w:t>第十一节 </w:t>
      </w:r>
      <w:r>
        <w:rPr>
          <w:spacing w:val="8"/>
        </w:rPr>
        <w:t> </w:t>
      </w:r>
      <w:r>
        <w:rPr/>
        <w:t>备查文件目录</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0"/>
          <w:szCs w:val="10"/>
        </w:rPr>
      </w:pPr>
    </w:p>
    <w:p>
      <w:pPr>
        <w:spacing w:line="3197" w:lineRule="exact"/>
        <w:ind w:left="14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3"/>
          <w:sz w:val="20"/>
          <w:szCs w:val="20"/>
        </w:rPr>
        <w:pict>
          <v:shape style="width:414.95pt;height:159.9pt;mso-position-horizontal-relative:char;mso-position-vertical-relative:line" type="#_x0000_t202" filled="false" stroked="true" strokeweight=".48001pt" strokecolor="#000000">
            <w10:anchorlock/>
            <v:textbox inset="0,0,0,0">
              <w:txbxContent>
                <w:p>
                  <w:pPr>
                    <w:pStyle w:val="BodyText"/>
                    <w:spacing w:line="554" w:lineRule="auto" w:before="172"/>
                    <w:ind w:left="103" w:right="303"/>
                    <w:jc w:val="left"/>
                  </w:pPr>
                  <w:r>
                    <w:rPr/>
                    <w:t>本公司董事会办公室备有以下备查文件：</w:t>
                  </w:r>
                  <w:r>
                    <w:rPr>
                      <w:w w:val="100"/>
                    </w:rPr>
                    <w:t> </w:t>
                  </w:r>
                  <w:r>
                    <w:rPr>
                      <w:rFonts w:ascii="宋体" w:hAnsi="宋体" w:cs="宋体" w:eastAsia="宋体" w:hint="default"/>
                      <w:spacing w:val="-2"/>
                    </w:rPr>
                    <w:t>1</w:t>
                  </w:r>
                  <w:r>
                    <w:rPr>
                      <w:spacing w:val="-2"/>
                    </w:rPr>
                    <w:t>、载有法定代表人、总裁、财务总监、会计机构负责人亲笔签字并盖章的财务报表；</w:t>
                  </w:r>
                </w:p>
                <w:p>
                  <w:pPr>
                    <w:pStyle w:val="BodyText"/>
                    <w:spacing w:line="520" w:lineRule="auto" w:before="86"/>
                    <w:ind w:left="103" w:right="97"/>
                    <w:jc w:val="left"/>
                  </w:pPr>
                  <w:r>
                    <w:rPr>
                      <w:rFonts w:ascii="宋体" w:hAnsi="宋体" w:cs="宋体" w:eastAsia="宋体" w:hint="default"/>
                      <w:spacing w:val="-2"/>
                    </w:rPr>
                    <w:t>2</w:t>
                  </w:r>
                  <w:r>
                    <w:rPr>
                      <w:spacing w:val="-2"/>
                    </w:rPr>
                    <w:t>、载有立信会计师事务所（特殊普通合伙）盖章、注册会计师亲笔签名并盖章的审计报</w:t>
                  </w:r>
                  <w:r>
                    <w:rPr>
                      <w:spacing w:val="-37"/>
                    </w:rPr>
                    <w:t> </w:t>
                  </w:r>
                  <w:r>
                    <w:rPr>
                      <w:spacing w:val="-37"/>
                    </w:rPr>
                  </w:r>
                  <w:r>
                    <w:rPr/>
                    <w:t>告原件；</w:t>
                  </w:r>
                </w:p>
                <w:p>
                  <w:pPr>
                    <w:pStyle w:val="BodyText"/>
                    <w:spacing w:line="240" w:lineRule="auto" w:before="116"/>
                    <w:ind w:left="103" w:right="0"/>
                    <w:jc w:val="left"/>
                  </w:pPr>
                  <w:r>
                    <w:rPr>
                      <w:rFonts w:ascii="宋体" w:hAnsi="宋体" w:cs="宋体" w:eastAsia="宋体" w:hint="default"/>
                    </w:rPr>
                    <w:t>3</w:t>
                  </w:r>
                  <w:r>
                    <w:rPr/>
                    <w:t>、报告期内在中国证监会指定报纸上公开披露过的所有公司文件的正本及公告原稿。</w:t>
                  </w:r>
                </w:p>
              </w:txbxContent>
            </v:textbox>
          </v:shape>
        </w:pict>
      </w:r>
      <w:r>
        <w:rPr>
          <w:rFonts w:ascii="Microsoft JhengHei" w:hAnsi="Microsoft JhengHei" w:cs="Microsoft JhengHei" w:eastAsia="Microsoft JhengHei" w:hint="default"/>
          <w:position w:val="-63"/>
          <w:sz w:val="20"/>
          <w:szCs w:val="20"/>
        </w:rPr>
      </w:r>
    </w:p>
    <w:p>
      <w:pPr>
        <w:spacing w:after="0" w:line="3197" w:lineRule="exact"/>
        <w:rPr>
          <w:rFonts w:ascii="Microsoft JhengHei" w:hAnsi="Microsoft JhengHei" w:cs="Microsoft JhengHei" w:eastAsia="Microsoft JhengHei" w:hint="default"/>
          <w:sz w:val="20"/>
          <w:szCs w:val="20"/>
        </w:rPr>
        <w:sectPr>
          <w:pgSz w:w="11910" w:h="16850"/>
          <w:pgMar w:header="877" w:footer="1265" w:top="1100" w:bottom="14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8"/>
          <w:szCs w:val="28"/>
        </w:rPr>
      </w:pPr>
    </w:p>
    <w:p>
      <w:pPr>
        <w:pStyle w:val="Heading1"/>
        <w:spacing w:line="456" w:lineRule="exact"/>
        <w:ind w:left="3529" w:right="0"/>
        <w:jc w:val="left"/>
        <w:rPr>
          <w:b w:val="0"/>
          <w:bCs w:val="0"/>
        </w:rPr>
      </w:pPr>
      <w:bookmarkStart w:name="_bookmark11" w:id="12"/>
      <w:bookmarkEnd w:id="12"/>
      <w:r>
        <w:rPr>
          <w:b w:val="0"/>
          <w:bCs w:val="0"/>
        </w:rPr>
      </w:r>
      <w:r>
        <w:rPr/>
        <w:t>第十二节 </w:t>
      </w:r>
      <w:r>
        <w:rPr>
          <w:spacing w:val="6"/>
        </w:rPr>
        <w:t> </w:t>
      </w:r>
      <w:r>
        <w:rPr/>
        <w:t>财务报告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4"/>
          <w:szCs w:val="14"/>
        </w:rPr>
      </w:pPr>
    </w:p>
    <w:p>
      <w:pPr>
        <w:pStyle w:val="Heading4"/>
        <w:spacing w:line="367" w:lineRule="exact"/>
        <w:ind w:left="738" w:right="0"/>
        <w:jc w:val="left"/>
        <w:rPr>
          <w:b w:val="0"/>
          <w:bCs w:val="0"/>
        </w:rPr>
      </w:pPr>
      <w:r>
        <w:rPr/>
        <w:t>一、审计报告</w:t>
      </w:r>
      <w:r>
        <w:rPr>
          <w:b w:val="0"/>
          <w:bCs w:val="0"/>
        </w:rPr>
      </w:r>
    </w:p>
    <w:p>
      <w:pPr>
        <w:spacing w:line="240" w:lineRule="auto" w:before="4"/>
        <w:rPr>
          <w:rFonts w:ascii="Microsoft JhengHei" w:hAnsi="Microsoft JhengHei" w:cs="Microsoft JhengHei" w:eastAsia="Microsoft JhengHei"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49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8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8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8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ZE10332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8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祁涛、毛彦波</w:t>
            </w:r>
          </w:p>
        </w:tc>
      </w:tr>
    </w:tbl>
    <w:p>
      <w:pPr>
        <w:spacing w:after="0" w:line="240" w:lineRule="auto"/>
        <w:jc w:val="left"/>
        <w:rPr>
          <w:rFonts w:ascii="宋体" w:hAnsi="宋体" w:cs="宋体" w:eastAsia="宋体" w:hint="default"/>
          <w:sz w:val="18"/>
          <w:szCs w:val="18"/>
        </w:rPr>
        <w:sectPr>
          <w:pgSz w:w="11910" w:h="16850"/>
          <w:pgMar w:header="877" w:footer="1265" w:top="1100" w:bottom="1460" w:left="10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6"/>
          <w:szCs w:val="16"/>
        </w:rPr>
      </w:pPr>
    </w:p>
    <w:p>
      <w:pPr>
        <w:spacing w:line="456" w:lineRule="exact" w:before="0"/>
        <w:ind w:left="2601" w:right="1675"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深圳市农产品集团股份有限公司</w:t>
      </w:r>
      <w:r>
        <w:rPr>
          <w:rFonts w:ascii="Microsoft JhengHei" w:hAnsi="Microsoft JhengHei" w:cs="Microsoft JhengHei" w:eastAsia="Microsoft JhengHei" w:hint="default"/>
          <w:sz w:val="32"/>
          <w:szCs w:val="32"/>
        </w:rPr>
      </w:r>
    </w:p>
    <w:p>
      <w:pPr>
        <w:spacing w:before="286"/>
        <w:ind w:left="2601" w:right="1675"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审计报告及财务报表</w:t>
      </w:r>
      <w:r>
        <w:rPr>
          <w:rFonts w:ascii="Microsoft JhengHei" w:hAnsi="Microsoft JhengHei" w:cs="Microsoft JhengHei" w:eastAsia="Microsoft JhengHei" w:hint="default"/>
          <w:sz w:val="32"/>
          <w:szCs w:val="32"/>
        </w:rPr>
      </w:r>
    </w:p>
    <w:p>
      <w:pPr>
        <w:spacing w:before="283"/>
        <w:ind w:left="2601" w:right="1675" w:firstLine="0"/>
        <w:jc w:val="left"/>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年度</w:t>
      </w:r>
      <w:r>
        <w:rPr>
          <w:rFonts w:ascii="Microsoft JhengHei" w:hAnsi="Microsoft JhengHei" w:cs="Microsoft JhengHei" w:eastAsia="Microsoft JhengHei" w:hint="default"/>
          <w:sz w:val="32"/>
          <w:szCs w:val="32"/>
        </w:rPr>
      </w:r>
    </w:p>
    <w:p>
      <w:pPr>
        <w:spacing w:before="280"/>
        <w:ind w:left="2601" w:right="1675"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信会师报字</w:t>
      </w:r>
      <w:r>
        <w:rPr>
          <w:rFonts w:ascii="Times New Roman" w:hAnsi="Times New Roman" w:cs="Times New Roman" w:eastAsia="Times New Roman" w:hint="default"/>
          <w:b/>
          <w:bCs/>
          <w:sz w:val="32"/>
          <w:szCs w:val="32"/>
        </w:rPr>
        <w:t>[2019]</w:t>
      </w:r>
      <w:r>
        <w:rPr>
          <w:rFonts w:ascii="Microsoft JhengHei" w:hAnsi="Microsoft JhengHei" w:cs="Microsoft JhengHei" w:eastAsia="Microsoft JhengHei" w:hint="default"/>
          <w:b/>
          <w:bCs/>
          <w:sz w:val="32"/>
          <w:szCs w:val="32"/>
        </w:rPr>
        <w:t>第 </w:t>
      </w:r>
      <w:r>
        <w:rPr>
          <w:rFonts w:ascii="Times New Roman" w:hAnsi="Times New Roman" w:cs="Times New Roman" w:eastAsia="Times New Roman" w:hint="default"/>
          <w:b/>
          <w:bCs/>
          <w:sz w:val="32"/>
          <w:szCs w:val="32"/>
        </w:rPr>
        <w:t>ZE10332 </w:t>
      </w:r>
      <w:r>
        <w:rPr>
          <w:rFonts w:ascii="Microsoft JhengHei" w:hAnsi="Microsoft JhengHei" w:cs="Microsoft JhengHei" w:eastAsia="Microsoft JhengHei" w:hint="default"/>
          <w:b/>
          <w:bCs/>
          <w:sz w:val="32"/>
          <w:szCs w:val="32"/>
        </w:rPr>
        <w:t>号</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footerReference w:type="default" r:id="rId32"/>
          <w:pgSz w:w="11910" w:h="16840"/>
          <w:pgMar w:footer="1265" w:header="877" w:top="1100" w:bottom="14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3"/>
          <w:szCs w:val="23"/>
        </w:rPr>
      </w:pPr>
    </w:p>
    <w:p>
      <w:pPr>
        <w:spacing w:line="456" w:lineRule="exact" w:before="0"/>
        <w:ind w:left="1965"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深圳市农产品集团股份有限公司</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22"/>
          <w:szCs w:val="22"/>
        </w:rPr>
      </w:pPr>
    </w:p>
    <w:p>
      <w:pPr>
        <w:spacing w:before="0"/>
        <w:ind w:left="1962"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审计报告及财务报表</w:t>
      </w:r>
      <w:r>
        <w:rPr>
          <w:rFonts w:ascii="Microsoft JhengHei" w:hAnsi="Microsoft JhengHei" w:cs="Microsoft JhengHei" w:eastAsia="Microsoft JhengHei" w:hint="default"/>
          <w:sz w:val="32"/>
          <w:szCs w:val="32"/>
        </w:rPr>
      </w:r>
    </w:p>
    <w:p>
      <w:pPr>
        <w:spacing w:before="143"/>
        <w:ind w:left="1965" w:right="3441" w:firstLine="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275"/>
        <w:gridCol w:w="5514"/>
        <w:gridCol w:w="257"/>
        <w:gridCol w:w="1577"/>
      </w:tblGrid>
      <w:tr>
        <w:trPr>
          <w:trHeight w:val="636"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single" w:sz="4" w:space="0" w:color="000000"/>
              <w:right w:val="nil" w:sz="6" w:space="0" w:color="auto"/>
            </w:tcBorders>
          </w:tcPr>
          <w:p>
            <w:pPr>
              <w:pStyle w:val="TableParagraph"/>
              <w:spacing w:line="240" w:lineRule="exact"/>
              <w:ind w:right="6"/>
              <w:jc w:val="center"/>
              <w:rPr>
                <w:rFonts w:ascii="宋体" w:hAnsi="宋体" w:cs="宋体" w:eastAsia="宋体" w:hint="default"/>
                <w:sz w:val="24"/>
                <w:szCs w:val="24"/>
              </w:rPr>
            </w:pPr>
            <w:r>
              <w:rPr>
                <w:rFonts w:ascii="宋体" w:hAnsi="宋体" w:cs="宋体" w:eastAsia="宋体" w:hint="default"/>
                <w:sz w:val="24"/>
                <w:szCs w:val="24"/>
              </w:rPr>
              <w:t>目录</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exact"/>
              <w:ind w:right="1"/>
              <w:jc w:val="center"/>
              <w:rPr>
                <w:rFonts w:ascii="宋体" w:hAnsi="宋体" w:cs="宋体" w:eastAsia="宋体" w:hint="default"/>
                <w:sz w:val="24"/>
                <w:szCs w:val="24"/>
              </w:rPr>
            </w:pPr>
            <w:r>
              <w:rPr>
                <w:rFonts w:ascii="宋体" w:hAnsi="宋体" w:cs="宋体" w:eastAsia="宋体" w:hint="default"/>
                <w:sz w:val="24"/>
                <w:szCs w:val="24"/>
              </w:rPr>
              <w:t>页次</w:t>
            </w:r>
          </w:p>
        </w:tc>
      </w:tr>
      <w:tr>
        <w:trPr>
          <w:trHeight w:val="553"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4"/>
                <w:szCs w:val="24"/>
              </w:rPr>
            </w:pPr>
            <w:r>
              <w:rPr>
                <w:rFonts w:ascii="宋体" w:hAnsi="宋体" w:cs="宋体" w:eastAsia="宋体" w:hint="default"/>
                <w:sz w:val="24"/>
                <w:szCs w:val="24"/>
              </w:rPr>
              <w:t>一、</w:t>
            </w:r>
          </w:p>
        </w:tc>
        <w:tc>
          <w:tcPr>
            <w:tcW w:w="5514" w:type="dxa"/>
            <w:tcBorders>
              <w:top w:val="single" w:sz="4" w:space="0" w:color="000000"/>
              <w:left w:val="nil" w:sz="6" w:space="0" w:color="auto"/>
              <w:bottom w:val="nil" w:sz="6" w:space="0" w:color="auto"/>
              <w:right w:val="nil" w:sz="6" w:space="0" w:color="auto"/>
            </w:tcBorders>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审计报告</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24"/>
                <w:szCs w:val="24"/>
              </w:rPr>
            </w:pPr>
            <w:r>
              <w:rPr>
                <w:rFonts w:ascii="Times New Roman"/>
                <w:spacing w:val="-1"/>
                <w:sz w:val="24"/>
              </w:rPr>
              <w:t>1-6</w:t>
            </w:r>
          </w:p>
        </w:tc>
      </w:tr>
      <w:tr>
        <w:trPr>
          <w:trHeight w:val="703"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00" w:right="0"/>
              <w:jc w:val="left"/>
              <w:rPr>
                <w:rFonts w:ascii="宋体" w:hAnsi="宋体" w:cs="宋体" w:eastAsia="宋体" w:hint="default"/>
                <w:sz w:val="24"/>
                <w:szCs w:val="24"/>
              </w:rPr>
            </w:pPr>
            <w:r>
              <w:rPr>
                <w:rFonts w:ascii="宋体" w:hAnsi="宋体" w:cs="宋体" w:eastAsia="宋体" w:hint="default"/>
                <w:sz w:val="24"/>
                <w:szCs w:val="24"/>
              </w:rPr>
              <w:t>二、</w:t>
            </w: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05" w:right="0"/>
              <w:jc w:val="left"/>
              <w:rPr>
                <w:rFonts w:ascii="宋体" w:hAnsi="宋体" w:cs="宋体" w:eastAsia="宋体" w:hint="default"/>
                <w:sz w:val="24"/>
                <w:szCs w:val="24"/>
              </w:rPr>
            </w:pPr>
            <w:r>
              <w:rPr>
                <w:rFonts w:ascii="宋体" w:hAnsi="宋体" w:cs="宋体" w:eastAsia="宋体" w:hint="default"/>
                <w:sz w:val="24"/>
                <w:szCs w:val="24"/>
              </w:rPr>
              <w:t>财务报表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r>
      <w:tr>
        <w:trPr>
          <w:trHeight w:val="707"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合并资产负债表和公司资产负债表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8"/>
              <w:ind w:right="105"/>
              <w:jc w:val="right"/>
              <w:rPr>
                <w:rFonts w:ascii="Times New Roman" w:hAnsi="Times New Roman" w:cs="Times New Roman" w:eastAsia="Times New Roman" w:hint="default"/>
                <w:sz w:val="24"/>
                <w:szCs w:val="24"/>
              </w:rPr>
            </w:pPr>
            <w:r>
              <w:rPr>
                <w:rFonts w:ascii="Times New Roman"/>
                <w:spacing w:val="-1"/>
                <w:sz w:val="24"/>
              </w:rPr>
              <w:t>1-4</w:t>
            </w:r>
          </w:p>
        </w:tc>
      </w:tr>
      <w:tr>
        <w:trPr>
          <w:trHeight w:val="707"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4"/>
                <w:szCs w:val="24"/>
              </w:rPr>
            </w:pPr>
            <w:r>
              <w:rPr>
                <w:rFonts w:ascii="宋体" w:hAnsi="宋体" w:cs="宋体" w:eastAsia="宋体" w:hint="default"/>
                <w:sz w:val="24"/>
                <w:szCs w:val="24"/>
              </w:rPr>
              <w:t>合并利润表和公司利润表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6"/>
              <w:ind w:right="105"/>
              <w:jc w:val="right"/>
              <w:rPr>
                <w:rFonts w:ascii="Times New Roman" w:hAnsi="Times New Roman" w:cs="Times New Roman" w:eastAsia="Times New Roman" w:hint="default"/>
                <w:sz w:val="24"/>
                <w:szCs w:val="24"/>
              </w:rPr>
            </w:pPr>
            <w:r>
              <w:rPr>
                <w:rFonts w:ascii="Times New Roman"/>
                <w:spacing w:val="-1"/>
                <w:sz w:val="24"/>
              </w:rPr>
              <w:t>5-6</w:t>
            </w:r>
          </w:p>
        </w:tc>
      </w:tr>
      <w:tr>
        <w:trPr>
          <w:trHeight w:val="708"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合并现金流量表和公司现金流量表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7-8</w:t>
            </w:r>
          </w:p>
        </w:tc>
      </w:tr>
      <w:tr>
        <w:trPr>
          <w:trHeight w:val="707"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合并所有者权益变动表和公司所有者权益变动表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9-12</w:t>
            </w:r>
          </w:p>
        </w:tc>
      </w:tr>
      <w:tr>
        <w:trPr>
          <w:trHeight w:val="479"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6"/>
              <w:ind w:right="105"/>
              <w:jc w:val="right"/>
              <w:rPr>
                <w:rFonts w:ascii="Times New Roman" w:hAnsi="Times New Roman" w:cs="Times New Roman" w:eastAsia="Times New Roman" w:hint="default"/>
                <w:sz w:val="24"/>
                <w:szCs w:val="24"/>
              </w:rPr>
            </w:pPr>
            <w:r>
              <w:rPr>
                <w:rFonts w:ascii="Times New Roman"/>
                <w:spacing w:val="-1"/>
                <w:sz w:val="24"/>
              </w:rPr>
              <w:t>1-138</w:t>
            </w:r>
          </w:p>
        </w:tc>
      </w:tr>
    </w:tbl>
    <w:p>
      <w:pPr>
        <w:spacing w:after="0" w:line="240" w:lineRule="auto"/>
        <w:jc w:val="right"/>
        <w:rPr>
          <w:rFonts w:ascii="Times New Roman" w:hAnsi="Times New Roman" w:cs="Times New Roman" w:eastAsia="Times New Roman" w:hint="default"/>
          <w:sz w:val="24"/>
          <w:szCs w:val="24"/>
        </w:rPr>
        <w:sectPr>
          <w:headerReference w:type="default" r:id="rId33"/>
          <w:footerReference w:type="default" r:id="rId34"/>
          <w:pgSz w:w="11910" w:h="16840"/>
          <w:pgMar w:header="0" w:footer="1265" w:top="1580" w:bottom="146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
        <w:ind w:left="3536" w:right="521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审计报告</w:t>
      </w:r>
      <w:r>
        <w:rPr>
          <w:rFonts w:ascii="Microsoft JhengHei" w:hAnsi="Microsoft JhengHei" w:cs="Microsoft JhengHei" w:eastAsia="Microsoft JhengHei" w:hint="default"/>
          <w:sz w:val="36"/>
          <w:szCs w:val="36"/>
        </w:rPr>
      </w:r>
    </w:p>
    <w:p>
      <w:pPr>
        <w:spacing w:line="240" w:lineRule="auto" w:before="12"/>
        <w:rPr>
          <w:rFonts w:ascii="Microsoft JhengHei" w:hAnsi="Microsoft JhengHei" w:cs="Microsoft JhengHei" w:eastAsia="Microsoft JhengHei" w:hint="default"/>
          <w:b/>
          <w:bCs/>
          <w:sz w:val="19"/>
          <w:szCs w:val="19"/>
        </w:rPr>
      </w:pPr>
    </w:p>
    <w:p>
      <w:pPr>
        <w:spacing w:before="44"/>
        <w:ind w:left="5931" w:right="66"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ZE10332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240" w:lineRule="auto" w:before="1"/>
        <w:rPr>
          <w:rFonts w:ascii="宋体" w:hAnsi="宋体" w:cs="宋体" w:eastAsia="宋体" w:hint="default"/>
          <w:sz w:val="27"/>
          <w:szCs w:val="27"/>
        </w:rPr>
      </w:pPr>
    </w:p>
    <w:p>
      <w:pPr>
        <w:pStyle w:val="Heading2"/>
        <w:spacing w:line="413" w:lineRule="exact"/>
        <w:ind w:left="118" w:right="0"/>
        <w:jc w:val="both"/>
        <w:rPr>
          <w:b w:val="0"/>
          <w:bCs w:val="0"/>
        </w:rPr>
      </w:pPr>
      <w:r>
        <w:rPr/>
        <w:t>深圳市农产品集团股份有限公司全体股东：</w:t>
      </w:r>
      <w:r>
        <w:rPr>
          <w:b w:val="0"/>
          <w:bCs w:val="0"/>
        </w:rPr>
      </w:r>
    </w:p>
    <w:p>
      <w:pPr>
        <w:spacing w:line="750" w:lineRule="atLeast" w:before="54"/>
        <w:ind w:left="684" w:right="66"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z w:val="28"/>
          <w:szCs w:val="28"/>
        </w:rPr>
        <w:t>审计意见</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宋体" w:hAnsi="宋体" w:cs="宋体" w:eastAsia="宋体" w:hint="default"/>
          <w:sz w:val="28"/>
          <w:szCs w:val="28"/>
        </w:rPr>
        <w:t>我们审计了深圳市农产品集团股份有限公司（以下简称</w:t>
      </w:r>
      <w:r>
        <w:rPr>
          <w:rFonts w:ascii="Times New Roman" w:hAnsi="Times New Roman" w:cs="Times New Roman" w:eastAsia="Times New Roman" w:hint="default"/>
          <w:sz w:val="28"/>
          <w:szCs w:val="28"/>
        </w:rPr>
        <w:t>“</w:t>
      </w:r>
      <w:r>
        <w:rPr>
          <w:rFonts w:ascii="宋体" w:hAnsi="宋体" w:cs="宋体" w:eastAsia="宋体" w:hint="default"/>
          <w:sz w:val="28"/>
          <w:szCs w:val="28"/>
        </w:rPr>
        <w:t>农产品</w:t>
      </w:r>
    </w:p>
    <w:p>
      <w:pPr>
        <w:pStyle w:val="Heading3"/>
        <w:spacing w:line="223" w:lineRule="auto"/>
        <w:ind w:right="1789" w:firstLine="0"/>
        <w:jc w:val="both"/>
      </w:pPr>
      <w:r>
        <w:rPr>
          <w:spacing w:val="-8"/>
        </w:rPr>
        <w:t>公司</w:t>
      </w:r>
      <w:r>
        <w:rPr>
          <w:rFonts w:ascii="Times New Roman" w:hAnsi="Times New Roman" w:cs="Times New Roman" w:eastAsia="Times New Roman" w:hint="default"/>
          <w:spacing w:val="-8"/>
        </w:rPr>
        <w:t>”</w:t>
      </w:r>
      <w:r>
        <w:rPr>
          <w:spacing w:val="-8"/>
        </w:rPr>
        <w:t>）财务报表，包括</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日的合并及母公司资产负债</w:t>
      </w:r>
      <w:r>
        <w:rPr>
          <w:w w:val="100"/>
        </w:rPr>
        <w:t> </w:t>
      </w:r>
      <w:r>
        <w:rPr/>
        <w:t>表，</w:t>
      </w:r>
      <w:r>
        <w:rPr>
          <w:rFonts w:ascii="Times New Roman" w:hAnsi="Times New Roman" w:cs="Times New Roman" w:eastAsia="Times New Roman" w:hint="default"/>
        </w:rPr>
        <w:t>2018</w:t>
      </w:r>
      <w:r>
        <w:rPr>
          <w:rFonts w:ascii="Times New Roman" w:hAnsi="Times New Roman" w:cs="Times New Roman" w:eastAsia="Times New Roman" w:hint="default"/>
          <w:spacing w:val="42"/>
        </w:rPr>
        <w:t> </w:t>
      </w:r>
      <w:r>
        <w:rPr/>
        <w:t>年度的合并及母公司利润表、合并及母公司现金流量表、</w:t>
      </w:r>
      <w:r>
        <w:rPr>
          <w:spacing w:val="-136"/>
        </w:rPr>
        <w:t> </w:t>
      </w:r>
      <w:r>
        <w:rPr>
          <w:spacing w:val="-136"/>
        </w:rPr>
      </w:r>
      <w:r>
        <w:rPr/>
        <w:t>合并及母公司股东权益变动表以及相关财务报表附注。</w:t>
      </w:r>
    </w:p>
    <w:p>
      <w:pPr>
        <w:pStyle w:val="Heading3"/>
        <w:spacing w:line="362" w:lineRule="exact" w:before="79"/>
        <w:ind w:right="1785"/>
        <w:jc w:val="left"/>
      </w:pPr>
      <w:r>
        <w:rPr>
          <w:spacing w:val="-5"/>
        </w:rPr>
        <w:t>我们认为，后附的财务报表在所有重大方面按照企业会计准则的</w:t>
      </w:r>
      <w:r>
        <w:rPr>
          <w:w w:val="100"/>
        </w:rPr>
        <w:t> </w:t>
      </w:r>
      <w:r>
        <w:rPr/>
        <w:t>规定编制，公允反映了农产品公司</w:t>
      </w:r>
      <w:r>
        <w:rPr>
          <w:spacing w:val="-6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日的合并及母公</w:t>
      </w:r>
    </w:p>
    <w:p>
      <w:pPr>
        <w:pStyle w:val="Heading3"/>
        <w:spacing w:line="351" w:lineRule="exact"/>
        <w:ind w:right="0" w:firstLine="0"/>
        <w:jc w:val="both"/>
      </w:pPr>
      <w:r>
        <w:rPr/>
        <w:t>司财务状况以及</w:t>
      </w:r>
      <w:r>
        <w:rPr>
          <w:spacing w:val="-7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年度的合并及母公司经营成果和现金流量。</w:t>
      </w:r>
    </w:p>
    <w:p>
      <w:pPr>
        <w:spacing w:line="730" w:lineRule="atLeast" w:before="82"/>
        <w:ind w:left="684" w:right="66"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z w:val="28"/>
          <w:szCs w:val="28"/>
        </w:rPr>
        <w:t>形成审计意见的基础</w:t>
      </w:r>
      <w:r>
        <w:rPr>
          <w:rFonts w:ascii="Microsoft JhengHei" w:hAnsi="Microsoft JhengHei" w:cs="Microsoft JhengHei" w:eastAsia="Microsoft JhengHei" w:hint="default"/>
          <w:b/>
          <w:bCs/>
          <w:spacing w:val="-60"/>
          <w:sz w:val="28"/>
          <w:szCs w:val="28"/>
        </w:rPr>
        <w:t> </w:t>
      </w:r>
      <w:r>
        <w:rPr>
          <w:rFonts w:ascii="Microsoft JhengHei" w:hAnsi="Microsoft JhengHei" w:cs="Microsoft JhengHei" w:eastAsia="Microsoft JhengHei" w:hint="default"/>
          <w:b/>
          <w:bCs/>
          <w:spacing w:val="-60"/>
          <w:sz w:val="28"/>
          <w:szCs w:val="28"/>
        </w:rPr>
      </w:r>
      <w:r>
        <w:rPr>
          <w:rFonts w:ascii="宋体" w:hAnsi="宋体" w:cs="宋体" w:eastAsia="宋体" w:hint="default"/>
          <w:spacing w:val="-5"/>
          <w:sz w:val="28"/>
          <w:szCs w:val="28"/>
        </w:rPr>
        <w:t>我们按照中国注册会计师审计准则的规定执行了审计工作。审计</w:t>
      </w:r>
    </w:p>
    <w:p>
      <w:pPr>
        <w:pStyle w:val="Heading3"/>
        <w:spacing w:line="232" w:lineRule="auto" w:before="6"/>
        <w:ind w:right="1792" w:firstLine="0"/>
        <w:jc w:val="both"/>
      </w:pPr>
      <w:r>
        <w:rPr>
          <w:spacing w:val="5"/>
        </w:rPr>
        <w:t>报告的</w:t>
      </w:r>
      <w:r>
        <w:rPr>
          <w:rFonts w:ascii="Times New Roman" w:hAnsi="Times New Roman" w:cs="Times New Roman" w:eastAsia="Times New Roman" w:hint="default"/>
          <w:spacing w:val="5"/>
        </w:rPr>
        <w:t>“</w:t>
      </w:r>
      <w:r>
        <w:rPr>
          <w:spacing w:val="5"/>
        </w:rPr>
        <w:t>注册会计师对财务报表审计的责任</w:t>
      </w:r>
      <w:r>
        <w:rPr>
          <w:rFonts w:ascii="Times New Roman" w:hAnsi="Times New Roman" w:cs="Times New Roman" w:eastAsia="Times New Roman" w:hint="default"/>
          <w:spacing w:val="5"/>
        </w:rPr>
        <w:t>”</w:t>
      </w:r>
      <w:r>
        <w:rPr>
          <w:spacing w:val="5"/>
        </w:rPr>
        <w:t>部分进一步阐述了我们</w:t>
      </w:r>
      <w:r>
        <w:rPr>
          <w:spacing w:val="-73"/>
        </w:rPr>
        <w:t> </w:t>
      </w:r>
      <w:r>
        <w:rPr>
          <w:spacing w:val="-73"/>
        </w:rPr>
      </w:r>
      <w:r>
        <w:rPr>
          <w:spacing w:val="-4"/>
        </w:rPr>
        <w:t>在这些准则下的责任。按照中国注册会计师职业道德守则，我们独立</w:t>
      </w:r>
      <w:r>
        <w:rPr>
          <w:spacing w:val="-114"/>
        </w:rPr>
        <w:t> </w:t>
      </w:r>
      <w:r>
        <w:rPr>
          <w:spacing w:val="-114"/>
        </w:rPr>
      </w:r>
      <w:r>
        <w:rPr>
          <w:spacing w:val="-4"/>
        </w:rPr>
        <w:t>于农产品公司，并履行了职业道德方面的其他责任。我们相信，我们</w:t>
      </w:r>
      <w:r>
        <w:rPr>
          <w:spacing w:val="-113"/>
        </w:rPr>
        <w:t> </w:t>
      </w:r>
      <w:r>
        <w:rPr>
          <w:spacing w:val="-113"/>
        </w:rPr>
      </w:r>
      <w:r>
        <w:rPr/>
        <w:t>获取的审计证据是充分、适当的，为发表审计意见提供了基础。</w:t>
      </w:r>
    </w:p>
    <w:p>
      <w:pPr>
        <w:spacing w:line="730" w:lineRule="atLeast" w:before="107"/>
        <w:ind w:left="684" w:right="66"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pacing w:val="-62"/>
          <w:sz w:val="28"/>
          <w:szCs w:val="28"/>
        </w:rPr>
      </w:r>
      <w:r>
        <w:rPr>
          <w:rFonts w:ascii="宋体" w:hAnsi="宋体" w:cs="宋体" w:eastAsia="宋体" w:hint="default"/>
          <w:spacing w:val="-5"/>
          <w:sz w:val="28"/>
          <w:szCs w:val="28"/>
        </w:rPr>
        <w:t>关键审计事项是我们根据职业判断，认为对本期财务报表审计最</w:t>
      </w:r>
    </w:p>
    <w:p>
      <w:pPr>
        <w:pStyle w:val="Heading3"/>
        <w:spacing w:line="362" w:lineRule="exact" w:before="33"/>
        <w:ind w:right="1793" w:firstLine="0"/>
        <w:jc w:val="both"/>
      </w:pPr>
      <w:r>
        <w:rPr>
          <w:spacing w:val="-4"/>
        </w:rPr>
        <w:t>为重要的事项。这些事项的应对以对财务报表整体进行审计并形成审</w:t>
      </w:r>
      <w:r>
        <w:rPr>
          <w:spacing w:val="-113"/>
        </w:rPr>
        <w:t> </w:t>
      </w:r>
      <w:r>
        <w:rPr>
          <w:spacing w:val="-113"/>
        </w:rPr>
      </w:r>
      <w:r>
        <w:rPr>
          <w:spacing w:val="-4"/>
        </w:rPr>
        <w:t>计意见为背景，我们不对这些事项单独发表意见。我们确定下列事项</w:t>
      </w:r>
      <w:r>
        <w:rPr>
          <w:spacing w:val="-113"/>
        </w:rPr>
        <w:t> </w:t>
      </w:r>
      <w:r>
        <w:rPr>
          <w:spacing w:val="-113"/>
        </w:rPr>
      </w:r>
      <w:r>
        <w:rPr/>
        <w:t>是需要在审计报告中沟通的关键审计事项。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153"/>
        <w:gridCol w:w="4071"/>
      </w:tblGrid>
      <w:tr>
        <w:trPr>
          <w:trHeight w:val="45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393" w:lineRule="exact"/>
              <w:ind w:left="1226"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sz w:val="28"/>
                <w:szCs w:val="28"/>
              </w:rPr>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393" w:lineRule="exact"/>
              <w:ind w:left="201"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该事项在审计中是如何应对的</w:t>
            </w:r>
            <w:r>
              <w:rPr>
                <w:rFonts w:ascii="Microsoft JhengHei" w:hAnsi="Microsoft JhengHei" w:cs="Microsoft JhengHei" w:eastAsia="Microsoft JhengHei" w:hint="default"/>
                <w:sz w:val="28"/>
                <w:szCs w:val="28"/>
              </w:rPr>
            </w:r>
          </w:p>
        </w:tc>
      </w:tr>
      <w:tr>
        <w:trPr>
          <w:trHeight w:val="454"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103" w:right="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（一）</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经营性非流动资产减值</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tc>
      </w:tr>
    </w:tbl>
    <w:p>
      <w:pPr>
        <w:spacing w:after="0" w:line="390" w:lineRule="exact"/>
        <w:jc w:val="left"/>
        <w:rPr>
          <w:rFonts w:ascii="Times New Roman" w:hAnsi="Times New Roman" w:cs="Times New Roman" w:eastAsia="Times New Roman" w:hint="default"/>
          <w:sz w:val="28"/>
          <w:szCs w:val="28"/>
        </w:rPr>
        <w:sectPr>
          <w:headerReference w:type="default" r:id="rId35"/>
          <w:footerReference w:type="default" r:id="rId36"/>
          <w:pgSz w:w="11910" w:h="16840"/>
          <w:pgMar w:header="0" w:footer="976" w:top="1580" w:bottom="1160" w:left="168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153"/>
        <w:gridCol w:w="4071"/>
      </w:tblGrid>
      <w:tr>
        <w:trPr>
          <w:trHeight w:val="10017"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
              <w:ind w:left="103" w:right="97"/>
              <w:jc w:val="both"/>
              <w:rPr>
                <w:rFonts w:ascii="Times New Roman" w:hAnsi="Times New Roman" w:cs="Times New Roman" w:eastAsia="Times New Roman" w:hint="default"/>
                <w:sz w:val="28"/>
                <w:szCs w:val="28"/>
              </w:rPr>
            </w:pPr>
            <w:r>
              <w:rPr>
                <w:rFonts w:ascii="宋体" w:hAnsi="宋体" w:cs="宋体" w:eastAsia="宋体" w:hint="default"/>
                <w:sz w:val="28"/>
                <w:szCs w:val="28"/>
              </w:rPr>
              <w:t>参见农产品公司合并财务报表附</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19"/>
                <w:w w:val="100"/>
                <w:sz w:val="28"/>
                <w:szCs w:val="28"/>
              </w:rPr>
              <w:t>注三、（十九）长期资产减值会计</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pacing w:val="-35"/>
                <w:w w:val="100"/>
                <w:sz w:val="28"/>
                <w:szCs w:val="28"/>
              </w:rPr>
              <w:t>政策及附注五、（十一）至五、（十</w:t>
            </w:r>
            <w:r>
              <w:rPr>
                <w:rFonts w:ascii="宋体" w:hAnsi="宋体" w:cs="宋体" w:eastAsia="宋体" w:hint="default"/>
                <w:spacing w:val="-138"/>
                <w:w w:val="100"/>
                <w:sz w:val="28"/>
                <w:szCs w:val="28"/>
              </w:rPr>
              <w:t> </w:t>
            </w:r>
            <w:r>
              <w:rPr>
                <w:rFonts w:ascii="宋体" w:hAnsi="宋体" w:cs="宋体" w:eastAsia="宋体" w:hint="default"/>
                <w:spacing w:val="-138"/>
                <w:w w:val="100"/>
                <w:sz w:val="28"/>
                <w:szCs w:val="28"/>
              </w:rPr>
            </w:r>
            <w:r>
              <w:rPr>
                <w:rFonts w:ascii="宋体" w:hAnsi="宋体" w:cs="宋体" w:eastAsia="宋体" w:hint="default"/>
                <w:spacing w:val="-29"/>
                <w:w w:val="100"/>
                <w:sz w:val="28"/>
                <w:szCs w:val="28"/>
              </w:rPr>
              <w:t>四）。截至</w:t>
            </w:r>
            <w:r>
              <w:rPr>
                <w:rFonts w:ascii="宋体" w:hAnsi="宋体" w:cs="宋体" w:eastAsia="宋体" w:hint="default"/>
                <w:spacing w:val="-68"/>
                <w:w w:val="100"/>
                <w:sz w:val="28"/>
                <w:szCs w:val="28"/>
              </w:rPr>
              <w:t> </w:t>
            </w:r>
            <w:r>
              <w:rPr>
                <w:rFonts w:ascii="Times New Roman" w:hAnsi="Times New Roman" w:cs="Times New Roman" w:eastAsia="Times New Roman" w:hint="default"/>
                <w:spacing w:val="-1"/>
                <w:w w:val="100"/>
                <w:sz w:val="28"/>
                <w:szCs w:val="28"/>
              </w:rPr>
              <w:t>2018</w:t>
            </w:r>
            <w:r>
              <w:rPr>
                <w:rFonts w:ascii="Times New Roman" w:hAnsi="Times New Roman" w:cs="Times New Roman" w:eastAsia="Times New Roman" w:hint="default"/>
                <w:spacing w:val="4"/>
                <w:w w:val="100"/>
                <w:sz w:val="28"/>
                <w:szCs w:val="28"/>
              </w:rPr>
              <w:t> </w:t>
            </w:r>
            <w:r>
              <w:rPr>
                <w:rFonts w:ascii="宋体" w:hAnsi="宋体" w:cs="宋体" w:eastAsia="宋体" w:hint="default"/>
                <w:w w:val="100"/>
                <w:sz w:val="28"/>
                <w:szCs w:val="28"/>
              </w:rPr>
              <w:t>年</w:t>
            </w:r>
            <w:r>
              <w:rPr>
                <w:rFonts w:ascii="宋体" w:hAnsi="宋体" w:cs="宋体" w:eastAsia="宋体" w:hint="default"/>
                <w:spacing w:val="-71"/>
                <w:w w:val="100"/>
                <w:sz w:val="28"/>
                <w:szCs w:val="28"/>
              </w:rPr>
              <w:t> </w:t>
            </w:r>
            <w:r>
              <w:rPr>
                <w:rFonts w:ascii="Times New Roman" w:hAnsi="Times New Roman" w:cs="Times New Roman" w:eastAsia="Times New Roman" w:hint="default"/>
                <w:w w:val="100"/>
                <w:sz w:val="28"/>
                <w:szCs w:val="28"/>
              </w:rPr>
              <w:t>12</w:t>
            </w:r>
            <w:r>
              <w:rPr>
                <w:rFonts w:ascii="Times New Roman" w:hAnsi="Times New Roman" w:cs="Times New Roman" w:eastAsia="Times New Roman" w:hint="default"/>
                <w:spacing w:val="3"/>
                <w:w w:val="100"/>
                <w:sz w:val="28"/>
                <w:szCs w:val="28"/>
              </w:rPr>
              <w:t> </w:t>
            </w:r>
            <w:r>
              <w:rPr>
                <w:rFonts w:ascii="宋体" w:hAnsi="宋体" w:cs="宋体" w:eastAsia="宋体" w:hint="default"/>
                <w:w w:val="100"/>
                <w:sz w:val="28"/>
                <w:szCs w:val="28"/>
              </w:rPr>
              <w:t>月</w:t>
            </w:r>
            <w:r>
              <w:rPr>
                <w:rFonts w:ascii="宋体" w:hAnsi="宋体" w:cs="宋体" w:eastAsia="宋体" w:hint="default"/>
                <w:spacing w:val="-71"/>
                <w:w w:val="100"/>
                <w:sz w:val="28"/>
                <w:szCs w:val="28"/>
              </w:rPr>
              <w:t> </w:t>
            </w:r>
            <w:r>
              <w:rPr>
                <w:rFonts w:ascii="Times New Roman" w:hAnsi="Times New Roman" w:cs="Times New Roman" w:eastAsia="Times New Roman" w:hint="default"/>
                <w:w w:val="100"/>
                <w:sz w:val="28"/>
                <w:szCs w:val="28"/>
              </w:rPr>
              <w:t>31</w:t>
            </w:r>
            <w:r>
              <w:rPr>
                <w:rFonts w:ascii="Times New Roman" w:hAnsi="Times New Roman" w:cs="Times New Roman" w:eastAsia="Times New Roman" w:hint="default"/>
                <w:spacing w:val="3"/>
                <w:w w:val="100"/>
                <w:sz w:val="28"/>
                <w:szCs w:val="28"/>
              </w:rPr>
              <w:t> </w:t>
            </w:r>
            <w:r>
              <w:rPr>
                <w:rFonts w:ascii="宋体" w:hAnsi="宋体" w:cs="宋体" w:eastAsia="宋体" w:hint="default"/>
                <w:spacing w:val="-3"/>
                <w:w w:val="100"/>
                <w:sz w:val="28"/>
                <w:szCs w:val="28"/>
              </w:rPr>
              <w:t>日， </w:t>
            </w:r>
            <w:r>
              <w:rPr>
                <w:rFonts w:ascii="宋体" w:hAnsi="宋体" w:cs="宋体" w:eastAsia="宋体" w:hint="default"/>
                <w:sz w:val="28"/>
                <w:szCs w:val="28"/>
              </w:rPr>
              <w:t>农产品公司投资性房地产、固定</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资产、在建工程、无形资产账面</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价</w:t>
            </w:r>
            <w:r>
              <w:rPr>
                <w:rFonts w:ascii="宋体" w:hAnsi="宋体" w:cs="宋体" w:eastAsia="宋体" w:hint="default"/>
                <w:spacing w:val="-81"/>
                <w:sz w:val="28"/>
                <w:szCs w:val="28"/>
              </w:rPr>
              <w:t> </w:t>
            </w:r>
            <w:r>
              <w:rPr>
                <w:rFonts w:ascii="宋体" w:hAnsi="宋体" w:cs="宋体" w:eastAsia="宋体" w:hint="default"/>
                <w:sz w:val="28"/>
                <w:szCs w:val="28"/>
              </w:rPr>
              <w:t>值</w:t>
            </w:r>
            <w:r>
              <w:rPr>
                <w:rFonts w:ascii="宋体" w:hAnsi="宋体" w:cs="宋体" w:eastAsia="宋体" w:hint="default"/>
                <w:spacing w:val="-84"/>
                <w:sz w:val="28"/>
                <w:szCs w:val="28"/>
              </w:rPr>
              <w:t> </w:t>
            </w:r>
            <w:r>
              <w:rPr>
                <w:rFonts w:ascii="宋体" w:hAnsi="宋体" w:cs="宋体" w:eastAsia="宋体" w:hint="default"/>
                <w:sz w:val="28"/>
                <w:szCs w:val="28"/>
              </w:rPr>
              <w:t>合</w:t>
            </w:r>
            <w:r>
              <w:rPr>
                <w:rFonts w:ascii="宋体" w:hAnsi="宋体" w:cs="宋体" w:eastAsia="宋体" w:hint="default"/>
                <w:spacing w:val="-84"/>
                <w:sz w:val="28"/>
                <w:szCs w:val="28"/>
              </w:rPr>
              <w:t> </w:t>
            </w:r>
            <w:r>
              <w:rPr>
                <w:rFonts w:ascii="宋体" w:hAnsi="宋体" w:cs="宋体" w:eastAsia="宋体" w:hint="default"/>
                <w:sz w:val="28"/>
                <w:szCs w:val="28"/>
              </w:rPr>
              <w:t>计</w:t>
            </w:r>
            <w:r>
              <w:rPr>
                <w:rFonts w:ascii="宋体" w:hAnsi="宋体" w:cs="宋体" w:eastAsia="宋体" w:hint="default"/>
                <w:spacing w:val="-81"/>
                <w:sz w:val="28"/>
                <w:szCs w:val="28"/>
              </w:rPr>
              <w:t> </w:t>
            </w:r>
            <w:r>
              <w:rPr>
                <w:rFonts w:ascii="宋体" w:hAnsi="宋体" w:cs="宋体" w:eastAsia="宋体" w:hint="default"/>
                <w:sz w:val="28"/>
                <w:szCs w:val="28"/>
              </w:rPr>
              <w:t>为</w:t>
            </w:r>
            <w:r>
              <w:rPr>
                <w:rFonts w:ascii="宋体" w:hAnsi="宋体" w:cs="宋体" w:eastAsia="宋体" w:hint="default"/>
                <w:spacing w:val="51"/>
                <w:sz w:val="28"/>
                <w:szCs w:val="28"/>
              </w:rPr>
              <w:t> </w:t>
            </w:r>
            <w:r>
              <w:rPr>
                <w:rFonts w:ascii="Times New Roman" w:hAnsi="Times New Roman" w:cs="Times New Roman" w:eastAsia="Times New Roman" w:hint="default"/>
                <w:sz w:val="28"/>
                <w:szCs w:val="28"/>
              </w:rPr>
              <w:t>12,091,511,650.39</w:t>
            </w:r>
          </w:p>
          <w:p>
            <w:pPr>
              <w:pStyle w:val="TableParagraph"/>
              <w:spacing w:line="362" w:lineRule="exact" w:before="13"/>
              <w:ind w:left="103" w:right="48"/>
              <w:jc w:val="both"/>
              <w:rPr>
                <w:rFonts w:ascii="宋体" w:hAnsi="宋体" w:cs="宋体" w:eastAsia="宋体" w:hint="default"/>
                <w:sz w:val="28"/>
                <w:szCs w:val="28"/>
              </w:rPr>
            </w:pPr>
            <w:r>
              <w:rPr>
                <w:rFonts w:ascii="宋体" w:hAnsi="宋体" w:cs="宋体" w:eastAsia="宋体" w:hint="default"/>
                <w:spacing w:val="-6"/>
                <w:sz w:val="28"/>
                <w:szCs w:val="28"/>
              </w:rPr>
              <w:t>元，占资产总额的</w:t>
            </w:r>
            <w:r>
              <w:rPr>
                <w:rFonts w:ascii="宋体" w:hAnsi="宋体" w:cs="宋体" w:eastAsia="宋体" w:hint="default"/>
                <w:spacing w:val="-64"/>
                <w:sz w:val="28"/>
                <w:szCs w:val="28"/>
              </w:rPr>
              <w:t> </w:t>
            </w:r>
            <w:r>
              <w:rPr>
                <w:rFonts w:ascii="Times New Roman" w:hAnsi="Times New Roman" w:cs="Times New Roman" w:eastAsia="Times New Roman" w:hint="default"/>
                <w:spacing w:val="-5"/>
                <w:sz w:val="28"/>
                <w:szCs w:val="28"/>
              </w:rPr>
              <w:t>63.64%</w:t>
            </w:r>
            <w:r>
              <w:rPr>
                <w:rFonts w:ascii="宋体" w:hAnsi="宋体" w:cs="宋体" w:eastAsia="宋体" w:hint="default"/>
                <w:spacing w:val="-5"/>
                <w:sz w:val="28"/>
                <w:szCs w:val="28"/>
              </w:rPr>
              <w:t>，累计</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z w:val="28"/>
                <w:szCs w:val="28"/>
              </w:rPr>
              <w:t>计提减值准备</w:t>
            </w:r>
            <w:r>
              <w:rPr>
                <w:rFonts w:ascii="宋体" w:hAnsi="宋体" w:cs="宋体" w:eastAsia="宋体" w:hint="default"/>
                <w:spacing w:val="-74"/>
                <w:sz w:val="28"/>
                <w:szCs w:val="28"/>
              </w:rPr>
              <w:t> </w:t>
            </w:r>
            <w:r>
              <w:rPr>
                <w:rFonts w:ascii="Times New Roman" w:hAnsi="Times New Roman" w:cs="Times New Roman" w:eastAsia="Times New Roman" w:hint="default"/>
                <w:sz w:val="28"/>
                <w:szCs w:val="28"/>
              </w:rPr>
              <w:t>16,662,968.03</w:t>
            </w:r>
            <w:r>
              <w:rPr>
                <w:rFonts w:ascii="Times New Roman" w:hAnsi="Times New Roman" w:cs="Times New Roman" w:eastAsia="Times New Roman" w:hint="default"/>
                <w:spacing w:val="-2"/>
                <w:sz w:val="28"/>
                <w:szCs w:val="28"/>
              </w:rPr>
              <w:t> </w:t>
            </w:r>
            <w:r>
              <w:rPr>
                <w:rFonts w:ascii="宋体" w:hAnsi="宋体" w:cs="宋体" w:eastAsia="宋体" w:hint="default"/>
                <w:spacing w:val="-3"/>
                <w:sz w:val="28"/>
                <w:szCs w:val="28"/>
              </w:rPr>
              <w:t>元。</w:t>
            </w:r>
            <w:r>
              <w:rPr>
                <w:rFonts w:ascii="宋体" w:hAnsi="宋体" w:cs="宋体" w:eastAsia="宋体" w:hint="default"/>
                <w:sz w:val="28"/>
                <w:szCs w:val="28"/>
              </w:rPr>
            </w:r>
          </w:p>
          <w:p>
            <w:pPr>
              <w:pStyle w:val="TableParagraph"/>
              <w:spacing w:line="237" w:lineRule="auto" w:before="9"/>
              <w:ind w:left="103" w:right="75"/>
              <w:jc w:val="both"/>
              <w:rPr>
                <w:rFonts w:ascii="宋体" w:hAnsi="宋体" w:cs="宋体" w:eastAsia="宋体" w:hint="default"/>
                <w:sz w:val="28"/>
                <w:szCs w:val="28"/>
              </w:rPr>
            </w:pPr>
            <w:r>
              <w:rPr>
                <w:rFonts w:ascii="宋体" w:hAnsi="宋体" w:cs="宋体" w:eastAsia="宋体" w:hint="default"/>
                <w:sz w:val="28"/>
                <w:szCs w:val="28"/>
              </w:rPr>
              <w:t>基于经营性非流动资产对公司资</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产的重要性，且评估其预期未来</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可获取的现金流量并确定其现值</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及未来处置时的净售价存在固有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风险及涉及主观判断，特别是考</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虑到当前的经济环境在各个城市</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推出的各种应对房地产市场的措</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施，因此我们将经营性非流动资</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23"/>
                <w:sz w:val="28"/>
                <w:szCs w:val="28"/>
              </w:rPr>
              <w:t>产减值准备确定为关键审计事</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项。</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30"/>
              <w:ind w:left="103" w:right="-40"/>
              <w:jc w:val="left"/>
              <w:rPr>
                <w:rFonts w:ascii="宋体" w:hAnsi="宋体" w:cs="宋体" w:eastAsia="宋体" w:hint="default"/>
                <w:sz w:val="28"/>
                <w:szCs w:val="28"/>
              </w:rPr>
            </w:pPr>
            <w:r>
              <w:rPr>
                <w:rFonts w:ascii="宋体" w:hAnsi="宋体" w:cs="宋体" w:eastAsia="宋体" w:hint="default"/>
                <w:spacing w:val="15"/>
                <w:sz w:val="28"/>
                <w:szCs w:val="28"/>
              </w:rPr>
              <w:t>我们针对经营性非流动资产减</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值所实施的重要审计程序包括：</w:t>
            </w:r>
            <w:r>
              <w:rPr>
                <w:rFonts w:ascii="宋体" w:hAnsi="宋体" w:cs="宋体" w:eastAsia="宋体" w:hint="default"/>
                <w:sz w:val="28"/>
                <w:szCs w:val="28"/>
              </w:rPr>
            </w:r>
          </w:p>
          <w:p>
            <w:pPr>
              <w:pStyle w:val="TableParagraph"/>
              <w:spacing w:line="338" w:lineRule="exact"/>
              <w:ind w:left="103" w:right="0"/>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）对农产品公司与识别经营</w:t>
            </w:r>
            <w:r>
              <w:rPr>
                <w:rFonts w:ascii="宋体" w:hAnsi="宋体" w:cs="宋体" w:eastAsia="宋体" w:hint="default"/>
                <w:sz w:val="28"/>
                <w:szCs w:val="28"/>
              </w:rPr>
            </w:r>
          </w:p>
          <w:p>
            <w:pPr>
              <w:pStyle w:val="TableParagraph"/>
              <w:spacing w:line="237" w:lineRule="auto"/>
              <w:ind w:left="103" w:right="85"/>
              <w:jc w:val="both"/>
              <w:rPr>
                <w:rFonts w:ascii="宋体" w:hAnsi="宋体" w:cs="宋体" w:eastAsia="宋体" w:hint="default"/>
                <w:sz w:val="28"/>
                <w:szCs w:val="28"/>
              </w:rPr>
            </w:pPr>
            <w:r>
              <w:rPr>
                <w:rFonts w:ascii="宋体" w:hAnsi="宋体" w:cs="宋体" w:eastAsia="宋体" w:hint="default"/>
                <w:spacing w:val="15"/>
                <w:sz w:val="28"/>
                <w:szCs w:val="28"/>
              </w:rPr>
              <w:t>性非流动资产减值迹象和测算</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5"/>
                <w:sz w:val="28"/>
                <w:szCs w:val="28"/>
              </w:rPr>
              <w:t>可回收金额相关的内部控制的</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设计及运行有效性进行了解、评</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估及测试；</w:t>
            </w:r>
          </w:p>
          <w:p>
            <w:pPr>
              <w:pStyle w:val="TableParagraph"/>
              <w:spacing w:line="360" w:lineRule="exact" w:before="78"/>
              <w:ind w:left="103" w:right="98"/>
              <w:jc w:val="left"/>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2</w:t>
            </w:r>
            <w:r>
              <w:rPr>
                <w:rFonts w:ascii="宋体" w:hAnsi="宋体" w:cs="宋体" w:eastAsia="宋体" w:hint="default"/>
                <w:spacing w:val="3"/>
                <w:sz w:val="28"/>
                <w:szCs w:val="28"/>
              </w:rPr>
              <w:t>）实地观察有关经营性非流</w:t>
            </w:r>
            <w:r>
              <w:rPr>
                <w:rFonts w:ascii="宋体" w:hAnsi="宋体" w:cs="宋体" w:eastAsia="宋体" w:hint="default"/>
                <w:spacing w:val="-113"/>
                <w:sz w:val="28"/>
                <w:szCs w:val="28"/>
              </w:rPr>
              <w:t> </w:t>
            </w:r>
            <w:r>
              <w:rPr>
                <w:rFonts w:ascii="宋体" w:hAnsi="宋体" w:cs="宋体" w:eastAsia="宋体" w:hint="default"/>
                <w:sz w:val="28"/>
                <w:szCs w:val="28"/>
              </w:rPr>
              <w:t>动资产，了解其经营状态；</w:t>
            </w:r>
          </w:p>
          <w:p>
            <w:pPr>
              <w:pStyle w:val="TableParagraph"/>
              <w:spacing w:line="235" w:lineRule="auto" w:before="13"/>
              <w:ind w:left="103" w:right="-38"/>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3</w:t>
            </w:r>
            <w:r>
              <w:rPr>
                <w:rFonts w:ascii="宋体" w:hAnsi="宋体" w:cs="宋体" w:eastAsia="宋体" w:hint="default"/>
                <w:spacing w:val="3"/>
                <w:sz w:val="28"/>
                <w:szCs w:val="28"/>
              </w:rPr>
              <w:t>）农产品公司聘请了外部评</w:t>
            </w:r>
            <w:r>
              <w:rPr>
                <w:rFonts w:ascii="宋体" w:hAnsi="宋体" w:cs="宋体" w:eastAsia="宋体" w:hint="default"/>
                <w:spacing w:val="-113"/>
                <w:sz w:val="28"/>
                <w:szCs w:val="28"/>
              </w:rPr>
              <w:t> </w:t>
            </w:r>
            <w:r>
              <w:rPr>
                <w:rFonts w:ascii="宋体" w:hAnsi="宋体" w:cs="宋体" w:eastAsia="宋体" w:hint="default"/>
                <w:spacing w:val="15"/>
                <w:sz w:val="28"/>
                <w:szCs w:val="28"/>
              </w:rPr>
              <w:t>估机构对存在减值迹象的经营</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性非流动资产进行了减值测试。</w:t>
            </w:r>
            <w:r>
              <w:rPr>
                <w:rFonts w:ascii="宋体" w:hAnsi="宋体" w:cs="宋体" w:eastAsia="宋体" w:hint="default"/>
                <w:w w:val="100"/>
                <w:sz w:val="28"/>
                <w:szCs w:val="28"/>
              </w:rPr>
              <w:t> </w:t>
            </w:r>
            <w:r>
              <w:rPr>
                <w:rFonts w:ascii="宋体" w:hAnsi="宋体" w:cs="宋体" w:eastAsia="宋体" w:hint="default"/>
                <w:spacing w:val="15"/>
                <w:sz w:val="28"/>
                <w:szCs w:val="28"/>
              </w:rPr>
              <w:t>评价由公司管理层聘请的外部</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评估机构的独立性、客观性、经</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w w:val="100"/>
                <w:sz w:val="28"/>
                <w:szCs w:val="28"/>
              </w:rPr>
              <w:t>验和资质；（</w:t>
            </w:r>
            <w:r>
              <w:rPr>
                <w:rFonts w:ascii="Times New Roman" w:hAnsi="Times New Roman" w:cs="Times New Roman" w:eastAsia="Times New Roman" w:hint="default"/>
                <w:spacing w:val="-15"/>
                <w:w w:val="100"/>
                <w:sz w:val="28"/>
                <w:szCs w:val="28"/>
              </w:rPr>
              <w:t>4</w:t>
            </w:r>
            <w:r>
              <w:rPr>
                <w:rFonts w:ascii="宋体" w:hAnsi="宋体" w:cs="宋体" w:eastAsia="宋体" w:hint="default"/>
                <w:spacing w:val="-15"/>
                <w:w w:val="100"/>
                <w:sz w:val="28"/>
                <w:szCs w:val="28"/>
              </w:rPr>
              <w:t>）获取外部评估机</w:t>
            </w:r>
            <w:r>
              <w:rPr>
                <w:rFonts w:ascii="宋体" w:hAnsi="宋体" w:cs="宋体" w:eastAsia="宋体" w:hint="default"/>
                <w:spacing w:val="-135"/>
                <w:w w:val="100"/>
                <w:sz w:val="28"/>
                <w:szCs w:val="28"/>
              </w:rPr>
              <w:t> </w:t>
            </w:r>
            <w:r>
              <w:rPr>
                <w:rFonts w:ascii="宋体" w:hAnsi="宋体" w:cs="宋体" w:eastAsia="宋体" w:hint="default"/>
                <w:spacing w:val="-135"/>
                <w:w w:val="100"/>
                <w:sz w:val="28"/>
                <w:szCs w:val="28"/>
              </w:rPr>
            </w:r>
            <w:r>
              <w:rPr>
                <w:rFonts w:ascii="宋体" w:hAnsi="宋体" w:cs="宋体" w:eastAsia="宋体" w:hint="default"/>
                <w:spacing w:val="-6"/>
                <w:sz w:val="28"/>
                <w:szCs w:val="28"/>
              </w:rPr>
              <w:t>构出具的评估报告，与外部评估</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15"/>
                <w:sz w:val="28"/>
                <w:szCs w:val="28"/>
              </w:rPr>
              <w:t>机构专家讨论减值测试过程中</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5"/>
                <w:sz w:val="28"/>
                <w:szCs w:val="28"/>
              </w:rPr>
              <w:t>所使用的方法、关键评估的假</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设、参数的选择、预测未来收入</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24"/>
                <w:sz w:val="28"/>
                <w:szCs w:val="28"/>
              </w:rPr>
              <w:t>及现金流折现率等的合理性；</w:t>
            </w:r>
          </w:p>
          <w:p>
            <w:pPr>
              <w:pStyle w:val="TableParagraph"/>
              <w:spacing w:line="374" w:lineRule="exact"/>
              <w:ind w:left="103" w:right="0"/>
              <w:jc w:val="both"/>
              <w:rPr>
                <w:rFonts w:ascii="Times New Roman" w:hAnsi="Times New Roman" w:cs="Times New Roman" w:eastAsia="Times New Roman"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5</w:t>
            </w:r>
            <w:r>
              <w:rPr>
                <w:rFonts w:ascii="宋体" w:hAnsi="宋体" w:cs="宋体" w:eastAsia="宋体" w:hint="default"/>
                <w:sz w:val="28"/>
                <w:szCs w:val="28"/>
              </w:rPr>
              <w:t>）评估管理层于 </w:t>
            </w:r>
            <w:r>
              <w:rPr>
                <w:rFonts w:ascii="Times New Roman" w:hAnsi="Times New Roman" w:cs="Times New Roman" w:eastAsia="Times New Roman" w:hint="default"/>
                <w:sz w:val="28"/>
                <w:szCs w:val="28"/>
              </w:rPr>
              <w:t>2018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Times New Roman" w:hAnsi="Times New Roman" w:cs="Times New Roman" w:eastAsia="Times New Roman" w:hint="default"/>
                <w:sz w:val="28"/>
                <w:szCs w:val="28"/>
              </w:rPr>
              <w:t>12</w:t>
            </w:r>
          </w:p>
          <w:p>
            <w:pPr>
              <w:pStyle w:val="TableParagraph"/>
              <w:spacing w:line="242" w:lineRule="auto"/>
              <w:ind w:left="103" w:right="85"/>
              <w:jc w:val="left"/>
              <w:rPr>
                <w:rFonts w:ascii="宋体" w:hAnsi="宋体" w:cs="宋体" w:eastAsia="宋体" w:hint="default"/>
                <w:sz w:val="28"/>
                <w:szCs w:val="28"/>
              </w:rPr>
            </w:pPr>
            <w:r>
              <w:rPr>
                <w:rFonts w:ascii="宋体" w:hAnsi="宋体" w:cs="宋体" w:eastAsia="宋体" w:hint="default"/>
                <w:sz w:val="28"/>
                <w:szCs w:val="28"/>
              </w:rPr>
              <w:t>月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日对经营性非流动资产减</w:t>
            </w:r>
            <w:r>
              <w:rPr>
                <w:rFonts w:ascii="宋体" w:hAnsi="宋体" w:cs="宋体" w:eastAsia="宋体" w:hint="default"/>
                <w:w w:val="100"/>
                <w:sz w:val="28"/>
                <w:szCs w:val="28"/>
              </w:rPr>
              <w:t> </w:t>
            </w:r>
            <w:r>
              <w:rPr>
                <w:rFonts w:ascii="宋体" w:hAnsi="宋体" w:cs="宋体" w:eastAsia="宋体" w:hint="default"/>
                <w:sz w:val="28"/>
                <w:szCs w:val="28"/>
              </w:rPr>
              <w:t>值的会计处理及披露。</w:t>
            </w:r>
            <w:r>
              <w:rPr>
                <w:rFonts w:ascii="宋体" w:hAnsi="宋体" w:cs="宋体" w:eastAsia="宋体" w:hint="default"/>
                <w:w w:val="100"/>
                <w:sz w:val="28"/>
                <w:szCs w:val="28"/>
              </w:rPr>
              <w:t> </w:t>
            </w:r>
            <w:r>
              <w:rPr>
                <w:rFonts w:ascii="宋体" w:hAnsi="宋体" w:cs="宋体" w:eastAsia="宋体" w:hint="default"/>
                <w:spacing w:val="-6"/>
                <w:sz w:val="28"/>
                <w:szCs w:val="28"/>
              </w:rPr>
              <w:t>基于获取的审计证据，我们得出</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审计结论，管理层对经营性非流</w:t>
            </w:r>
          </w:p>
          <w:p>
            <w:pPr>
              <w:pStyle w:val="TableParagraph"/>
              <w:spacing w:line="360" w:lineRule="exact" w:before="32"/>
              <w:ind w:left="103" w:right="85"/>
              <w:jc w:val="left"/>
              <w:rPr>
                <w:rFonts w:ascii="宋体" w:hAnsi="宋体" w:cs="宋体" w:eastAsia="宋体" w:hint="default"/>
                <w:sz w:val="28"/>
                <w:szCs w:val="28"/>
              </w:rPr>
            </w:pPr>
            <w:r>
              <w:rPr>
                <w:rFonts w:ascii="宋体" w:hAnsi="宋体" w:cs="宋体" w:eastAsia="宋体" w:hint="default"/>
                <w:spacing w:val="15"/>
                <w:sz w:val="28"/>
                <w:szCs w:val="28"/>
              </w:rPr>
              <w:t>动资产减值准备的计提是合理</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的。</w:t>
            </w:r>
          </w:p>
        </w:tc>
      </w:tr>
      <w:tr>
        <w:trPr>
          <w:trHeight w:val="454"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103" w:right="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（二）</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应收款项坏账准备</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tc>
      </w:tr>
      <w:tr>
        <w:trPr>
          <w:trHeight w:val="2268"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ind w:left="103" w:right="-24"/>
              <w:jc w:val="left"/>
              <w:rPr>
                <w:rFonts w:ascii="宋体" w:hAnsi="宋体" w:cs="宋体" w:eastAsia="宋体" w:hint="default"/>
                <w:sz w:val="28"/>
                <w:szCs w:val="28"/>
              </w:rPr>
            </w:pPr>
            <w:r>
              <w:rPr>
                <w:rFonts w:ascii="宋体" w:hAnsi="宋体" w:cs="宋体" w:eastAsia="宋体" w:hint="default"/>
                <w:sz w:val="28"/>
                <w:szCs w:val="28"/>
              </w:rPr>
              <w:t>参见农产品公司合并财务报表附</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19"/>
                <w:w w:val="100"/>
                <w:sz w:val="28"/>
                <w:szCs w:val="28"/>
              </w:rPr>
              <w:t>注三、（十）应收款项坏账准备的</w:t>
            </w:r>
            <w:r>
              <w:rPr>
                <w:rFonts w:ascii="宋体" w:hAnsi="宋体" w:cs="宋体" w:eastAsia="宋体" w:hint="default"/>
                <w:spacing w:val="-134"/>
                <w:w w:val="100"/>
                <w:sz w:val="28"/>
                <w:szCs w:val="28"/>
              </w:rPr>
              <w:t> </w:t>
            </w:r>
            <w:r>
              <w:rPr>
                <w:rFonts w:ascii="宋体" w:hAnsi="宋体" w:cs="宋体" w:eastAsia="宋体" w:hint="default"/>
                <w:spacing w:val="-134"/>
                <w:w w:val="100"/>
                <w:sz w:val="28"/>
                <w:szCs w:val="28"/>
              </w:rPr>
            </w:r>
            <w:r>
              <w:rPr>
                <w:rFonts w:ascii="宋体" w:hAnsi="宋体" w:cs="宋体" w:eastAsia="宋体" w:hint="default"/>
                <w:sz w:val="28"/>
                <w:szCs w:val="28"/>
              </w:rPr>
              <w:t>确认标准和计提方法及合并财务</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27"/>
                <w:w w:val="100"/>
                <w:sz w:val="28"/>
                <w:szCs w:val="28"/>
              </w:rPr>
              <w:t>报表附注五、（二）和五、（四）。</w:t>
            </w:r>
            <w:r>
              <w:rPr>
                <w:rFonts w:ascii="宋体" w:hAnsi="宋体" w:cs="宋体" w:eastAsia="宋体" w:hint="default"/>
                <w:w w:val="100"/>
                <w:sz w:val="28"/>
                <w:szCs w:val="28"/>
              </w:rPr>
              <w:t> 截至</w:t>
            </w:r>
            <w:r>
              <w:rPr>
                <w:rFonts w:ascii="宋体" w:hAnsi="宋体" w:cs="宋体" w:eastAsia="宋体" w:hint="default"/>
                <w:spacing w:val="-72"/>
                <w:w w:val="100"/>
                <w:sz w:val="28"/>
                <w:szCs w:val="28"/>
              </w:rPr>
              <w:t> </w:t>
            </w:r>
            <w:r>
              <w:rPr>
                <w:rFonts w:ascii="Times New Roman" w:hAnsi="Times New Roman" w:cs="Times New Roman" w:eastAsia="Times New Roman" w:hint="default"/>
                <w:spacing w:val="-1"/>
                <w:w w:val="100"/>
                <w:sz w:val="28"/>
                <w:szCs w:val="28"/>
              </w:rPr>
              <w:t>2018</w:t>
            </w:r>
            <w:r>
              <w:rPr>
                <w:rFonts w:ascii="Times New Roman" w:hAnsi="Times New Roman" w:cs="Times New Roman" w:eastAsia="Times New Roman" w:hint="default"/>
                <w:w w:val="100"/>
                <w:sz w:val="28"/>
                <w:szCs w:val="28"/>
              </w:rPr>
              <w:t> </w:t>
            </w:r>
            <w:r>
              <w:rPr>
                <w:rFonts w:ascii="宋体" w:hAnsi="宋体" w:cs="宋体" w:eastAsia="宋体" w:hint="default"/>
                <w:w w:val="100"/>
                <w:sz w:val="28"/>
                <w:szCs w:val="28"/>
              </w:rPr>
              <w:t>年</w:t>
            </w:r>
            <w:r>
              <w:rPr>
                <w:rFonts w:ascii="宋体" w:hAnsi="宋体" w:cs="宋体" w:eastAsia="宋体" w:hint="default"/>
                <w:spacing w:val="-74"/>
                <w:w w:val="100"/>
                <w:sz w:val="28"/>
                <w:szCs w:val="28"/>
              </w:rPr>
              <w:t> </w:t>
            </w:r>
            <w:r>
              <w:rPr>
                <w:rFonts w:ascii="Times New Roman" w:hAnsi="Times New Roman" w:cs="Times New Roman" w:eastAsia="Times New Roman" w:hint="default"/>
                <w:w w:val="100"/>
                <w:sz w:val="28"/>
                <w:szCs w:val="28"/>
              </w:rPr>
              <w:t>12 </w:t>
            </w:r>
            <w:r>
              <w:rPr>
                <w:rFonts w:ascii="宋体" w:hAnsi="宋体" w:cs="宋体" w:eastAsia="宋体" w:hint="default"/>
                <w:w w:val="100"/>
                <w:sz w:val="28"/>
                <w:szCs w:val="28"/>
              </w:rPr>
              <w:t>月</w:t>
            </w:r>
            <w:r>
              <w:rPr>
                <w:rFonts w:ascii="宋体" w:hAnsi="宋体" w:cs="宋体" w:eastAsia="宋体" w:hint="default"/>
                <w:spacing w:val="-74"/>
                <w:w w:val="100"/>
                <w:sz w:val="28"/>
                <w:szCs w:val="28"/>
              </w:rPr>
              <w:t> </w:t>
            </w:r>
            <w:r>
              <w:rPr>
                <w:rFonts w:ascii="Times New Roman" w:hAnsi="Times New Roman" w:cs="Times New Roman" w:eastAsia="Times New Roman" w:hint="default"/>
                <w:spacing w:val="-1"/>
                <w:w w:val="100"/>
                <w:sz w:val="28"/>
                <w:szCs w:val="28"/>
              </w:rPr>
              <w:t>31 </w:t>
            </w:r>
            <w:r>
              <w:rPr>
                <w:rFonts w:ascii="宋体" w:hAnsi="宋体" w:cs="宋体" w:eastAsia="宋体" w:hint="default"/>
                <w:spacing w:val="-25"/>
                <w:w w:val="100"/>
                <w:sz w:val="28"/>
                <w:szCs w:val="28"/>
              </w:rPr>
              <w:t>日，农产品</w:t>
            </w:r>
            <w:r>
              <w:rPr>
                <w:rFonts w:ascii="宋体" w:hAnsi="宋体" w:cs="宋体" w:eastAsia="宋体" w:hint="default"/>
                <w:w w:val="100"/>
                <w:sz w:val="28"/>
                <w:szCs w:val="28"/>
              </w:rPr>
              <w:t> </w:t>
            </w:r>
            <w:r>
              <w:rPr>
                <w:rFonts w:ascii="宋体" w:hAnsi="宋体" w:cs="宋体" w:eastAsia="宋体" w:hint="default"/>
                <w:sz w:val="28"/>
                <w:szCs w:val="28"/>
              </w:rPr>
              <w:t>公司合并财务报表中应收款项账</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85"/>
              <w:jc w:val="both"/>
              <w:rPr>
                <w:rFonts w:ascii="宋体" w:hAnsi="宋体" w:cs="宋体" w:eastAsia="宋体" w:hint="default"/>
                <w:sz w:val="28"/>
                <w:szCs w:val="28"/>
              </w:rPr>
            </w:pPr>
            <w:r>
              <w:rPr>
                <w:rFonts w:ascii="宋体" w:hAnsi="宋体" w:cs="宋体" w:eastAsia="宋体" w:hint="default"/>
                <w:spacing w:val="15"/>
                <w:sz w:val="28"/>
                <w:szCs w:val="28"/>
              </w:rPr>
              <w:t>我们针对应收款项的可收回性</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5"/>
                <w:sz w:val="28"/>
                <w:szCs w:val="28"/>
              </w:rPr>
              <w:t>认定所实施的重要审计程序包</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括：</w:t>
            </w:r>
          </w:p>
          <w:p>
            <w:pPr>
              <w:pStyle w:val="TableParagraph"/>
              <w:spacing w:line="232" w:lineRule="auto" w:before="49"/>
              <w:ind w:left="103" w:right="35"/>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）对与应收款项日常管理及</w:t>
            </w:r>
            <w:r>
              <w:rPr>
                <w:rFonts w:ascii="宋体" w:hAnsi="宋体" w:cs="宋体" w:eastAsia="宋体" w:hint="default"/>
                <w:spacing w:val="-113"/>
                <w:sz w:val="28"/>
                <w:szCs w:val="28"/>
              </w:rPr>
              <w:t> </w:t>
            </w:r>
            <w:r>
              <w:rPr>
                <w:rFonts w:ascii="宋体" w:hAnsi="宋体" w:cs="宋体" w:eastAsia="宋体" w:hint="default"/>
                <w:spacing w:val="15"/>
                <w:sz w:val="28"/>
                <w:szCs w:val="28"/>
              </w:rPr>
              <w:t>可收回性评估相关的内部控制</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
                <w:sz w:val="28"/>
                <w:szCs w:val="28"/>
              </w:rPr>
              <w:t>的设计及运行有效性进行了解、</w:t>
            </w:r>
          </w:p>
        </w:tc>
      </w:tr>
    </w:tbl>
    <w:p>
      <w:pPr>
        <w:spacing w:after="0" w:line="232" w:lineRule="auto"/>
        <w:jc w:val="both"/>
        <w:rPr>
          <w:rFonts w:ascii="宋体" w:hAnsi="宋体" w:cs="宋体" w:eastAsia="宋体" w:hint="default"/>
          <w:sz w:val="28"/>
          <w:szCs w:val="28"/>
        </w:rPr>
        <w:sectPr>
          <w:headerReference w:type="default" r:id="rId37"/>
          <w:footerReference w:type="default" r:id="rId38"/>
          <w:pgSz w:w="11910" w:h="16840"/>
          <w:pgMar w:header="0" w:footer="976" w:top="1580" w:bottom="1160" w:left="1680" w:right="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153"/>
        <w:gridCol w:w="4071"/>
      </w:tblGrid>
      <w:tr>
        <w:trPr>
          <w:trHeight w:val="9897"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03" w:right="0"/>
              <w:jc w:val="both"/>
              <w:rPr>
                <w:rFonts w:ascii="Times New Roman" w:hAnsi="Times New Roman" w:cs="Times New Roman" w:eastAsia="Times New Roman" w:hint="default"/>
                <w:sz w:val="28"/>
                <w:szCs w:val="28"/>
              </w:rPr>
            </w:pPr>
            <w:r>
              <w:rPr>
                <w:rFonts w:ascii="宋体" w:hAnsi="宋体" w:cs="宋体" w:eastAsia="宋体" w:hint="default"/>
                <w:sz w:val="28"/>
                <w:szCs w:val="28"/>
              </w:rPr>
              <w:t>面价值合计为</w:t>
            </w:r>
            <w:r>
              <w:rPr>
                <w:rFonts w:ascii="宋体" w:hAnsi="宋体" w:cs="宋体" w:eastAsia="宋体" w:hint="default"/>
                <w:spacing w:val="-81"/>
                <w:sz w:val="28"/>
                <w:szCs w:val="28"/>
              </w:rPr>
              <w:t> </w:t>
            </w:r>
            <w:r>
              <w:rPr>
                <w:rFonts w:ascii="Times New Roman" w:hAnsi="Times New Roman" w:cs="Times New Roman" w:eastAsia="Times New Roman" w:hint="default"/>
                <w:sz w:val="28"/>
                <w:szCs w:val="28"/>
              </w:rPr>
              <w:t>883,622,816.33</w:t>
            </w:r>
          </w:p>
          <w:p>
            <w:pPr>
              <w:pStyle w:val="TableParagraph"/>
              <w:spacing w:line="223" w:lineRule="auto" w:before="41"/>
              <w:ind w:left="103" w:right="97"/>
              <w:jc w:val="both"/>
              <w:rPr>
                <w:rFonts w:ascii="宋体" w:hAnsi="宋体" w:cs="宋体" w:eastAsia="宋体" w:hint="default"/>
                <w:sz w:val="28"/>
                <w:szCs w:val="28"/>
              </w:rPr>
            </w:pPr>
            <w:r>
              <w:rPr>
                <w:rFonts w:ascii="宋体" w:hAnsi="宋体" w:cs="宋体" w:eastAsia="宋体" w:hint="default"/>
                <w:sz w:val="28"/>
                <w:szCs w:val="28"/>
              </w:rPr>
              <w:t>元，占资产总额的</w:t>
            </w:r>
            <w:r>
              <w:rPr>
                <w:rFonts w:ascii="宋体" w:hAnsi="宋体" w:cs="宋体" w:eastAsia="宋体" w:hint="default"/>
                <w:spacing w:val="-9"/>
                <w:sz w:val="28"/>
                <w:szCs w:val="28"/>
              </w:rPr>
              <w:t> </w:t>
            </w:r>
            <w:r>
              <w:rPr>
                <w:rFonts w:ascii="Times New Roman" w:hAnsi="Times New Roman" w:cs="Times New Roman" w:eastAsia="Times New Roman" w:hint="default"/>
                <w:sz w:val="28"/>
                <w:szCs w:val="28"/>
              </w:rPr>
              <w:t>4.65%</w:t>
            </w:r>
            <w:r>
              <w:rPr>
                <w:rFonts w:ascii="宋体" w:hAnsi="宋体" w:cs="宋体" w:eastAsia="宋体" w:hint="default"/>
                <w:sz w:val="28"/>
                <w:szCs w:val="28"/>
              </w:rPr>
              <w:t>，累计</w:t>
            </w:r>
            <w:r>
              <w:rPr>
                <w:rFonts w:ascii="宋体" w:hAnsi="宋体" w:cs="宋体" w:eastAsia="宋体" w:hint="default"/>
                <w:w w:val="100"/>
                <w:sz w:val="28"/>
                <w:szCs w:val="28"/>
              </w:rPr>
              <w:t> </w:t>
            </w:r>
            <w:r>
              <w:rPr>
                <w:rFonts w:ascii="宋体" w:hAnsi="宋体" w:cs="宋体" w:eastAsia="宋体" w:hint="default"/>
                <w:spacing w:val="8"/>
                <w:sz w:val="28"/>
                <w:szCs w:val="28"/>
              </w:rPr>
              <w:t>已计提坏账准备</w:t>
            </w:r>
            <w:r>
              <w:rPr>
                <w:rFonts w:ascii="宋体" w:hAnsi="宋体" w:cs="宋体" w:eastAsia="宋体" w:hint="default"/>
                <w:spacing w:val="18"/>
                <w:sz w:val="28"/>
                <w:szCs w:val="28"/>
              </w:rPr>
              <w:t> </w:t>
            </w:r>
            <w:r>
              <w:rPr>
                <w:rFonts w:ascii="Times New Roman" w:hAnsi="Times New Roman" w:cs="Times New Roman" w:eastAsia="Times New Roman" w:hint="default"/>
                <w:sz w:val="28"/>
                <w:szCs w:val="28"/>
              </w:rPr>
              <w:t>312,585,335.77</w:t>
            </w:r>
            <w:r>
              <w:rPr>
                <w:rFonts w:ascii="Times New Roman" w:hAnsi="Times New Roman" w:cs="Times New Roman" w:eastAsia="Times New Roman" w:hint="default"/>
                <w:w w:val="100"/>
                <w:sz w:val="28"/>
                <w:szCs w:val="28"/>
              </w:rPr>
              <w:t> </w:t>
            </w:r>
            <w:r>
              <w:rPr>
                <w:rFonts w:ascii="宋体" w:hAnsi="宋体" w:cs="宋体" w:eastAsia="宋体" w:hint="default"/>
                <w:sz w:val="28"/>
                <w:szCs w:val="28"/>
              </w:rPr>
              <w:t>元。</w:t>
            </w:r>
          </w:p>
          <w:p>
            <w:pPr>
              <w:pStyle w:val="TableParagraph"/>
              <w:spacing w:line="237" w:lineRule="auto" w:before="45"/>
              <w:ind w:left="103" w:right="97"/>
              <w:jc w:val="both"/>
              <w:rPr>
                <w:rFonts w:ascii="宋体" w:hAnsi="宋体" w:cs="宋体" w:eastAsia="宋体" w:hint="default"/>
                <w:sz w:val="28"/>
                <w:szCs w:val="28"/>
              </w:rPr>
            </w:pPr>
            <w:r>
              <w:rPr>
                <w:rFonts w:ascii="宋体" w:hAnsi="宋体" w:cs="宋体" w:eastAsia="宋体" w:hint="default"/>
                <w:sz w:val="28"/>
                <w:szCs w:val="28"/>
              </w:rPr>
              <w:t>管理层定期单独的对重大应收款</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项进行信用风险评估，重点关注</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客户的历史结算记录及当前支付</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能力，并考虑客户自身及其所处</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行业的经济环境的特定信息。对</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于无须进行单独评估或单独评估</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未发生减值的应收款项，管理层</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在考虑该等客户组账龄分析及发</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生减值损失的历史记录基础上按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风险组合进行减值测试。</w:t>
            </w:r>
          </w:p>
          <w:p>
            <w:pPr>
              <w:pStyle w:val="TableParagraph"/>
              <w:spacing w:line="237" w:lineRule="auto" w:before="43"/>
              <w:ind w:left="103" w:right="95"/>
              <w:jc w:val="both"/>
              <w:rPr>
                <w:rFonts w:ascii="宋体" w:hAnsi="宋体" w:cs="宋体" w:eastAsia="宋体" w:hint="default"/>
                <w:sz w:val="28"/>
                <w:szCs w:val="28"/>
              </w:rPr>
            </w:pPr>
            <w:r>
              <w:rPr>
                <w:rFonts w:ascii="宋体" w:hAnsi="宋体" w:cs="宋体" w:eastAsia="宋体" w:hint="default"/>
                <w:sz w:val="28"/>
                <w:szCs w:val="28"/>
              </w:rPr>
              <w:t>由于应收款项可收回性的确定需</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要管理层识别已发生减值的项目</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和客观证据、评估预期未来可获</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取的现金流量并确定其现值，涉</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及管理层运用重大会计估计和判</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断，且应收款项的可收回性对于</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财务报表具有重要性，因此，我</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z w:val="28"/>
                <w:szCs w:val="28"/>
              </w:rPr>
              <w:t>们将应收款项的可收回性认定为</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关键审计事项。</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331" w:lineRule="exact"/>
              <w:ind w:left="103" w:right="0"/>
              <w:jc w:val="left"/>
              <w:rPr>
                <w:rFonts w:ascii="宋体" w:hAnsi="宋体" w:cs="宋体" w:eastAsia="宋体" w:hint="default"/>
                <w:sz w:val="28"/>
                <w:szCs w:val="28"/>
              </w:rPr>
            </w:pPr>
            <w:r>
              <w:rPr>
                <w:rFonts w:ascii="宋体" w:hAnsi="宋体" w:cs="宋体" w:eastAsia="宋体" w:hint="default"/>
                <w:w w:val="100"/>
                <w:sz w:val="28"/>
                <w:szCs w:val="28"/>
              </w:rPr>
              <w:t>评估及</w:t>
            </w:r>
            <w:r>
              <w:rPr>
                <w:rFonts w:ascii="宋体" w:hAnsi="宋体" w:cs="宋体" w:eastAsia="宋体" w:hint="default"/>
                <w:spacing w:val="-3"/>
                <w:w w:val="100"/>
                <w:sz w:val="28"/>
                <w:szCs w:val="28"/>
              </w:rPr>
              <w:t>测</w:t>
            </w:r>
            <w:r>
              <w:rPr>
                <w:rFonts w:ascii="宋体" w:hAnsi="宋体" w:cs="宋体" w:eastAsia="宋体" w:hint="default"/>
                <w:w w:val="100"/>
                <w:sz w:val="28"/>
                <w:szCs w:val="28"/>
              </w:rPr>
              <w:t>试</w:t>
            </w:r>
            <w:r>
              <w:rPr>
                <w:rFonts w:ascii="宋体" w:hAnsi="宋体" w:cs="宋体" w:eastAsia="宋体" w:hint="default"/>
                <w:spacing w:val="-176"/>
                <w:w w:val="100"/>
                <w:sz w:val="28"/>
                <w:szCs w:val="28"/>
              </w:rPr>
              <w:t>；</w:t>
            </w:r>
            <w:r>
              <w:rPr>
                <w:rFonts w:ascii="宋体" w:hAnsi="宋体" w:cs="宋体" w:eastAsia="宋体" w:hint="default"/>
                <w:w w:val="100"/>
                <w:sz w:val="28"/>
                <w:szCs w:val="28"/>
              </w:rPr>
              <w:t>（</w:t>
            </w:r>
            <w:r>
              <w:rPr>
                <w:rFonts w:ascii="Times New Roman" w:hAnsi="Times New Roman" w:cs="Times New Roman" w:eastAsia="Times New Roman" w:hint="default"/>
                <w:spacing w:val="-2"/>
                <w:w w:val="100"/>
                <w:sz w:val="28"/>
                <w:szCs w:val="28"/>
              </w:rPr>
              <w:t>2</w:t>
            </w:r>
            <w:r>
              <w:rPr>
                <w:rFonts w:ascii="宋体" w:hAnsi="宋体" w:cs="宋体" w:eastAsia="宋体" w:hint="default"/>
                <w:spacing w:val="-34"/>
                <w:w w:val="100"/>
                <w:sz w:val="28"/>
                <w:szCs w:val="28"/>
              </w:rPr>
              <w:t>）</w:t>
            </w:r>
            <w:r>
              <w:rPr>
                <w:rFonts w:ascii="宋体" w:hAnsi="宋体" w:cs="宋体" w:eastAsia="宋体" w:hint="default"/>
                <w:spacing w:val="-3"/>
                <w:w w:val="100"/>
                <w:sz w:val="28"/>
                <w:szCs w:val="28"/>
              </w:rPr>
              <w:t>分</w:t>
            </w:r>
            <w:r>
              <w:rPr>
                <w:rFonts w:ascii="宋体" w:hAnsi="宋体" w:cs="宋体" w:eastAsia="宋体" w:hint="default"/>
                <w:w w:val="100"/>
                <w:sz w:val="28"/>
                <w:szCs w:val="28"/>
              </w:rPr>
              <w:t>析农产</w:t>
            </w:r>
            <w:r>
              <w:rPr>
                <w:rFonts w:ascii="宋体" w:hAnsi="宋体" w:cs="宋体" w:eastAsia="宋体" w:hint="default"/>
                <w:spacing w:val="-3"/>
                <w:w w:val="100"/>
                <w:sz w:val="28"/>
                <w:szCs w:val="28"/>
              </w:rPr>
              <w:t>品</w:t>
            </w:r>
            <w:r>
              <w:rPr>
                <w:rFonts w:ascii="宋体" w:hAnsi="宋体" w:cs="宋体" w:eastAsia="宋体" w:hint="default"/>
                <w:w w:val="100"/>
                <w:sz w:val="28"/>
                <w:szCs w:val="28"/>
              </w:rPr>
              <w:t>公</w:t>
            </w:r>
          </w:p>
          <w:p>
            <w:pPr>
              <w:pStyle w:val="TableParagraph"/>
              <w:spacing w:line="235" w:lineRule="auto"/>
              <w:ind w:left="103" w:right="35"/>
              <w:jc w:val="left"/>
              <w:rPr>
                <w:rFonts w:ascii="宋体" w:hAnsi="宋体" w:cs="宋体" w:eastAsia="宋体" w:hint="default"/>
                <w:sz w:val="28"/>
                <w:szCs w:val="28"/>
              </w:rPr>
            </w:pPr>
            <w:r>
              <w:rPr>
                <w:rFonts w:ascii="宋体" w:hAnsi="宋体" w:cs="宋体" w:eastAsia="宋体" w:hint="default"/>
                <w:spacing w:val="15"/>
                <w:sz w:val="28"/>
                <w:szCs w:val="28"/>
              </w:rPr>
              <w:t>司应收款项坏账准备会计政策</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的合理性，包括确定应收账款组</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合的依据、金额重大的判断、单</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1"/>
                <w:w w:val="100"/>
                <w:sz w:val="28"/>
                <w:szCs w:val="28"/>
              </w:rPr>
              <w:t>独计提坏账准备的判断等；（</w:t>
            </w:r>
            <w:r>
              <w:rPr>
                <w:rFonts w:ascii="Times New Roman" w:hAnsi="Times New Roman" w:cs="Times New Roman" w:eastAsia="Times New Roman" w:hint="default"/>
                <w:spacing w:val="-11"/>
                <w:w w:val="100"/>
                <w:sz w:val="28"/>
                <w:szCs w:val="28"/>
              </w:rPr>
              <w:t>3</w:t>
            </w:r>
            <w:r>
              <w:rPr>
                <w:rFonts w:ascii="宋体" w:hAnsi="宋体" w:cs="宋体" w:eastAsia="宋体" w:hint="default"/>
                <w:spacing w:val="-11"/>
                <w:w w:val="100"/>
                <w:sz w:val="28"/>
                <w:szCs w:val="28"/>
              </w:rPr>
              <w:t>）</w:t>
            </w:r>
            <w:r>
              <w:rPr>
                <w:rFonts w:ascii="宋体" w:hAnsi="宋体" w:cs="宋体" w:eastAsia="宋体" w:hint="default"/>
                <w:spacing w:val="-128"/>
                <w:w w:val="100"/>
                <w:sz w:val="28"/>
                <w:szCs w:val="28"/>
              </w:rPr>
              <w:t> </w:t>
            </w:r>
            <w:r>
              <w:rPr>
                <w:rFonts w:ascii="宋体" w:hAnsi="宋体" w:cs="宋体" w:eastAsia="宋体" w:hint="default"/>
                <w:spacing w:val="15"/>
                <w:sz w:val="28"/>
                <w:szCs w:val="28"/>
              </w:rPr>
              <w:t>分析应收款项的账龄及客户信</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誉情况，并执行应收款项函证程</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6"/>
                <w:sz w:val="28"/>
                <w:szCs w:val="28"/>
              </w:rPr>
              <w:t>序及检查期后回款情况，评价应</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收款项增加的合理性及应收款</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1"/>
                <w:w w:val="100"/>
                <w:sz w:val="28"/>
                <w:szCs w:val="28"/>
              </w:rPr>
              <w:t>项坏账准备计提的合理性；（</w:t>
            </w:r>
            <w:r>
              <w:rPr>
                <w:rFonts w:ascii="Times New Roman" w:hAnsi="Times New Roman" w:cs="Times New Roman" w:eastAsia="Times New Roman" w:hint="default"/>
                <w:spacing w:val="-11"/>
                <w:w w:val="100"/>
                <w:sz w:val="28"/>
                <w:szCs w:val="28"/>
              </w:rPr>
              <w:t>4</w:t>
            </w:r>
            <w:r>
              <w:rPr>
                <w:rFonts w:ascii="宋体" w:hAnsi="宋体" w:cs="宋体" w:eastAsia="宋体" w:hint="default"/>
                <w:spacing w:val="-11"/>
                <w:w w:val="100"/>
                <w:sz w:val="28"/>
                <w:szCs w:val="28"/>
              </w:rPr>
              <w:t>）</w:t>
            </w:r>
            <w:r>
              <w:rPr>
                <w:rFonts w:ascii="宋体" w:hAnsi="宋体" w:cs="宋体" w:eastAsia="宋体" w:hint="default"/>
                <w:spacing w:val="-128"/>
                <w:w w:val="100"/>
                <w:sz w:val="28"/>
                <w:szCs w:val="28"/>
              </w:rPr>
              <w:t> </w:t>
            </w:r>
            <w:r>
              <w:rPr>
                <w:rFonts w:ascii="宋体" w:hAnsi="宋体" w:cs="宋体" w:eastAsia="宋体" w:hint="default"/>
                <w:spacing w:val="15"/>
                <w:sz w:val="28"/>
                <w:szCs w:val="28"/>
              </w:rPr>
              <w:t>选取金额重大或高风险的应收</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款项，单独测试其可回收性。我</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们在评估应收款项的可回收性</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时，检查了相关支持性证据，包</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
                <w:sz w:val="28"/>
                <w:szCs w:val="28"/>
              </w:rPr>
              <w:t>括期后收款、客户的信用历史、</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17"/>
                <w:w w:val="100"/>
                <w:sz w:val="28"/>
                <w:szCs w:val="28"/>
              </w:rPr>
              <w:t>经营情况及还款能力等。（</w:t>
            </w:r>
            <w:r>
              <w:rPr>
                <w:rFonts w:ascii="Times New Roman" w:hAnsi="Times New Roman" w:cs="Times New Roman" w:eastAsia="Times New Roman" w:hint="default"/>
                <w:spacing w:val="-17"/>
                <w:w w:val="100"/>
                <w:sz w:val="28"/>
                <w:szCs w:val="28"/>
              </w:rPr>
              <w:t>5</w:t>
            </w:r>
            <w:r>
              <w:rPr>
                <w:rFonts w:ascii="宋体" w:hAnsi="宋体" w:cs="宋体" w:eastAsia="宋体" w:hint="default"/>
                <w:spacing w:val="-17"/>
                <w:w w:val="100"/>
                <w:sz w:val="28"/>
                <w:szCs w:val="28"/>
              </w:rPr>
              <w:t>）获</w:t>
            </w:r>
            <w:r>
              <w:rPr>
                <w:rFonts w:ascii="宋体" w:hAnsi="宋体" w:cs="宋体" w:eastAsia="宋体" w:hint="default"/>
                <w:spacing w:val="-34"/>
                <w:w w:val="100"/>
                <w:sz w:val="28"/>
                <w:szCs w:val="28"/>
              </w:rPr>
              <w:t> </w:t>
            </w:r>
            <w:r>
              <w:rPr>
                <w:rFonts w:ascii="宋体" w:hAnsi="宋体" w:cs="宋体" w:eastAsia="宋体" w:hint="default"/>
                <w:spacing w:val="-1"/>
                <w:sz w:val="28"/>
                <w:szCs w:val="28"/>
              </w:rPr>
              <w:t>取农产品公司坏账准备计提表，</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15"/>
                <w:sz w:val="28"/>
                <w:szCs w:val="28"/>
              </w:rPr>
              <w:t>检查计提方法是否按照会计政</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6"/>
                <w:sz w:val="28"/>
                <w:szCs w:val="28"/>
              </w:rPr>
              <w:t>策执行；重新计算坏账准备计提</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pacing w:val="-15"/>
                <w:w w:val="100"/>
                <w:sz w:val="28"/>
                <w:szCs w:val="28"/>
              </w:rPr>
              <w:t>金额是否准确；（</w:t>
            </w:r>
            <w:r>
              <w:rPr>
                <w:rFonts w:ascii="Times New Roman" w:hAnsi="Times New Roman" w:cs="Times New Roman" w:eastAsia="Times New Roman" w:hint="default"/>
                <w:spacing w:val="-15"/>
                <w:w w:val="100"/>
                <w:sz w:val="28"/>
                <w:szCs w:val="28"/>
              </w:rPr>
              <w:t>6</w:t>
            </w:r>
            <w:r>
              <w:rPr>
                <w:rFonts w:ascii="宋体" w:hAnsi="宋体" w:cs="宋体" w:eastAsia="宋体" w:hint="default"/>
                <w:spacing w:val="-15"/>
                <w:w w:val="100"/>
                <w:sz w:val="28"/>
                <w:szCs w:val="28"/>
              </w:rPr>
              <w:t>）评估管理层</w:t>
            </w:r>
            <w:r>
              <w:rPr>
                <w:rFonts w:ascii="宋体" w:hAnsi="宋体" w:cs="宋体" w:eastAsia="宋体" w:hint="default"/>
                <w:spacing w:val="-135"/>
                <w:w w:val="100"/>
                <w:sz w:val="28"/>
                <w:szCs w:val="28"/>
              </w:rPr>
              <w:t> </w:t>
            </w:r>
            <w:r>
              <w:rPr>
                <w:rFonts w:ascii="宋体" w:hAnsi="宋体" w:cs="宋体" w:eastAsia="宋体" w:hint="default"/>
                <w:spacing w:val="-135"/>
                <w:w w:val="100"/>
                <w:sz w:val="28"/>
                <w:szCs w:val="28"/>
              </w:rPr>
            </w:r>
            <w:r>
              <w:rPr>
                <w:rFonts w:ascii="宋体" w:hAnsi="宋体" w:cs="宋体" w:eastAsia="宋体" w:hint="default"/>
                <w:sz w:val="28"/>
                <w:szCs w:val="28"/>
              </w:rPr>
              <w:t>于</w:t>
            </w:r>
            <w:r>
              <w:rPr>
                <w:rFonts w:ascii="宋体" w:hAnsi="宋体" w:cs="宋体" w:eastAsia="宋体" w:hint="default"/>
                <w:spacing w:val="-58"/>
                <w:sz w:val="28"/>
                <w:szCs w:val="28"/>
              </w:rPr>
              <w:t> </w:t>
            </w:r>
            <w:r>
              <w:rPr>
                <w:rFonts w:ascii="Times New Roman" w:hAnsi="Times New Roman" w:cs="Times New Roman" w:eastAsia="Times New Roman" w:hint="default"/>
                <w:sz w:val="28"/>
                <w:szCs w:val="28"/>
              </w:rPr>
              <w:t>2018</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年</w:t>
            </w:r>
            <w:r>
              <w:rPr>
                <w:rFonts w:ascii="宋体" w:hAnsi="宋体" w:cs="宋体" w:eastAsia="宋体" w:hint="default"/>
                <w:spacing w:val="-59"/>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2"/>
                <w:sz w:val="28"/>
                <w:szCs w:val="28"/>
              </w:rPr>
              <w:t> </w:t>
            </w:r>
            <w:r>
              <w:rPr>
                <w:rFonts w:ascii="宋体" w:hAnsi="宋体" w:cs="宋体" w:eastAsia="宋体" w:hint="default"/>
                <w:sz w:val="28"/>
                <w:szCs w:val="28"/>
              </w:rPr>
              <w:t>月</w:t>
            </w:r>
            <w:r>
              <w:rPr>
                <w:rFonts w:ascii="宋体" w:hAnsi="宋体" w:cs="宋体" w:eastAsia="宋体" w:hint="default"/>
                <w:spacing w:val="-59"/>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0"/>
                <w:sz w:val="28"/>
                <w:szCs w:val="28"/>
              </w:rPr>
              <w:t> </w:t>
            </w:r>
            <w:r>
              <w:rPr>
                <w:rFonts w:ascii="宋体" w:hAnsi="宋体" w:cs="宋体" w:eastAsia="宋体" w:hint="default"/>
                <w:sz w:val="28"/>
                <w:szCs w:val="28"/>
              </w:rPr>
              <w:t>日对应收款</w:t>
            </w:r>
            <w:r>
              <w:rPr>
                <w:rFonts w:ascii="宋体" w:hAnsi="宋体" w:cs="宋体" w:eastAsia="宋体" w:hint="default"/>
                <w:w w:val="100"/>
                <w:sz w:val="28"/>
                <w:szCs w:val="28"/>
              </w:rPr>
              <w:t> </w:t>
            </w:r>
            <w:r>
              <w:rPr>
                <w:rFonts w:ascii="宋体" w:hAnsi="宋体" w:cs="宋体" w:eastAsia="宋体" w:hint="default"/>
                <w:spacing w:val="-1"/>
                <w:sz w:val="28"/>
                <w:szCs w:val="28"/>
              </w:rPr>
              <w:t>项坏账准备的会计处理及披露。</w:t>
            </w:r>
          </w:p>
          <w:p>
            <w:pPr>
              <w:pStyle w:val="TableParagraph"/>
              <w:spacing w:line="237" w:lineRule="auto" w:before="44"/>
              <w:ind w:left="103" w:right="85"/>
              <w:jc w:val="both"/>
              <w:rPr>
                <w:rFonts w:ascii="宋体" w:hAnsi="宋体" w:cs="宋体" w:eastAsia="宋体" w:hint="default"/>
                <w:sz w:val="28"/>
                <w:szCs w:val="28"/>
              </w:rPr>
            </w:pPr>
            <w:r>
              <w:rPr>
                <w:rFonts w:ascii="宋体" w:hAnsi="宋体" w:cs="宋体" w:eastAsia="宋体" w:hint="default"/>
                <w:spacing w:val="-6"/>
                <w:sz w:val="28"/>
                <w:szCs w:val="28"/>
              </w:rPr>
              <w:t>基于上述所实施的审计程序，我</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6"/>
                <w:sz w:val="28"/>
                <w:szCs w:val="28"/>
              </w:rPr>
              <w:t>们得出审计结论，管理层对应收</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款项的可收回性的相关判断及</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5"/>
                <w:sz w:val="28"/>
                <w:szCs w:val="28"/>
              </w:rPr>
              <w:t>估计符合农产品公司的会计政</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策。</w:t>
            </w:r>
          </w:p>
        </w:tc>
      </w:tr>
    </w:tbl>
    <w:p>
      <w:pPr>
        <w:spacing w:line="240" w:lineRule="auto" w:before="0"/>
        <w:rPr>
          <w:rFonts w:ascii="Times New Roman" w:hAnsi="Times New Roman" w:cs="Times New Roman" w:eastAsia="Times New Roman" w:hint="default"/>
          <w:sz w:val="20"/>
          <w:szCs w:val="20"/>
        </w:rPr>
      </w:pPr>
    </w:p>
    <w:p>
      <w:pPr>
        <w:pStyle w:val="Heading2"/>
        <w:spacing w:line="240" w:lineRule="auto" w:before="74"/>
        <w:ind w:left="684" w:right="66"/>
        <w:jc w:val="left"/>
        <w:rPr>
          <w:b w:val="0"/>
          <w:bCs w:val="0"/>
        </w:rPr>
      </w:pPr>
      <w:r>
        <w:rPr/>
        <w:t>四、</w:t>
      </w:r>
      <w:r>
        <w:rPr>
          <w:spacing w:val="68"/>
        </w:rPr>
        <w:t> </w:t>
      </w:r>
      <w:r>
        <w:rPr/>
        <w:t>其他信息</w:t>
      </w:r>
      <w:r>
        <w:rPr>
          <w:b w:val="0"/>
          <w:bCs w:val="0"/>
        </w:rPr>
      </w:r>
    </w:p>
    <w:p>
      <w:pPr>
        <w:spacing w:line="240" w:lineRule="auto" w:before="5"/>
        <w:rPr>
          <w:rFonts w:ascii="Microsoft JhengHei" w:hAnsi="Microsoft JhengHei" w:cs="Microsoft JhengHei" w:eastAsia="Microsoft JhengHei" w:hint="default"/>
          <w:b/>
          <w:bCs/>
          <w:sz w:val="23"/>
          <w:szCs w:val="23"/>
        </w:rPr>
      </w:pPr>
    </w:p>
    <w:p>
      <w:pPr>
        <w:pStyle w:val="Heading3"/>
        <w:spacing w:line="362" w:lineRule="exact"/>
        <w:ind w:right="1789"/>
        <w:jc w:val="both"/>
      </w:pPr>
      <w:r>
        <w:rPr>
          <w:spacing w:val="-3"/>
        </w:rPr>
        <w:t>农产品公司管理层（以下简称</w:t>
      </w:r>
      <w:r>
        <w:rPr>
          <w:rFonts w:ascii="Times New Roman" w:hAnsi="Times New Roman" w:cs="Times New Roman" w:eastAsia="Times New Roman" w:hint="default"/>
          <w:spacing w:val="-3"/>
        </w:rPr>
        <w:t>“</w:t>
      </w:r>
      <w:r>
        <w:rPr>
          <w:spacing w:val="-3"/>
        </w:rPr>
        <w:t>管理层</w:t>
      </w:r>
      <w:r>
        <w:rPr>
          <w:rFonts w:ascii="Times New Roman" w:hAnsi="Times New Roman" w:cs="Times New Roman" w:eastAsia="Times New Roman" w:hint="default"/>
          <w:spacing w:val="-3"/>
        </w:rPr>
        <w:t>”</w:t>
      </w:r>
      <w:r>
        <w:rPr>
          <w:spacing w:val="-3"/>
        </w:rPr>
        <w:t>）对其他信息负责。其他</w:t>
      </w:r>
      <w:r>
        <w:rPr>
          <w:w w:val="100"/>
        </w:rPr>
        <w:t> </w:t>
      </w:r>
      <w:r>
        <w:rPr/>
        <w:t>信息包括农产品公司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年年度报告中涵盖的信息，但不包括财务</w:t>
      </w:r>
      <w:r>
        <w:rPr>
          <w:w w:val="100"/>
        </w:rPr>
        <w:t> </w:t>
      </w:r>
      <w:r>
        <w:rPr/>
        <w:t>报表和我们的审计报告。</w:t>
      </w:r>
    </w:p>
    <w:p>
      <w:pPr>
        <w:pStyle w:val="Heading3"/>
        <w:spacing w:line="240" w:lineRule="auto" w:before="6"/>
        <w:ind w:left="684" w:right="66" w:firstLine="0"/>
        <w:jc w:val="left"/>
      </w:pPr>
      <w:r>
        <w:rPr>
          <w:spacing w:val="-5"/>
        </w:rPr>
        <w:t>我们对财务报表发表的审计意见不涵盖其他信息，我们也不对其</w:t>
      </w:r>
    </w:p>
    <w:p>
      <w:pPr>
        <w:spacing w:after="0" w:line="240" w:lineRule="auto"/>
        <w:jc w:val="left"/>
        <w:sectPr>
          <w:headerReference w:type="default" r:id="rId39"/>
          <w:footerReference w:type="default" r:id="rId40"/>
          <w:pgSz w:w="11910" w:h="16840"/>
          <w:pgMar w:header="0" w:footer="976" w:top="1580" w:bottom="1160" w:left="1680" w:right="0"/>
          <w:pgNumType w:start="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66" w:lineRule="auto" w:before="14"/>
        <w:ind w:left="684" w:right="66" w:hanging="567"/>
        <w:jc w:val="left"/>
      </w:pPr>
      <w:r>
        <w:rPr/>
        <w:t>他信息发表任何形式的鉴证结论。</w:t>
      </w:r>
      <w:r>
        <w:rPr>
          <w:w w:val="100"/>
        </w:rPr>
        <w:t> </w:t>
      </w:r>
      <w:r>
        <w:rPr>
          <w:spacing w:val="-5"/>
        </w:rPr>
        <w:t>结合我们对财务报表的审计，我们的责任是阅读其他信息，在此</w:t>
      </w:r>
    </w:p>
    <w:p>
      <w:pPr>
        <w:pStyle w:val="Heading3"/>
        <w:spacing w:line="360" w:lineRule="exact" w:before="6"/>
        <w:ind w:right="66" w:firstLine="0"/>
        <w:jc w:val="left"/>
      </w:pPr>
      <w:r>
        <w:rPr>
          <w:spacing w:val="-4"/>
        </w:rPr>
        <w:t>过程中，考虑其他信息是否与财务报表或我们在审计过程中了解到的</w:t>
      </w:r>
      <w:r>
        <w:rPr>
          <w:spacing w:val="-113"/>
        </w:rPr>
        <w:t> </w:t>
      </w:r>
      <w:r>
        <w:rPr>
          <w:spacing w:val="-113"/>
        </w:rPr>
      </w:r>
      <w:r>
        <w:rPr/>
        <w:t>情况存在重大不一致或者似乎存在重大错报。</w:t>
      </w:r>
    </w:p>
    <w:p>
      <w:pPr>
        <w:pStyle w:val="Heading3"/>
        <w:spacing w:line="360" w:lineRule="exact" w:before="45"/>
        <w:ind w:right="1700"/>
        <w:jc w:val="both"/>
      </w:pPr>
      <w:r>
        <w:rPr>
          <w:spacing w:val="-1"/>
        </w:rPr>
        <w:t>基于我们已执行的工作，如果我们确定其他信息存在重大错报，</w:t>
      </w:r>
      <w:r>
        <w:rPr>
          <w:w w:val="100"/>
        </w:rPr>
        <w:t> </w:t>
      </w:r>
      <w:r>
        <w:rPr/>
        <w:t>我们应当报告该事实。在这方面，我们无任何事项需要报告。</w:t>
      </w:r>
    </w:p>
    <w:p>
      <w:pPr>
        <w:spacing w:line="730" w:lineRule="atLeast" w:before="73"/>
        <w:ind w:left="684" w:right="66"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 管理层和治理层对财务报表的责任</w:t>
      </w:r>
      <w:r>
        <w:rPr>
          <w:rFonts w:ascii="Microsoft JhengHei" w:hAnsi="Microsoft JhengHei" w:cs="Microsoft JhengHei" w:eastAsia="Microsoft JhengHei" w:hint="default"/>
          <w:b/>
          <w:bCs/>
          <w:spacing w:val="-61"/>
          <w:sz w:val="28"/>
          <w:szCs w:val="28"/>
        </w:rPr>
        <w:t> </w:t>
      </w:r>
      <w:r>
        <w:rPr>
          <w:rFonts w:ascii="Microsoft JhengHei" w:hAnsi="Microsoft JhengHei" w:cs="Microsoft JhengHei" w:eastAsia="Microsoft JhengHei" w:hint="default"/>
          <w:b/>
          <w:bCs/>
          <w:spacing w:val="-61"/>
          <w:sz w:val="28"/>
          <w:szCs w:val="28"/>
        </w:rPr>
      </w:r>
      <w:r>
        <w:rPr>
          <w:rFonts w:ascii="宋体" w:hAnsi="宋体" w:cs="宋体" w:eastAsia="宋体" w:hint="default"/>
          <w:spacing w:val="-5"/>
          <w:sz w:val="28"/>
          <w:szCs w:val="28"/>
        </w:rPr>
        <w:t>管理层负责按照企业会计准则的规定编制财务报表，使其实现公</w:t>
      </w:r>
    </w:p>
    <w:p>
      <w:pPr>
        <w:pStyle w:val="Heading3"/>
        <w:spacing w:line="360" w:lineRule="exact" w:before="37"/>
        <w:ind w:right="66" w:firstLine="0"/>
        <w:jc w:val="left"/>
      </w:pPr>
      <w:r>
        <w:rPr>
          <w:spacing w:val="-4"/>
        </w:rPr>
        <w:t>允反映，并设计、执行和维护必要的内部控制，以使财务报表不存在</w:t>
      </w:r>
      <w:r>
        <w:rPr>
          <w:spacing w:val="-114"/>
        </w:rPr>
        <w:t> </w:t>
      </w:r>
      <w:r>
        <w:rPr>
          <w:spacing w:val="-114"/>
        </w:rPr>
      </w:r>
      <w:r>
        <w:rPr/>
        <w:t>由于舞弊或错误导致的重大错报。</w:t>
      </w:r>
    </w:p>
    <w:p>
      <w:pPr>
        <w:pStyle w:val="Heading3"/>
        <w:spacing w:line="237" w:lineRule="auto" w:before="10"/>
        <w:ind w:right="1792"/>
        <w:jc w:val="both"/>
      </w:pPr>
      <w:r>
        <w:rPr>
          <w:spacing w:val="4"/>
        </w:rPr>
        <w:t>在编制财务报表时，管理层负责评估农产品公司的持续经营能</w:t>
      </w:r>
      <w:r>
        <w:rPr>
          <w:w w:val="100"/>
        </w:rPr>
        <w:t> </w:t>
      </w:r>
      <w:r>
        <w:rPr>
          <w:spacing w:val="-4"/>
          <w:w w:val="100"/>
        </w:rPr>
        <w:t>力，披露与持续经营相关的事项（如适用），并运用持续经营假设，</w:t>
      </w:r>
      <w:r>
        <w:rPr>
          <w:spacing w:val="-135"/>
          <w:w w:val="100"/>
        </w:rPr>
        <w:t> </w:t>
      </w:r>
      <w:r>
        <w:rPr>
          <w:spacing w:val="-135"/>
          <w:w w:val="100"/>
        </w:rPr>
      </w:r>
      <w:r>
        <w:rPr/>
        <w:t>除非计划进行清算、终止运营或别无其他现实的选择。</w:t>
      </w:r>
    </w:p>
    <w:p>
      <w:pPr>
        <w:spacing w:line="468" w:lineRule="auto" w:before="37"/>
        <w:ind w:left="684" w:right="3422" w:firstLine="0"/>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治理层负责监督农产品公司的财务报告过程。</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Microsoft JhengHei" w:hAnsi="Microsoft JhengHei" w:cs="Microsoft JhengHei" w:eastAsia="Microsoft JhengHei" w:hint="default"/>
          <w:b/>
          <w:bCs/>
          <w:sz w:val="28"/>
          <w:szCs w:val="28"/>
        </w:rPr>
        <w:t>六、 </w:t>
      </w:r>
      <w:r>
        <w:rPr>
          <w:rFonts w:ascii="Microsoft JhengHei" w:hAnsi="Microsoft JhengHei" w:cs="Microsoft JhengHei" w:eastAsia="Microsoft JhengHei" w:hint="default"/>
          <w:b/>
          <w:bCs/>
          <w:spacing w:val="9"/>
          <w:sz w:val="28"/>
          <w:szCs w:val="28"/>
        </w:rPr>
        <w:t> </w:t>
      </w:r>
      <w:r>
        <w:rPr>
          <w:rFonts w:ascii="Microsoft JhengHei" w:hAnsi="Microsoft JhengHei" w:cs="Microsoft JhengHei" w:eastAsia="Microsoft JhengHei" w:hint="default"/>
          <w:b/>
          <w:bCs/>
          <w:sz w:val="28"/>
          <w:szCs w:val="28"/>
        </w:rPr>
        <w:t>注册会计师对财务报表审计的责任</w:t>
      </w:r>
      <w:r>
        <w:rPr>
          <w:rFonts w:ascii="Microsoft JhengHei" w:hAnsi="Microsoft JhengHei" w:cs="Microsoft JhengHei" w:eastAsia="Microsoft JhengHei" w:hint="default"/>
          <w:sz w:val="28"/>
          <w:szCs w:val="28"/>
        </w:rPr>
      </w:r>
    </w:p>
    <w:p>
      <w:pPr>
        <w:pStyle w:val="Heading3"/>
        <w:spacing w:line="237" w:lineRule="auto" w:before="17"/>
        <w:ind w:right="1793"/>
        <w:jc w:val="both"/>
      </w:pPr>
      <w:r>
        <w:rPr>
          <w:spacing w:val="4"/>
        </w:rPr>
        <w:t>我们的目标是对财务报表整体是否不存在由于舞弊或错误导致</w:t>
      </w:r>
      <w:r>
        <w:rPr>
          <w:w w:val="100"/>
        </w:rPr>
        <w:t> </w:t>
      </w:r>
      <w:r>
        <w:rPr>
          <w:spacing w:val="-4"/>
        </w:rPr>
        <w:t>的重大错报获取合理保证，并出具包含审计意见的审计报告。合理保</w:t>
      </w:r>
      <w:r>
        <w:rPr>
          <w:spacing w:val="-113"/>
        </w:rPr>
        <w:t> </w:t>
      </w:r>
      <w:r>
        <w:rPr>
          <w:spacing w:val="-113"/>
        </w:rPr>
      </w:r>
      <w:r>
        <w:rPr>
          <w:spacing w:val="-4"/>
        </w:rPr>
        <w:t>证是高水平的保证，但并不能保证按照审计准则执行的审计在某一重</w:t>
      </w:r>
      <w:r>
        <w:rPr>
          <w:spacing w:val="-112"/>
        </w:rPr>
        <w:t> </w:t>
      </w:r>
      <w:r>
        <w:rPr>
          <w:spacing w:val="-112"/>
        </w:rPr>
      </w:r>
      <w:r>
        <w:rPr>
          <w:spacing w:val="-4"/>
        </w:rPr>
        <w:t>大错报存在时总能发现。错报可能由于舞弊或错误导致，如果合理预</w:t>
      </w:r>
      <w:r>
        <w:rPr>
          <w:spacing w:val="-114"/>
        </w:rPr>
        <w:t> </w:t>
      </w:r>
      <w:r>
        <w:rPr>
          <w:spacing w:val="-114"/>
        </w:rPr>
      </w:r>
      <w:r>
        <w:rPr>
          <w:spacing w:val="4"/>
        </w:rPr>
        <w:t>期错报单独或汇总起来可能影响财务报表使用者依据财务报表作出</w:t>
      </w:r>
      <w:r>
        <w:rPr>
          <w:spacing w:val="-77"/>
        </w:rPr>
        <w:t> </w:t>
      </w:r>
      <w:r>
        <w:rPr>
          <w:spacing w:val="-77"/>
        </w:rPr>
      </w:r>
      <w:r>
        <w:rPr/>
        <w:t>的经济决策，则通常认为错报是重大的。</w:t>
      </w:r>
    </w:p>
    <w:p>
      <w:pPr>
        <w:pStyle w:val="Heading3"/>
        <w:spacing w:line="360" w:lineRule="exact" w:before="78"/>
        <w:ind w:right="1793"/>
        <w:jc w:val="both"/>
      </w:pPr>
      <w:r>
        <w:rPr>
          <w:spacing w:val="-5"/>
        </w:rPr>
        <w:t>在按照审计准则执行审计工作的过程中，我们运用职业判断，并</w:t>
      </w:r>
      <w:r>
        <w:rPr>
          <w:w w:val="100"/>
        </w:rPr>
        <w:t> </w:t>
      </w:r>
      <w:r>
        <w:rPr/>
        <w:t>保持职业怀疑。同时，我们也执行以下工作：</w:t>
      </w:r>
    </w:p>
    <w:p>
      <w:pPr>
        <w:pStyle w:val="Heading3"/>
        <w:spacing w:line="235" w:lineRule="auto" w:before="13"/>
        <w:ind w:right="66"/>
        <w:jc w:val="left"/>
      </w:pPr>
      <w:r>
        <w:rPr>
          <w:spacing w:val="-5"/>
        </w:rPr>
        <w:t>（</w:t>
      </w:r>
      <w:r>
        <w:rPr>
          <w:rFonts w:ascii="Times New Roman" w:hAnsi="Times New Roman" w:cs="Times New Roman" w:eastAsia="Times New Roman" w:hint="default"/>
          <w:spacing w:val="-5"/>
        </w:rPr>
        <w:t>1</w:t>
      </w:r>
      <w:r>
        <w:rPr>
          <w:spacing w:val="-5"/>
        </w:rPr>
        <w:t>）识别和评估由于舞弊或错误导致的财务报表重大错报风险，</w:t>
      </w:r>
      <w:r>
        <w:rPr>
          <w:w w:val="100"/>
        </w:rPr>
        <w:t> </w:t>
      </w:r>
      <w:r>
        <w:rPr>
          <w:spacing w:val="-9"/>
          <w:w w:val="100"/>
        </w:rPr>
        <w:t>设计和实施审计程序以应对这些风险，并获取充分、适当的审计证据，</w:t>
      </w:r>
      <w:r>
        <w:rPr>
          <w:spacing w:val="-118"/>
          <w:w w:val="100"/>
        </w:rPr>
        <w:t> </w:t>
      </w:r>
      <w:r>
        <w:rPr>
          <w:spacing w:val="-118"/>
          <w:w w:val="100"/>
        </w:rPr>
      </w:r>
      <w:r>
        <w:rPr>
          <w:spacing w:val="-9"/>
        </w:rPr>
        <w:t>作为发表审计意见的基础。由于舞弊可能涉及串通、伪造、故意遗漏、</w:t>
      </w:r>
      <w:r>
        <w:rPr>
          <w:spacing w:val="-92"/>
        </w:rPr>
        <w:t> </w:t>
      </w:r>
      <w:r>
        <w:rPr>
          <w:spacing w:val="-92"/>
        </w:rPr>
      </w:r>
      <w:r>
        <w:rPr>
          <w:spacing w:val="-4"/>
        </w:rPr>
        <w:t>虚假陈述或凌驾于内部控制之上，未能发现由于舞弊导致的重大错报</w:t>
      </w:r>
      <w:r>
        <w:rPr>
          <w:spacing w:val="-113"/>
        </w:rPr>
        <w:t> </w:t>
      </w:r>
      <w:r>
        <w:rPr>
          <w:spacing w:val="-113"/>
        </w:rPr>
      </w:r>
      <w:r>
        <w:rPr/>
        <w:t>的风险高于未能发现由于错误导致的重大错报的风险。</w:t>
      </w:r>
    </w:p>
    <w:p>
      <w:pPr>
        <w:pStyle w:val="Heading3"/>
        <w:spacing w:line="240" w:lineRule="auto" w:before="37"/>
        <w:ind w:left="684" w:right="66" w:firstLine="0"/>
        <w:jc w:val="left"/>
      </w:pPr>
      <w:r>
        <w:rPr/>
        <w:t>（</w:t>
      </w:r>
      <w:r>
        <w:rPr>
          <w:rFonts w:ascii="Times New Roman" w:hAnsi="Times New Roman" w:cs="Times New Roman" w:eastAsia="Times New Roman" w:hint="default"/>
        </w:rPr>
        <w:t>2</w:t>
      </w:r>
      <w:r>
        <w:rPr/>
        <w:t>）了解与审计相关的内部控制，以设计恰当的审计程序。</w:t>
      </w:r>
    </w:p>
    <w:p>
      <w:pPr>
        <w:spacing w:after="0" w:line="240" w:lineRule="auto"/>
        <w:jc w:val="left"/>
        <w:sectPr>
          <w:headerReference w:type="default" r:id="rId41"/>
          <w:footerReference w:type="default" r:id="rId42"/>
          <w:pgSz w:w="11910" w:h="16840"/>
          <w:pgMar w:header="0" w:footer="976" w:top="1580" w:bottom="1160" w:left="1680" w:right="0"/>
          <w:pgNumType w:start="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362" w:lineRule="exact" w:before="51"/>
        <w:ind w:right="1794"/>
        <w:jc w:val="both"/>
      </w:pPr>
      <w:r>
        <w:rPr/>
        <w:t>（</w:t>
      </w:r>
      <w:r>
        <w:rPr>
          <w:rFonts w:ascii="Times New Roman" w:hAnsi="Times New Roman" w:cs="Times New Roman" w:eastAsia="Times New Roman" w:hint="default"/>
        </w:rPr>
        <w:t>3</w:t>
      </w:r>
      <w:r>
        <w:rPr/>
        <w:t>）评价管理层选用会计政策的恰当性和作出会计估计及相关</w:t>
      </w:r>
      <w:r>
        <w:rPr>
          <w:w w:val="100"/>
        </w:rPr>
        <w:t> </w:t>
      </w:r>
      <w:r>
        <w:rPr/>
        <w:t>披露的合理性。</w:t>
      </w:r>
    </w:p>
    <w:p>
      <w:pPr>
        <w:pStyle w:val="Heading3"/>
        <w:spacing w:line="235" w:lineRule="auto" w:before="12"/>
        <w:ind w:right="66"/>
        <w:jc w:val="left"/>
      </w:pPr>
      <w:r>
        <w:rPr/>
        <w:t>（</w:t>
      </w:r>
      <w:r>
        <w:rPr>
          <w:rFonts w:ascii="Times New Roman" w:hAnsi="Times New Roman" w:cs="Times New Roman" w:eastAsia="Times New Roman" w:hint="default"/>
        </w:rPr>
        <w:t>4</w:t>
      </w:r>
      <w:r>
        <w:rPr/>
        <w:t>）对管理层使用持续经营假设的恰当性得出结论。同时，根</w:t>
      </w:r>
      <w:r>
        <w:rPr>
          <w:w w:val="100"/>
        </w:rPr>
        <w:t> </w:t>
      </w:r>
      <w:r>
        <w:rPr>
          <w:spacing w:val="-4"/>
        </w:rPr>
        <w:t>据获取的审计证据，就可能导致对农产品公司持续经营能力产生重大</w:t>
      </w:r>
      <w:r>
        <w:rPr>
          <w:spacing w:val="-112"/>
        </w:rPr>
        <w:t> </w:t>
      </w:r>
      <w:r>
        <w:rPr>
          <w:spacing w:val="-112"/>
        </w:rPr>
      </w:r>
      <w:r>
        <w:rPr>
          <w:spacing w:val="-4"/>
        </w:rPr>
        <w:t>疑虑的事项或情况是否存在重大不确定性得出结论。如果我们得出结</w:t>
      </w:r>
      <w:r>
        <w:rPr>
          <w:spacing w:val="-113"/>
        </w:rPr>
        <w:t> </w:t>
      </w:r>
      <w:r>
        <w:rPr>
          <w:spacing w:val="-113"/>
        </w:rPr>
      </w:r>
      <w:r>
        <w:rPr>
          <w:spacing w:val="-4"/>
        </w:rPr>
        <w:t>论认为存在重大不确定性，审计准则要求我们在审计报告中提请报表</w:t>
      </w:r>
      <w:r>
        <w:rPr>
          <w:spacing w:val="-113"/>
        </w:rPr>
        <w:t> </w:t>
      </w:r>
      <w:r>
        <w:rPr>
          <w:spacing w:val="-113"/>
        </w:rPr>
      </w:r>
      <w:r>
        <w:rPr>
          <w:spacing w:val="-4"/>
        </w:rPr>
        <w:t>使用者注意财务报表中的相关披露；如果披露不充分，我们应当发表</w:t>
      </w:r>
      <w:r>
        <w:rPr>
          <w:spacing w:val="-112"/>
        </w:rPr>
        <w:t> </w:t>
      </w:r>
      <w:r>
        <w:rPr>
          <w:spacing w:val="-112"/>
        </w:rPr>
      </w:r>
      <w:r>
        <w:rPr>
          <w:spacing w:val="-9"/>
          <w:w w:val="100"/>
        </w:rPr>
        <w:t>非无保留意见。我们的结论基于截至审计报告日可获得的信息。然而，</w:t>
      </w:r>
      <w:r>
        <w:rPr>
          <w:spacing w:val="-121"/>
          <w:w w:val="100"/>
        </w:rPr>
        <w:t> </w:t>
      </w:r>
      <w:r>
        <w:rPr>
          <w:spacing w:val="-121"/>
          <w:w w:val="100"/>
        </w:rPr>
      </w:r>
      <w:r>
        <w:rPr/>
        <w:t>未来的事项或情况可能导致农产品公司不能持续经营。</w:t>
      </w:r>
    </w:p>
    <w:p>
      <w:pPr>
        <w:pStyle w:val="Heading3"/>
        <w:spacing w:line="360" w:lineRule="exact" w:before="79"/>
        <w:ind w:right="1790"/>
        <w:jc w:val="both"/>
      </w:pPr>
      <w:r>
        <w:rPr>
          <w:spacing w:val="-9"/>
          <w:w w:val="100"/>
        </w:rPr>
        <w:t>（</w:t>
      </w:r>
      <w:r>
        <w:rPr>
          <w:rFonts w:ascii="Times New Roman" w:hAnsi="Times New Roman" w:cs="Times New Roman" w:eastAsia="Times New Roman" w:hint="default"/>
          <w:spacing w:val="-9"/>
          <w:w w:val="100"/>
        </w:rPr>
        <w:t>5</w:t>
      </w:r>
      <w:r>
        <w:rPr>
          <w:spacing w:val="-9"/>
          <w:w w:val="100"/>
        </w:rPr>
        <w:t>）评价财务报表的总体列报、结构和内容（包括披露），并评</w:t>
      </w:r>
      <w:r>
        <w:rPr>
          <w:w w:val="100"/>
        </w:rPr>
        <w:t> </w:t>
      </w:r>
      <w:r>
        <w:rPr/>
        <w:t>价财务报表是否公允反映相关交易和事项。</w:t>
      </w:r>
    </w:p>
    <w:p>
      <w:pPr>
        <w:pStyle w:val="Heading3"/>
        <w:spacing w:line="230" w:lineRule="auto" w:before="19"/>
        <w:ind w:right="1793"/>
        <w:jc w:val="both"/>
      </w:pPr>
      <w:r>
        <w:rPr/>
        <w:t>（</w:t>
      </w:r>
      <w:r>
        <w:rPr>
          <w:rFonts w:ascii="Times New Roman" w:hAnsi="Times New Roman" w:cs="Times New Roman" w:eastAsia="Times New Roman" w:hint="default"/>
        </w:rPr>
        <w:t>6</w:t>
      </w:r>
      <w:r>
        <w:rPr/>
        <w:t>）就农产品公司中实体或业务活动的财务信息获取充分、适</w:t>
      </w:r>
      <w:r>
        <w:rPr>
          <w:w w:val="100"/>
        </w:rPr>
        <w:t> </w:t>
      </w:r>
      <w:r>
        <w:rPr>
          <w:spacing w:val="-4"/>
        </w:rPr>
        <w:t>当的审计证据，以对财务报表发表审计意见。我们负责指导、监督和</w:t>
      </w:r>
      <w:r>
        <w:rPr>
          <w:spacing w:val="-113"/>
        </w:rPr>
        <w:t> </w:t>
      </w:r>
      <w:r>
        <w:rPr>
          <w:spacing w:val="-113"/>
        </w:rPr>
      </w:r>
      <w:r>
        <w:rPr/>
        <w:t>执行集团审计，并对审计意见承担全部责任。</w:t>
      </w:r>
    </w:p>
    <w:p>
      <w:pPr>
        <w:pStyle w:val="Heading3"/>
        <w:spacing w:line="237" w:lineRule="auto" w:before="44"/>
        <w:ind w:right="1793"/>
        <w:jc w:val="both"/>
      </w:pPr>
      <w:r>
        <w:rPr>
          <w:spacing w:val="-5"/>
        </w:rPr>
        <w:t>我们与治理层就计划的审计范围、时间安排和重大审计发现等事</w:t>
      </w:r>
      <w:r>
        <w:rPr>
          <w:w w:val="100"/>
        </w:rPr>
        <w:t> </w:t>
      </w:r>
      <w:r>
        <w:rPr>
          <w:spacing w:val="-4"/>
        </w:rPr>
        <w:t>项进行沟通，包括沟通我们在审计中识别出的值得关注的内部控制缺</w:t>
      </w:r>
      <w:r>
        <w:rPr>
          <w:spacing w:val="-112"/>
        </w:rPr>
        <w:t> </w:t>
      </w:r>
      <w:r>
        <w:rPr>
          <w:spacing w:val="-112"/>
        </w:rPr>
      </w:r>
      <w:r>
        <w:rPr/>
        <w:t>陷。</w:t>
      </w:r>
    </w:p>
    <w:p>
      <w:pPr>
        <w:pStyle w:val="Heading3"/>
        <w:spacing w:line="362" w:lineRule="exact" w:before="77"/>
        <w:ind w:right="1792"/>
        <w:jc w:val="both"/>
      </w:pPr>
      <w:r>
        <w:rPr>
          <w:spacing w:val="4"/>
        </w:rPr>
        <w:t>我们还就已遵守与独立性相关的职业道德要求向治理层提供声</w:t>
      </w:r>
      <w:r>
        <w:rPr>
          <w:w w:val="100"/>
        </w:rPr>
        <w:t> </w:t>
      </w:r>
      <w:r>
        <w:rPr>
          <w:spacing w:val="-4"/>
        </w:rPr>
        <w:t>明，并与治理层沟通可能被合理认为影响我们独立性的所有关系和其</w:t>
      </w:r>
      <w:r>
        <w:rPr>
          <w:spacing w:val="-112"/>
        </w:rPr>
        <w:t> </w:t>
      </w:r>
      <w:r>
        <w:rPr>
          <w:spacing w:val="-112"/>
        </w:rPr>
      </w:r>
      <w:r>
        <w:rPr>
          <w:spacing w:val="-9"/>
          <w:w w:val="100"/>
        </w:rPr>
        <w:t>他事项，以及相关的防范措施（如适用）。</w:t>
      </w:r>
    </w:p>
    <w:p>
      <w:pPr>
        <w:pStyle w:val="Heading3"/>
        <w:spacing w:line="237" w:lineRule="auto" w:before="9"/>
        <w:ind w:right="1793"/>
        <w:jc w:val="both"/>
      </w:pPr>
      <w:r>
        <w:rPr>
          <w:spacing w:val="-5"/>
        </w:rPr>
        <w:t>从与治理层沟通过的事项中，我们确定哪些事项对本期财务报表</w:t>
      </w:r>
      <w:r>
        <w:rPr>
          <w:w w:val="100"/>
        </w:rPr>
        <w:t> </w:t>
      </w:r>
      <w:r>
        <w:rPr>
          <w:spacing w:val="-4"/>
        </w:rPr>
        <w:t>审计最为重要，因而构成关键审计事项。我们在审计报告中描述这些</w:t>
      </w:r>
      <w:r>
        <w:rPr>
          <w:spacing w:val="-113"/>
        </w:rPr>
        <w:t> </w:t>
      </w:r>
      <w:r>
        <w:rPr>
          <w:spacing w:val="-113"/>
        </w:rPr>
      </w:r>
      <w:r>
        <w:rPr>
          <w:spacing w:val="-4"/>
        </w:rPr>
        <w:t>事项，除非法律法规禁止公开披露这些事项，或在极少数情形下，如</w:t>
      </w:r>
      <w:r>
        <w:rPr>
          <w:spacing w:val="-113"/>
        </w:rPr>
        <w:t> </w:t>
      </w:r>
      <w:r>
        <w:rPr>
          <w:spacing w:val="-113"/>
        </w:rPr>
      </w:r>
      <w:r>
        <w:rPr>
          <w:spacing w:val="4"/>
        </w:rPr>
        <w:t>果合理预期在审计报告中沟通某事项造成的负面后果超过在公众利</w:t>
      </w:r>
      <w:r>
        <w:rPr>
          <w:spacing w:val="-77"/>
        </w:rPr>
        <w:t> </w:t>
      </w:r>
      <w:r>
        <w:rPr>
          <w:spacing w:val="-77"/>
        </w:rPr>
      </w:r>
      <w:r>
        <w:rPr/>
        <w:t>益方面产生的益处，我们确定不应在审计报告中沟通该事项。</w:t>
      </w:r>
    </w:p>
    <w:p>
      <w:pPr>
        <w:spacing w:after="0" w:line="237" w:lineRule="auto"/>
        <w:jc w:val="both"/>
        <w:sectPr>
          <w:headerReference w:type="default" r:id="rId43"/>
          <w:footerReference w:type="default" r:id="rId44"/>
          <w:pgSz w:w="11910" w:h="16840"/>
          <w:pgMar w:header="0" w:footer="976" w:top="1580" w:bottom="1160" w:left="1680" w:right="0"/>
          <w:pgNumType w:start="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tabs>
          <w:tab w:pos="5173" w:val="left" w:leader="none"/>
        </w:tabs>
        <w:spacing w:line="370" w:lineRule="exact"/>
        <w:ind w:left="394" w:right="66"/>
        <w:jc w:val="left"/>
        <w:rPr>
          <w:b w:val="0"/>
          <w:bCs w:val="0"/>
        </w:rPr>
      </w:pPr>
      <w:r>
        <w:rPr/>
        <w:t>立信会计师事务所（特殊普通合伙）</w:t>
        <w:tab/>
        <w:t>中国注册会计师：祁涛</w:t>
      </w:r>
      <w:r>
        <w:rPr>
          <w:b w:val="0"/>
          <w:bCs w:val="0"/>
        </w:rPr>
      </w:r>
    </w:p>
    <w:p>
      <w:pPr>
        <w:pStyle w:val="Heading2"/>
        <w:spacing w:line="445" w:lineRule="exact"/>
        <w:ind w:left="5175" w:right="66"/>
        <w:jc w:val="left"/>
        <w:rPr>
          <w:b w:val="0"/>
          <w:bCs w:val="0"/>
        </w:rPr>
      </w:pPr>
      <w:r>
        <w:rPr/>
        <w:t>（项目合伙人）</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Heading2"/>
        <w:tabs>
          <w:tab w:pos="5269" w:val="left" w:leader="none"/>
        </w:tabs>
        <w:spacing w:line="556" w:lineRule="auto"/>
        <w:ind w:left="5312" w:right="1817" w:hanging="3376"/>
        <w:jc w:val="left"/>
        <w:rPr>
          <w:b w:val="0"/>
          <w:bCs w:val="0"/>
        </w:rPr>
      </w:pPr>
      <w:r>
        <w:rPr/>
        <w:t>中国</w:t>
      </w:r>
      <w:r>
        <w:rPr>
          <w:rFonts w:ascii="Times New Roman" w:hAnsi="Times New Roman" w:cs="Times New Roman" w:eastAsia="Times New Roman" w:hint="default"/>
        </w:rPr>
        <w:t>•</w:t>
      </w:r>
      <w:r>
        <w:rPr/>
        <w:t>上海</w:t>
        <w:tab/>
        <w:t>中国注册会计师：毛彦波</w:t>
      </w:r>
      <w:r>
        <w:rPr>
          <w:spacing w:val="-56"/>
        </w:rPr>
        <w:t> </w:t>
      </w:r>
      <w:r>
        <w:rPr>
          <w:spacing w:val="-56"/>
        </w:rPr>
      </w:r>
      <w:r>
        <w:rPr/>
        <w:t>二〇一九年四月二十五日</w:t>
      </w:r>
      <w:r>
        <w:rPr>
          <w:b w:val="0"/>
          <w:bCs w:val="0"/>
        </w:rPr>
      </w:r>
    </w:p>
    <w:p>
      <w:pPr>
        <w:spacing w:after="0" w:line="556" w:lineRule="auto"/>
        <w:jc w:val="left"/>
        <w:sectPr>
          <w:headerReference w:type="default" r:id="rId45"/>
          <w:footerReference w:type="default" r:id="rId46"/>
          <w:pgSz w:w="11910" w:h="16840"/>
          <w:pgMar w:header="0" w:footer="976" w:top="1580" w:bottom="1160" w:left="1680" w:right="0"/>
          <w:pgNumType w:start="6"/>
        </w:sectPr>
      </w:pPr>
    </w:p>
    <w:p>
      <w:pPr>
        <w:spacing w:line="206" w:lineRule="auto" w:before="14"/>
        <w:ind w:left="3741" w:right="4677"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Microsoft JhengHei" w:hAnsi="Microsoft JhengHei" w:cs="Microsoft JhengHei" w:eastAsia="Microsoft JhengHei" w:hint="default"/>
          <w:b/>
          <w:bCs/>
          <w:sz w:val="18"/>
          <w:szCs w:val="18"/>
        </w:rPr>
        <w:t>合并资产负债表</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87" w:lineRule="exact" w:before="0"/>
        <w:ind w:left="265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848"/>
        <w:gridCol w:w="1702"/>
        <w:gridCol w:w="1618"/>
      </w:tblGrid>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1,860,317,522.24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1,822,758,284.40</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59,377,586.96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57,983,342.15</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61,599,118.15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68,575,753.57</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844,735,276.55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761,117,481.93</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604,500,165.15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520,687,437.45</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（六）</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10,680,056.24</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418,539,680.12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380,771,497.03</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3,849,069,349.17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3,622,573,852.77</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230,358,774.28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354,863,795.40</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30,003,964.69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34,543,000.00</w:t>
            </w:r>
          </w:p>
        </w:tc>
      </w:tr>
      <w:tr>
        <w:trPr>
          <w:trHeight w:val="37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2,360,545,977.15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2,198,080,741.40</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7,096,812,991.00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7,033,493,507.91</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1,925,380,400.35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1,943,550,868.88</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1,034,631,533.28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999,551,080.26</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2,034,686,725.76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2,199,593,865.42</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9,099,417.91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9,099,417.91</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358,765,489.15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215,144,592.97</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3"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37,321,142.73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50,758,996.56</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33,012,030.77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182,179,319.31</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15,150,618,447.07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15,220,859,186.02</w:t>
            </w:r>
          </w:p>
        </w:tc>
      </w:tr>
    </w:tbl>
    <w:p>
      <w:pPr>
        <w:spacing w:after="0" w:line="240" w:lineRule="auto"/>
        <w:jc w:val="right"/>
        <w:rPr>
          <w:rFonts w:ascii="Times New Roman" w:hAnsi="Times New Roman" w:cs="Times New Roman" w:eastAsia="Times New Roman" w:hint="default"/>
          <w:sz w:val="18"/>
          <w:szCs w:val="18"/>
        </w:rPr>
        <w:sectPr>
          <w:headerReference w:type="default" r:id="rId47"/>
          <w:footerReference w:type="default" r:id="rId48"/>
          <w:pgSz w:w="11910" w:h="16840"/>
          <w:pgMar w:header="0" w:footer="571" w:top="880" w:bottom="760" w:left="1580" w:right="0"/>
          <w:pgNumType w:start="1"/>
        </w:sectPr>
      </w:pP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364"/>
        <w:gridCol w:w="848"/>
        <w:gridCol w:w="1702"/>
        <w:gridCol w:w="1618"/>
      </w:tblGrid>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7" w:right="0"/>
              <w:jc w:val="left"/>
              <w:rPr>
                <w:rFonts w:ascii="Times New Roman" w:hAnsi="Times New Roman" w:cs="Times New Roman" w:eastAsia="Times New Roman" w:hint="default"/>
                <w:sz w:val="18"/>
                <w:szCs w:val="18"/>
              </w:rPr>
            </w:pPr>
            <w:r>
              <w:rPr>
                <w:rFonts w:ascii="Times New Roman"/>
                <w:sz w:val="18"/>
              </w:rPr>
              <w:t>18,999,687,796.24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9" w:right="0"/>
              <w:jc w:val="center"/>
              <w:rPr>
                <w:rFonts w:ascii="Times New Roman" w:hAnsi="Times New Roman" w:cs="Times New Roman" w:eastAsia="Times New Roman" w:hint="default"/>
                <w:sz w:val="18"/>
                <w:szCs w:val="18"/>
              </w:rPr>
            </w:pPr>
            <w:r>
              <w:rPr>
                <w:rFonts w:ascii="Times New Roman"/>
                <w:sz w:val="18"/>
              </w:rPr>
              <w:t>18,843,433,038.79</w:t>
            </w: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723" w:val="left" w:leader="none"/>
        </w:tabs>
        <w:spacing w:before="126"/>
        <w:ind w:left="2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723" w:val="left" w:leader="none"/>
        </w:tabs>
        <w:spacing w:before="135"/>
        <w:ind w:left="309" w:right="0"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49"/>
          <w:footerReference w:type="default" r:id="rId50"/>
          <w:pgSz w:w="11910" w:h="16840"/>
          <w:pgMar w:header="0" w:footer="571" w:top="860" w:bottom="760" w:left="1580" w:right="0"/>
          <w:pgNumType w:start="2"/>
        </w:sectPr>
      </w:pPr>
    </w:p>
    <w:p>
      <w:pPr>
        <w:spacing w:line="274" w:lineRule="exact" w:before="23"/>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合并资产负债表（续）</w:t>
      </w:r>
      <w:r>
        <w:rPr>
          <w:rFonts w:ascii="Microsoft JhengHei" w:hAnsi="Microsoft JhengHei" w:cs="Microsoft JhengHei" w:eastAsia="Microsoft JhengHei" w:hint="default"/>
          <w:sz w:val="18"/>
          <w:szCs w:val="18"/>
        </w:rPr>
      </w:r>
    </w:p>
    <w:p>
      <w:pPr>
        <w:spacing w:line="246"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20"/>
        <w:gridCol w:w="992"/>
        <w:gridCol w:w="1702"/>
        <w:gridCol w:w="1618"/>
      </w:tblGrid>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5"/>
                <w:szCs w:val="15"/>
              </w:rPr>
            </w:pPr>
            <w:r>
              <w:rPr>
                <w:rFonts w:ascii="宋体" w:hAnsi="宋体" w:cs="宋体" w:eastAsia="宋体" w:hint="default"/>
                <w:sz w:val="15"/>
                <w:szCs w:val="15"/>
              </w:rPr>
              <w:t>负债和所有者权益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4" w:right="0"/>
              <w:jc w:val="left"/>
              <w:rPr>
                <w:rFonts w:ascii="宋体" w:hAnsi="宋体" w:cs="宋体" w:eastAsia="宋体" w:hint="default"/>
                <w:sz w:val="15"/>
                <w:szCs w:val="15"/>
              </w:rPr>
            </w:pPr>
            <w:r>
              <w:rPr>
                <w:rFonts w:ascii="宋体" w:hAnsi="宋体" w:cs="宋体" w:eastAsia="宋体" w:hint="default"/>
                <w:sz w:val="15"/>
                <w:szCs w:val="15"/>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4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04" w:right="0"/>
              <w:jc w:val="left"/>
              <w:rPr>
                <w:rFonts w:ascii="宋体" w:hAnsi="宋体" w:cs="宋体" w:eastAsia="宋体" w:hint="default"/>
                <w:sz w:val="15"/>
                <w:szCs w:val="15"/>
              </w:rPr>
            </w:pPr>
            <w:r>
              <w:rPr>
                <w:rFonts w:ascii="宋体" w:hAnsi="宋体" w:cs="宋体" w:eastAsia="宋体" w:hint="default"/>
                <w:sz w:val="15"/>
                <w:szCs w:val="15"/>
              </w:rPr>
              <w:t>年初余额</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4,727,000,000.00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4,540,258,000.00</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应付票据及应付账款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731,569,620.40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833,614,198.94</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503,371,570.83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236,663,912.98</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（二十二）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185,970,240.78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156,797,242.01</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2"/>
                <w:sz w:val="15"/>
              </w:rPr>
              <w:t>116,391,765.14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132,221,012.00</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957,933,318.01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940,153,553.13</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持有待售负债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200,057,600.00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91,400,000.00</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12,747,471.29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123,204,024.60</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流动负债合计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7,435,041,586.45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2"/>
                <w:sz w:val="15"/>
              </w:rPr>
              <w:t>7,054,311,943.66</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（二十七）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2,121,028,302.33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2,650,423,494.33</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258,068,909.47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280,008,509.47</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2,576,896,813.05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2,431,197,824.47</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18,312,169.32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18,527,495.81</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非流动负债合计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4,974,306,194.17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5,380,157,324.08</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负债合计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12,409,347,780.62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12,434,469,267.74</w:t>
            </w: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（三十）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1,696,964,131.00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1,696,964,131.00</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（三十一）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2,821,679,107.56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2,662,038,592.73</w:t>
            </w: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1"/>
          <w:footerReference w:type="default" r:id="rId52"/>
          <w:pgSz w:w="11910" w:h="16840"/>
          <w:pgMar w:header="0" w:footer="571" w:top="1160" w:bottom="760" w:left="1580" w:right="0"/>
          <w:pgNumType w:start="3"/>
        </w:sectPr>
      </w:pP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220"/>
        <w:gridCol w:w="992"/>
        <w:gridCol w:w="1702"/>
        <w:gridCol w:w="1618"/>
      </w:tblGrid>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5"/>
                <w:szCs w:val="15"/>
              </w:rPr>
            </w:pPr>
            <w:r>
              <w:rPr>
                <w:rFonts w:ascii="宋体" w:hAnsi="宋体" w:cs="宋体" w:eastAsia="宋体" w:hint="default"/>
                <w:sz w:val="15"/>
                <w:szCs w:val="15"/>
              </w:rPr>
              <w:t>负债和所有者权益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4" w:right="0"/>
              <w:jc w:val="left"/>
              <w:rPr>
                <w:rFonts w:ascii="宋体" w:hAnsi="宋体" w:cs="宋体" w:eastAsia="宋体" w:hint="default"/>
                <w:sz w:val="15"/>
                <w:szCs w:val="15"/>
              </w:rPr>
            </w:pPr>
            <w:r>
              <w:rPr>
                <w:rFonts w:ascii="宋体" w:hAnsi="宋体" w:cs="宋体" w:eastAsia="宋体" w:hint="default"/>
                <w:sz w:val="15"/>
                <w:szCs w:val="15"/>
              </w:rPr>
              <w:t>年初余额</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center"/>
              <w:rPr>
                <w:rFonts w:ascii="宋体" w:hAnsi="宋体" w:cs="宋体" w:eastAsia="宋体" w:hint="default"/>
                <w:sz w:val="15"/>
                <w:szCs w:val="15"/>
              </w:rPr>
            </w:pPr>
            <w:r>
              <w:rPr>
                <w:rFonts w:ascii="宋体" w:hAnsi="宋体" w:cs="宋体" w:eastAsia="宋体" w:hint="default"/>
                <w:sz w:val="15"/>
                <w:szCs w:val="15"/>
              </w:rPr>
              <w:t>（三十二）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-201,177.32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-284,482.84</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center"/>
              <w:rPr>
                <w:rFonts w:ascii="宋体" w:hAnsi="宋体" w:cs="宋体" w:eastAsia="宋体" w:hint="default"/>
                <w:sz w:val="15"/>
                <w:szCs w:val="15"/>
              </w:rPr>
            </w:pPr>
            <w:r>
              <w:rPr>
                <w:rFonts w:ascii="宋体" w:hAnsi="宋体" w:cs="宋体" w:eastAsia="宋体" w:hint="default"/>
                <w:sz w:val="15"/>
                <w:szCs w:val="15"/>
              </w:rPr>
              <w:t>（三十三）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248,043,663.63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237,959,868.83</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center"/>
              <w:rPr>
                <w:rFonts w:ascii="宋体" w:hAnsi="宋体" w:cs="宋体" w:eastAsia="宋体" w:hint="default"/>
                <w:sz w:val="15"/>
                <w:szCs w:val="15"/>
              </w:rPr>
            </w:pPr>
            <w:r>
              <w:rPr>
                <w:rFonts w:ascii="宋体" w:hAnsi="宋体" w:cs="宋体" w:eastAsia="宋体" w:hint="default"/>
                <w:sz w:val="15"/>
                <w:szCs w:val="15"/>
              </w:rPr>
              <w:t>（三十四）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161,083,414.40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213,248,313.53</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4,927,569,139.27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4,809,926,423.25</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1,662,770,876.35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1,599,037,347.80</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所有者权益合计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6,590,340,015.62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6,408,963,771.05</w:t>
            </w:r>
          </w:p>
        </w:tc>
      </w:tr>
      <w:tr>
        <w:trPr>
          <w:trHeight w:val="31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负债和所有者权益总计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18,999,687,796.24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18,843,433,038.79</w:t>
            </w: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723" w:val="left" w:leader="none"/>
        </w:tabs>
        <w:spacing w:before="129"/>
        <w:ind w:left="2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723" w:val="left" w:leader="none"/>
        </w:tabs>
        <w:spacing w:before="135"/>
        <w:ind w:left="309" w:right="0"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53"/>
          <w:footerReference w:type="default" r:id="rId54"/>
          <w:pgSz w:w="11910" w:h="16840"/>
          <w:pgMar w:header="0" w:footer="571" w:top="860" w:bottom="760" w:left="1580" w:right="0"/>
          <w:pgNumType w:start="4"/>
        </w:sectPr>
      </w:pPr>
    </w:p>
    <w:p>
      <w:pPr>
        <w:spacing w:line="274" w:lineRule="exact" w:before="23"/>
        <w:ind w:left="3108" w:right="4683"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p>
      <w:pPr>
        <w:spacing w:line="246"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848"/>
        <w:gridCol w:w="1702"/>
        <w:gridCol w:w="1618"/>
      </w:tblGrid>
      <w:tr>
        <w:trPr>
          <w:trHeight w:val="73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99"/>
              <w:ind w:left="326" w:right="149" w:hanging="181"/>
              <w:jc w:val="left"/>
              <w:rPr>
                <w:rFonts w:ascii="宋体" w:hAnsi="宋体" w:cs="宋体" w:eastAsia="宋体" w:hint="default"/>
                <w:sz w:val="18"/>
                <w:szCs w:val="18"/>
              </w:rPr>
            </w:pPr>
            <w:r>
              <w:rPr>
                <w:rFonts w:ascii="宋体" w:hAnsi="宋体" w:cs="宋体" w:eastAsia="宋体" w:hint="default"/>
                <w:sz w:val="18"/>
                <w:szCs w:val="18"/>
              </w:rPr>
              <w:t>附注十 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961,789,638.13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950,190,525.40</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87,644,505.67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53,938,740.17</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1,285,059.51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742,261.70</w:t>
            </w:r>
          </w:p>
        </w:tc>
      </w:tr>
      <w:tr>
        <w:trPr>
          <w:trHeight w:val="40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3,964,237,375.90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4,042,727,529.47</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304,516,879.17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292,243,015.58</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5,319,473,458.38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5,339,842,072.32</w:t>
            </w:r>
          </w:p>
        </w:tc>
      </w:tr>
      <w:tr>
        <w:trPr>
          <w:trHeight w:val="40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6,191,775,373.24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5,963,802,859.71</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1,824,904,771.09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1,868,536,824.97</w:t>
            </w:r>
          </w:p>
        </w:tc>
      </w:tr>
      <w:tr>
        <w:trPr>
          <w:trHeight w:val="409"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794,888,941.40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781,836,218.94</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44,681,949.52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10,081,494.33</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125,989,349.23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130,435,762.31</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15,799,605.57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16,272,411.69</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5,313,887.60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18,060,337.01</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373,282.05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3,719,095.05</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9,009,727,159.70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8,798,745,004.01</w:t>
            </w:r>
          </w:p>
        </w:tc>
      </w:tr>
      <w:tr>
        <w:trPr>
          <w:trHeight w:val="41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14,329,200,618.08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14,138,587,076.33</w:t>
            </w: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headerReference w:type="default" r:id="rId55"/>
          <w:footerReference w:type="default" r:id="rId56"/>
          <w:pgSz w:w="11910" w:h="16840"/>
          <w:pgMar w:header="0" w:footer="571" w:top="1160" w:bottom="760" w:left="1580" w:right="0"/>
          <w:pgNumType w:start="5"/>
        </w:sectPr>
      </w:pPr>
    </w:p>
    <w:p>
      <w:pPr>
        <w:tabs>
          <w:tab w:pos="4623" w:val="left" w:leader="none"/>
        </w:tabs>
        <w:spacing w:before="19"/>
        <w:ind w:left="118" w:right="66"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623" w:val="left" w:leader="none"/>
        </w:tabs>
        <w:spacing w:before="136"/>
        <w:ind w:left="209" w:right="66"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57"/>
          <w:footerReference w:type="default" r:id="rId58"/>
          <w:pgSz w:w="11910" w:h="16840"/>
          <w:pgMar w:header="0" w:footer="571" w:top="1180" w:bottom="760" w:left="1680" w:right="0"/>
          <w:pgNumType w:start="6"/>
        </w:sectPr>
      </w:pPr>
    </w:p>
    <w:p>
      <w:pPr>
        <w:spacing w:line="274" w:lineRule="exact" w:before="23"/>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资产负债表（续）</w:t>
      </w:r>
      <w:r>
        <w:rPr>
          <w:rFonts w:ascii="Microsoft JhengHei" w:hAnsi="Microsoft JhengHei" w:cs="Microsoft JhengHei" w:eastAsia="Microsoft JhengHei" w:hint="default"/>
          <w:sz w:val="18"/>
          <w:szCs w:val="18"/>
        </w:rPr>
      </w:r>
    </w:p>
    <w:p>
      <w:pPr>
        <w:spacing w:line="246"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848"/>
        <w:gridCol w:w="1702"/>
        <w:gridCol w:w="1618"/>
      </w:tblGrid>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负债和所有者权益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4,705,000,000.00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4,458,258,000.00</w:t>
            </w:r>
            <w:r>
              <w:rPr>
                <w:rFonts w:ascii="Times New Roman"/>
                <w:sz w:val="18"/>
              </w:rPr>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201,854,857.28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202,437,762.50</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3,264,391.40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4,652,245.70</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49,544,882.57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42,213,559.39</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4,087,713.62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7,740,837.07</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1,580,239,192.56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1,383,816,737.61</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121,957,600.00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6,665,948,637.43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6,124,119,142.27</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952,968,800.00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1,662,704,000.00</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5,302,972.73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5,302,972.73</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1,619,931,669.55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1,453,609,337.04</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8,530,643.02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8,530,643.02</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2,586,734,085.30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3,130,146,952.79</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9,252,682,722.73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9,254,266,095.06</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1,696,964,131.00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1,696,964,131.00</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2,718,519,061.32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2,542,311,888.65</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9"/>
          <w:footerReference w:type="default" r:id="rId60"/>
          <w:pgSz w:w="11910" w:h="16840"/>
          <w:pgMar w:header="0" w:footer="571" w:top="1160" w:bottom="760" w:left="1580" w:right="0"/>
          <w:pgNumType w:start="7"/>
        </w:sectPr>
      </w:pP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364"/>
        <w:gridCol w:w="848"/>
        <w:gridCol w:w="1702"/>
        <w:gridCol w:w="1618"/>
      </w:tblGrid>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负债和所有者权益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218,532,621.57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208,448,826.77</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442,502,081.46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436,596,134.85</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5,076,517,895.35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4,884,320,981.27</w:t>
            </w:r>
          </w:p>
        </w:tc>
      </w:tr>
      <w:tr>
        <w:trPr>
          <w:trHeight w:val="37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14,329,200,618.08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14,138,587,076.33</w:t>
            </w: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723" w:val="left" w:leader="none"/>
        </w:tabs>
        <w:spacing w:before="126"/>
        <w:ind w:left="2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723" w:val="left" w:leader="none"/>
        </w:tabs>
        <w:spacing w:before="136"/>
        <w:ind w:left="309" w:right="0"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61"/>
          <w:footerReference w:type="default" r:id="rId62"/>
          <w:pgSz w:w="11910" w:h="16840"/>
          <w:pgMar w:header="0" w:footer="571" w:top="860" w:bottom="760" w:left="1580" w:right="0"/>
          <w:pgNumType w:start="8"/>
        </w:sectPr>
      </w:pPr>
    </w:p>
    <w:p>
      <w:pPr>
        <w:spacing w:line="274" w:lineRule="exact" w:before="23"/>
        <w:ind w:left="3108" w:right="4683"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合并利润表</w:t>
      </w:r>
      <w:r>
        <w:rPr>
          <w:rFonts w:ascii="Microsoft JhengHei" w:hAnsi="Microsoft JhengHei" w:cs="Microsoft JhengHei" w:eastAsia="Microsoft JhengHei" w:hint="default"/>
          <w:sz w:val="18"/>
          <w:szCs w:val="18"/>
        </w:rPr>
      </w:r>
    </w:p>
    <w:p>
      <w:pPr>
        <w:spacing w:line="246"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37"/>
        <w:gridCol w:w="1136"/>
        <w:gridCol w:w="1728"/>
        <w:gridCol w:w="1731"/>
      </w:tblGrid>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附注五</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2" w:right="0"/>
              <w:jc w:val="left"/>
              <w:rPr>
                <w:rFonts w:ascii="宋体" w:hAnsi="宋体" w:cs="宋体" w:eastAsia="宋体" w:hint="default"/>
                <w:sz w:val="13"/>
                <w:szCs w:val="13"/>
              </w:rPr>
            </w:pPr>
            <w:r>
              <w:rPr>
                <w:rFonts w:ascii="宋体" w:hAnsi="宋体" w:cs="宋体" w:eastAsia="宋体" w:hint="default"/>
                <w:sz w:val="13"/>
                <w:szCs w:val="13"/>
              </w:rPr>
              <w:t>本期发生额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3" w:right="0"/>
              <w:jc w:val="left"/>
              <w:rPr>
                <w:rFonts w:ascii="宋体" w:hAnsi="宋体" w:cs="宋体" w:eastAsia="宋体" w:hint="default"/>
                <w:sz w:val="13"/>
                <w:szCs w:val="13"/>
              </w:rPr>
            </w:pPr>
            <w:r>
              <w:rPr>
                <w:rFonts w:ascii="宋体" w:hAnsi="宋体" w:cs="宋体" w:eastAsia="宋体" w:hint="default"/>
                <w:sz w:val="13"/>
                <w:szCs w:val="13"/>
              </w:rPr>
              <w:t>上期发生额</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一、营业总收入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（三十五）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2,302,055,708.59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2,446,281,449.79</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其中：营业收入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0"/>
              <w:jc w:val="right"/>
              <w:rPr>
                <w:rFonts w:ascii="宋体" w:hAnsi="宋体" w:cs="宋体" w:eastAsia="宋体" w:hint="default"/>
                <w:sz w:val="13"/>
                <w:szCs w:val="13"/>
              </w:rPr>
            </w:pPr>
            <w:r>
              <w:rPr>
                <w:rFonts w:ascii="宋体" w:hAnsi="宋体" w:cs="宋体" w:eastAsia="宋体" w:hint="default"/>
                <w:w w:val="95"/>
                <w:sz w:val="13"/>
                <w:szCs w:val="13"/>
              </w:rPr>
              <w:t>（三十五）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sz w:val="13"/>
              </w:rPr>
              <w:t>2,302,055,708.59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2,446,281,449.79</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已赚保费</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手续费及佣金收入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二、营业总成本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sz w:val="13"/>
              </w:rPr>
              <w:t>2,352,716,674.49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2,432,108,372.16</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其中：营业成本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（三十五）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1,448,779,690.77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1,522,874,497.69</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利息支出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手续费及佣金支出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退保金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赔付支出净额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提取保险合同准备金净额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保单红利支出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分保费用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税金及附加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（三十六）</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52,125,898.83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pacing w:val="-1"/>
                <w:sz w:val="13"/>
              </w:rPr>
              <w:t>85,114,094.82</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销售费用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0"/>
              <w:jc w:val="right"/>
              <w:rPr>
                <w:rFonts w:ascii="宋体" w:hAnsi="宋体" w:cs="宋体" w:eastAsia="宋体" w:hint="default"/>
                <w:sz w:val="13"/>
                <w:szCs w:val="13"/>
              </w:rPr>
            </w:pPr>
            <w:r>
              <w:rPr>
                <w:rFonts w:ascii="宋体" w:hAnsi="宋体" w:cs="宋体" w:eastAsia="宋体" w:hint="default"/>
                <w:w w:val="95"/>
                <w:sz w:val="13"/>
                <w:szCs w:val="13"/>
              </w:rPr>
              <w:t>（三十七）</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139,040,856.83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Times New Roman" w:hAnsi="Times New Roman" w:cs="Times New Roman" w:eastAsia="Times New Roman" w:hint="default"/>
                <w:sz w:val="13"/>
                <w:szCs w:val="13"/>
              </w:rPr>
            </w:pPr>
            <w:r>
              <w:rPr>
                <w:rFonts w:ascii="Times New Roman"/>
                <w:sz w:val="13"/>
              </w:rPr>
              <w:t>179,486,383.56</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管理费用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（三十八）</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383,428,054.21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382,260,813.31</w:t>
            </w:r>
          </w:p>
        </w:tc>
      </w:tr>
      <w:tr>
        <w:trPr>
          <w:trHeight w:val="2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研发费用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0"/>
              <w:jc w:val="right"/>
              <w:rPr>
                <w:rFonts w:ascii="宋体" w:hAnsi="宋体" w:cs="宋体" w:eastAsia="宋体" w:hint="default"/>
                <w:sz w:val="13"/>
                <w:szCs w:val="13"/>
              </w:rPr>
            </w:pPr>
            <w:r>
              <w:rPr>
                <w:rFonts w:ascii="宋体" w:hAnsi="宋体" w:cs="宋体" w:eastAsia="宋体" w:hint="default"/>
                <w:w w:val="95"/>
                <w:sz w:val="13"/>
                <w:szCs w:val="13"/>
              </w:rPr>
              <w:t>（三十九）</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sz w:val="13"/>
              </w:rPr>
              <w:t>7,200,731.46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4,260,587.71</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55" w:right="0"/>
              <w:jc w:val="left"/>
              <w:rPr>
                <w:rFonts w:ascii="宋体" w:hAnsi="宋体" w:cs="宋体" w:eastAsia="宋体" w:hint="default"/>
                <w:sz w:val="13"/>
                <w:szCs w:val="13"/>
              </w:rPr>
            </w:pPr>
            <w:r>
              <w:rPr>
                <w:rFonts w:ascii="宋体" w:hAnsi="宋体" w:cs="宋体" w:eastAsia="宋体" w:hint="default"/>
                <w:sz w:val="13"/>
                <w:szCs w:val="13"/>
              </w:rPr>
              <w:t>财务费用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05"/>
              <w:jc w:val="right"/>
              <w:rPr>
                <w:rFonts w:ascii="宋体" w:hAnsi="宋体" w:cs="宋体" w:eastAsia="宋体" w:hint="default"/>
                <w:sz w:val="13"/>
                <w:szCs w:val="13"/>
              </w:rPr>
            </w:pPr>
            <w:r>
              <w:rPr>
                <w:rFonts w:ascii="宋体" w:hAnsi="宋体" w:cs="宋体" w:eastAsia="宋体" w:hint="default"/>
                <w:w w:val="95"/>
                <w:sz w:val="13"/>
                <w:szCs w:val="13"/>
              </w:rPr>
              <w:t>（四十）</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272,965,928.01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255,719,386.50</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其中：利息费用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5"/>
              <w:jc w:val="right"/>
              <w:rPr>
                <w:rFonts w:ascii="宋体" w:hAnsi="宋体" w:cs="宋体" w:eastAsia="宋体" w:hint="default"/>
                <w:sz w:val="13"/>
                <w:szCs w:val="13"/>
              </w:rPr>
            </w:pPr>
            <w:r>
              <w:rPr>
                <w:rFonts w:ascii="宋体" w:hAnsi="宋体" w:cs="宋体" w:eastAsia="宋体" w:hint="default"/>
                <w:w w:val="95"/>
                <w:sz w:val="13"/>
                <w:szCs w:val="13"/>
              </w:rPr>
              <w:t>（四十）</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315,929,524.49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Times New Roman" w:hAnsi="Times New Roman" w:cs="Times New Roman" w:eastAsia="Times New Roman" w:hint="default"/>
                <w:sz w:val="13"/>
                <w:szCs w:val="13"/>
              </w:rPr>
            </w:pPr>
            <w:r>
              <w:rPr>
                <w:rFonts w:ascii="Times New Roman"/>
                <w:sz w:val="13"/>
              </w:rPr>
              <w:t>285,167,206.34</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44"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05"/>
              <w:jc w:val="right"/>
              <w:rPr>
                <w:rFonts w:ascii="宋体" w:hAnsi="宋体" w:cs="宋体" w:eastAsia="宋体" w:hint="default"/>
                <w:sz w:val="13"/>
                <w:szCs w:val="13"/>
              </w:rPr>
            </w:pPr>
            <w:r>
              <w:rPr>
                <w:rFonts w:ascii="宋体" w:hAnsi="宋体" w:cs="宋体" w:eastAsia="宋体" w:hint="default"/>
                <w:w w:val="95"/>
                <w:sz w:val="13"/>
                <w:szCs w:val="13"/>
              </w:rPr>
              <w:t>（四十）</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46,100,478.99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31,300,866.59</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13"/>
                <w:szCs w:val="13"/>
              </w:rPr>
            </w:pPr>
            <w:r>
              <w:rPr>
                <w:rFonts w:ascii="宋体" w:hAnsi="宋体" w:cs="宋体" w:eastAsia="宋体" w:hint="default"/>
                <w:sz w:val="13"/>
                <w:szCs w:val="13"/>
              </w:rPr>
              <w:t>资产减值损失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0"/>
              <w:jc w:val="right"/>
              <w:rPr>
                <w:rFonts w:ascii="宋体" w:hAnsi="宋体" w:cs="宋体" w:eastAsia="宋体" w:hint="default"/>
                <w:sz w:val="13"/>
                <w:szCs w:val="13"/>
              </w:rPr>
            </w:pPr>
            <w:r>
              <w:rPr>
                <w:rFonts w:ascii="宋体" w:hAnsi="宋体" w:cs="宋体" w:eastAsia="宋体" w:hint="default"/>
                <w:w w:val="95"/>
                <w:sz w:val="13"/>
                <w:szCs w:val="13"/>
              </w:rPr>
              <w:t>（四十一）</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sz w:val="13"/>
              </w:rPr>
              <w:t>49,175,514.38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2,392,608.57</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加：其他收益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（四十二）</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155,264,564.49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pacing w:val="-1"/>
                <w:sz w:val="13"/>
              </w:rPr>
              <w:t>59,433,350.11</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6" w:right="0"/>
              <w:jc w:val="left"/>
              <w:rPr>
                <w:rFonts w:ascii="宋体" w:hAnsi="宋体" w:cs="宋体" w:eastAsia="宋体" w:hint="default"/>
                <w:sz w:val="13"/>
                <w:szCs w:val="13"/>
              </w:rPr>
            </w:pPr>
            <w:r>
              <w:rPr>
                <w:rFonts w:ascii="宋体" w:hAnsi="宋体" w:cs="宋体" w:eastAsia="宋体" w:hint="default"/>
                <w:sz w:val="13"/>
                <w:szCs w:val="13"/>
              </w:rPr>
              <w:t>投资收益（损失以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0"/>
              <w:jc w:val="right"/>
              <w:rPr>
                <w:rFonts w:ascii="宋体" w:hAnsi="宋体" w:cs="宋体" w:eastAsia="宋体" w:hint="default"/>
                <w:sz w:val="13"/>
                <w:szCs w:val="13"/>
              </w:rPr>
            </w:pPr>
            <w:r>
              <w:rPr>
                <w:rFonts w:ascii="宋体" w:hAnsi="宋体" w:cs="宋体" w:eastAsia="宋体" w:hint="default"/>
                <w:w w:val="95"/>
                <w:sz w:val="13"/>
                <w:szCs w:val="13"/>
              </w:rPr>
              <w:t>（四十三）</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160,838,379.14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Times New Roman" w:hAnsi="Times New Roman" w:cs="Times New Roman" w:eastAsia="Times New Roman" w:hint="default"/>
                <w:sz w:val="13"/>
                <w:szCs w:val="13"/>
              </w:rPr>
            </w:pPr>
            <w:r>
              <w:rPr>
                <w:rFonts w:ascii="Times New Roman"/>
                <w:spacing w:val="-1"/>
                <w:sz w:val="13"/>
              </w:rPr>
              <w:t>115,181,603.20</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3"/>
                <w:szCs w:val="13"/>
              </w:rPr>
            </w:pPr>
            <w:r>
              <w:rPr>
                <w:rFonts w:ascii="宋体" w:hAnsi="宋体" w:cs="宋体" w:eastAsia="宋体" w:hint="default"/>
                <w:sz w:val="13"/>
                <w:szCs w:val="13"/>
              </w:rPr>
              <w:t>其中：对联营企业和合营企业的投资收益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47,988,251.08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54,990,359.60</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6" w:right="0"/>
              <w:jc w:val="left"/>
              <w:rPr>
                <w:rFonts w:ascii="宋体" w:hAnsi="宋体" w:cs="宋体" w:eastAsia="宋体" w:hint="default"/>
                <w:sz w:val="13"/>
                <w:szCs w:val="13"/>
              </w:rPr>
            </w:pPr>
            <w:r>
              <w:rPr>
                <w:rFonts w:ascii="宋体" w:hAnsi="宋体" w:cs="宋体" w:eastAsia="宋体" w:hint="default"/>
                <w:sz w:val="13"/>
                <w:szCs w:val="13"/>
              </w:rPr>
              <w:t>公允价值变动收益（损失以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3"/>
                <w:szCs w:val="13"/>
              </w:rPr>
            </w:pPr>
            <w:r>
              <w:rPr>
                <w:rFonts w:ascii="宋体" w:hAnsi="宋体" w:cs="宋体" w:eastAsia="宋体" w:hint="default"/>
                <w:sz w:val="13"/>
                <w:szCs w:val="13"/>
              </w:rPr>
              <w:t>资产处置收益（损失以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（四十四）</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2,942,735.37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5,926,127.55</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6" w:right="0"/>
              <w:jc w:val="left"/>
              <w:rPr>
                <w:rFonts w:ascii="宋体" w:hAnsi="宋体" w:cs="宋体" w:eastAsia="宋体" w:hint="default"/>
                <w:sz w:val="13"/>
                <w:szCs w:val="13"/>
              </w:rPr>
            </w:pPr>
            <w:r>
              <w:rPr>
                <w:rFonts w:ascii="宋体" w:hAnsi="宋体" w:cs="宋体" w:eastAsia="宋体" w:hint="default"/>
                <w:sz w:val="13"/>
                <w:szCs w:val="13"/>
              </w:rPr>
              <w:t>汇兑收益（损失以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三、营业利润（亏损以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268,384,713.10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194,714,158.49</w:t>
            </w:r>
          </w:p>
        </w:tc>
      </w:tr>
      <w:tr>
        <w:trPr>
          <w:trHeight w:val="2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加：营业外收入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0"/>
              <w:jc w:val="right"/>
              <w:rPr>
                <w:rFonts w:ascii="宋体" w:hAnsi="宋体" w:cs="宋体" w:eastAsia="宋体" w:hint="default"/>
                <w:sz w:val="13"/>
                <w:szCs w:val="13"/>
              </w:rPr>
            </w:pPr>
            <w:r>
              <w:rPr>
                <w:rFonts w:ascii="宋体" w:hAnsi="宋体" w:cs="宋体" w:eastAsia="宋体" w:hint="default"/>
                <w:w w:val="95"/>
                <w:sz w:val="13"/>
                <w:szCs w:val="13"/>
              </w:rPr>
              <w:t>（四十五）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7,735,654.59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sz w:val="13"/>
              </w:rPr>
              <w:t>8,917,339.19</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减：营业外支出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（四十六）</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pacing w:val="-1"/>
                <w:sz w:val="13"/>
              </w:rPr>
              <w:t>37,559,114.76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7,171,258.75</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四、利润总额（亏损总额以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238,561,252.93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Times New Roman" w:hAnsi="Times New Roman" w:cs="Times New Roman" w:eastAsia="Times New Roman" w:hint="default"/>
                <w:sz w:val="13"/>
                <w:szCs w:val="13"/>
              </w:rPr>
            </w:pPr>
            <w:r>
              <w:rPr>
                <w:rFonts w:ascii="Times New Roman"/>
                <w:sz w:val="13"/>
              </w:rPr>
              <w:t>196,460,238.93</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减：所得税费用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0"/>
              <w:jc w:val="right"/>
              <w:rPr>
                <w:rFonts w:ascii="宋体" w:hAnsi="宋体" w:cs="宋体" w:eastAsia="宋体" w:hint="default"/>
                <w:sz w:val="13"/>
                <w:szCs w:val="13"/>
              </w:rPr>
            </w:pPr>
            <w:r>
              <w:rPr>
                <w:rFonts w:ascii="宋体" w:hAnsi="宋体" w:cs="宋体" w:eastAsia="宋体" w:hint="default"/>
                <w:w w:val="95"/>
                <w:sz w:val="13"/>
                <w:szCs w:val="13"/>
              </w:rPr>
              <w:t>（四十七）</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138,335,337.62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135,287,697.41</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五、净利润（净亏损以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100,225,915.31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61,172,541.52</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（一）按经营持续性分类</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．持续经营净利润（净亏损以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100,225,915.31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61,172,541.52</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．终止经营净利润（净亏损以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（二）按所有权归属分类</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．归属于母公司股东的净利润（净亏损以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42,767,102.22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13,892,078.69</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．少数股东损益（净亏损以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3"/>
                <w:szCs w:val="13"/>
              </w:rPr>
            </w:pPr>
            <w:r>
              <w:rPr>
                <w:rFonts w:ascii="Times New Roman"/>
                <w:sz w:val="13"/>
              </w:rPr>
              <w:t>57,458,813.09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47,280,462.83</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sz w:val="13"/>
                <w:szCs w:val="13"/>
              </w:rPr>
              <w:t>六、其他综合收益的税后净额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83,305.52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3"/>
                <w:szCs w:val="13"/>
              </w:rPr>
            </w:pPr>
            <w:r>
              <w:rPr>
                <w:rFonts w:ascii="Times New Roman"/>
                <w:spacing w:val="-1"/>
                <w:sz w:val="13"/>
              </w:rPr>
              <w:t>-117,413.06</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归属于母公司所有者的其他综合收益的税后净额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83,305.52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3"/>
                <w:szCs w:val="13"/>
              </w:rPr>
            </w:pPr>
            <w:r>
              <w:rPr>
                <w:rFonts w:ascii="Times New Roman"/>
                <w:spacing w:val="-1"/>
                <w:sz w:val="13"/>
              </w:rPr>
              <w:t>-117,413.06</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（一）不能重分类进损益的其他综合收益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．重新计量设定受益计划变动额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．权益法下不能转损益的其他综合收益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（二）将重分类进损益的其他综合收益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83,305.52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3"/>
                <w:szCs w:val="13"/>
              </w:rPr>
            </w:pPr>
            <w:r>
              <w:rPr>
                <w:rFonts w:ascii="Times New Roman"/>
                <w:spacing w:val="-1"/>
                <w:sz w:val="13"/>
              </w:rPr>
              <w:t>-117,413.06</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．权益法下可转损益的其他综合收益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．可供出售金融资产公允价值变动损益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3"/>
          <w:footerReference w:type="default" r:id="rId64"/>
          <w:pgSz w:w="11910" w:h="16840"/>
          <w:pgMar w:header="0" w:footer="571" w:top="1160" w:bottom="760" w:left="1580" w:right="0"/>
          <w:pgNumType w:start="9"/>
        </w:sectPr>
      </w:pP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937"/>
        <w:gridCol w:w="1136"/>
        <w:gridCol w:w="1728"/>
        <w:gridCol w:w="1731"/>
      </w:tblGrid>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附注五</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32" w:right="0"/>
              <w:jc w:val="left"/>
              <w:rPr>
                <w:rFonts w:ascii="宋体" w:hAnsi="宋体" w:cs="宋体" w:eastAsia="宋体" w:hint="default"/>
                <w:sz w:val="13"/>
                <w:szCs w:val="13"/>
              </w:rPr>
            </w:pPr>
            <w:r>
              <w:rPr>
                <w:rFonts w:ascii="宋体" w:hAnsi="宋体" w:cs="宋体" w:eastAsia="宋体" w:hint="default"/>
                <w:sz w:val="13"/>
                <w:szCs w:val="13"/>
              </w:rPr>
              <w:t>本期发生额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33" w:right="0"/>
              <w:jc w:val="left"/>
              <w:rPr>
                <w:rFonts w:ascii="宋体" w:hAnsi="宋体" w:cs="宋体" w:eastAsia="宋体" w:hint="default"/>
                <w:sz w:val="13"/>
                <w:szCs w:val="13"/>
              </w:rPr>
            </w:pPr>
            <w:r>
              <w:rPr>
                <w:rFonts w:ascii="宋体" w:hAnsi="宋体" w:cs="宋体" w:eastAsia="宋体" w:hint="default"/>
                <w:sz w:val="13"/>
                <w:szCs w:val="13"/>
              </w:rPr>
              <w:t>上期发生额</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．持有至到期投资重分类为可供出售金融资产损益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．现金流量套期损益的有效部分</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．外币财务报表折算差额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83,305.52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3"/>
                <w:szCs w:val="13"/>
              </w:rPr>
            </w:pPr>
            <w:r>
              <w:rPr>
                <w:rFonts w:ascii="Times New Roman"/>
                <w:spacing w:val="-1"/>
                <w:sz w:val="13"/>
              </w:rPr>
              <w:t>-117,413.06</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归属于少数股东的其他综合收益的税后净额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七、综合收益总额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100,309,220.83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61,055,128.46</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归属于母公司所有者的综合收益总额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42,850,407.74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13,774,665.63</w:t>
            </w: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归属于少数股东的综合收益总额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57,458,813.09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47,280,462.83</w:t>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八、每股收益：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（一）基本每股收益（元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5"/>
                <w:sz w:val="13"/>
              </w:rPr>
              <w:t>0.0252</w:t>
            </w:r>
            <w:r>
              <w:rPr>
                <w:rFonts w:ascii="Times New Roman"/>
                <w:sz w:val="13"/>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3"/>
                <w:szCs w:val="13"/>
              </w:rPr>
            </w:pPr>
            <w:r>
              <w:rPr>
                <w:rFonts w:ascii="Times New Roman"/>
                <w:w w:val="95"/>
                <w:sz w:val="13"/>
              </w:rPr>
              <w:t>0.0082</w:t>
            </w:r>
            <w:r>
              <w:rPr>
                <w:rFonts w:ascii="Times New Roman"/>
                <w:sz w:val="13"/>
              </w:rPr>
            </w:r>
          </w:p>
        </w:tc>
      </w:tr>
      <w:tr>
        <w:trPr>
          <w:trHeight w:val="27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3"/>
                <w:szCs w:val="13"/>
              </w:rPr>
            </w:pPr>
            <w:r>
              <w:rPr>
                <w:rFonts w:ascii="宋体" w:hAnsi="宋体" w:cs="宋体" w:eastAsia="宋体" w:hint="default"/>
                <w:sz w:val="13"/>
                <w:szCs w:val="13"/>
              </w:rPr>
              <w:t>（二）稀释每股收益（元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5"/>
                <w:sz w:val="13"/>
              </w:rPr>
              <w:t>0.0252</w:t>
            </w:r>
            <w:r>
              <w:rPr>
                <w:rFonts w:ascii="Times New Roman"/>
                <w:sz w:val="13"/>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3"/>
                <w:szCs w:val="13"/>
              </w:rPr>
            </w:pPr>
            <w:r>
              <w:rPr>
                <w:rFonts w:ascii="Times New Roman"/>
                <w:w w:val="95"/>
                <w:sz w:val="13"/>
              </w:rPr>
              <w:t>0.0082</w:t>
            </w:r>
            <w:r>
              <w:rPr>
                <w:rFonts w:ascii="Times New Roman"/>
                <w:sz w:val="13"/>
              </w:rPr>
            </w:r>
          </w:p>
        </w:tc>
      </w:tr>
    </w:tbl>
    <w:p>
      <w:pPr>
        <w:spacing w:before="101"/>
        <w:ind w:left="218" w:right="0" w:firstLine="0"/>
        <w:jc w:val="left"/>
        <w:rPr>
          <w:rFonts w:ascii="宋体" w:hAnsi="宋体" w:cs="宋体" w:eastAsia="宋体" w:hint="default"/>
          <w:sz w:val="15"/>
          <w:szCs w:val="15"/>
        </w:rPr>
      </w:pPr>
      <w:r>
        <w:rPr>
          <w:rFonts w:ascii="宋体" w:hAnsi="宋体" w:cs="宋体" w:eastAsia="宋体" w:hint="default"/>
          <w:sz w:val="15"/>
          <w:szCs w:val="15"/>
        </w:rPr>
        <w:t>后附财务报表附注为财务报表的组成部分。</w:t>
      </w: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3"/>
          <w:szCs w:val="13"/>
        </w:rPr>
      </w:pPr>
    </w:p>
    <w:p>
      <w:pPr>
        <w:tabs>
          <w:tab w:pos="4723" w:val="left" w:leader="none"/>
        </w:tabs>
        <w:spacing w:before="0"/>
        <w:ind w:left="2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723" w:val="left" w:leader="none"/>
        </w:tabs>
        <w:spacing w:before="135"/>
        <w:ind w:left="309" w:right="0"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65"/>
          <w:footerReference w:type="default" r:id="rId66"/>
          <w:pgSz w:w="11910" w:h="16840"/>
          <w:pgMar w:header="0" w:footer="571" w:top="860" w:bottom="760" w:left="1580" w:right="0"/>
          <w:pgNumType w:start="10"/>
        </w:sectPr>
      </w:pPr>
    </w:p>
    <w:p>
      <w:pPr>
        <w:spacing w:line="274" w:lineRule="exact" w:before="23"/>
        <w:ind w:left="3108" w:right="4683"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利润表</w:t>
      </w:r>
      <w:r>
        <w:rPr>
          <w:rFonts w:ascii="Microsoft JhengHei" w:hAnsi="Microsoft JhengHei" w:cs="Microsoft JhengHei" w:eastAsia="Microsoft JhengHei" w:hint="default"/>
          <w:sz w:val="18"/>
          <w:szCs w:val="18"/>
        </w:rPr>
      </w:r>
    </w:p>
    <w:p>
      <w:pPr>
        <w:spacing w:line="246"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20"/>
        <w:gridCol w:w="994"/>
        <w:gridCol w:w="1658"/>
        <w:gridCol w:w="1659"/>
      </w:tblGrid>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附注十五</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371,813,592.05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350,052,907.09</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126,978,369.58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127,218,906.59</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5,463,086.87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4,383,485.21</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29,069,090.94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24,008,757.06</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86,749,569.84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91,765,950.11</w:t>
            </w:r>
          </w:p>
        </w:tc>
      </w:tr>
      <w:tr>
        <w:trPr>
          <w:trHeight w:val="32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122,384,744.41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97,028,586.50</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285,289,468.73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253,274,223.13</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163,028,047.20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156,529,738.48</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10,897,002.27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-571,077.01</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7,432,336.19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5,709,938.37</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116,730,077.78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167,209,590.68</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25,587,471.93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58,232,150.13</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1,026,193.84</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2"/>
                <w:sz w:val="18"/>
              </w:rPr>
              <w:t>114,434,142.11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180,164,021.52</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114,651.57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3,534,471.39</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964,396.31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1,512,395.77</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113,584,397.37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182,186,097.14</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12,746,449.41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3,309,155.15</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100,837,947.96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178,876,941.99</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100,837,947.96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178,876,941.99</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99" w:firstLine="6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r>
              <w:rPr>
                <w:rFonts w:ascii="宋体" w:hAnsi="宋体" w:cs="宋体" w:eastAsia="宋体" w:hint="default"/>
                <w:spacing w:val="2"/>
                <w:sz w:val="18"/>
                <w:szCs w:val="18"/>
              </w:rPr>
              <w:t> </w:t>
            </w:r>
            <w:r>
              <w:rPr>
                <w:rFonts w:ascii="宋体" w:hAnsi="宋体" w:cs="宋体" w:eastAsia="宋体" w:hint="default"/>
                <w:sz w:val="18"/>
                <w:szCs w:val="18"/>
              </w:rPr>
              <w:t>资产损益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100,837,947.96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178,876,941.99</w:t>
            </w: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（一）基本每股收益（元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（二）稀释每股收益（元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headerReference w:type="default" r:id="rId67"/>
          <w:footerReference w:type="default" r:id="rId68"/>
          <w:pgSz w:w="11910" w:h="16840"/>
          <w:pgMar w:header="0" w:footer="571" w:top="1160" w:bottom="760" w:left="1580" w:right="0"/>
          <w:pgNumType w:start="11"/>
        </w:sectPr>
      </w:pPr>
    </w:p>
    <w:p>
      <w:pPr>
        <w:tabs>
          <w:tab w:pos="4623" w:val="left" w:leader="none"/>
        </w:tabs>
        <w:spacing w:before="19"/>
        <w:ind w:left="118" w:right="66"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623" w:val="left" w:leader="none"/>
        </w:tabs>
        <w:spacing w:before="136"/>
        <w:ind w:left="209" w:right="66"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69"/>
          <w:footerReference w:type="default" r:id="rId70"/>
          <w:pgSz w:w="11910" w:h="16840"/>
          <w:pgMar w:header="0" w:footer="571" w:top="1180" w:bottom="760" w:left="1680" w:right="0"/>
          <w:pgNumType w:start="12"/>
        </w:sectPr>
      </w:pPr>
    </w:p>
    <w:p>
      <w:pPr>
        <w:spacing w:line="274" w:lineRule="exact" w:before="23"/>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合并现金流量表</w:t>
      </w:r>
      <w:r>
        <w:rPr>
          <w:rFonts w:ascii="Microsoft JhengHei" w:hAnsi="Microsoft JhengHei" w:cs="Microsoft JhengHei" w:eastAsia="Microsoft JhengHei" w:hint="default"/>
          <w:sz w:val="18"/>
          <w:szCs w:val="18"/>
        </w:rPr>
      </w:r>
    </w:p>
    <w:p>
      <w:pPr>
        <w:spacing w:line="246"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20"/>
        <w:gridCol w:w="992"/>
        <w:gridCol w:w="1702"/>
        <w:gridCol w:w="1618"/>
      </w:tblGrid>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0" w:right="0"/>
              <w:jc w:val="left"/>
              <w:rPr>
                <w:rFonts w:ascii="宋体" w:hAnsi="宋体" w:cs="宋体" w:eastAsia="宋体" w:hint="default"/>
                <w:sz w:val="15"/>
                <w:szCs w:val="15"/>
              </w:rPr>
            </w:pPr>
            <w:r>
              <w:rPr>
                <w:rFonts w:ascii="宋体" w:hAnsi="宋体" w:cs="宋体" w:eastAsia="宋体" w:hint="default"/>
                <w:sz w:val="15"/>
                <w:szCs w:val="15"/>
              </w:rPr>
              <w:t>本期发生额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7" w:right="0"/>
              <w:jc w:val="left"/>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一、经营活动产生的现金流量</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2,755,013,413.81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2,582,461,608.19</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5"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1"/>
              <w:ind w:left="103" w:right="102" w:firstLine="299"/>
              <w:jc w:val="left"/>
              <w:rPr>
                <w:rFonts w:ascii="宋体" w:hAnsi="宋体" w:cs="宋体" w:eastAsia="宋体" w:hint="default"/>
                <w:sz w:val="15"/>
                <w:szCs w:val="15"/>
              </w:rPr>
            </w:pPr>
            <w:r>
              <w:rPr>
                <w:rFonts w:ascii="宋体" w:hAnsi="宋体" w:cs="宋体" w:eastAsia="宋体" w:hint="default"/>
                <w:sz w:val="15"/>
                <w:szCs w:val="15"/>
              </w:rPr>
              <w:t>处置以公允价值计量且其变动计入当期损益的金融资产</w:t>
            </w:r>
            <w:r>
              <w:rPr>
                <w:rFonts w:ascii="宋体" w:hAnsi="宋体" w:cs="宋体" w:eastAsia="宋体" w:hint="default"/>
                <w:w w:val="100"/>
                <w:sz w:val="15"/>
                <w:szCs w:val="15"/>
              </w:rPr>
              <w:t> </w:t>
            </w:r>
            <w:r>
              <w:rPr>
                <w:rFonts w:ascii="宋体" w:hAnsi="宋体" w:cs="宋体" w:eastAsia="宋体" w:hint="default"/>
                <w:sz w:val="15"/>
                <w:szCs w:val="15"/>
              </w:rPr>
              <w:t>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4,547,031.45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2"/>
                <w:sz w:val="15"/>
              </w:rPr>
              <w:t>5,326,789.11</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t>（四十九</w:t>
            </w:r>
            <w:r>
              <w:rPr>
                <w:rFonts w:ascii="宋体" w:hAnsi="宋体" w:cs="宋体" w:eastAsia="宋体" w:hint="default"/>
                <w:spacing w:val="-65"/>
                <w:w w:val="99"/>
                <w:sz w:val="13"/>
                <w:szCs w:val="13"/>
              </w:rPr>
              <w:t>）</w:t>
            </w:r>
            <w:r>
              <w:rPr>
                <w:rFonts w:ascii="宋体" w:hAnsi="宋体" w:cs="宋体" w:eastAsia="宋体" w:hint="default"/>
                <w:spacing w:val="-5"/>
                <w:w w:val="99"/>
                <w:sz w:val="13"/>
                <w:szCs w:val="13"/>
              </w:rPr>
              <w:t>、</w:t>
            </w:r>
            <w:r>
              <w:rPr>
                <w:rFonts w:ascii="Times New Roman" w:hAnsi="Times New Roman" w:cs="Times New Roman" w:eastAsia="Times New Roman" w:hint="default"/>
                <w:w w:val="99"/>
                <w:sz w:val="13"/>
                <w:szCs w:val="13"/>
              </w:rPr>
              <w:t>1</w:t>
            </w:r>
            <w:r>
              <w:rPr>
                <w:rFonts w:ascii="Times New Roman" w:hAnsi="Times New Roman" w:cs="Times New Roman" w:eastAsia="Times New Roman" w:hint="default"/>
                <w:sz w:val="13"/>
                <w:szCs w:val="13"/>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837,624,971.92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871,803,179.86</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3,597,185,417.18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3,459,591,577.16</w:t>
            </w:r>
          </w:p>
        </w:tc>
      </w:tr>
      <w:tr>
        <w:trPr>
          <w:trHeight w:val="29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871,089,035.76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1,032,332,782.13</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544,177,008.96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539,031,575.25</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332,521,486.68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272,762,066.70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t>（四十九</w:t>
            </w:r>
            <w:r>
              <w:rPr>
                <w:rFonts w:ascii="宋体" w:hAnsi="宋体" w:cs="宋体" w:eastAsia="宋体" w:hint="default"/>
                <w:spacing w:val="-65"/>
                <w:w w:val="99"/>
                <w:sz w:val="13"/>
                <w:szCs w:val="13"/>
              </w:rPr>
              <w:t>）</w:t>
            </w:r>
            <w:r>
              <w:rPr>
                <w:rFonts w:ascii="宋体" w:hAnsi="宋体" w:cs="宋体" w:eastAsia="宋体" w:hint="default"/>
                <w:spacing w:val="-5"/>
                <w:w w:val="99"/>
                <w:sz w:val="13"/>
                <w:szCs w:val="13"/>
              </w:rPr>
              <w:t>、</w:t>
            </w:r>
            <w:r>
              <w:rPr>
                <w:rFonts w:ascii="Times New Roman" w:hAnsi="Times New Roman" w:cs="Times New Roman" w:eastAsia="Times New Roman" w:hint="default"/>
                <w:w w:val="99"/>
                <w:sz w:val="13"/>
                <w:szCs w:val="13"/>
              </w:rPr>
              <w:t>2</w:t>
            </w:r>
            <w:r>
              <w:rPr>
                <w:rFonts w:ascii="Times New Roman" w:hAnsi="Times New Roman" w:cs="Times New Roman" w:eastAsia="Times New Roman" w:hint="default"/>
                <w:sz w:val="13"/>
                <w:szCs w:val="13"/>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601,974,625.48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843,692,128.85</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2,349,762,156.88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2,687,818,552.93</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经营活动产生的现金流量净额</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1,247,423,260.30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771,773,024.23</w:t>
            </w: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二、投资活动产生的现金流量</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2"/>
                <w:sz w:val="15"/>
              </w:rPr>
              <w:t>552,480,112.26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709,489,957.91</w:t>
            </w:r>
          </w:p>
        </w:tc>
      </w:tr>
      <w:tr>
        <w:trPr>
          <w:trHeight w:val="29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5"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5"/>
                <w:szCs w:val="15"/>
              </w:rPr>
            </w:pPr>
            <w:r>
              <w:rPr>
                <w:rFonts w:ascii="Times New Roman"/>
                <w:spacing w:val="-1"/>
                <w:sz w:val="15"/>
              </w:rPr>
              <w:t>58,430,292.07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5"/>
                <w:szCs w:val="15"/>
              </w:rPr>
            </w:pPr>
            <w:r>
              <w:rPr>
                <w:rFonts w:ascii="Times New Roman"/>
                <w:spacing w:val="-1"/>
                <w:sz w:val="15"/>
              </w:rPr>
              <w:t>58,441,681.31</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pacing w:val="-4"/>
                <w:sz w:val="15"/>
                <w:szCs w:val="15"/>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2"/>
                <w:sz w:val="15"/>
              </w:rPr>
              <w:t>1,635,911.97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1,669,430.00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2"/>
                <w:sz w:val="15"/>
              </w:rPr>
              <w:t>111,988,375.25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39,233,872.10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t>（四十九</w:t>
            </w:r>
            <w:r>
              <w:rPr>
                <w:rFonts w:ascii="宋体" w:hAnsi="宋体" w:cs="宋体" w:eastAsia="宋体" w:hint="default"/>
                <w:spacing w:val="-65"/>
                <w:w w:val="99"/>
                <w:sz w:val="13"/>
                <w:szCs w:val="13"/>
              </w:rPr>
              <w:t>）</w:t>
            </w:r>
            <w:r>
              <w:rPr>
                <w:rFonts w:ascii="宋体" w:hAnsi="宋体" w:cs="宋体" w:eastAsia="宋体" w:hint="default"/>
                <w:spacing w:val="-5"/>
                <w:w w:val="99"/>
                <w:sz w:val="13"/>
                <w:szCs w:val="13"/>
              </w:rPr>
              <w:t>、</w:t>
            </w:r>
            <w:r>
              <w:rPr>
                <w:rFonts w:ascii="Times New Roman" w:hAnsi="Times New Roman" w:cs="Times New Roman" w:eastAsia="Times New Roman" w:hint="default"/>
                <w:w w:val="99"/>
                <w:sz w:val="13"/>
                <w:szCs w:val="13"/>
              </w:rPr>
              <w:t>3</w:t>
            </w:r>
            <w:r>
              <w:rPr>
                <w:rFonts w:ascii="Times New Roman" w:hAnsi="Times New Roman" w:cs="Times New Roman" w:eastAsia="Times New Roman" w:hint="default"/>
                <w:sz w:val="13"/>
                <w:szCs w:val="13"/>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43,539,092.42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46,423,774.83</w:t>
            </w: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768,073,783.97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855,258,716.15</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537,442,658.38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821,704,823.52</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526,602,808.64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1,269,661,251.91</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t>（四十九</w:t>
            </w:r>
            <w:r>
              <w:rPr>
                <w:rFonts w:ascii="宋体" w:hAnsi="宋体" w:cs="宋体" w:eastAsia="宋体" w:hint="default"/>
                <w:spacing w:val="-65"/>
                <w:w w:val="99"/>
                <w:sz w:val="13"/>
                <w:szCs w:val="13"/>
              </w:rPr>
              <w:t>）</w:t>
            </w:r>
            <w:r>
              <w:rPr>
                <w:rFonts w:ascii="宋体" w:hAnsi="宋体" w:cs="宋体" w:eastAsia="宋体" w:hint="default"/>
                <w:spacing w:val="-5"/>
                <w:w w:val="99"/>
                <w:sz w:val="13"/>
                <w:szCs w:val="13"/>
              </w:rPr>
              <w:t>、</w:t>
            </w:r>
            <w:r>
              <w:rPr>
                <w:rFonts w:ascii="Times New Roman" w:hAnsi="Times New Roman" w:cs="Times New Roman" w:eastAsia="Times New Roman" w:hint="default"/>
                <w:w w:val="99"/>
                <w:sz w:val="13"/>
                <w:szCs w:val="13"/>
              </w:rPr>
              <w:t>4</w:t>
            </w:r>
            <w:r>
              <w:rPr>
                <w:rFonts w:ascii="Times New Roman" w:hAnsi="Times New Roman" w:cs="Times New Roman" w:eastAsia="Times New Roman" w:hint="default"/>
                <w:sz w:val="13"/>
                <w:szCs w:val="13"/>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91,752,000.77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72,235,100.04</w:t>
            </w: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1,155,797,467.79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2,163,601,175.47</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投资活动产生的现金流量净额</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-387,723,683.82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-1,308,342,459.32</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三、筹资活动产生的现金流量</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46,000,000.00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225,705,987.00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46,000,000.00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225,705,987.00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6,806,187,000.00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5,372,068,000.00</w:t>
            </w: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t>（四十九</w:t>
            </w:r>
            <w:r>
              <w:rPr>
                <w:rFonts w:ascii="宋体" w:hAnsi="宋体" w:cs="宋体" w:eastAsia="宋体" w:hint="default"/>
                <w:spacing w:val="-65"/>
                <w:w w:val="99"/>
                <w:sz w:val="13"/>
                <w:szCs w:val="13"/>
              </w:rPr>
              <w:t>）</w:t>
            </w:r>
            <w:r>
              <w:rPr>
                <w:rFonts w:ascii="宋体" w:hAnsi="宋体" w:cs="宋体" w:eastAsia="宋体" w:hint="default"/>
                <w:spacing w:val="-5"/>
                <w:w w:val="99"/>
                <w:sz w:val="13"/>
                <w:szCs w:val="13"/>
              </w:rPr>
              <w:t>、</w:t>
            </w:r>
            <w:r>
              <w:rPr>
                <w:rFonts w:ascii="Times New Roman" w:hAnsi="Times New Roman" w:cs="Times New Roman" w:eastAsia="Times New Roman" w:hint="default"/>
                <w:w w:val="99"/>
                <w:sz w:val="13"/>
                <w:szCs w:val="13"/>
              </w:rPr>
              <w:t>5</w:t>
            </w:r>
            <w:r>
              <w:rPr>
                <w:rFonts w:ascii="Times New Roman" w:hAnsi="Times New Roman" w:cs="Times New Roman" w:eastAsia="Times New Roman" w:hint="default"/>
                <w:sz w:val="13"/>
                <w:szCs w:val="13"/>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200,000,000.00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370,000,000.00</w:t>
            </w:r>
          </w:p>
        </w:tc>
      </w:tr>
    </w:tbl>
    <w:p>
      <w:pPr>
        <w:spacing w:after="0" w:line="240" w:lineRule="auto"/>
        <w:jc w:val="right"/>
        <w:rPr>
          <w:rFonts w:ascii="Times New Roman" w:hAnsi="Times New Roman" w:cs="Times New Roman" w:eastAsia="Times New Roman" w:hint="default"/>
          <w:sz w:val="15"/>
          <w:szCs w:val="15"/>
        </w:rPr>
        <w:sectPr>
          <w:headerReference w:type="default" r:id="rId71"/>
          <w:footerReference w:type="default" r:id="rId72"/>
          <w:pgSz w:w="11910" w:h="16840"/>
          <w:pgMar w:header="0" w:footer="571" w:top="1160" w:bottom="760" w:left="1580" w:right="0"/>
          <w:pgNumType w:start="13"/>
        </w:sectPr>
      </w:pP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220"/>
        <w:gridCol w:w="992"/>
        <w:gridCol w:w="1702"/>
        <w:gridCol w:w="1618"/>
      </w:tblGrid>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70" w:right="0"/>
              <w:jc w:val="left"/>
              <w:rPr>
                <w:rFonts w:ascii="宋体" w:hAnsi="宋体" w:cs="宋体" w:eastAsia="宋体" w:hint="default"/>
                <w:sz w:val="15"/>
                <w:szCs w:val="15"/>
              </w:rPr>
            </w:pPr>
            <w:r>
              <w:rPr>
                <w:rFonts w:ascii="宋体" w:hAnsi="宋体" w:cs="宋体" w:eastAsia="宋体" w:hint="default"/>
                <w:sz w:val="15"/>
                <w:szCs w:val="15"/>
              </w:rPr>
              <w:t>本期发生额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7" w:right="0"/>
              <w:jc w:val="left"/>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9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7,052,187,000.00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5,967,773,987.00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7,174,192,592.00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4,328,987,597.36</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462,448,715.60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412,794,927.56</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55,910,331.79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38,956,665.78</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t>（四十九</w:t>
            </w:r>
            <w:r>
              <w:rPr>
                <w:rFonts w:ascii="宋体" w:hAnsi="宋体" w:cs="宋体" w:eastAsia="宋体" w:hint="default"/>
                <w:spacing w:val="-65"/>
                <w:w w:val="99"/>
                <w:sz w:val="13"/>
                <w:szCs w:val="13"/>
              </w:rPr>
              <w:t>）</w:t>
            </w:r>
            <w:r>
              <w:rPr>
                <w:rFonts w:ascii="宋体" w:hAnsi="宋体" w:cs="宋体" w:eastAsia="宋体" w:hint="default"/>
                <w:spacing w:val="-5"/>
                <w:w w:val="99"/>
                <w:sz w:val="13"/>
                <w:szCs w:val="13"/>
              </w:rPr>
              <w:t>、</w:t>
            </w:r>
            <w:r>
              <w:rPr>
                <w:rFonts w:ascii="Times New Roman" w:hAnsi="Times New Roman" w:cs="Times New Roman" w:eastAsia="Times New Roman" w:hint="default"/>
                <w:w w:val="99"/>
                <w:sz w:val="13"/>
                <w:szCs w:val="13"/>
              </w:rPr>
              <w:t>6</w:t>
            </w:r>
            <w:r>
              <w:rPr>
                <w:rFonts w:ascii="Times New Roman" w:hAnsi="Times New Roman" w:cs="Times New Roman" w:eastAsia="Times New Roman" w:hint="default"/>
                <w:sz w:val="13"/>
                <w:szCs w:val="13"/>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237,602,916.67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44,675,000.08</w:t>
            </w:r>
          </w:p>
        </w:tc>
      </w:tr>
      <w:tr>
        <w:trPr>
          <w:trHeight w:val="28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7,874,244,224.27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4,786,457,525.00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筹资活动产生的现金流量净额</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-822,057,224.27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1,181,316,462.00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四、汇率变动对现金及现金等价物的影响</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2"/>
                <w:sz w:val="15"/>
              </w:rPr>
              <w:t>-83,114.37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-141,384.60</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五、现金及现金等价物净增加额</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37,559,237.84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644,605,642.31</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1,822,758,284.40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1,178,152,642.09</w:t>
            </w:r>
          </w:p>
        </w:tc>
      </w:tr>
      <w:tr>
        <w:trPr>
          <w:trHeight w:val="29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六、期末现金及现金等价物余额</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1,860,317,522.24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5"/>
                <w:szCs w:val="15"/>
              </w:rPr>
            </w:pPr>
            <w:r>
              <w:rPr>
                <w:rFonts w:ascii="Times New Roman"/>
                <w:spacing w:val="-1"/>
                <w:sz w:val="15"/>
              </w:rPr>
              <w:t>1,822,758,284.40</w:t>
            </w: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723" w:val="left" w:leader="none"/>
        </w:tabs>
        <w:spacing w:before="126"/>
        <w:ind w:left="2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723" w:val="left" w:leader="none"/>
        </w:tabs>
        <w:spacing w:before="135"/>
        <w:ind w:left="309" w:right="0"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73"/>
          <w:footerReference w:type="default" r:id="rId74"/>
          <w:pgSz w:w="11910" w:h="16840"/>
          <w:pgMar w:header="0" w:footer="571" w:top="860" w:bottom="760" w:left="1580" w:right="0"/>
          <w:pgNumType w:start="14"/>
        </w:sectPr>
      </w:pPr>
    </w:p>
    <w:p>
      <w:pPr>
        <w:spacing w:line="274" w:lineRule="exact" w:before="23"/>
        <w:ind w:left="3110" w:right="4683"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现金流量表</w:t>
      </w:r>
      <w:r>
        <w:rPr>
          <w:rFonts w:ascii="Microsoft JhengHei" w:hAnsi="Microsoft JhengHei" w:cs="Microsoft JhengHei" w:eastAsia="Microsoft JhengHei" w:hint="default"/>
          <w:sz w:val="18"/>
          <w:szCs w:val="18"/>
        </w:rPr>
      </w:r>
    </w:p>
    <w:p>
      <w:pPr>
        <w:spacing w:line="246"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20"/>
        <w:gridCol w:w="852"/>
        <w:gridCol w:w="1699"/>
        <w:gridCol w:w="1760"/>
      </w:tblGrid>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505,415,036.28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374,582,998.53</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345,724.43</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549,431,642.94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685,593,515.95</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1,054,846,679.22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1,060,522,238.91</w:t>
            </w:r>
          </w:p>
        </w:tc>
      </w:tr>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2"/>
                <w:sz w:val="18"/>
              </w:rPr>
              <w:t>11,249,511.66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22,965,535.21</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115,374,268.00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108,003,982.76</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35,168,469.94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19,131,959.63</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112,982,910.03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540,393,153.93</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274,775,159.63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690,494,631.53</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780,071,519.59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370,027,607.38</w:t>
            </w:r>
          </w:p>
        </w:tc>
      </w:tr>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520,000,001.00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649,200,000.00</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152,778,544.44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149,207,383.97</w:t>
            </w:r>
          </w:p>
        </w:tc>
      </w:tr>
      <w:tr>
        <w:trPr>
          <w:trHeight w:val="6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56"/>
              <w:ind w:left="103" w:right="105" w:firstLine="36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 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2,180.00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1,453,969.56</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24"/>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488,416,642.86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8,989,652.83</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1,161,197,368.30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808,851,006.36</w:t>
            </w:r>
          </w:p>
        </w:tc>
      </w:tr>
      <w:tr>
        <w:trPr>
          <w:trHeight w:val="6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6"/>
              <w:ind w:left="103" w:right="105" w:firstLine="362"/>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 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83,546,922.97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46,851,535.67</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604,400,000.00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1,283,800,000.00</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24"/>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523,600,000.00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32,641,880.04</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1,211,546,922.97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1,363,293,415.71</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-50,349,554.67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-554,442,409.35</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6,144,187,000.00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4,758,258,000.00</w:t>
            </w:r>
          </w:p>
        </w:tc>
      </w:tr>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200,000,000.00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6,344,187,000.00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4,958,258,000.00</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6,510,222,600.00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3,992,777,600.00</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347,706,473.28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324,534,593.38</w:t>
            </w:r>
          </w:p>
        </w:tc>
      </w:tr>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204,386,250.00</w:t>
            </w:r>
          </w:p>
        </w:tc>
        <w:tc>
          <w:tcPr>
            <w:tcW w:w="17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5"/>
          <w:footerReference w:type="default" r:id="rId76"/>
          <w:pgSz w:w="11910" w:h="16840"/>
          <w:pgMar w:header="0" w:footer="571" w:top="1160" w:bottom="760" w:left="1580" w:right="0"/>
          <w:pgNumType w:start="15"/>
        </w:sectPr>
      </w:pP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220"/>
        <w:gridCol w:w="852"/>
        <w:gridCol w:w="1699"/>
        <w:gridCol w:w="1760"/>
      </w:tblGrid>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7,062,315,323.28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4,317,312,193.38</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-718,128,323.28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640,945,806.62</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5"/>
                <w:sz w:val="18"/>
              </w:rPr>
              <w:t>5,471.09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-16,685.92</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2"/>
                <w:sz w:val="18"/>
              </w:rPr>
              <w:t>11,599,112.73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456,514,318.73</w:t>
            </w:r>
          </w:p>
        </w:tc>
      </w:tr>
      <w:tr>
        <w:trPr>
          <w:trHeight w:val="37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950,190,525.40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493,676,206.67</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961,789,638.13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950,190,525.40</w:t>
            </w:r>
          </w:p>
        </w:tc>
      </w:tr>
    </w:tbl>
    <w:p>
      <w:pPr>
        <w:spacing w:before="56"/>
        <w:ind w:left="2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723" w:val="left" w:leader="none"/>
        </w:tabs>
        <w:spacing w:before="126"/>
        <w:ind w:left="2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t>总裁：黄</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明</w:t>
      </w:r>
    </w:p>
    <w:p>
      <w:pPr>
        <w:spacing w:line="240" w:lineRule="auto" w:before="13"/>
        <w:rPr>
          <w:rFonts w:ascii="宋体" w:hAnsi="宋体" w:cs="宋体" w:eastAsia="宋体" w:hint="default"/>
          <w:sz w:val="24"/>
          <w:szCs w:val="24"/>
        </w:rPr>
      </w:pPr>
    </w:p>
    <w:p>
      <w:pPr>
        <w:tabs>
          <w:tab w:pos="4632" w:val="left" w:leader="none"/>
        </w:tabs>
        <w:spacing w:before="0"/>
        <w:ind w:left="218" w:right="0" w:firstLine="0"/>
        <w:jc w:val="left"/>
        <w:rPr>
          <w:rFonts w:ascii="宋体" w:hAnsi="宋体" w:cs="宋体" w:eastAsia="宋体" w:hint="default"/>
          <w:sz w:val="18"/>
          <w:szCs w:val="18"/>
        </w:rPr>
      </w:pPr>
      <w:r>
        <w:rPr>
          <w:rFonts w:ascii="宋体" w:hAnsi="宋体" w:cs="宋体" w:eastAsia="宋体" w:hint="default"/>
          <w:sz w:val="18"/>
          <w:szCs w:val="18"/>
        </w:rPr>
        <w:t>财务总监：张 </w:t>
      </w:r>
      <w:r>
        <w:rPr>
          <w:rFonts w:ascii="宋体" w:hAnsi="宋体" w:cs="宋体" w:eastAsia="宋体" w:hint="default"/>
          <w:spacing w:val="1"/>
          <w:sz w:val="18"/>
          <w:szCs w:val="18"/>
        </w:rPr>
        <w:t> </w:t>
      </w:r>
      <w:r>
        <w:rPr>
          <w:rFonts w:ascii="宋体" w:hAnsi="宋体" w:cs="宋体" w:eastAsia="宋体" w:hint="default"/>
          <w:sz w:val="18"/>
          <w:szCs w:val="18"/>
        </w:rPr>
        <w:t>磊</w:t>
        <w:tab/>
        <w:t>会计机构负责人：向自力</w:t>
      </w:r>
    </w:p>
    <w:p>
      <w:pPr>
        <w:spacing w:after="0"/>
        <w:jc w:val="left"/>
        <w:rPr>
          <w:rFonts w:ascii="宋体" w:hAnsi="宋体" w:cs="宋体" w:eastAsia="宋体" w:hint="default"/>
          <w:sz w:val="18"/>
          <w:szCs w:val="18"/>
        </w:rPr>
        <w:sectPr>
          <w:headerReference w:type="default" r:id="rId77"/>
          <w:footerReference w:type="default" r:id="rId78"/>
          <w:pgSz w:w="11910" w:h="16840"/>
          <w:pgMar w:header="0" w:footer="571" w:top="860" w:bottom="760" w:left="1580" w:right="0"/>
          <w:pgNumType w:start="16"/>
        </w:sectPr>
      </w:pPr>
    </w:p>
    <w:p>
      <w:pPr>
        <w:spacing w:line="240" w:lineRule="auto" w:before="8"/>
        <w:rPr>
          <w:rFonts w:ascii="宋体" w:hAnsi="宋体" w:cs="宋体" w:eastAsia="宋体" w:hint="default"/>
          <w:sz w:val="19"/>
          <w:szCs w:val="19"/>
        </w:rPr>
      </w:pPr>
    </w:p>
    <w:p>
      <w:pPr>
        <w:spacing w:line="274" w:lineRule="exact" w:before="35"/>
        <w:ind w:left="5950" w:right="5946"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合并所有者权益变动表</w:t>
      </w:r>
      <w:r>
        <w:rPr>
          <w:rFonts w:ascii="Microsoft JhengHei" w:hAnsi="Microsoft JhengHei" w:cs="Microsoft JhengHei" w:eastAsia="Microsoft JhengHei" w:hint="default"/>
          <w:sz w:val="18"/>
          <w:szCs w:val="18"/>
        </w:rPr>
      </w:r>
    </w:p>
    <w:p>
      <w:pPr>
        <w:spacing w:line="246" w:lineRule="exact" w:before="0"/>
        <w:ind w:left="5950" w:right="5945"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2660"/>
        <w:gridCol w:w="1143"/>
        <w:gridCol w:w="655"/>
        <w:gridCol w:w="655"/>
        <w:gridCol w:w="518"/>
        <w:gridCol w:w="1203"/>
        <w:gridCol w:w="722"/>
        <w:gridCol w:w="1145"/>
        <w:gridCol w:w="1001"/>
        <w:gridCol w:w="1140"/>
        <w:gridCol w:w="722"/>
        <w:gridCol w:w="1140"/>
        <w:gridCol w:w="1140"/>
        <w:gridCol w:w="1284"/>
      </w:tblGrid>
      <w:tr>
        <w:trPr>
          <w:trHeight w:val="290"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47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290" w:hRule="exact"/>
        </w:trPr>
        <w:tc>
          <w:tcPr>
            <w:tcW w:w="2660" w:type="dxa"/>
            <w:vMerge/>
            <w:tcBorders>
              <w:left w:val="single" w:sz="4" w:space="0" w:color="000000"/>
              <w:right w:val="single" w:sz="4" w:space="0" w:color="000000"/>
            </w:tcBorders>
          </w:tcPr>
          <w:p>
            <w:pPr/>
          </w:p>
        </w:tc>
        <w:tc>
          <w:tcPr>
            <w:tcW w:w="100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8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90" w:hRule="exact"/>
        </w:trPr>
        <w:tc>
          <w:tcPr>
            <w:tcW w:w="2660" w:type="dxa"/>
            <w:vMerge/>
            <w:tcBorders>
              <w:left w:val="single" w:sz="4" w:space="0" w:color="000000"/>
              <w:right w:val="single" w:sz="4" w:space="0" w:color="000000"/>
            </w:tcBorders>
          </w:tcPr>
          <w:p>
            <w:pP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股本</w:t>
            </w:r>
          </w:p>
        </w:tc>
        <w:tc>
          <w:tcPr>
            <w:tcW w:w="1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5"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33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22" w:type="dxa"/>
            <w:vMerge w:val="restart"/>
            <w:tcBorders>
              <w:top w:val="single" w:sz="4" w:space="0" w:color="000000"/>
              <w:left w:val="single" w:sz="4" w:space="0" w:color="000000"/>
              <w:right w:val="single" w:sz="4" w:space="0" w:color="000000"/>
            </w:tcBorders>
          </w:tcPr>
          <w:p>
            <w:pPr>
              <w:pStyle w:val="TableParagraph"/>
              <w:spacing w:line="280" w:lineRule="auto" w:before="93"/>
              <w:ind w:left="290" w:right="103" w:hanging="190"/>
              <w:jc w:val="left"/>
              <w:rPr>
                <w:rFonts w:ascii="宋体" w:hAnsi="宋体" w:cs="宋体" w:eastAsia="宋体" w:hint="default"/>
                <w:sz w:val="13"/>
                <w:szCs w:val="13"/>
              </w:rPr>
            </w:pPr>
            <w:r>
              <w:rPr>
                <w:rFonts w:ascii="宋体" w:hAnsi="宋体" w:cs="宋体" w:eastAsia="宋体" w:hint="default"/>
                <w:spacing w:val="-4"/>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22" w:type="dxa"/>
            <w:vMerge w:val="restart"/>
            <w:tcBorders>
              <w:top w:val="single" w:sz="4" w:space="0" w:color="000000"/>
              <w:left w:val="single" w:sz="4" w:space="0" w:color="000000"/>
              <w:right w:val="single" w:sz="4" w:space="0" w:color="000000"/>
            </w:tcBorders>
          </w:tcPr>
          <w:p>
            <w:pPr>
              <w:pStyle w:val="TableParagraph"/>
              <w:spacing w:line="280" w:lineRule="auto" w:before="93"/>
              <w:ind w:left="158" w:right="163"/>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3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40" w:type="dxa"/>
            <w:vMerge/>
            <w:tcBorders>
              <w:left w:val="single" w:sz="4" w:space="0" w:color="000000"/>
              <w:right w:val="single" w:sz="4" w:space="0" w:color="000000"/>
            </w:tcBorders>
          </w:tcPr>
          <w:p>
            <w:pPr/>
          </w:p>
        </w:tc>
        <w:tc>
          <w:tcPr>
            <w:tcW w:w="1284" w:type="dxa"/>
            <w:vMerge/>
            <w:tcBorders>
              <w:left w:val="single" w:sz="4" w:space="0" w:color="000000"/>
              <w:right w:val="single" w:sz="4" w:space="0" w:color="000000"/>
            </w:tcBorders>
          </w:tcPr>
          <w:p>
            <w:pPr/>
          </w:p>
        </w:tc>
      </w:tr>
      <w:tr>
        <w:trPr>
          <w:trHeight w:val="288" w:hRule="exact"/>
        </w:trPr>
        <w:tc>
          <w:tcPr>
            <w:tcW w:w="2660"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7"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0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r>
      <w:tr>
        <w:trPr>
          <w:trHeight w:val="29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Times New Roman" w:hAnsi="Times New Roman" w:cs="Times New Roman" w:eastAsia="Times New Roman" w:hint="default"/>
                <w:sz w:val="13"/>
                <w:szCs w:val="13"/>
              </w:rPr>
            </w:pPr>
            <w:r>
              <w:rPr>
                <w:rFonts w:ascii="Times New Roman"/>
                <w:sz w:val="13"/>
              </w:rPr>
              <w:t>1,696,964,131.00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3"/>
                <w:szCs w:val="13"/>
              </w:rPr>
            </w:pPr>
            <w:r>
              <w:rPr>
                <w:rFonts w:ascii="Times New Roman"/>
                <w:sz w:val="13"/>
              </w:rPr>
              <w:t>2,662,038,592.73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3"/>
                <w:szCs w:val="13"/>
              </w:rPr>
            </w:pPr>
            <w:r>
              <w:rPr>
                <w:rFonts w:ascii="Times New Roman"/>
                <w:sz w:val="13"/>
              </w:rPr>
              <w:t>-284,482.84</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3"/>
                <w:szCs w:val="13"/>
              </w:rPr>
            </w:pPr>
            <w:r>
              <w:rPr>
                <w:rFonts w:ascii="Times New Roman"/>
                <w:sz w:val="13"/>
              </w:rPr>
              <w:t>237,959,868.83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3"/>
                <w:szCs w:val="13"/>
              </w:rPr>
            </w:pPr>
            <w:r>
              <w:rPr>
                <w:rFonts w:ascii="Times New Roman"/>
                <w:sz w:val="13"/>
              </w:rPr>
              <w:t>213,248,313.53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3"/>
                <w:szCs w:val="13"/>
              </w:rPr>
            </w:pPr>
            <w:r>
              <w:rPr>
                <w:rFonts w:ascii="Times New Roman"/>
                <w:sz w:val="13"/>
              </w:rPr>
              <w:t>1,599,037,347.80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3"/>
                <w:szCs w:val="13"/>
              </w:rPr>
            </w:pPr>
            <w:r>
              <w:rPr>
                <w:rFonts w:ascii="Times New Roman"/>
                <w:sz w:val="13"/>
              </w:rPr>
              <w:t>6,408,963,771.05</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 w:right="0"/>
              <w:jc w:val="center"/>
              <w:rPr>
                <w:rFonts w:ascii="Times New Roman" w:hAnsi="Times New Roman" w:cs="Times New Roman" w:eastAsia="Times New Roman" w:hint="default"/>
                <w:sz w:val="13"/>
                <w:szCs w:val="13"/>
              </w:rPr>
            </w:pPr>
            <w:r>
              <w:rPr>
                <w:rFonts w:ascii="Times New Roman"/>
                <w:sz w:val="13"/>
              </w:rPr>
              <w:t>1,696,964,131.00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Times New Roman" w:hAnsi="Times New Roman" w:cs="Times New Roman" w:eastAsia="Times New Roman" w:hint="default"/>
                <w:sz w:val="13"/>
                <w:szCs w:val="13"/>
              </w:rPr>
            </w:pPr>
            <w:r>
              <w:rPr>
                <w:rFonts w:ascii="Times New Roman"/>
                <w:sz w:val="13"/>
              </w:rPr>
              <w:t>2,662,038,592.73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sz w:val="13"/>
              </w:rPr>
              <w:t>-284,482.84</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237,959,868.83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213,248,313.53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1,599,037,347.80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6,408,963,771.05</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Times New Roman" w:hAnsi="Times New Roman" w:cs="Times New Roman" w:eastAsia="Times New Roman" w:hint="default"/>
                <w:sz w:val="13"/>
                <w:szCs w:val="13"/>
              </w:rPr>
            </w:pPr>
            <w:r>
              <w:rPr>
                <w:rFonts w:ascii="Times New Roman"/>
                <w:sz w:val="13"/>
              </w:rPr>
              <w:t>159,640,514.83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3"/>
                <w:szCs w:val="13"/>
              </w:rPr>
            </w:pPr>
            <w:r>
              <w:rPr>
                <w:rFonts w:ascii="Times New Roman"/>
                <w:sz w:val="13"/>
              </w:rPr>
              <w:t>83,305.52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3"/>
                <w:szCs w:val="13"/>
              </w:rPr>
            </w:pPr>
            <w:r>
              <w:rPr>
                <w:rFonts w:ascii="Times New Roman"/>
                <w:sz w:val="13"/>
              </w:rPr>
              <w:t>10,083,794.80</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Times New Roman" w:hAnsi="Times New Roman" w:cs="Times New Roman" w:eastAsia="Times New Roman" w:hint="default"/>
                <w:sz w:val="13"/>
                <w:szCs w:val="13"/>
              </w:rPr>
            </w:pPr>
            <w:r>
              <w:rPr>
                <w:rFonts w:ascii="Times New Roman"/>
                <w:w w:val="95"/>
                <w:sz w:val="13"/>
              </w:rPr>
              <w:t>-52,164,899.13</w:t>
            </w:r>
            <w:r>
              <w:rPr>
                <w:rFonts w:ascii="Times New Roman"/>
                <w:sz w:val="13"/>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3"/>
                <w:szCs w:val="13"/>
              </w:rPr>
            </w:pPr>
            <w:r>
              <w:rPr>
                <w:rFonts w:ascii="Times New Roman"/>
                <w:w w:val="95"/>
                <w:sz w:val="13"/>
              </w:rPr>
              <w:t>63,733,528.55</w:t>
            </w:r>
            <w:r>
              <w:rPr>
                <w:rFonts w:ascii="Times New Roman"/>
                <w:sz w:val="13"/>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3"/>
                <w:szCs w:val="13"/>
              </w:rPr>
            </w:pPr>
            <w:r>
              <w:rPr>
                <w:rFonts w:ascii="Times New Roman"/>
                <w:sz w:val="13"/>
              </w:rPr>
              <w:t>181,376,244.57</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sz w:val="13"/>
              </w:rPr>
              <w:t>83,305.52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w w:val="95"/>
                <w:sz w:val="13"/>
              </w:rPr>
              <w:t>42,767,102.22</w:t>
            </w:r>
            <w:r>
              <w:rPr>
                <w:rFonts w:ascii="Times New Roman"/>
                <w:sz w:val="13"/>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w w:val="95"/>
                <w:sz w:val="13"/>
              </w:rPr>
              <w:t>57,458,813.09</w:t>
            </w:r>
            <w:r>
              <w:rPr>
                <w:rFonts w:ascii="Times New Roman"/>
                <w:sz w:val="13"/>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w w:val="95"/>
                <w:sz w:val="13"/>
              </w:rPr>
              <w:t>100,309,220.83</w:t>
            </w:r>
            <w:r>
              <w:rPr>
                <w:rFonts w:ascii="Times New Roman"/>
                <w:sz w:val="13"/>
              </w:rPr>
            </w:r>
          </w:p>
        </w:tc>
      </w:tr>
      <w:tr>
        <w:trPr>
          <w:trHeight w:val="29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159,640,514.83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46,000,000.00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205,640,514.83</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46,000,000.00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46,000,000.00</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Times New Roman" w:hAnsi="Times New Roman" w:cs="Times New Roman" w:eastAsia="Times New Roman" w:hint="default"/>
                <w:sz w:val="13"/>
                <w:szCs w:val="13"/>
              </w:rPr>
            </w:pPr>
            <w:r>
              <w:rPr>
                <w:rFonts w:ascii="Times New Roman"/>
                <w:sz w:val="13"/>
              </w:rPr>
              <w:t>159,640,514.83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3"/>
                <w:szCs w:val="13"/>
              </w:rPr>
            </w:pPr>
            <w:r>
              <w:rPr>
                <w:rFonts w:ascii="Times New Roman"/>
                <w:sz w:val="13"/>
              </w:rPr>
              <w:t>159,640,514.83</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10,083,794.80</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-94,932,001.35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-56,742,830.39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-141,591,036.94</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10,083,794.80</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-10,083,794.80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-84,848,206.55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-56,742,830.39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-141,591,036.94</w:t>
            </w:r>
          </w:p>
        </w:tc>
      </w:tr>
      <w:tr>
        <w:trPr>
          <w:trHeight w:val="28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9"/>
          <w:footerReference w:type="default" r:id="rId80"/>
          <w:pgSz w:w="16840" w:h="11910" w:orient="landscape"/>
          <w:pgMar w:header="0" w:footer="572" w:top="1100" w:bottom="760" w:left="740" w:right="740"/>
          <w:pgNumType w:start="17"/>
        </w:sectPr>
      </w:pPr>
    </w:p>
    <w:p>
      <w:pPr>
        <w:spacing w:line="240" w:lineRule="auto" w:before="3"/>
        <w:rPr>
          <w:rFonts w:ascii="Microsoft JhengHei" w:hAnsi="Microsoft JhengHei" w:cs="Microsoft JhengHei" w:eastAsia="Microsoft JhengHei"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2660"/>
        <w:gridCol w:w="1143"/>
        <w:gridCol w:w="655"/>
        <w:gridCol w:w="655"/>
        <w:gridCol w:w="518"/>
        <w:gridCol w:w="1203"/>
        <w:gridCol w:w="722"/>
        <w:gridCol w:w="1145"/>
        <w:gridCol w:w="1001"/>
        <w:gridCol w:w="1140"/>
        <w:gridCol w:w="722"/>
        <w:gridCol w:w="1140"/>
        <w:gridCol w:w="1140"/>
        <w:gridCol w:w="1284"/>
      </w:tblGrid>
      <w:tr>
        <w:trPr>
          <w:trHeight w:val="290"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47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290" w:hRule="exact"/>
        </w:trPr>
        <w:tc>
          <w:tcPr>
            <w:tcW w:w="2660" w:type="dxa"/>
            <w:vMerge/>
            <w:tcBorders>
              <w:left w:val="single" w:sz="4" w:space="0" w:color="000000"/>
              <w:right w:val="single" w:sz="4" w:space="0" w:color="000000"/>
            </w:tcBorders>
          </w:tcPr>
          <w:p>
            <w:pPr/>
          </w:p>
        </w:tc>
        <w:tc>
          <w:tcPr>
            <w:tcW w:w="100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8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90" w:hRule="exact"/>
        </w:trPr>
        <w:tc>
          <w:tcPr>
            <w:tcW w:w="2660" w:type="dxa"/>
            <w:vMerge/>
            <w:tcBorders>
              <w:left w:val="single" w:sz="4" w:space="0" w:color="000000"/>
              <w:right w:val="single" w:sz="4" w:space="0" w:color="000000"/>
            </w:tcBorders>
          </w:tcPr>
          <w:p>
            <w:pP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股本</w:t>
            </w:r>
          </w:p>
        </w:tc>
        <w:tc>
          <w:tcPr>
            <w:tcW w:w="1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5"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33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22" w:type="dxa"/>
            <w:vMerge w:val="restart"/>
            <w:tcBorders>
              <w:top w:val="single" w:sz="4" w:space="0" w:color="000000"/>
              <w:left w:val="single" w:sz="4" w:space="0" w:color="000000"/>
              <w:right w:val="single" w:sz="4" w:space="0" w:color="000000"/>
            </w:tcBorders>
          </w:tcPr>
          <w:p>
            <w:pPr>
              <w:pStyle w:val="TableParagraph"/>
              <w:spacing w:line="280" w:lineRule="auto" w:before="93"/>
              <w:ind w:left="290" w:right="103" w:hanging="190"/>
              <w:jc w:val="left"/>
              <w:rPr>
                <w:rFonts w:ascii="宋体" w:hAnsi="宋体" w:cs="宋体" w:eastAsia="宋体" w:hint="default"/>
                <w:sz w:val="13"/>
                <w:szCs w:val="13"/>
              </w:rPr>
            </w:pPr>
            <w:r>
              <w:rPr>
                <w:rFonts w:ascii="宋体" w:hAnsi="宋体" w:cs="宋体" w:eastAsia="宋体" w:hint="default"/>
                <w:spacing w:val="-4"/>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22" w:type="dxa"/>
            <w:vMerge w:val="restart"/>
            <w:tcBorders>
              <w:top w:val="single" w:sz="4" w:space="0" w:color="000000"/>
              <w:left w:val="single" w:sz="4" w:space="0" w:color="000000"/>
              <w:right w:val="single" w:sz="4" w:space="0" w:color="000000"/>
            </w:tcBorders>
          </w:tcPr>
          <w:p>
            <w:pPr>
              <w:pStyle w:val="TableParagraph"/>
              <w:spacing w:line="280" w:lineRule="auto" w:before="93"/>
              <w:ind w:left="158" w:right="163"/>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3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40" w:type="dxa"/>
            <w:vMerge/>
            <w:tcBorders>
              <w:left w:val="single" w:sz="4" w:space="0" w:color="000000"/>
              <w:right w:val="single" w:sz="4" w:space="0" w:color="000000"/>
            </w:tcBorders>
          </w:tcPr>
          <w:p>
            <w:pPr/>
          </w:p>
        </w:tc>
        <w:tc>
          <w:tcPr>
            <w:tcW w:w="1284" w:type="dxa"/>
            <w:vMerge/>
            <w:tcBorders>
              <w:left w:val="single" w:sz="4" w:space="0" w:color="000000"/>
              <w:right w:val="single" w:sz="4" w:space="0" w:color="000000"/>
            </w:tcBorders>
          </w:tcPr>
          <w:p>
            <w:pPr/>
          </w:p>
        </w:tc>
      </w:tr>
      <w:tr>
        <w:trPr>
          <w:trHeight w:val="288" w:hRule="exact"/>
        </w:trPr>
        <w:tc>
          <w:tcPr>
            <w:tcW w:w="2660"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7"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0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4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17,017,545.85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17,017,545.85</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7" w:right="0"/>
              <w:jc w:val="left"/>
              <w:rPr>
                <w:rFonts w:ascii="Times New Roman" w:hAnsi="Times New Roman" w:cs="Times New Roman" w:eastAsia="Times New Roman" w:hint="default"/>
                <w:sz w:val="13"/>
                <w:szCs w:val="13"/>
              </w:rPr>
            </w:pPr>
            <w:r>
              <w:rPr>
                <w:rFonts w:ascii="Times New Roman"/>
                <w:sz w:val="13"/>
              </w:rPr>
              <w:t>1,696,964,131.00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0"/>
              <w:jc w:val="left"/>
              <w:rPr>
                <w:rFonts w:ascii="Times New Roman" w:hAnsi="Times New Roman" w:cs="Times New Roman" w:eastAsia="Times New Roman" w:hint="default"/>
                <w:sz w:val="13"/>
                <w:szCs w:val="13"/>
              </w:rPr>
            </w:pPr>
            <w:r>
              <w:rPr>
                <w:rFonts w:ascii="Times New Roman"/>
                <w:sz w:val="13"/>
              </w:rPr>
              <w:t>2,821,679,107.56</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0" w:right="0"/>
              <w:jc w:val="left"/>
              <w:rPr>
                <w:rFonts w:ascii="Times New Roman" w:hAnsi="Times New Roman" w:cs="Times New Roman" w:eastAsia="Times New Roman" w:hint="default"/>
                <w:sz w:val="13"/>
                <w:szCs w:val="13"/>
              </w:rPr>
            </w:pPr>
            <w:r>
              <w:rPr>
                <w:rFonts w:ascii="Times New Roman"/>
                <w:sz w:val="13"/>
              </w:rPr>
              <w:t>-201,177.32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8" w:right="0"/>
              <w:jc w:val="left"/>
              <w:rPr>
                <w:rFonts w:ascii="Times New Roman" w:hAnsi="Times New Roman" w:cs="Times New Roman" w:eastAsia="Times New Roman" w:hint="default"/>
                <w:sz w:val="13"/>
                <w:szCs w:val="13"/>
              </w:rPr>
            </w:pPr>
            <w:r>
              <w:rPr>
                <w:rFonts w:ascii="Times New Roman"/>
                <w:sz w:val="13"/>
              </w:rPr>
              <w:t>248,043,663.63</w:t>
            </w:r>
          </w:p>
        </w:tc>
        <w:tc>
          <w:tcPr>
            <w:tcW w:w="72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6" w:right="0"/>
              <w:jc w:val="left"/>
              <w:rPr>
                <w:rFonts w:ascii="Times New Roman" w:hAnsi="Times New Roman" w:cs="Times New Roman" w:eastAsia="Times New Roman" w:hint="default"/>
                <w:sz w:val="13"/>
                <w:szCs w:val="13"/>
              </w:rPr>
            </w:pPr>
            <w:r>
              <w:rPr>
                <w:rFonts w:ascii="Times New Roman"/>
                <w:sz w:val="13"/>
              </w:rPr>
              <w:t>161,083,414.40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6"/>
              <w:jc w:val="right"/>
              <w:rPr>
                <w:rFonts w:ascii="Times New Roman" w:hAnsi="Times New Roman" w:cs="Times New Roman" w:eastAsia="Times New Roman" w:hint="default"/>
                <w:sz w:val="13"/>
                <w:szCs w:val="13"/>
              </w:rPr>
            </w:pPr>
            <w:r>
              <w:rPr>
                <w:rFonts w:ascii="Times New Roman"/>
                <w:sz w:val="13"/>
              </w:rPr>
              <w:t>1,662,770,876.35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6,590,340,015.62</w:t>
            </w:r>
          </w:p>
        </w:tc>
      </w:tr>
    </w:tbl>
    <w:p>
      <w:pPr>
        <w:spacing w:before="56"/>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730" w:val="left" w:leader="none"/>
          <w:tab w:pos="8062" w:val="left" w:leader="none"/>
          <w:tab w:pos="12473" w:val="left" w:leader="none"/>
        </w:tabs>
        <w:spacing w:before="45"/>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t>总裁：黄</w:t>
      </w:r>
      <w:r>
        <w:rPr>
          <w:rFonts w:ascii="宋体" w:hAnsi="宋体" w:cs="宋体" w:eastAsia="宋体" w:hint="default"/>
          <w:spacing w:val="88"/>
          <w:sz w:val="18"/>
          <w:szCs w:val="18"/>
        </w:rPr>
        <w:t> </w:t>
      </w:r>
      <w:r>
        <w:rPr>
          <w:rFonts w:ascii="宋体" w:hAnsi="宋体" w:cs="宋体" w:eastAsia="宋体" w:hint="default"/>
          <w:sz w:val="18"/>
          <w:szCs w:val="18"/>
        </w:rPr>
        <w:t>明</w:t>
        <w:tab/>
        <w:t>财务总监：张  磊</w:t>
        <w:tab/>
        <w:t>会计机构负责人：向自力</w:t>
      </w:r>
    </w:p>
    <w:p>
      <w:pPr>
        <w:spacing w:after="0"/>
        <w:jc w:val="left"/>
        <w:rPr>
          <w:rFonts w:ascii="宋体" w:hAnsi="宋体" w:cs="宋体" w:eastAsia="宋体" w:hint="default"/>
          <w:sz w:val="18"/>
          <w:szCs w:val="18"/>
        </w:rPr>
        <w:sectPr>
          <w:headerReference w:type="default" r:id="rId81"/>
          <w:footerReference w:type="default" r:id="rId82"/>
          <w:pgSz w:w="16840" w:h="11910" w:orient="landscape"/>
          <w:pgMar w:header="0" w:footer="572" w:top="1100" w:bottom="760" w:left="740" w:right="740"/>
          <w:pgNumType w:start="18"/>
        </w:sectPr>
      </w:pPr>
    </w:p>
    <w:p>
      <w:pPr>
        <w:spacing w:line="274" w:lineRule="exact" w:before="0"/>
        <w:ind w:left="5950" w:right="594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合并所有者权益变动表（续）</w:t>
      </w:r>
      <w:r>
        <w:rPr>
          <w:rFonts w:ascii="Microsoft JhengHei" w:hAnsi="Microsoft JhengHei" w:cs="Microsoft JhengHei" w:eastAsia="Microsoft JhengHei" w:hint="default"/>
          <w:sz w:val="18"/>
          <w:szCs w:val="18"/>
        </w:rPr>
      </w:r>
    </w:p>
    <w:p>
      <w:pPr>
        <w:spacing w:line="274" w:lineRule="exact" w:before="0"/>
        <w:ind w:left="5950" w:right="5945"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3"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2660"/>
        <w:gridCol w:w="1133"/>
        <w:gridCol w:w="665"/>
        <w:gridCol w:w="667"/>
        <w:gridCol w:w="530"/>
        <w:gridCol w:w="1186"/>
        <w:gridCol w:w="746"/>
        <w:gridCol w:w="1138"/>
        <w:gridCol w:w="999"/>
        <w:gridCol w:w="1133"/>
        <w:gridCol w:w="730"/>
        <w:gridCol w:w="1136"/>
        <w:gridCol w:w="1138"/>
        <w:gridCol w:w="1270"/>
      </w:tblGrid>
      <w:tr>
        <w:trPr>
          <w:trHeight w:val="290"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47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288" w:hRule="exact"/>
        </w:trPr>
        <w:tc>
          <w:tcPr>
            <w:tcW w:w="2660" w:type="dxa"/>
            <w:vMerge/>
            <w:tcBorders>
              <w:left w:val="single" w:sz="4" w:space="0" w:color="000000"/>
              <w:right w:val="single" w:sz="4" w:space="0" w:color="000000"/>
            </w:tcBorders>
          </w:tcPr>
          <w:p>
            <w:pPr/>
          </w:p>
        </w:tc>
        <w:tc>
          <w:tcPr>
            <w:tcW w:w="100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90" w:hRule="exact"/>
        </w:trPr>
        <w:tc>
          <w:tcPr>
            <w:tcW w:w="2660"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股本</w:t>
            </w:r>
          </w:p>
        </w:tc>
        <w:tc>
          <w:tcPr>
            <w:tcW w:w="18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35"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46" w:type="dxa"/>
            <w:vMerge w:val="restart"/>
            <w:tcBorders>
              <w:top w:val="single" w:sz="4" w:space="0" w:color="000000"/>
              <w:left w:val="single" w:sz="4" w:space="0" w:color="000000"/>
              <w:right w:val="single" w:sz="4" w:space="0" w:color="000000"/>
            </w:tcBorders>
          </w:tcPr>
          <w:p>
            <w:pPr>
              <w:pStyle w:val="TableParagraph"/>
              <w:spacing w:line="280" w:lineRule="auto" w:before="93"/>
              <w:ind w:left="302" w:right="108" w:hanging="195"/>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30" w:type="dxa"/>
            <w:vMerge w:val="restart"/>
            <w:tcBorders>
              <w:top w:val="single" w:sz="4" w:space="0" w:color="000000"/>
              <w:left w:val="single" w:sz="4" w:space="0" w:color="000000"/>
              <w:right w:val="single" w:sz="4" w:space="0" w:color="000000"/>
            </w:tcBorders>
          </w:tcPr>
          <w:p>
            <w:pPr>
              <w:pStyle w:val="TableParagraph"/>
              <w:spacing w:line="280" w:lineRule="auto" w:before="93"/>
              <w:ind w:left="163" w:right="167"/>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8"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291" w:hRule="exact"/>
        </w:trPr>
        <w:tc>
          <w:tcPr>
            <w:tcW w:w="266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9"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2"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86"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99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center"/>
              <w:rPr>
                <w:rFonts w:ascii="Times New Roman" w:hAnsi="Times New Roman" w:cs="Times New Roman" w:eastAsia="Times New Roman" w:hint="default"/>
                <w:sz w:val="13"/>
                <w:szCs w:val="13"/>
              </w:rPr>
            </w:pPr>
            <w:r>
              <w:rPr>
                <w:rFonts w:ascii="Times New Roman"/>
                <w:sz w:val="13"/>
              </w:rPr>
              <w:t>1,696,964,131.00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2,625,310,797.10</w:t>
            </w: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sz w:val="13"/>
              </w:rPr>
              <w:t>-167,069.78</w:t>
            </w: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220,072,174.63</w:t>
            </w: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9" w:right="0"/>
              <w:jc w:val="center"/>
              <w:rPr>
                <w:rFonts w:ascii="Times New Roman" w:hAnsi="Times New Roman" w:cs="Times New Roman" w:eastAsia="Times New Roman" w:hint="default"/>
                <w:sz w:val="13"/>
                <w:szCs w:val="13"/>
              </w:rPr>
            </w:pPr>
            <w:r>
              <w:rPr>
                <w:rFonts w:ascii="Times New Roman"/>
                <w:sz w:val="13"/>
              </w:rPr>
              <w:t>302,092,135.59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1,404,036,192.72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6,248,308,361.26</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center"/>
              <w:rPr>
                <w:rFonts w:ascii="Times New Roman" w:hAnsi="Times New Roman" w:cs="Times New Roman" w:eastAsia="Times New Roman" w:hint="default"/>
                <w:sz w:val="13"/>
                <w:szCs w:val="13"/>
              </w:rPr>
            </w:pPr>
            <w:r>
              <w:rPr>
                <w:rFonts w:ascii="Times New Roman"/>
                <w:sz w:val="13"/>
              </w:rPr>
              <w:t>1,696,964,131.00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2,625,310,797.10</w:t>
            </w: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sz w:val="13"/>
              </w:rPr>
              <w:t>-167,069.78</w:t>
            </w: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sz w:val="13"/>
              </w:rPr>
              <w:t>220,072,174.63</w:t>
            </w: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9" w:right="0"/>
              <w:jc w:val="center"/>
              <w:rPr>
                <w:rFonts w:ascii="Times New Roman" w:hAnsi="Times New Roman" w:cs="Times New Roman" w:eastAsia="Times New Roman" w:hint="default"/>
                <w:sz w:val="13"/>
                <w:szCs w:val="13"/>
              </w:rPr>
            </w:pPr>
            <w:r>
              <w:rPr>
                <w:rFonts w:ascii="Times New Roman"/>
                <w:sz w:val="13"/>
              </w:rPr>
              <w:t>302,092,135.59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1,404,036,192.72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6,248,308,361.26</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36,727,795.63</w:t>
            </w: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spacing w:val="-1"/>
                <w:sz w:val="13"/>
              </w:rPr>
              <w:t>-117,413.06</w:t>
            </w: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17,887,694.20</w:t>
            </w: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1" w:right="0"/>
              <w:jc w:val="center"/>
              <w:rPr>
                <w:rFonts w:ascii="Times New Roman" w:hAnsi="Times New Roman" w:cs="Times New Roman" w:eastAsia="Times New Roman" w:hint="default"/>
                <w:sz w:val="13"/>
                <w:szCs w:val="13"/>
              </w:rPr>
            </w:pPr>
            <w:r>
              <w:rPr>
                <w:rFonts w:ascii="Times New Roman"/>
                <w:sz w:val="13"/>
              </w:rPr>
              <w:t>-88,843,822.06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195,001,155.08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160,655,409.79</w:t>
            </w:r>
          </w:p>
        </w:tc>
      </w:tr>
      <w:tr>
        <w:trPr>
          <w:trHeight w:val="29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spacing w:val="-1"/>
                <w:sz w:val="13"/>
              </w:rPr>
              <w:t>-117,413.06</w:t>
            </w: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9" w:right="0"/>
              <w:jc w:val="center"/>
              <w:rPr>
                <w:rFonts w:ascii="Times New Roman" w:hAnsi="Times New Roman" w:cs="Times New Roman" w:eastAsia="Times New Roman" w:hint="default"/>
                <w:sz w:val="13"/>
                <w:szCs w:val="13"/>
              </w:rPr>
            </w:pPr>
            <w:r>
              <w:rPr>
                <w:rFonts w:ascii="Times New Roman"/>
                <w:sz w:val="13"/>
              </w:rPr>
              <w:t>13,892,078.69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47,280,462.83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61,055,128.46</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36,727,795.63</w:t>
            </w: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225,705,987.00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262,433,782.63</w:t>
            </w:r>
          </w:p>
        </w:tc>
      </w:tr>
      <w:tr>
        <w:trPr>
          <w:trHeight w:val="28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225,705,987.00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225,705,987.00</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36,727,795.63</w:t>
            </w: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3"/>
                <w:szCs w:val="13"/>
              </w:rPr>
            </w:pPr>
            <w:r>
              <w:rPr>
                <w:rFonts w:ascii="Times New Roman"/>
                <w:sz w:val="13"/>
              </w:rPr>
              <w:t>36,727,795.63</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17,887,694.20</w:t>
            </w: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6" w:right="0"/>
              <w:jc w:val="center"/>
              <w:rPr>
                <w:rFonts w:ascii="Times New Roman" w:hAnsi="Times New Roman" w:cs="Times New Roman" w:eastAsia="Times New Roman" w:hint="default"/>
                <w:sz w:val="13"/>
                <w:szCs w:val="13"/>
              </w:rPr>
            </w:pPr>
            <w:r>
              <w:rPr>
                <w:rFonts w:ascii="Times New Roman"/>
                <w:sz w:val="13"/>
              </w:rPr>
              <w:t>-102,735,900.75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-41,426,665.78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-126,274,872.33</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17,887,694.20</w:t>
            </w: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1" w:right="0"/>
              <w:jc w:val="center"/>
              <w:rPr>
                <w:rFonts w:ascii="Times New Roman" w:hAnsi="Times New Roman" w:cs="Times New Roman" w:eastAsia="Times New Roman" w:hint="default"/>
                <w:sz w:val="13"/>
                <w:szCs w:val="13"/>
              </w:rPr>
            </w:pPr>
            <w:r>
              <w:rPr>
                <w:rFonts w:ascii="Times New Roman"/>
                <w:sz w:val="13"/>
              </w:rPr>
              <w:t>-17,887,694.20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 w:right="0"/>
              <w:jc w:val="center"/>
              <w:rPr>
                <w:rFonts w:ascii="Times New Roman" w:hAnsi="Times New Roman" w:cs="Times New Roman" w:eastAsia="Times New Roman" w:hint="default"/>
                <w:sz w:val="13"/>
                <w:szCs w:val="13"/>
              </w:rPr>
            </w:pPr>
            <w:r>
              <w:rPr>
                <w:rFonts w:ascii="Times New Roman"/>
                <w:sz w:val="13"/>
              </w:rPr>
              <w:t>-84,848,206.55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3"/>
                <w:szCs w:val="13"/>
              </w:rPr>
            </w:pPr>
            <w:r>
              <w:rPr>
                <w:rFonts w:ascii="Times New Roman"/>
                <w:sz w:val="13"/>
              </w:rPr>
              <w:t>-41,426,665.78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3"/>
                <w:szCs w:val="13"/>
              </w:rPr>
            </w:pPr>
            <w:r>
              <w:rPr>
                <w:rFonts w:ascii="Times New Roman"/>
                <w:sz w:val="13"/>
              </w:rPr>
              <w:t>-126,274,872.33</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3"/>
          <w:pgSz w:w="16840" w:h="11910" w:orient="landscape"/>
          <w:pgMar w:header="1724" w:footer="572" w:top="1920" w:bottom="760" w:left="740" w:right="740"/>
        </w:sectPr>
      </w:pPr>
    </w:p>
    <w:p>
      <w:pPr>
        <w:spacing w:line="240" w:lineRule="auto" w:before="3"/>
        <w:rPr>
          <w:rFonts w:ascii="Microsoft JhengHei" w:hAnsi="Microsoft JhengHei" w:cs="Microsoft JhengHei" w:eastAsia="Microsoft JhengHei"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2660"/>
        <w:gridCol w:w="1133"/>
        <w:gridCol w:w="665"/>
        <w:gridCol w:w="667"/>
        <w:gridCol w:w="530"/>
        <w:gridCol w:w="1186"/>
        <w:gridCol w:w="746"/>
        <w:gridCol w:w="1138"/>
        <w:gridCol w:w="999"/>
        <w:gridCol w:w="1133"/>
        <w:gridCol w:w="730"/>
        <w:gridCol w:w="1136"/>
        <w:gridCol w:w="1138"/>
        <w:gridCol w:w="1270"/>
      </w:tblGrid>
      <w:tr>
        <w:trPr>
          <w:trHeight w:val="290"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47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290" w:hRule="exact"/>
        </w:trPr>
        <w:tc>
          <w:tcPr>
            <w:tcW w:w="2660" w:type="dxa"/>
            <w:vMerge/>
            <w:tcBorders>
              <w:left w:val="single" w:sz="4" w:space="0" w:color="000000"/>
              <w:right w:val="single" w:sz="4" w:space="0" w:color="000000"/>
            </w:tcBorders>
          </w:tcPr>
          <w:p>
            <w:pPr/>
          </w:p>
        </w:tc>
        <w:tc>
          <w:tcPr>
            <w:tcW w:w="100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90" w:hRule="exact"/>
        </w:trPr>
        <w:tc>
          <w:tcPr>
            <w:tcW w:w="2660"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股本</w:t>
            </w:r>
          </w:p>
        </w:tc>
        <w:tc>
          <w:tcPr>
            <w:tcW w:w="18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35"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46" w:type="dxa"/>
            <w:vMerge w:val="restart"/>
            <w:tcBorders>
              <w:top w:val="single" w:sz="4" w:space="0" w:color="000000"/>
              <w:left w:val="single" w:sz="4" w:space="0" w:color="000000"/>
              <w:right w:val="single" w:sz="4" w:space="0" w:color="000000"/>
            </w:tcBorders>
          </w:tcPr>
          <w:p>
            <w:pPr>
              <w:pStyle w:val="TableParagraph"/>
              <w:spacing w:line="280" w:lineRule="auto" w:before="93"/>
              <w:ind w:left="302" w:right="108" w:hanging="195"/>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30" w:type="dxa"/>
            <w:vMerge w:val="restart"/>
            <w:tcBorders>
              <w:top w:val="single" w:sz="4" w:space="0" w:color="000000"/>
              <w:left w:val="single" w:sz="4" w:space="0" w:color="000000"/>
              <w:right w:val="single" w:sz="4" w:space="0" w:color="000000"/>
            </w:tcBorders>
          </w:tcPr>
          <w:p>
            <w:pPr>
              <w:pStyle w:val="TableParagraph"/>
              <w:spacing w:line="280" w:lineRule="auto" w:before="93"/>
              <w:ind w:left="163" w:right="167"/>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8"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288" w:hRule="exact"/>
        </w:trPr>
        <w:tc>
          <w:tcPr>
            <w:tcW w:w="266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9"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2"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86"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99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-36,558,628.97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3"/>
                <w:szCs w:val="13"/>
              </w:rPr>
            </w:pPr>
            <w:r>
              <w:rPr>
                <w:rFonts w:ascii="Times New Roman"/>
                <w:sz w:val="13"/>
              </w:rPr>
              <w:t>-36,558,628.97</w:t>
            </w:r>
          </w:p>
        </w:tc>
      </w:tr>
      <w:tr>
        <w:trPr>
          <w:trHeight w:val="29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0"/>
              <w:jc w:val="left"/>
              <w:rPr>
                <w:rFonts w:ascii="Times New Roman" w:hAnsi="Times New Roman" w:cs="Times New Roman" w:eastAsia="Times New Roman" w:hint="default"/>
                <w:sz w:val="13"/>
                <w:szCs w:val="13"/>
              </w:rPr>
            </w:pPr>
            <w:r>
              <w:rPr>
                <w:rFonts w:ascii="Times New Roman"/>
                <w:sz w:val="13"/>
              </w:rPr>
              <w:t>1,696,964,131.00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0"/>
              <w:jc w:val="left"/>
              <w:rPr>
                <w:rFonts w:ascii="Times New Roman" w:hAnsi="Times New Roman" w:cs="Times New Roman" w:eastAsia="Times New Roman" w:hint="default"/>
                <w:sz w:val="13"/>
                <w:szCs w:val="13"/>
              </w:rPr>
            </w:pPr>
            <w:r>
              <w:rPr>
                <w:rFonts w:ascii="Times New Roman"/>
                <w:sz w:val="13"/>
              </w:rPr>
              <w:t>2,662,038,592.73</w:t>
            </w:r>
          </w:p>
        </w:tc>
        <w:tc>
          <w:tcPr>
            <w:tcW w:w="74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3" w:right="0"/>
              <w:jc w:val="left"/>
              <w:rPr>
                <w:rFonts w:ascii="Times New Roman" w:hAnsi="Times New Roman" w:cs="Times New Roman" w:eastAsia="Times New Roman" w:hint="default"/>
                <w:sz w:val="13"/>
                <w:szCs w:val="13"/>
              </w:rPr>
            </w:pPr>
            <w:r>
              <w:rPr>
                <w:rFonts w:ascii="Times New Roman"/>
                <w:sz w:val="13"/>
              </w:rPr>
              <w:t>-284,482.84</w:t>
            </w:r>
          </w:p>
        </w:tc>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3" w:right="0"/>
              <w:jc w:val="left"/>
              <w:rPr>
                <w:rFonts w:ascii="Times New Roman" w:hAnsi="Times New Roman" w:cs="Times New Roman" w:eastAsia="Times New Roman" w:hint="default"/>
                <w:sz w:val="13"/>
                <w:szCs w:val="13"/>
              </w:rPr>
            </w:pPr>
            <w:r>
              <w:rPr>
                <w:rFonts w:ascii="Times New Roman"/>
                <w:sz w:val="13"/>
              </w:rPr>
              <w:t>237,959,868.83</w:t>
            </w:r>
          </w:p>
        </w:tc>
        <w:tc>
          <w:tcPr>
            <w:tcW w:w="73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6" w:right="0"/>
              <w:jc w:val="left"/>
              <w:rPr>
                <w:rFonts w:ascii="Times New Roman" w:hAnsi="Times New Roman" w:cs="Times New Roman" w:eastAsia="Times New Roman" w:hint="default"/>
                <w:sz w:val="13"/>
                <w:szCs w:val="13"/>
              </w:rPr>
            </w:pPr>
            <w:r>
              <w:rPr>
                <w:rFonts w:ascii="Times New Roman"/>
                <w:sz w:val="13"/>
              </w:rPr>
              <w:t>213,248,313.53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3"/>
                <w:szCs w:val="13"/>
              </w:rPr>
            </w:pPr>
            <w:r>
              <w:rPr>
                <w:rFonts w:ascii="Times New Roman"/>
                <w:sz w:val="13"/>
              </w:rPr>
              <w:t>1,599,037,347.80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3"/>
                <w:szCs w:val="13"/>
              </w:rPr>
            </w:pPr>
            <w:r>
              <w:rPr>
                <w:rFonts w:ascii="Times New Roman"/>
                <w:sz w:val="13"/>
              </w:rPr>
              <w:t>6,408,963,771.05</w:t>
            </w:r>
          </w:p>
        </w:tc>
      </w:tr>
    </w:tbl>
    <w:p>
      <w:pPr>
        <w:spacing w:before="56"/>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730" w:val="left" w:leader="none"/>
          <w:tab w:pos="8062" w:val="left" w:leader="none"/>
          <w:tab w:pos="12473" w:val="left" w:leader="none"/>
        </w:tabs>
        <w:spacing w:before="45"/>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t>总裁：黄</w:t>
      </w:r>
      <w:r>
        <w:rPr>
          <w:rFonts w:ascii="宋体" w:hAnsi="宋体" w:cs="宋体" w:eastAsia="宋体" w:hint="default"/>
          <w:spacing w:val="88"/>
          <w:sz w:val="18"/>
          <w:szCs w:val="18"/>
        </w:rPr>
        <w:t> </w:t>
      </w:r>
      <w:r>
        <w:rPr>
          <w:rFonts w:ascii="宋体" w:hAnsi="宋体" w:cs="宋体" w:eastAsia="宋体" w:hint="default"/>
          <w:sz w:val="18"/>
          <w:szCs w:val="18"/>
        </w:rPr>
        <w:t>明</w:t>
        <w:tab/>
        <w:t>财务总监：张  磊</w:t>
        <w:tab/>
        <w:t>会计机构负责人：向自力</w:t>
      </w:r>
    </w:p>
    <w:p>
      <w:pPr>
        <w:spacing w:after="0"/>
        <w:jc w:val="left"/>
        <w:rPr>
          <w:rFonts w:ascii="宋体" w:hAnsi="宋体" w:cs="宋体" w:eastAsia="宋体" w:hint="default"/>
          <w:sz w:val="18"/>
          <w:szCs w:val="18"/>
        </w:rPr>
        <w:sectPr>
          <w:headerReference w:type="default" r:id="rId84"/>
          <w:pgSz w:w="16840" w:h="11910" w:orient="landscape"/>
          <w:pgMar w:header="0" w:footer="572" w:top="1100" w:bottom="760" w:left="740" w:right="740"/>
        </w:sectPr>
      </w:pPr>
    </w:p>
    <w:p>
      <w:pPr>
        <w:spacing w:line="274"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所有者权益变动表</w:t>
      </w:r>
      <w:r>
        <w:rPr>
          <w:rFonts w:ascii="Microsoft JhengHei" w:hAnsi="Microsoft JhengHei" w:cs="Microsoft JhengHei" w:eastAsia="Microsoft JhengHei" w:hint="default"/>
          <w:sz w:val="18"/>
          <w:szCs w:val="18"/>
        </w:rPr>
      </w:r>
    </w:p>
    <w:p>
      <w:pPr>
        <w:spacing w:line="274" w:lineRule="exact" w:before="0"/>
        <w:ind w:left="5950" w:right="5945"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3"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084"/>
        <w:gridCol w:w="1349"/>
        <w:gridCol w:w="730"/>
        <w:gridCol w:w="730"/>
        <w:gridCol w:w="749"/>
        <w:gridCol w:w="1277"/>
        <w:gridCol w:w="730"/>
        <w:gridCol w:w="1297"/>
        <w:gridCol w:w="1152"/>
        <w:gridCol w:w="1154"/>
        <w:gridCol w:w="1299"/>
        <w:gridCol w:w="1579"/>
      </w:tblGrid>
      <w:tr>
        <w:trPr>
          <w:trHeight w:val="310"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0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10" w:hRule="exact"/>
        </w:trPr>
        <w:tc>
          <w:tcPr>
            <w:tcW w:w="3084" w:type="dxa"/>
            <w:vMerge/>
            <w:tcBorders>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4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30" w:type="dxa"/>
            <w:vMerge w:val="restart"/>
            <w:tcBorders>
              <w:top w:val="single" w:sz="4" w:space="0" w:color="000000"/>
              <w:left w:val="single" w:sz="4" w:space="0" w:color="000000"/>
              <w:right w:val="single" w:sz="4" w:space="0" w:color="000000"/>
            </w:tcBorders>
          </w:tcPr>
          <w:p>
            <w:pPr>
              <w:pStyle w:val="TableParagraph"/>
              <w:spacing w:line="266" w:lineRule="auto" w:before="86"/>
              <w:ind w:left="208" w:right="131"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0" w:hRule="exact"/>
        </w:trPr>
        <w:tc>
          <w:tcPr>
            <w:tcW w:w="3084"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3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3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5"/>
                <w:szCs w:val="15"/>
              </w:rPr>
            </w:pPr>
            <w:r>
              <w:rPr>
                <w:rFonts w:ascii="Times New Roman"/>
                <w:spacing w:val="-1"/>
                <w:sz w:val="15"/>
              </w:rPr>
              <w:t>1,696,964,131.00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2"/>
                <w:sz w:val="15"/>
              </w:rPr>
              <w:t>2,542,311,888.65</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208,448,826.77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436,596,134.85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5"/>
                <w:szCs w:val="15"/>
              </w:rPr>
            </w:pPr>
            <w:r>
              <w:rPr>
                <w:rFonts w:ascii="Times New Roman"/>
                <w:spacing w:val="-1"/>
                <w:sz w:val="15"/>
              </w:rPr>
              <w:t>4,884,320,981.27</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5"/>
                <w:szCs w:val="15"/>
              </w:rPr>
            </w:pPr>
            <w:r>
              <w:rPr>
                <w:rFonts w:ascii="Times New Roman"/>
                <w:spacing w:val="-1"/>
                <w:sz w:val="15"/>
              </w:rPr>
              <w:t>1,696,964,131.00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2"/>
                <w:sz w:val="15"/>
              </w:rPr>
              <w:t>2,542,311,888.65</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208,448,826.77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436,596,134.85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4,884,320,981.27</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176,207,172.67</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10,083,794.80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5,905,946.61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5"/>
                <w:szCs w:val="15"/>
              </w:rPr>
            </w:pPr>
            <w:r>
              <w:rPr>
                <w:rFonts w:ascii="Times New Roman"/>
                <w:spacing w:val="-1"/>
                <w:sz w:val="15"/>
              </w:rPr>
              <w:t>192,196,914.08</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100,837,947.96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100,837,947.96</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176,207,172.67</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5"/>
                <w:szCs w:val="15"/>
              </w:rPr>
            </w:pPr>
            <w:r>
              <w:rPr>
                <w:rFonts w:ascii="Times New Roman"/>
                <w:spacing w:val="-1"/>
                <w:sz w:val="15"/>
              </w:rPr>
              <w:t>176,207,172.67</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176,207,172.67</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176,207,172.67</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10,083,794.80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-94,932,001.35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-84,848,206.55</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10,083,794.80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5"/>
                <w:szCs w:val="15"/>
              </w:rPr>
            </w:pPr>
            <w:r>
              <w:rPr>
                <w:rFonts w:ascii="Times New Roman"/>
                <w:spacing w:val="-1"/>
                <w:sz w:val="15"/>
              </w:rPr>
              <w:t>-10,083,794.80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-84,848,206.55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-84,848,206.55</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572" w:top="1920" w:bottom="760" w:left="740" w:right="740"/>
        </w:sectPr>
      </w:pPr>
    </w:p>
    <w:p>
      <w:pPr>
        <w:spacing w:line="240" w:lineRule="auto" w:before="3"/>
        <w:rPr>
          <w:rFonts w:ascii="Microsoft JhengHei" w:hAnsi="Microsoft JhengHei" w:cs="Microsoft JhengHei" w:eastAsia="Microsoft JhengHei"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3084"/>
        <w:gridCol w:w="1349"/>
        <w:gridCol w:w="730"/>
        <w:gridCol w:w="730"/>
        <w:gridCol w:w="749"/>
        <w:gridCol w:w="1277"/>
        <w:gridCol w:w="730"/>
        <w:gridCol w:w="1297"/>
        <w:gridCol w:w="1152"/>
        <w:gridCol w:w="1154"/>
        <w:gridCol w:w="1299"/>
        <w:gridCol w:w="1579"/>
      </w:tblGrid>
      <w:tr>
        <w:trPr>
          <w:trHeight w:val="310"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0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10" w:hRule="exact"/>
        </w:trPr>
        <w:tc>
          <w:tcPr>
            <w:tcW w:w="3084" w:type="dxa"/>
            <w:vMerge/>
            <w:tcBorders>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4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30" w:type="dxa"/>
            <w:vMerge w:val="restart"/>
            <w:tcBorders>
              <w:top w:val="single" w:sz="4" w:space="0" w:color="000000"/>
              <w:left w:val="single" w:sz="4" w:space="0" w:color="000000"/>
              <w:right w:val="single" w:sz="4" w:space="0" w:color="000000"/>
            </w:tcBorders>
          </w:tcPr>
          <w:p>
            <w:pPr>
              <w:pStyle w:val="TableParagraph"/>
              <w:spacing w:line="266" w:lineRule="auto" w:before="86"/>
              <w:ind w:left="208" w:right="131"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3084"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15"/>
                <w:szCs w:val="15"/>
              </w:rPr>
            </w:pPr>
            <w:r>
              <w:rPr>
                <w:rFonts w:ascii="Times New Roman"/>
                <w:sz w:val="15"/>
              </w:rPr>
              <w:t>1,696,964,131.00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3" w:right="0"/>
              <w:jc w:val="left"/>
              <w:rPr>
                <w:rFonts w:ascii="Times New Roman" w:hAnsi="Times New Roman" w:cs="Times New Roman" w:eastAsia="Times New Roman" w:hint="default"/>
                <w:sz w:val="15"/>
                <w:szCs w:val="15"/>
              </w:rPr>
            </w:pPr>
            <w:r>
              <w:rPr>
                <w:rFonts w:ascii="Times New Roman"/>
                <w:sz w:val="15"/>
              </w:rPr>
              <w:t>2,718,519,061.32</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Times New Roman" w:hAnsi="Times New Roman" w:cs="Times New Roman" w:eastAsia="Times New Roman" w:hint="default"/>
                <w:sz w:val="15"/>
                <w:szCs w:val="15"/>
              </w:rPr>
            </w:pPr>
            <w:r>
              <w:rPr>
                <w:rFonts w:ascii="Times New Roman"/>
                <w:sz w:val="15"/>
              </w:rPr>
              <w:t>218,532,621.57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4" w:right="0"/>
              <w:jc w:val="left"/>
              <w:rPr>
                <w:rFonts w:ascii="Times New Roman" w:hAnsi="Times New Roman" w:cs="Times New Roman" w:eastAsia="Times New Roman" w:hint="default"/>
                <w:sz w:val="15"/>
                <w:szCs w:val="15"/>
              </w:rPr>
            </w:pPr>
            <w:r>
              <w:rPr>
                <w:rFonts w:ascii="Times New Roman"/>
                <w:sz w:val="15"/>
              </w:rPr>
              <w:t>442,502,081.46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2" w:right="0"/>
              <w:jc w:val="left"/>
              <w:rPr>
                <w:rFonts w:ascii="Times New Roman" w:hAnsi="Times New Roman" w:cs="Times New Roman" w:eastAsia="Times New Roman" w:hint="default"/>
                <w:sz w:val="15"/>
                <w:szCs w:val="15"/>
              </w:rPr>
            </w:pPr>
            <w:r>
              <w:rPr>
                <w:rFonts w:ascii="Times New Roman"/>
                <w:sz w:val="15"/>
              </w:rPr>
              <w:t>5,076,517,895.35</w:t>
            </w:r>
          </w:p>
        </w:tc>
      </w:tr>
    </w:tbl>
    <w:p>
      <w:pPr>
        <w:spacing w:before="56"/>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730" w:val="left" w:leader="none"/>
          <w:tab w:pos="8062" w:val="left" w:leader="none"/>
          <w:tab w:pos="12473" w:val="left" w:leader="none"/>
        </w:tabs>
        <w:spacing w:before="45"/>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t>总裁：黄</w:t>
      </w:r>
      <w:r>
        <w:rPr>
          <w:rFonts w:ascii="宋体" w:hAnsi="宋体" w:cs="宋体" w:eastAsia="宋体" w:hint="default"/>
          <w:spacing w:val="88"/>
          <w:sz w:val="18"/>
          <w:szCs w:val="18"/>
        </w:rPr>
        <w:t> </w:t>
      </w:r>
      <w:r>
        <w:rPr>
          <w:rFonts w:ascii="宋体" w:hAnsi="宋体" w:cs="宋体" w:eastAsia="宋体" w:hint="default"/>
          <w:sz w:val="18"/>
          <w:szCs w:val="18"/>
        </w:rPr>
        <w:t>明</w:t>
        <w:tab/>
        <w:t>财务总监：张  磊</w:t>
        <w:tab/>
        <w:t>会计机构负责人：向自力</w:t>
      </w:r>
    </w:p>
    <w:p>
      <w:pPr>
        <w:spacing w:after="0"/>
        <w:jc w:val="left"/>
        <w:rPr>
          <w:rFonts w:ascii="宋体" w:hAnsi="宋体" w:cs="宋体" w:eastAsia="宋体" w:hint="default"/>
          <w:sz w:val="18"/>
          <w:szCs w:val="18"/>
        </w:rPr>
        <w:sectPr>
          <w:headerReference w:type="default" r:id="rId85"/>
          <w:footerReference w:type="default" r:id="rId86"/>
          <w:pgSz w:w="16840" w:h="11910" w:orient="landscape"/>
          <w:pgMar w:header="0" w:footer="572" w:top="1100" w:bottom="760" w:left="740" w:right="740"/>
          <w:pgNumType w:start="22"/>
        </w:sectPr>
      </w:pPr>
    </w:p>
    <w:p>
      <w:pPr>
        <w:spacing w:line="274" w:lineRule="exact" w:before="0"/>
        <w:ind w:left="5949"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所有者权益变动表（续）</w:t>
      </w:r>
      <w:r>
        <w:rPr>
          <w:rFonts w:ascii="Microsoft JhengHei" w:hAnsi="Microsoft JhengHei" w:cs="Microsoft JhengHei" w:eastAsia="Microsoft JhengHei" w:hint="default"/>
          <w:sz w:val="18"/>
          <w:szCs w:val="18"/>
        </w:rPr>
      </w:r>
    </w:p>
    <w:p>
      <w:pPr>
        <w:spacing w:line="274" w:lineRule="exact" w:before="0"/>
        <w:ind w:left="5950" w:right="5945"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3"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084"/>
        <w:gridCol w:w="1337"/>
        <w:gridCol w:w="770"/>
        <w:gridCol w:w="706"/>
        <w:gridCol w:w="590"/>
        <w:gridCol w:w="1361"/>
        <w:gridCol w:w="895"/>
        <w:gridCol w:w="1213"/>
        <w:gridCol w:w="1169"/>
        <w:gridCol w:w="1198"/>
        <w:gridCol w:w="1268"/>
        <w:gridCol w:w="1538"/>
      </w:tblGrid>
      <w:tr>
        <w:trPr>
          <w:trHeight w:val="310"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0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10" w:hRule="exact"/>
        </w:trPr>
        <w:tc>
          <w:tcPr>
            <w:tcW w:w="3084" w:type="dxa"/>
            <w:vMerge/>
            <w:tcBorders>
              <w:left w:val="single" w:sz="4" w:space="0" w:color="000000"/>
              <w:right w:val="single" w:sz="4" w:space="0" w:color="000000"/>
            </w:tcBorders>
          </w:tcPr>
          <w:p>
            <w:pP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库</w:t>
            </w:r>
            <w:r>
              <w:rPr>
                <w:rFonts w:ascii="宋体" w:hAnsi="宋体" w:cs="宋体" w:eastAsia="宋体" w:hint="default"/>
                <w:w w:val="100"/>
                <w:sz w:val="15"/>
                <w:szCs w:val="15"/>
              </w:rPr>
              <w:t>存股</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0" w:hRule="exact"/>
        </w:trPr>
        <w:tc>
          <w:tcPr>
            <w:tcW w:w="3084"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3"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0"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3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1,696,964,131.00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2,542,142,721.99</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3" w:right="0"/>
              <w:jc w:val="center"/>
              <w:rPr>
                <w:rFonts w:ascii="Times New Roman" w:hAnsi="Times New Roman" w:cs="Times New Roman" w:eastAsia="Times New Roman" w:hint="default"/>
                <w:sz w:val="15"/>
                <w:szCs w:val="15"/>
              </w:rPr>
            </w:pPr>
            <w:r>
              <w:rPr>
                <w:rFonts w:ascii="Times New Roman"/>
                <w:sz w:val="15"/>
              </w:rPr>
              <w:t>190,561,132.57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2" w:right="0"/>
              <w:jc w:val="center"/>
              <w:rPr>
                <w:rFonts w:ascii="Times New Roman" w:hAnsi="Times New Roman" w:cs="Times New Roman" w:eastAsia="Times New Roman" w:hint="default"/>
                <w:sz w:val="15"/>
                <w:szCs w:val="15"/>
              </w:rPr>
            </w:pPr>
            <w:r>
              <w:rPr>
                <w:rFonts w:ascii="Times New Roman"/>
                <w:sz w:val="15"/>
              </w:rPr>
              <w:t>360,455,093.61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4,790,123,079.17</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5"/>
                <w:szCs w:val="15"/>
              </w:rPr>
            </w:pPr>
            <w:r>
              <w:rPr>
                <w:rFonts w:ascii="Times New Roman"/>
                <w:spacing w:val="-1"/>
                <w:sz w:val="15"/>
              </w:rPr>
              <w:t>1,696,964,131.00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2,542,142,721.99</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3" w:right="0"/>
              <w:jc w:val="center"/>
              <w:rPr>
                <w:rFonts w:ascii="Times New Roman" w:hAnsi="Times New Roman" w:cs="Times New Roman" w:eastAsia="Times New Roman" w:hint="default"/>
                <w:sz w:val="15"/>
                <w:szCs w:val="15"/>
              </w:rPr>
            </w:pPr>
            <w:r>
              <w:rPr>
                <w:rFonts w:ascii="Times New Roman"/>
                <w:sz w:val="15"/>
              </w:rPr>
              <w:t>190,561,132.57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2" w:right="0"/>
              <w:jc w:val="center"/>
              <w:rPr>
                <w:rFonts w:ascii="Times New Roman" w:hAnsi="Times New Roman" w:cs="Times New Roman" w:eastAsia="Times New Roman" w:hint="default"/>
                <w:sz w:val="15"/>
                <w:szCs w:val="15"/>
              </w:rPr>
            </w:pPr>
            <w:r>
              <w:rPr>
                <w:rFonts w:ascii="Times New Roman"/>
                <w:sz w:val="15"/>
              </w:rPr>
              <w:t>360,455,093.61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4,790,123,079.17</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169,166.66</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0" w:right="0"/>
              <w:jc w:val="center"/>
              <w:rPr>
                <w:rFonts w:ascii="Times New Roman" w:hAnsi="Times New Roman" w:cs="Times New Roman" w:eastAsia="Times New Roman" w:hint="default"/>
                <w:sz w:val="15"/>
                <w:szCs w:val="15"/>
              </w:rPr>
            </w:pPr>
            <w:r>
              <w:rPr>
                <w:rFonts w:ascii="Times New Roman"/>
                <w:sz w:val="15"/>
              </w:rPr>
              <w:t>17,887,694.20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89" w:right="0"/>
              <w:jc w:val="center"/>
              <w:rPr>
                <w:rFonts w:ascii="Times New Roman" w:hAnsi="Times New Roman" w:cs="Times New Roman" w:eastAsia="Times New Roman" w:hint="default"/>
                <w:sz w:val="15"/>
                <w:szCs w:val="15"/>
              </w:rPr>
            </w:pPr>
            <w:r>
              <w:rPr>
                <w:rFonts w:ascii="Times New Roman"/>
                <w:sz w:val="15"/>
              </w:rPr>
              <w:t>76,141,041.24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94,197,902.10</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2" w:right="0"/>
              <w:jc w:val="center"/>
              <w:rPr>
                <w:rFonts w:ascii="Times New Roman" w:hAnsi="Times New Roman" w:cs="Times New Roman" w:eastAsia="Times New Roman" w:hint="default"/>
                <w:sz w:val="15"/>
                <w:szCs w:val="15"/>
              </w:rPr>
            </w:pPr>
            <w:r>
              <w:rPr>
                <w:rFonts w:ascii="Times New Roman"/>
                <w:sz w:val="15"/>
              </w:rPr>
              <w:t>178,876,941.99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178,876,941.99</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5"/>
                <w:szCs w:val="15"/>
              </w:rPr>
            </w:pPr>
            <w:r>
              <w:rPr>
                <w:rFonts w:ascii="Times New Roman"/>
                <w:spacing w:val="-1"/>
                <w:sz w:val="15"/>
              </w:rPr>
              <w:t>169,166.66</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Times New Roman" w:hAnsi="Times New Roman" w:cs="Times New Roman" w:eastAsia="Times New Roman" w:hint="default"/>
                <w:sz w:val="15"/>
                <w:szCs w:val="15"/>
              </w:rPr>
            </w:pPr>
            <w:r>
              <w:rPr>
                <w:rFonts w:ascii="Times New Roman"/>
                <w:spacing w:val="-1"/>
                <w:sz w:val="15"/>
              </w:rPr>
              <w:t>169,166.66</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1"/>
                <w:sz w:val="15"/>
              </w:rPr>
              <w:t>169,166.66</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15"/>
                <w:szCs w:val="15"/>
              </w:rPr>
            </w:pPr>
            <w:r>
              <w:rPr>
                <w:rFonts w:ascii="Times New Roman"/>
                <w:spacing w:val="-1"/>
                <w:sz w:val="15"/>
              </w:rPr>
              <w:t>169,166.66</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0" w:right="0"/>
              <w:jc w:val="center"/>
              <w:rPr>
                <w:rFonts w:ascii="Times New Roman" w:hAnsi="Times New Roman" w:cs="Times New Roman" w:eastAsia="Times New Roman" w:hint="default"/>
                <w:sz w:val="15"/>
                <w:szCs w:val="15"/>
              </w:rPr>
            </w:pPr>
            <w:r>
              <w:rPr>
                <w:rFonts w:ascii="Times New Roman"/>
                <w:sz w:val="15"/>
              </w:rPr>
              <w:t>17,887,694.20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4" w:right="0"/>
              <w:jc w:val="center"/>
              <w:rPr>
                <w:rFonts w:ascii="Times New Roman" w:hAnsi="Times New Roman" w:cs="Times New Roman" w:eastAsia="Times New Roman" w:hint="default"/>
                <w:sz w:val="15"/>
                <w:szCs w:val="15"/>
              </w:rPr>
            </w:pPr>
            <w:r>
              <w:rPr>
                <w:rFonts w:ascii="Times New Roman"/>
                <w:sz w:val="15"/>
              </w:rPr>
              <w:t>-102,735,900.75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-84,848,206.55</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 w:right="0"/>
              <w:jc w:val="center"/>
              <w:rPr>
                <w:rFonts w:ascii="Times New Roman" w:hAnsi="Times New Roman" w:cs="Times New Roman" w:eastAsia="Times New Roman" w:hint="default"/>
                <w:sz w:val="15"/>
                <w:szCs w:val="15"/>
              </w:rPr>
            </w:pPr>
            <w:r>
              <w:rPr>
                <w:rFonts w:ascii="Times New Roman"/>
                <w:sz w:val="15"/>
              </w:rPr>
              <w:t>17,887,694.20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9" w:right="0"/>
              <w:jc w:val="center"/>
              <w:rPr>
                <w:rFonts w:ascii="Times New Roman" w:hAnsi="Times New Roman" w:cs="Times New Roman" w:eastAsia="Times New Roman" w:hint="default"/>
                <w:sz w:val="15"/>
                <w:szCs w:val="15"/>
              </w:rPr>
            </w:pPr>
            <w:r>
              <w:rPr>
                <w:rFonts w:ascii="Times New Roman"/>
                <w:sz w:val="15"/>
              </w:rPr>
              <w:t>-17,887,694.20</w:t>
            </w: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39" w:right="0"/>
              <w:jc w:val="center"/>
              <w:rPr>
                <w:rFonts w:ascii="Times New Roman" w:hAnsi="Times New Roman" w:cs="Times New Roman" w:eastAsia="Times New Roman" w:hint="default"/>
                <w:sz w:val="15"/>
                <w:szCs w:val="15"/>
              </w:rPr>
            </w:pPr>
            <w:r>
              <w:rPr>
                <w:rFonts w:ascii="Times New Roman"/>
                <w:sz w:val="15"/>
              </w:rPr>
              <w:t>-84,848,206.55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3"/>
              <w:jc w:val="right"/>
              <w:rPr>
                <w:rFonts w:ascii="Times New Roman" w:hAnsi="Times New Roman" w:cs="Times New Roman" w:eastAsia="Times New Roman" w:hint="default"/>
                <w:sz w:val="15"/>
                <w:szCs w:val="15"/>
              </w:rPr>
            </w:pPr>
            <w:r>
              <w:rPr>
                <w:rFonts w:ascii="Times New Roman"/>
                <w:spacing w:val="-1"/>
                <w:sz w:val="15"/>
              </w:rPr>
              <w:t>-84,848,206.55</w:t>
            </w: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572" w:top="1920" w:bottom="760" w:left="740" w:right="740"/>
        </w:sectPr>
      </w:pPr>
    </w:p>
    <w:p>
      <w:pPr>
        <w:spacing w:line="240" w:lineRule="auto" w:before="3"/>
        <w:rPr>
          <w:rFonts w:ascii="Microsoft JhengHei" w:hAnsi="Microsoft JhengHei" w:cs="Microsoft JhengHei" w:eastAsia="Microsoft JhengHei"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3084"/>
        <w:gridCol w:w="1337"/>
        <w:gridCol w:w="770"/>
        <w:gridCol w:w="706"/>
        <w:gridCol w:w="590"/>
        <w:gridCol w:w="1361"/>
        <w:gridCol w:w="895"/>
        <w:gridCol w:w="1213"/>
        <w:gridCol w:w="1169"/>
        <w:gridCol w:w="1198"/>
        <w:gridCol w:w="1268"/>
        <w:gridCol w:w="1538"/>
      </w:tblGrid>
      <w:tr>
        <w:trPr>
          <w:trHeight w:val="310"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0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10" w:hRule="exact"/>
        </w:trPr>
        <w:tc>
          <w:tcPr>
            <w:tcW w:w="3084" w:type="dxa"/>
            <w:vMerge/>
            <w:tcBorders>
              <w:left w:val="single" w:sz="4" w:space="0" w:color="000000"/>
              <w:right w:val="single" w:sz="4" w:space="0" w:color="000000"/>
            </w:tcBorders>
          </w:tcPr>
          <w:p>
            <w:pP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库</w:t>
            </w:r>
            <w:r>
              <w:rPr>
                <w:rFonts w:ascii="宋体" w:hAnsi="宋体" w:cs="宋体" w:eastAsia="宋体" w:hint="default"/>
                <w:w w:val="100"/>
                <w:sz w:val="15"/>
                <w:szCs w:val="15"/>
              </w:rPr>
              <w:t>存股</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3084"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53"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0"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3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2" w:right="0"/>
              <w:jc w:val="left"/>
              <w:rPr>
                <w:rFonts w:ascii="Times New Roman" w:hAnsi="Times New Roman" w:cs="Times New Roman" w:eastAsia="Times New Roman" w:hint="default"/>
                <w:sz w:val="15"/>
                <w:szCs w:val="15"/>
              </w:rPr>
            </w:pPr>
            <w:r>
              <w:rPr>
                <w:rFonts w:ascii="Times New Roman"/>
                <w:sz w:val="15"/>
              </w:rPr>
              <w:t>1,696,964,131.00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0"/>
              <w:jc w:val="left"/>
              <w:rPr>
                <w:rFonts w:ascii="Times New Roman" w:hAnsi="Times New Roman" w:cs="Times New Roman" w:eastAsia="Times New Roman" w:hint="default"/>
                <w:sz w:val="15"/>
                <w:szCs w:val="15"/>
              </w:rPr>
            </w:pPr>
            <w:r>
              <w:rPr>
                <w:rFonts w:ascii="Times New Roman"/>
                <w:sz w:val="15"/>
              </w:rPr>
              <w:t>2,542,311,888.65</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6" w:right="0"/>
              <w:jc w:val="left"/>
              <w:rPr>
                <w:rFonts w:ascii="Times New Roman" w:hAnsi="Times New Roman" w:cs="Times New Roman" w:eastAsia="Times New Roman" w:hint="default"/>
                <w:sz w:val="15"/>
                <w:szCs w:val="15"/>
              </w:rPr>
            </w:pPr>
            <w:r>
              <w:rPr>
                <w:rFonts w:ascii="Times New Roman"/>
                <w:sz w:val="15"/>
              </w:rPr>
              <w:t>208,448,826.77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6" w:right="0"/>
              <w:jc w:val="left"/>
              <w:rPr>
                <w:rFonts w:ascii="Times New Roman" w:hAnsi="Times New Roman" w:cs="Times New Roman" w:eastAsia="Times New Roman" w:hint="default"/>
                <w:sz w:val="15"/>
                <w:szCs w:val="15"/>
              </w:rPr>
            </w:pPr>
            <w:r>
              <w:rPr>
                <w:rFonts w:ascii="Times New Roman"/>
                <w:sz w:val="15"/>
              </w:rPr>
              <w:t>436,596,134.85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72" w:right="0"/>
              <w:jc w:val="left"/>
              <w:rPr>
                <w:rFonts w:ascii="Times New Roman" w:hAnsi="Times New Roman" w:cs="Times New Roman" w:eastAsia="Times New Roman" w:hint="default"/>
                <w:sz w:val="15"/>
                <w:szCs w:val="15"/>
              </w:rPr>
            </w:pPr>
            <w:r>
              <w:rPr>
                <w:rFonts w:ascii="Times New Roman"/>
                <w:sz w:val="15"/>
              </w:rPr>
              <w:t>4,884,320,981.27</w:t>
            </w:r>
          </w:p>
        </w:tc>
      </w:tr>
    </w:tbl>
    <w:p>
      <w:pPr>
        <w:spacing w:before="56"/>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730" w:val="left" w:leader="none"/>
          <w:tab w:pos="8062" w:val="left" w:leader="none"/>
          <w:tab w:pos="12473" w:val="left" w:leader="none"/>
        </w:tabs>
        <w:spacing w:before="126"/>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t>总裁：黄</w:t>
      </w:r>
      <w:r>
        <w:rPr>
          <w:rFonts w:ascii="宋体" w:hAnsi="宋体" w:cs="宋体" w:eastAsia="宋体" w:hint="default"/>
          <w:spacing w:val="88"/>
          <w:sz w:val="18"/>
          <w:szCs w:val="18"/>
        </w:rPr>
        <w:t> </w:t>
      </w:r>
      <w:r>
        <w:rPr>
          <w:rFonts w:ascii="宋体" w:hAnsi="宋体" w:cs="宋体" w:eastAsia="宋体" w:hint="default"/>
          <w:sz w:val="18"/>
          <w:szCs w:val="18"/>
        </w:rPr>
        <w:t>明</w:t>
        <w:tab/>
        <w:t>财务总监：张  磊</w:t>
        <w:tab/>
        <w:t>会计机构负责人：向自力</w:t>
      </w:r>
    </w:p>
    <w:p>
      <w:pPr>
        <w:spacing w:after="0"/>
        <w:jc w:val="left"/>
        <w:rPr>
          <w:rFonts w:ascii="宋体" w:hAnsi="宋体" w:cs="宋体" w:eastAsia="宋体" w:hint="default"/>
          <w:sz w:val="18"/>
          <w:szCs w:val="18"/>
        </w:rPr>
        <w:sectPr>
          <w:headerReference w:type="default" r:id="rId87"/>
          <w:footerReference w:type="default" r:id="rId88"/>
          <w:pgSz w:w="16840" w:h="11910" w:orient="landscape"/>
          <w:pgMar w:header="0" w:footer="572" w:top="1100" w:bottom="760" w:left="740" w:right="740"/>
          <w:pgNumType w:start="24"/>
        </w:sectPr>
      </w:pPr>
    </w:p>
    <w:p>
      <w:pPr>
        <w:spacing w:line="240" w:lineRule="auto" w:before="1"/>
        <w:rPr>
          <w:rFonts w:ascii="宋体" w:hAnsi="宋体" w:cs="宋体" w:eastAsia="宋体" w:hint="default"/>
          <w:sz w:val="28"/>
          <w:szCs w:val="28"/>
        </w:rPr>
      </w:pPr>
    </w:p>
    <w:p>
      <w:pPr>
        <w:spacing w:line="456" w:lineRule="exact" w:before="9"/>
        <w:ind w:left="2368" w:right="3701" w:hanging="323"/>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深圳市农产品集团股份有限公司</w:t>
      </w:r>
      <w:r>
        <w:rPr>
          <w:rFonts w:ascii="Microsoft JhengHei" w:hAnsi="Microsoft JhengHei" w:cs="Microsoft JhengHei" w:eastAsia="Microsoft JhengHei" w:hint="default"/>
          <w:b/>
          <w:bCs/>
          <w:spacing w:val="-68"/>
          <w:sz w:val="32"/>
          <w:szCs w:val="32"/>
        </w:rPr>
        <w:t> </w:t>
      </w:r>
      <w:r>
        <w:rPr>
          <w:rFonts w:ascii="Microsoft JhengHei" w:hAnsi="Microsoft JhengHei" w:cs="Microsoft JhengHei" w:eastAsia="Microsoft JhengHei" w:hint="default"/>
          <w:b/>
          <w:bCs/>
          <w:spacing w:val="-68"/>
          <w:sz w:val="32"/>
          <w:szCs w:val="32"/>
        </w:rPr>
      </w:r>
      <w:r>
        <w:rPr>
          <w:rFonts w:ascii="Microsoft JhengHei" w:hAnsi="Microsoft JhengHei" w:cs="Microsoft JhengHei" w:eastAsia="Microsoft JhengHei" w:hint="default"/>
          <w:b/>
          <w:bCs/>
          <w:sz w:val="32"/>
          <w:szCs w:val="32"/>
        </w:rPr>
        <w:t>二○一八年度财务报表附注</w:t>
      </w:r>
      <w:r>
        <w:rPr>
          <w:rFonts w:ascii="Microsoft JhengHei" w:hAnsi="Microsoft JhengHei" w:cs="Microsoft JhengHei" w:eastAsia="Microsoft JhengHei" w:hint="default"/>
          <w:sz w:val="32"/>
          <w:szCs w:val="32"/>
        </w:rPr>
      </w:r>
    </w:p>
    <w:p>
      <w:pPr>
        <w:pStyle w:val="Heading4"/>
        <w:spacing w:line="344" w:lineRule="exact"/>
        <w:ind w:left="2005" w:right="1675"/>
        <w:jc w:val="left"/>
        <w:rPr>
          <w:b w:val="0"/>
          <w:bCs w:val="0"/>
        </w:rPr>
      </w:pPr>
      <w:r>
        <w:rPr/>
        <w:t>（除特殊注明外，金额单位均为人民币元）</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6"/>
        <w:tabs>
          <w:tab w:pos="850" w:val="left" w:leader="none"/>
        </w:tabs>
        <w:spacing w:line="240" w:lineRule="auto"/>
        <w:ind w:left="138" w:right="1675"/>
        <w:jc w:val="left"/>
        <w:rPr>
          <w:b w:val="0"/>
          <w:bCs w:val="0"/>
        </w:rPr>
      </w:pPr>
      <w:r>
        <w:rPr/>
        <w:t>一、</w:t>
        <w:tab/>
        <w:t>公司基本情况</w:t>
      </w:r>
      <w:r>
        <w:rPr>
          <w:b w:val="0"/>
          <w:bCs w:val="0"/>
        </w:rPr>
      </w:r>
    </w:p>
    <w:p>
      <w:pPr>
        <w:pStyle w:val="Heading6"/>
        <w:tabs>
          <w:tab w:pos="850" w:val="left" w:leader="none"/>
        </w:tabs>
        <w:spacing w:line="240" w:lineRule="auto" w:before="35"/>
        <w:ind w:left="138"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公司概况</w:t>
      </w:r>
      <w:r>
        <w:rPr>
          <w:b w:val="0"/>
          <w:bCs w:val="0"/>
        </w:rPr>
      </w:r>
    </w:p>
    <w:p>
      <w:pPr>
        <w:pStyle w:val="BodyText"/>
        <w:spacing w:line="240" w:lineRule="auto" w:before="99"/>
        <w:ind w:left="850" w:right="0"/>
        <w:jc w:val="both"/>
        <w:rPr>
          <w:rFonts w:ascii="Times New Roman" w:hAnsi="Times New Roman" w:cs="Times New Roman" w:eastAsia="Times New Roman" w:hint="default"/>
        </w:rPr>
      </w:pPr>
      <w:r>
        <w:rPr>
          <w:spacing w:val="-4"/>
        </w:rPr>
        <w:t>深圳市农产品集团股份有限公司系（以下简称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）于</w:t>
      </w:r>
      <w:r>
        <w:rPr>
          <w:spacing w:val="-44"/>
        </w:rPr>
        <w:t> </w:t>
      </w:r>
      <w:r>
        <w:rPr>
          <w:rFonts w:ascii="Times New Roman" w:hAnsi="Times New Roman" w:cs="Times New Roman" w:eastAsia="Times New Roman" w:hint="default"/>
        </w:rPr>
        <w:t>1988</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20</w:t>
      </w:r>
    </w:p>
    <w:p>
      <w:pPr>
        <w:pStyle w:val="BodyText"/>
        <w:spacing w:line="331" w:lineRule="auto" w:before="110"/>
        <w:ind w:left="850" w:right="1788"/>
        <w:jc w:val="both"/>
      </w:pPr>
      <w:r>
        <w:rPr/>
        <w:t>日经深圳市人民政府以</w:t>
      </w:r>
      <w:r>
        <w:rPr>
          <w:rFonts w:ascii="Times New Roman" w:hAnsi="Times New Roman" w:cs="Times New Roman" w:eastAsia="Times New Roman" w:hint="default"/>
        </w:rPr>
        <w:t>“</w:t>
      </w:r>
      <w:r>
        <w:rPr/>
        <w:t>深府办（</w:t>
      </w:r>
      <w:r>
        <w:rPr>
          <w:rFonts w:ascii="Times New Roman" w:hAnsi="Times New Roman" w:cs="Times New Roman" w:eastAsia="Times New Roman" w:hint="default"/>
        </w:rPr>
        <w:t>1988</w:t>
      </w:r>
      <w:r>
        <w:rPr/>
        <w:t>）</w:t>
      </w:r>
      <w:r>
        <w:rPr>
          <w:rFonts w:ascii="Times New Roman" w:hAnsi="Times New Roman" w:cs="Times New Roman" w:eastAsia="Times New Roman" w:hint="default"/>
        </w:rPr>
        <w:t>1181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文批准，于</w:t>
      </w:r>
      <w:r>
        <w:rPr>
          <w:spacing w:val="-53"/>
        </w:rPr>
        <w:t> </w:t>
      </w:r>
      <w:r>
        <w:rPr>
          <w:rFonts w:ascii="Times New Roman" w:hAnsi="Times New Roman" w:cs="Times New Roman" w:eastAsia="Times New Roman" w:hint="default"/>
        </w:rPr>
        <w:t>1989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 </w:t>
      </w:r>
      <w:r>
        <w:rPr/>
        <w:t>日经深</w:t>
      </w:r>
      <w:r>
        <w:rPr>
          <w:w w:val="100"/>
        </w:rPr>
        <w:t> </w:t>
      </w:r>
      <w:r>
        <w:rPr>
          <w:spacing w:val="-5"/>
        </w:rPr>
        <w:t>圳市工商行政管理局注册成立的市属国有企业，原名</w:t>
      </w:r>
      <w:r>
        <w:rPr>
          <w:rFonts w:ascii="Times New Roman" w:hAnsi="Times New Roman" w:cs="Times New Roman" w:eastAsia="Times New Roman" w:hint="default"/>
          <w:spacing w:val="-5"/>
        </w:rPr>
        <w:t>“</w:t>
      </w:r>
      <w:r>
        <w:rPr>
          <w:spacing w:val="-5"/>
        </w:rPr>
        <w:t>深圳市农产品批发公司</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1993</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日，经深圳市人民政府以</w:t>
      </w:r>
      <w:r>
        <w:rPr>
          <w:rFonts w:ascii="Times New Roman" w:hAnsi="Times New Roman" w:cs="Times New Roman" w:eastAsia="Times New Roman" w:hint="default"/>
        </w:rPr>
        <w:t>“</w:t>
      </w:r>
      <w:r>
        <w:rPr/>
        <w:t>深府办</w:t>
      </w:r>
      <w:r>
        <w:rPr>
          <w:rFonts w:ascii="Times New Roman" w:hAnsi="Times New Roman" w:cs="Times New Roman" w:eastAsia="Times New Roman" w:hint="default"/>
        </w:rPr>
        <w:t>[1993]676</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文批准，本公司改组为股份</w:t>
      </w:r>
      <w:r>
        <w:rPr>
          <w:w w:val="100"/>
        </w:rPr>
        <w:t> </w:t>
      </w:r>
      <w:r>
        <w:rPr/>
        <w:t>有限公司，经深圳市工商行政管理局核准，更名为</w:t>
      </w:r>
      <w:r>
        <w:rPr>
          <w:rFonts w:ascii="Times New Roman" w:hAnsi="Times New Roman" w:cs="Times New Roman" w:eastAsia="Times New Roman" w:hint="default"/>
        </w:rPr>
        <w:t>“</w:t>
      </w:r>
      <w:r>
        <w:rPr/>
        <w:t>深圳市农产品股份有限公司</w:t>
      </w:r>
      <w:r>
        <w:rPr>
          <w:rFonts w:ascii="Times New Roman" w:hAnsi="Times New Roman" w:cs="Times New Roman" w:eastAsia="Times New Roman" w:hint="default"/>
        </w:rPr>
        <w:t>”</w:t>
      </w:r>
      <w:r>
        <w:rPr/>
        <w:t>。</w:t>
      </w:r>
      <w:r>
        <w:rPr>
          <w:spacing w:val="-41"/>
        </w:rPr>
        <w:t> </w:t>
      </w:r>
      <w:r>
        <w:rPr>
          <w:rFonts w:ascii="Times New Roman" w:hAnsi="Times New Roman" w:cs="Times New Roman" w:eastAsia="Times New Roman" w:hint="default"/>
        </w:rPr>
        <w:t>1996</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spacing w:val="-3"/>
        </w:rPr>
        <w:t>日，经深圳市人民政府办公厅以</w:t>
      </w:r>
      <w:r>
        <w:rPr>
          <w:rFonts w:ascii="Times New Roman" w:hAnsi="Times New Roman" w:cs="Times New Roman" w:eastAsia="Times New Roman" w:hint="default"/>
          <w:spacing w:val="-3"/>
        </w:rPr>
        <w:t>“</w:t>
      </w:r>
      <w:r>
        <w:rPr>
          <w:spacing w:val="-3"/>
        </w:rPr>
        <w:t>深府办</w:t>
      </w:r>
      <w:r>
        <w:rPr>
          <w:rFonts w:ascii="Times New Roman" w:hAnsi="Times New Roman" w:cs="Times New Roman" w:eastAsia="Times New Roman" w:hint="default"/>
          <w:spacing w:val="-3"/>
        </w:rPr>
        <w:t>[1996]150</w:t>
      </w:r>
      <w:r>
        <w:rPr>
          <w:rFonts w:ascii="Times New Roman" w:hAnsi="Times New Roman" w:cs="Times New Roman" w:eastAsia="Times New Roman" w:hint="default"/>
          <w:spacing w:val="8"/>
        </w:rPr>
        <w:t> </w:t>
      </w:r>
      <w:r>
        <w:rPr>
          <w:spacing w:val="-6"/>
        </w:rPr>
        <w:t>号</w:t>
      </w:r>
      <w:r>
        <w:rPr>
          <w:rFonts w:ascii="Times New Roman" w:hAnsi="Times New Roman" w:cs="Times New Roman" w:eastAsia="Times New Roman" w:hint="default"/>
          <w:spacing w:val="-6"/>
        </w:rPr>
        <w:t>”</w:t>
      </w:r>
      <w:r>
        <w:rPr>
          <w:spacing w:val="-6"/>
        </w:rPr>
        <w:t>文批准，本公</w:t>
      </w:r>
    </w:p>
    <w:p>
      <w:pPr>
        <w:pStyle w:val="BodyText"/>
        <w:spacing w:line="331" w:lineRule="auto" w:before="19"/>
        <w:ind w:left="850" w:right="1786"/>
        <w:jc w:val="both"/>
      </w:pPr>
      <w:r>
        <w:rPr/>
        <w:t>司改组为以公开募集方式设立的股份有限公司，</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日经中国证券监督</w:t>
      </w:r>
      <w:r>
        <w:rPr>
          <w:w w:val="100"/>
        </w:rPr>
        <w:t> </w:t>
      </w:r>
      <w:r>
        <w:rPr/>
        <w:t>管理委员会以</w:t>
      </w:r>
      <w:r>
        <w:rPr>
          <w:rFonts w:ascii="Times New Roman" w:hAnsi="Times New Roman" w:cs="Times New Roman" w:eastAsia="Times New Roman" w:hint="default"/>
        </w:rPr>
        <w:t>“</w:t>
      </w:r>
      <w:r>
        <w:rPr/>
        <w:t>证监发审字（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398</w:t>
      </w:r>
      <w:r>
        <w:rPr/>
        <w:t>、</w:t>
      </w:r>
      <w:r>
        <w:rPr>
          <w:rFonts w:ascii="Times New Roman" w:hAnsi="Times New Roman" w:cs="Times New Roman" w:eastAsia="Times New Roman" w:hint="default"/>
        </w:rPr>
        <w:t>399</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文批准，向社会公众公开发行境内</w:t>
      </w:r>
      <w:r>
        <w:rPr>
          <w:w w:val="100"/>
        </w:rPr>
        <w:t> </w:t>
      </w:r>
      <w:r>
        <w:rPr/>
        <w:t>上市内资股（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1900 </w:t>
      </w:r>
      <w:r>
        <w:rPr/>
        <w:t>万股，经深圳证券交易所深证发</w:t>
      </w:r>
      <w:r>
        <w:rPr>
          <w:rFonts w:ascii="Times New Roman" w:hAnsi="Times New Roman" w:cs="Times New Roman" w:eastAsia="Times New Roman" w:hint="default"/>
        </w:rPr>
        <w:t>[1997]10</w:t>
      </w:r>
      <w:r>
        <w:rPr>
          <w:rFonts w:ascii="Times New Roman" w:hAnsi="Times New Roman" w:cs="Times New Roman" w:eastAsia="Times New Roman" w:hint="default"/>
          <w:spacing w:val="8"/>
        </w:rPr>
        <w:t> </w:t>
      </w:r>
      <w:r>
        <w:rPr/>
        <w:t>号文审核同意，</w:t>
      </w:r>
      <w:r>
        <w:rPr>
          <w:w w:val="100"/>
        </w:rPr>
        <w:t> </w:t>
      </w:r>
      <w:r>
        <w:rPr/>
        <w:t>于</w:t>
      </w:r>
      <w:r>
        <w:rPr>
          <w:spacing w:val="-53"/>
        </w:rPr>
        <w:t> </w:t>
      </w:r>
      <w:r>
        <w:rPr>
          <w:rFonts w:ascii="Times New Roman" w:hAnsi="Times New Roman" w:cs="Times New Roman" w:eastAsia="Times New Roman" w:hint="default"/>
        </w:rPr>
        <w:t>1997 </w:t>
      </w:r>
      <w:r>
        <w:rPr/>
        <w:t>年</w:t>
      </w:r>
      <w:r>
        <w:rPr>
          <w:spacing w:val="-55"/>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10 </w:t>
      </w:r>
      <w:r>
        <w:rPr/>
        <w:t>日在深圳证券交易所挂牌上市交易。</w:t>
      </w:r>
    </w:p>
    <w:p>
      <w:pPr>
        <w:pStyle w:val="BodyText"/>
        <w:spacing w:line="328" w:lineRule="auto" w:before="21"/>
        <w:ind w:left="850" w:right="1683"/>
        <w:jc w:val="both"/>
      </w:pPr>
      <w:r>
        <w:rPr>
          <w:rFonts w:ascii="Times New Roman" w:hAnsi="Times New Roman" w:cs="Times New Roman" w:eastAsia="Times New Roman" w:hint="default"/>
        </w:rPr>
        <w:t>2018 </w:t>
      </w:r>
      <w:r>
        <w:rPr>
          <w:spacing w:val="-3"/>
        </w:rPr>
        <w:t>年公司第六次临时股东大会审议通过了《关于变更公司名称暨修订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rFonts w:ascii="Times New Roman" w:hAnsi="Times New Roman" w:cs="Times New Roman" w:eastAsia="Times New Roman" w:hint="default"/>
          <w:spacing w:val="3"/>
        </w:rPr>
        <w:t> </w:t>
      </w:r>
      <w:r>
        <w:rPr>
          <w:spacing w:val="-2"/>
          <w:w w:val="100"/>
        </w:rPr>
        <w:t>的议案》，将公司名称由</w:t>
      </w:r>
      <w:r>
        <w:rPr>
          <w:rFonts w:ascii="Times New Roman" w:hAnsi="Times New Roman" w:cs="Times New Roman" w:eastAsia="Times New Roman" w:hint="default"/>
          <w:spacing w:val="-2"/>
          <w:w w:val="100"/>
        </w:rPr>
        <w:t>“</w:t>
      </w:r>
      <w:r>
        <w:rPr>
          <w:spacing w:val="-2"/>
          <w:w w:val="100"/>
        </w:rPr>
        <w:t>深圳市农产品股份有限公司</w:t>
      </w:r>
      <w:r>
        <w:rPr>
          <w:rFonts w:ascii="Times New Roman" w:hAnsi="Times New Roman" w:cs="Times New Roman" w:eastAsia="Times New Roman" w:hint="default"/>
          <w:spacing w:val="-2"/>
          <w:w w:val="100"/>
        </w:rPr>
        <w:t>”</w:t>
      </w:r>
      <w:r>
        <w:rPr>
          <w:spacing w:val="-2"/>
          <w:w w:val="100"/>
        </w:rPr>
        <w:t>变更为</w:t>
      </w:r>
      <w:r>
        <w:rPr>
          <w:rFonts w:ascii="Times New Roman" w:hAnsi="Times New Roman" w:cs="Times New Roman" w:eastAsia="Times New Roman" w:hint="default"/>
          <w:spacing w:val="-2"/>
          <w:w w:val="100"/>
        </w:rPr>
        <w:t>“</w:t>
      </w:r>
      <w:r>
        <w:rPr>
          <w:spacing w:val="-2"/>
          <w:w w:val="100"/>
        </w:rPr>
        <w:t>深圳市农产品集团股</w:t>
      </w:r>
      <w:r>
        <w:rPr>
          <w:w w:val="100"/>
        </w:rPr>
        <w:t> </w:t>
      </w:r>
      <w:r>
        <w:rPr>
          <w:spacing w:val="-4"/>
          <w:w w:val="100"/>
        </w:rPr>
        <w:t>份有限公司</w:t>
      </w:r>
      <w:r>
        <w:rPr>
          <w:rFonts w:ascii="Times New Roman" w:hAnsi="Times New Roman" w:cs="Times New Roman" w:eastAsia="Times New Roman" w:hint="default"/>
          <w:spacing w:val="-4"/>
          <w:w w:val="100"/>
        </w:rPr>
        <w:t>”</w:t>
      </w:r>
      <w:r>
        <w:rPr>
          <w:spacing w:val="-4"/>
          <w:w w:val="100"/>
        </w:rPr>
        <w:t>，</w:t>
      </w:r>
      <w:r>
        <w:rPr>
          <w:rFonts w:ascii="Times New Roman" w:hAnsi="Times New Roman" w:cs="Times New Roman" w:eastAsia="Times New Roman" w:hint="default"/>
          <w:spacing w:val="-4"/>
          <w:w w:val="100"/>
        </w:rPr>
        <w:t>2018</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1"/>
          <w:w w:val="100"/>
        </w:rPr>
        <w:t> </w:t>
      </w:r>
      <w:r>
        <w:rPr>
          <w:spacing w:val="-9"/>
          <w:w w:val="100"/>
        </w:rPr>
        <w:t>日，取得深圳市市场监督管理局核发的《营业执照》。</w:t>
      </w:r>
    </w:p>
    <w:p>
      <w:pPr>
        <w:pStyle w:val="BodyText"/>
        <w:spacing w:line="240" w:lineRule="auto" w:before="24"/>
        <w:ind w:left="850" w:right="0"/>
        <w:jc w:val="both"/>
      </w:pPr>
      <w:r>
        <w:rPr>
          <w:spacing w:val="-8"/>
        </w:rPr>
        <w:t>经过历年的派送红股、配售新股、转增股本及增发新股，截至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日止，</w:t>
      </w:r>
    </w:p>
    <w:p>
      <w:pPr>
        <w:pStyle w:val="BodyText"/>
        <w:spacing w:line="240" w:lineRule="auto" w:before="110"/>
        <w:ind w:left="850" w:right="0"/>
        <w:jc w:val="both"/>
      </w:pPr>
      <w:r>
        <w:rPr/>
        <w:t>本公司累计发行股本总数</w:t>
      </w:r>
      <w:r>
        <w:rPr>
          <w:spacing w:val="-56"/>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1"/>
        </w:rPr>
        <w:t> </w:t>
      </w:r>
      <w:r>
        <w:rPr/>
        <w:t>股，注册资本为</w:t>
      </w:r>
      <w:r>
        <w:rPr>
          <w:spacing w:val="-54"/>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3"/>
        </w:rPr>
        <w:t> </w:t>
      </w:r>
      <w:r>
        <w:rPr/>
        <w:t>元。</w:t>
      </w:r>
    </w:p>
    <w:p>
      <w:pPr>
        <w:pStyle w:val="BodyText"/>
        <w:spacing w:line="240" w:lineRule="auto" w:before="107"/>
        <w:ind w:left="850" w:right="0"/>
        <w:jc w:val="both"/>
      </w:pPr>
      <w:r>
        <w:rPr>
          <w:w w:val="100"/>
        </w:rPr>
        <w:t>注册</w:t>
      </w:r>
      <w:r>
        <w:rPr>
          <w:spacing w:val="-3"/>
          <w:w w:val="100"/>
        </w:rPr>
        <w:t>地</w:t>
      </w:r>
      <w:r>
        <w:rPr>
          <w:w w:val="100"/>
        </w:rPr>
        <w:t>址</w:t>
      </w:r>
      <w:r>
        <w:rPr>
          <w:spacing w:val="-89"/>
          <w:w w:val="100"/>
        </w:rPr>
        <w:t>：</w:t>
      </w:r>
      <w:r>
        <w:rPr>
          <w:w w:val="100"/>
        </w:rPr>
        <w:t>深</w:t>
      </w:r>
      <w:r>
        <w:rPr>
          <w:spacing w:val="-3"/>
          <w:w w:val="100"/>
        </w:rPr>
        <w:t>圳</w:t>
      </w:r>
      <w:r>
        <w:rPr>
          <w:w w:val="100"/>
        </w:rPr>
        <w:t>市</w:t>
      </w:r>
      <w:r>
        <w:rPr>
          <w:spacing w:val="-3"/>
          <w:w w:val="100"/>
        </w:rPr>
        <w:t>罗</w:t>
      </w:r>
      <w:r>
        <w:rPr>
          <w:w w:val="100"/>
        </w:rPr>
        <w:t>湖</w:t>
      </w:r>
      <w:r>
        <w:rPr>
          <w:spacing w:val="-3"/>
          <w:w w:val="100"/>
        </w:rPr>
        <w:t>区东</w:t>
      </w:r>
      <w:r>
        <w:rPr>
          <w:w w:val="100"/>
        </w:rPr>
        <w:t>晓街</w:t>
      </w:r>
      <w:r>
        <w:rPr>
          <w:spacing w:val="-3"/>
          <w:w w:val="100"/>
        </w:rPr>
        <w:t>道</w:t>
      </w:r>
      <w:r>
        <w:rPr>
          <w:w w:val="100"/>
        </w:rPr>
        <w:t>布</w:t>
      </w:r>
      <w:r>
        <w:rPr>
          <w:spacing w:val="-3"/>
          <w:w w:val="100"/>
        </w:rPr>
        <w:t>吉</w:t>
      </w:r>
      <w:r>
        <w:rPr>
          <w:w w:val="100"/>
        </w:rPr>
        <w:t>路</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2"/>
        </w:rPr>
        <w:t> </w:t>
      </w:r>
      <w:r>
        <w:rPr>
          <w:w w:val="100"/>
        </w:rPr>
        <w:t>号</w:t>
      </w:r>
      <w:r>
        <w:rPr>
          <w:spacing w:val="-3"/>
          <w:w w:val="100"/>
        </w:rPr>
        <w:t>农产</w:t>
      </w:r>
      <w:r>
        <w:rPr>
          <w:w w:val="100"/>
        </w:rPr>
        <w:t>品批</w:t>
      </w:r>
      <w:r>
        <w:rPr>
          <w:spacing w:val="-3"/>
          <w:w w:val="100"/>
        </w:rPr>
        <w:t>发</w:t>
      </w:r>
      <w:r>
        <w:rPr>
          <w:w w:val="100"/>
        </w:rPr>
        <w:t>市</w:t>
      </w:r>
      <w:r>
        <w:rPr>
          <w:spacing w:val="-3"/>
          <w:w w:val="100"/>
        </w:rPr>
        <w:t>场</w:t>
      </w:r>
      <w:r>
        <w:rPr>
          <w:w w:val="100"/>
        </w:rPr>
        <w:t>第</w:t>
      </w:r>
      <w:r>
        <w:rPr>
          <w:spacing w:val="-3"/>
          <w:w w:val="100"/>
        </w:rPr>
        <w:t>一</w:t>
      </w:r>
      <w:r>
        <w:rPr>
          <w:w w:val="100"/>
        </w:rPr>
        <w:t>层</w:t>
      </w:r>
      <w:r>
        <w:rPr>
          <w:spacing w:val="-89"/>
          <w:w w:val="100"/>
        </w:rPr>
        <w:t>，</w:t>
      </w:r>
      <w:r>
        <w:rPr>
          <w:w w:val="100"/>
        </w:rPr>
        <w:t>总</w:t>
      </w:r>
      <w:r>
        <w:rPr>
          <w:spacing w:val="-3"/>
          <w:w w:val="100"/>
        </w:rPr>
        <w:t>部地</w:t>
      </w:r>
      <w:r>
        <w:rPr>
          <w:spacing w:val="2"/>
          <w:w w:val="100"/>
        </w:rPr>
        <w:t>址</w:t>
      </w:r>
      <w:r>
        <w:rPr>
          <w:w w:val="100"/>
        </w:rPr>
        <w:t>：</w:t>
      </w:r>
    </w:p>
    <w:p>
      <w:pPr>
        <w:pStyle w:val="BodyText"/>
        <w:spacing w:line="340" w:lineRule="auto" w:before="110"/>
        <w:ind w:left="850" w:right="1675"/>
        <w:jc w:val="left"/>
      </w:pPr>
      <w:r>
        <w:rPr/>
        <w:t>深圳市福田区深南大道</w:t>
      </w:r>
      <w:r>
        <w:rPr>
          <w:spacing w:val="-52"/>
        </w:rPr>
        <w:t> </w:t>
      </w:r>
      <w:r>
        <w:rPr>
          <w:rFonts w:ascii="Times New Roman" w:hAnsi="Times New Roman" w:cs="Times New Roman" w:eastAsia="Times New Roman" w:hint="default"/>
        </w:rPr>
        <w:t>7028</w:t>
      </w:r>
      <w:r>
        <w:rPr>
          <w:rFonts w:ascii="Times New Roman" w:hAnsi="Times New Roman" w:cs="Times New Roman" w:eastAsia="Times New Roman" w:hint="default"/>
          <w:spacing w:val="52"/>
        </w:rPr>
        <w:t> </w:t>
      </w:r>
      <w:r>
        <w:rPr/>
        <w:t>号时代科技大厦</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3"/>
        </w:rPr>
        <w:t>楼。</w:t>
      </w:r>
      <w:r>
        <w:rPr>
          <w:spacing w:val="-3"/>
          <w:w w:val="100"/>
        </w:rPr>
        <w:t> </w:t>
      </w:r>
      <w:r>
        <w:rPr>
          <w:spacing w:val="-2"/>
        </w:rPr>
        <w:t>公司实际控制人为深圳市人民政府国有资产监督管理委员会。</w:t>
      </w:r>
      <w:r>
        <w:rPr>
          <w:spacing w:val="-53"/>
        </w:rPr>
        <w:t> </w:t>
      </w:r>
      <w:r>
        <w:rPr>
          <w:spacing w:val="-53"/>
        </w:rPr>
      </w:r>
      <w:r>
        <w:rPr/>
        <w:t>本财务报表业经公司董事会于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日批准报出。</w:t>
      </w:r>
    </w:p>
    <w:p>
      <w:pPr>
        <w:spacing w:line="240" w:lineRule="auto" w:before="6"/>
        <w:rPr>
          <w:rFonts w:ascii="宋体" w:hAnsi="宋体" w:cs="宋体" w:eastAsia="宋体" w:hint="default"/>
          <w:sz w:val="26"/>
          <w:szCs w:val="26"/>
        </w:rPr>
      </w:pPr>
    </w:p>
    <w:p>
      <w:pPr>
        <w:pStyle w:val="Heading6"/>
        <w:tabs>
          <w:tab w:pos="850" w:val="left" w:leader="none"/>
        </w:tabs>
        <w:spacing w:line="240" w:lineRule="auto"/>
        <w:ind w:left="138"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合并财务报表范围</w:t>
      </w:r>
      <w:r>
        <w:rPr>
          <w:b w:val="0"/>
          <w:bCs w:val="0"/>
        </w:rPr>
      </w:r>
    </w:p>
    <w:p>
      <w:pPr>
        <w:pStyle w:val="BodyText"/>
        <w:spacing w:line="331" w:lineRule="auto" w:before="99"/>
        <w:ind w:left="850" w:right="1788"/>
        <w:jc w:val="both"/>
      </w:pPr>
      <w:r>
        <w:rPr/>
        <w:pict>
          <v:shape style="position:absolute;margin-left:121.459999pt;margin-top:40.37368pt;width:391.05pt;height:111.0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0"/>
                    <w:gridCol w:w="1169"/>
                    <w:gridCol w:w="660"/>
                    <w:gridCol w:w="1255"/>
                    <w:gridCol w:w="1383"/>
                  </w:tblGrid>
                  <w:tr>
                    <w:trPr>
                      <w:trHeight w:val="379" w:hRule="exact"/>
                    </w:trPr>
                    <w:tc>
                      <w:tcPr>
                        <w:tcW w:w="33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7"/>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7"/>
                          <w:ind w:left="177" w:right="0"/>
                          <w:jc w:val="left"/>
                          <w:rPr>
                            <w:rFonts w:ascii="宋体" w:hAnsi="宋体" w:cs="宋体" w:eastAsia="宋体" w:hint="default"/>
                            <w:sz w:val="16"/>
                            <w:szCs w:val="16"/>
                          </w:rPr>
                        </w:pPr>
                        <w:r>
                          <w:rPr>
                            <w:rFonts w:ascii="宋体" w:hAnsi="宋体" w:cs="宋体" w:eastAsia="宋体" w:hint="default"/>
                            <w:sz w:val="16"/>
                            <w:szCs w:val="16"/>
                          </w:rPr>
                          <w:t>子公司类型</w:t>
                        </w:r>
                      </w:p>
                    </w:tc>
                    <w:tc>
                      <w:tcPr>
                        <w:tcW w:w="6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级次</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7"/>
                          <w:ind w:left="52" w:right="0"/>
                          <w:jc w:val="center"/>
                          <w:rPr>
                            <w:rFonts w:ascii="宋体" w:hAnsi="宋体" w:cs="宋体" w:eastAsia="宋体"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7"/>
                          <w:ind w:left="72" w:right="0"/>
                          <w:jc w:val="center"/>
                          <w:rPr>
                            <w:rFonts w:ascii="宋体" w:hAnsi="宋体" w:cs="宋体" w:eastAsia="宋体" w:hint="default"/>
                            <w:sz w:val="16"/>
                            <w:szCs w:val="16"/>
                          </w:rPr>
                        </w:pPr>
                        <w:r>
                          <w:rPr>
                            <w:rFonts w:ascii="宋体" w:hAnsi="宋体" w:cs="宋体" w:eastAsia="宋体" w:hint="default"/>
                            <w:sz w:val="16"/>
                            <w:szCs w:val="16"/>
                          </w:rPr>
                          <w:t>表决权比例（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452"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深圳市福田农产品批发市场有限公司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72.99</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72.99</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深圳市布吉海鲜市场有限公司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51.22</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51.22</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深圳市农产品运输服务有限公司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86.50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86.50</w:t>
                        </w:r>
                      </w:p>
                    </w:tc>
                  </w:tr>
                  <w:tr>
                    <w:trPr>
                      <w:trHeight w:val="461" w:hRule="exact"/>
                    </w:trPr>
                    <w:tc>
                      <w:tcPr>
                        <w:tcW w:w="33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深圳市成业冷冻有限公司</w:t>
                        </w:r>
                      </w:p>
                    </w:tc>
                    <w:tc>
                      <w:tcPr>
                        <w:tcW w:w="11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bl>
                <w:p>
                  <w:pPr/>
                </w:p>
              </w:txbxContent>
            </v:textbox>
            <w10:wrap type="none"/>
          </v:shape>
        </w:pict>
      </w: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日止，本公司合并财务报表范围内二级子公司共</w:t>
      </w:r>
      <w:r>
        <w:rPr>
          <w:spacing w:val="-48"/>
        </w:rPr>
        <w:t> </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户，具体</w:t>
      </w:r>
      <w:r>
        <w:rPr>
          <w:w w:val="100"/>
        </w:rPr>
        <w:t> </w:t>
      </w:r>
      <w:r>
        <w:rPr/>
        <w:t>如下：</w:t>
      </w:r>
    </w:p>
    <w:p>
      <w:pPr>
        <w:spacing w:after="0" w:line="331" w:lineRule="auto"/>
        <w:jc w:val="both"/>
        <w:sectPr>
          <w:headerReference w:type="default" r:id="rId89"/>
          <w:footerReference w:type="default" r:id="rId90"/>
          <w:pgSz w:w="11910" w:h="16840"/>
          <w:pgMar w:header="779" w:footer="996" w:top="1000" w:bottom="1180" w:left="166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3310"/>
        <w:gridCol w:w="1169"/>
        <w:gridCol w:w="660"/>
        <w:gridCol w:w="1255"/>
        <w:gridCol w:w="1383"/>
      </w:tblGrid>
      <w:tr>
        <w:trPr>
          <w:trHeight w:val="382" w:hRule="exact"/>
        </w:trPr>
        <w:tc>
          <w:tcPr>
            <w:tcW w:w="33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0"/>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177" w:right="0"/>
              <w:jc w:val="left"/>
              <w:rPr>
                <w:rFonts w:ascii="宋体" w:hAnsi="宋体" w:cs="宋体" w:eastAsia="宋体" w:hint="default"/>
                <w:sz w:val="16"/>
                <w:szCs w:val="16"/>
              </w:rPr>
            </w:pPr>
            <w:r>
              <w:rPr>
                <w:rFonts w:ascii="宋体" w:hAnsi="宋体" w:cs="宋体" w:eastAsia="宋体" w:hint="default"/>
                <w:sz w:val="16"/>
                <w:szCs w:val="16"/>
              </w:rPr>
              <w:t>子公司类型</w:t>
            </w:r>
          </w:p>
        </w:tc>
        <w:tc>
          <w:tcPr>
            <w:tcW w:w="6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级次</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52" w:right="0"/>
              <w:jc w:val="center"/>
              <w:rPr>
                <w:rFonts w:ascii="宋体" w:hAnsi="宋体" w:cs="宋体" w:eastAsia="宋体"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left="72" w:right="0"/>
              <w:jc w:val="center"/>
              <w:rPr>
                <w:rFonts w:ascii="宋体" w:hAnsi="宋体" w:cs="宋体" w:eastAsia="宋体" w:hint="default"/>
                <w:sz w:val="16"/>
                <w:szCs w:val="16"/>
              </w:rPr>
            </w:pPr>
            <w:r>
              <w:rPr>
                <w:rFonts w:ascii="宋体" w:hAnsi="宋体" w:cs="宋体" w:eastAsia="宋体" w:hint="default"/>
                <w:sz w:val="16"/>
                <w:szCs w:val="16"/>
              </w:rPr>
              <w:t>表决权比例（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深圳市海吉星国际农产品物流管理有限公司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深圳市海吉星国际食品产业发展有限公司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深圳市海吉星投资管理股份有限公司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惠州海吉星农产品国际物流有限公司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九江市琵琶湖农产品物流有限公司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55.00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55.00</w:t>
            </w:r>
          </w:p>
        </w:tc>
      </w:tr>
      <w:tr>
        <w:trPr>
          <w:trHeight w:val="452"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广西海吉星国际农产品物流有限公司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广西新柳邕农产品批发市场有限公司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65.00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65.00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云南东盟国际农产品物流有限公司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60.00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60.00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天津韩家墅海吉星农产品物流有限公司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沈阳海吉星农产品物流有限公司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95.00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95.00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长春海吉星农产品物流有限公司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78.20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78.20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宁夏海吉星国际农产品物流有限公司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55.48</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55.48</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深圳前海农产品交易所股份有限公司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深圳市农产品小额贷款有限公司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75.00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75.00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深圳市星联国际供应链管理有限公司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深圳市海吉星置地有限公司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武汉东海吉星农产品物流管理有限公司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44.69</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54.00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上海泽善电子商务有限公司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58.84</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70.00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深圳市果菜贸易有限公司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2"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南昌深圳农产品中心批发市场有限公司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上海吉农创业投资有限公司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西安摩尔农产品有限责任公司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长沙马王堆农产品股份有限公司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50.98</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50.98</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成都农产品中心批发市场有限责任公司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深圳市南山农产品批发配送有限公司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58.00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58.00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深圳市南方农产品物流有限公司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天津海吉星农产品物流有限公司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86.16</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86.16</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上海海吉星马克市场管理有限公司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66.66</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66.66</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济南海吉星国际农产品物流发展有限公司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61" w:hRule="exact"/>
        </w:trPr>
        <w:tc>
          <w:tcPr>
            <w:tcW w:w="33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岳阳海吉星国际农产品物流发展有限公司</w:t>
            </w:r>
          </w:p>
        </w:tc>
        <w:tc>
          <w:tcPr>
            <w:tcW w:w="11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bl>
    <w:p>
      <w:pPr>
        <w:spacing w:after="0" w:line="240" w:lineRule="auto"/>
        <w:jc w:val="center"/>
        <w:rPr>
          <w:rFonts w:ascii="Times New Roman" w:hAnsi="Times New Roman" w:cs="Times New Roman" w:eastAsia="Times New Roman" w:hint="default"/>
          <w:sz w:val="16"/>
          <w:szCs w:val="16"/>
        </w:rPr>
        <w:sectPr>
          <w:pgSz w:w="11910" w:h="16840"/>
          <w:pgMar w:header="779"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3310"/>
        <w:gridCol w:w="1169"/>
        <w:gridCol w:w="660"/>
        <w:gridCol w:w="1255"/>
        <w:gridCol w:w="1383"/>
      </w:tblGrid>
      <w:tr>
        <w:trPr>
          <w:trHeight w:val="382" w:hRule="exact"/>
        </w:trPr>
        <w:tc>
          <w:tcPr>
            <w:tcW w:w="33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0"/>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177" w:right="0"/>
              <w:jc w:val="left"/>
              <w:rPr>
                <w:rFonts w:ascii="宋体" w:hAnsi="宋体" w:cs="宋体" w:eastAsia="宋体" w:hint="default"/>
                <w:sz w:val="16"/>
                <w:szCs w:val="16"/>
              </w:rPr>
            </w:pPr>
            <w:r>
              <w:rPr>
                <w:rFonts w:ascii="宋体" w:hAnsi="宋体" w:cs="宋体" w:eastAsia="宋体" w:hint="default"/>
                <w:sz w:val="16"/>
                <w:szCs w:val="16"/>
              </w:rPr>
              <w:t>子公司类型</w:t>
            </w:r>
          </w:p>
        </w:tc>
        <w:tc>
          <w:tcPr>
            <w:tcW w:w="6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级次</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52" w:right="0"/>
              <w:jc w:val="center"/>
              <w:rPr>
                <w:rFonts w:ascii="宋体" w:hAnsi="宋体" w:cs="宋体" w:eastAsia="宋体"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left="72" w:right="0"/>
              <w:jc w:val="center"/>
              <w:rPr>
                <w:rFonts w:ascii="宋体" w:hAnsi="宋体" w:cs="宋体" w:eastAsia="宋体" w:hint="default"/>
                <w:sz w:val="16"/>
                <w:szCs w:val="16"/>
              </w:rPr>
            </w:pPr>
            <w:r>
              <w:rPr>
                <w:rFonts w:ascii="宋体" w:hAnsi="宋体" w:cs="宋体" w:eastAsia="宋体" w:hint="default"/>
                <w:sz w:val="16"/>
                <w:szCs w:val="16"/>
              </w:rPr>
              <w:t>表决权比例（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烟台海吉星国际农产品冷链物流有限公司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福建海吉星国际农产品物流发展有限公司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9.84</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60.00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上海农产品中心批发市场经营管理有限公司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62.80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62.80</w:t>
            </w:r>
          </w:p>
        </w:tc>
      </w:tr>
      <w:tr>
        <w:trPr>
          <w:trHeight w:val="451"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深圳市大白菜科技有限公司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深圳市海吉星市场管理有限公司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100.00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100.00</w:t>
            </w:r>
          </w:p>
        </w:tc>
      </w:tr>
      <w:tr>
        <w:trPr>
          <w:trHeight w:val="452"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广西海吉星商业管理有限公司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49" w:hRule="exact"/>
        </w:trPr>
        <w:tc>
          <w:tcPr>
            <w:tcW w:w="33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青海海吉星国际农产品集配中心有限公司</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51.00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51.00</w:t>
            </w:r>
          </w:p>
        </w:tc>
      </w:tr>
      <w:tr>
        <w:trPr>
          <w:trHeight w:val="461" w:hRule="exact"/>
        </w:trPr>
        <w:tc>
          <w:tcPr>
            <w:tcW w:w="33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安庆海吉星农产品物流园有限公司</w:t>
            </w:r>
          </w:p>
        </w:tc>
        <w:tc>
          <w:tcPr>
            <w:tcW w:w="11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6"/>
                <w:szCs w:val="16"/>
              </w:rPr>
            </w:pPr>
            <w:r>
              <w:rPr>
                <w:rFonts w:ascii="Times New Roman"/>
                <w:sz w:val="16"/>
              </w:rPr>
              <w:t>80.00</w:t>
            </w:r>
          </w:p>
        </w:tc>
        <w:tc>
          <w:tcPr>
            <w:tcW w:w="13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80.00</w:t>
            </w:r>
          </w:p>
        </w:tc>
      </w:tr>
    </w:tbl>
    <w:p>
      <w:pPr>
        <w:pStyle w:val="BodyText"/>
        <w:spacing w:line="331" w:lineRule="auto" w:before="93"/>
        <w:ind w:left="850" w:right="1791"/>
        <w:jc w:val="both"/>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18"/>
        </w:rPr>
        <w:t> </w:t>
      </w:r>
      <w:r>
        <w:rPr>
          <w:rFonts w:ascii="Times New Roman" w:hAnsi="Times New Roman" w:cs="Times New Roman" w:eastAsia="Times New Roman" w:hint="default"/>
          <w:spacing w:val="-5"/>
        </w:rPr>
        <w:t>“</w:t>
      </w:r>
      <w:r>
        <w:rPr>
          <w:spacing w:val="-5"/>
        </w:rPr>
        <w:t>七、在</w:t>
      </w:r>
      <w:r>
        <w:rPr>
          <w:w w:val="100"/>
        </w:rPr>
        <w:t> </w:t>
      </w:r>
      <w:r>
        <w:rPr/>
        <w:t>其他主体中的权益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6"/>
          <w:szCs w:val="26"/>
        </w:rPr>
      </w:pPr>
    </w:p>
    <w:p>
      <w:pPr>
        <w:pStyle w:val="Heading6"/>
        <w:tabs>
          <w:tab w:pos="850" w:val="left" w:leader="none"/>
        </w:tabs>
        <w:spacing w:line="240" w:lineRule="auto"/>
        <w:ind w:left="138" w:right="1675"/>
        <w:jc w:val="left"/>
        <w:rPr>
          <w:b w:val="0"/>
          <w:bCs w:val="0"/>
        </w:rPr>
      </w:pPr>
      <w:r>
        <w:rPr/>
        <w:t>二、</w:t>
        <w:tab/>
        <w:t>财务报表的编制基础</w:t>
      </w:r>
      <w:r>
        <w:rPr>
          <w:b w:val="0"/>
          <w:bCs w:val="0"/>
        </w:rPr>
      </w:r>
    </w:p>
    <w:p>
      <w:pPr>
        <w:pStyle w:val="Heading6"/>
        <w:tabs>
          <w:tab w:pos="571" w:val="left" w:leader="none"/>
        </w:tabs>
        <w:spacing w:line="240" w:lineRule="auto" w:before="35"/>
        <w:ind w:left="0" w:right="8269"/>
        <w:jc w:val="center"/>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编制基础</w:t>
      </w:r>
      <w:r>
        <w:rPr>
          <w:b w:val="0"/>
          <w:bCs w:val="0"/>
        </w:rPr>
      </w:r>
    </w:p>
    <w:p>
      <w:pPr>
        <w:pStyle w:val="BodyText"/>
        <w:spacing w:line="340" w:lineRule="auto" w:before="100"/>
        <w:ind w:left="850" w:right="1786"/>
        <w:jc w:val="both"/>
      </w:pPr>
      <w:r>
        <w:rPr/>
        <w:t>公司以持续经营为基础，根据实际发生的交易和事项，按照财政部颁布的《企业会</w:t>
      </w:r>
      <w:r>
        <w:rPr>
          <w:spacing w:val="-62"/>
        </w:rPr>
        <w:t> </w:t>
      </w:r>
      <w:r>
        <w:rPr/>
        <w:t>计准则</w:t>
      </w:r>
      <w:r>
        <w:rPr>
          <w:rFonts w:ascii="Times New Roman" w:hAnsi="Times New Roman" w:cs="Times New Roman" w:eastAsia="Times New Roman" w:hint="default"/>
        </w:rPr>
        <w:t>——</w:t>
      </w:r>
      <w:r>
        <w:rPr/>
        <w:t>基本准则》和各项具体会计准则、企业会计准则应用指南、企业会计准</w:t>
      </w:r>
      <w:r>
        <w:rPr>
          <w:spacing w:val="-65"/>
        </w:rPr>
        <w:t> </w:t>
      </w:r>
      <w:r>
        <w:rPr>
          <w:spacing w:val="-65"/>
        </w:rPr>
      </w:r>
      <w:r>
        <w:rPr>
          <w:spacing w:val="-6"/>
          <w:w w:val="100"/>
        </w:rPr>
        <w:t>则解释及其他相关规定（以下合称</w:t>
      </w:r>
      <w:r>
        <w:rPr>
          <w:rFonts w:ascii="Times New Roman" w:hAnsi="Times New Roman" w:cs="Times New Roman" w:eastAsia="Times New Roman" w:hint="default"/>
          <w:spacing w:val="-6"/>
          <w:w w:val="100"/>
        </w:rPr>
        <w:t>“</w:t>
      </w:r>
      <w:r>
        <w:rPr>
          <w:spacing w:val="-6"/>
          <w:w w:val="100"/>
        </w:rPr>
        <w:t>企业会计准则</w:t>
      </w:r>
      <w:r>
        <w:rPr>
          <w:rFonts w:ascii="Times New Roman" w:hAnsi="Times New Roman" w:cs="Times New Roman" w:eastAsia="Times New Roman" w:hint="default"/>
          <w:spacing w:val="-6"/>
          <w:w w:val="100"/>
        </w:rPr>
        <w:t>”</w:t>
      </w:r>
      <w:r>
        <w:rPr>
          <w:spacing w:val="-6"/>
          <w:w w:val="100"/>
        </w:rPr>
        <w:t>），以及中国证券监督管理委员会</w:t>
      </w:r>
    </w:p>
    <w:p>
      <w:pPr>
        <w:pStyle w:val="BodyText"/>
        <w:spacing w:line="331" w:lineRule="auto" w:before="10"/>
        <w:ind w:left="850" w:right="1794"/>
        <w:jc w:val="both"/>
      </w:pPr>
      <w:r>
        <w:rPr/>
        <w:t>《公开发行证券的公司信息披露编报规则第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财务报告的一般规定》的披</w:t>
      </w:r>
      <w:r>
        <w:rPr>
          <w:w w:val="100"/>
        </w:rPr>
        <w:t> </w:t>
      </w:r>
      <w:r>
        <w:rPr/>
        <w:t>露规定编制财务报表。</w:t>
      </w:r>
    </w:p>
    <w:p>
      <w:pPr>
        <w:spacing w:line="240" w:lineRule="auto" w:before="11"/>
        <w:rPr>
          <w:rFonts w:ascii="宋体" w:hAnsi="宋体" w:cs="宋体" w:eastAsia="宋体" w:hint="default"/>
          <w:sz w:val="28"/>
          <w:szCs w:val="28"/>
        </w:rPr>
      </w:pPr>
    </w:p>
    <w:p>
      <w:pPr>
        <w:pStyle w:val="Heading6"/>
        <w:tabs>
          <w:tab w:pos="850" w:val="left" w:leader="none"/>
        </w:tabs>
        <w:spacing w:line="240" w:lineRule="auto"/>
        <w:ind w:left="138"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持续经营</w:t>
      </w:r>
      <w:r>
        <w:rPr>
          <w:b w:val="0"/>
          <w:bCs w:val="0"/>
        </w:rPr>
      </w:r>
    </w:p>
    <w:p>
      <w:pPr>
        <w:pStyle w:val="BodyText"/>
        <w:spacing w:line="331" w:lineRule="auto" w:before="102"/>
        <w:ind w:left="850" w:right="1788"/>
        <w:jc w:val="both"/>
      </w:pPr>
      <w:r>
        <w:rPr/>
        <w:t>本公司对报告期末起</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4"/>
        </w:rPr>
        <w:t>个月的持续经营能力进行了评价，未发现对持续经营能力产</w:t>
      </w:r>
      <w:r>
        <w:rPr>
          <w:spacing w:val="-100"/>
        </w:rPr>
        <w:t> </w:t>
      </w:r>
      <w:r>
        <w:rPr>
          <w:spacing w:val="-100"/>
        </w:rPr>
      </w:r>
      <w:r>
        <w:rPr/>
        <w:t>生重大怀疑的事项或情况。因此，本财务报表系在持续经营假设的基础上编制。</w:t>
      </w:r>
    </w:p>
    <w:p>
      <w:pPr>
        <w:spacing w:line="240" w:lineRule="auto" w:before="11"/>
        <w:rPr>
          <w:rFonts w:ascii="宋体" w:hAnsi="宋体" w:cs="宋体" w:eastAsia="宋体" w:hint="default"/>
          <w:sz w:val="28"/>
          <w:szCs w:val="28"/>
        </w:rPr>
      </w:pPr>
    </w:p>
    <w:p>
      <w:pPr>
        <w:pStyle w:val="Heading6"/>
        <w:tabs>
          <w:tab w:pos="850" w:val="left" w:leader="none"/>
        </w:tabs>
        <w:spacing w:line="240" w:lineRule="auto"/>
        <w:ind w:left="138" w:right="1675"/>
        <w:jc w:val="left"/>
        <w:rPr>
          <w:b w:val="0"/>
          <w:bCs w:val="0"/>
        </w:rPr>
      </w:pPr>
      <w:r>
        <w:rPr/>
        <w:t>三、</w:t>
        <w:tab/>
        <w:t>重要会计政策及会计估计</w:t>
      </w:r>
      <w:r>
        <w:rPr>
          <w:b w:val="0"/>
          <w:bCs w:val="0"/>
        </w:rPr>
      </w:r>
    </w:p>
    <w:p>
      <w:pPr>
        <w:tabs>
          <w:tab w:pos="850" w:val="left" w:leader="none"/>
        </w:tabs>
        <w:spacing w:line="328" w:lineRule="auto" w:before="35"/>
        <w:ind w:left="850" w:right="1790"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公司所编制的财务报表符合企业会计准则的要求，真实、完整地反映了报告期公司</w:t>
      </w:r>
      <w:r>
        <w:rPr>
          <w:rFonts w:ascii="宋体" w:hAnsi="宋体" w:cs="宋体" w:eastAsia="宋体" w:hint="default"/>
          <w:w w:val="100"/>
          <w:sz w:val="21"/>
          <w:szCs w:val="21"/>
        </w:rPr>
        <w:t> </w:t>
      </w:r>
      <w:r>
        <w:rPr>
          <w:rFonts w:ascii="宋体" w:hAnsi="宋体" w:cs="宋体" w:eastAsia="宋体" w:hint="default"/>
          <w:sz w:val="21"/>
          <w:szCs w:val="21"/>
        </w:rPr>
        <w:t>的财务状况、经营成果、现金流量等有关信息。</w:t>
      </w:r>
    </w:p>
    <w:p>
      <w:pPr>
        <w:spacing w:line="240" w:lineRule="auto" w:before="1"/>
        <w:rPr>
          <w:rFonts w:ascii="宋体" w:hAnsi="宋体" w:cs="宋体" w:eastAsia="宋体" w:hint="default"/>
          <w:sz w:val="29"/>
          <w:szCs w:val="29"/>
        </w:rPr>
      </w:pPr>
    </w:p>
    <w:p>
      <w:pPr>
        <w:pStyle w:val="Heading6"/>
        <w:tabs>
          <w:tab w:pos="850" w:val="left" w:leader="none"/>
        </w:tabs>
        <w:spacing w:line="240" w:lineRule="auto"/>
        <w:ind w:left="138"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会计期间</w:t>
      </w:r>
      <w:r>
        <w:rPr>
          <w:b w:val="0"/>
          <w:bCs w:val="0"/>
        </w:rPr>
      </w:r>
    </w:p>
    <w:p>
      <w:pPr>
        <w:pStyle w:val="BodyText"/>
        <w:spacing w:line="240" w:lineRule="auto" w:before="102"/>
        <w:ind w:left="850" w:right="0"/>
        <w:jc w:val="both"/>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日止为一个会计年度。</w:t>
      </w:r>
    </w:p>
    <w:p>
      <w:pPr>
        <w:spacing w:line="240" w:lineRule="auto" w:before="0"/>
        <w:rPr>
          <w:rFonts w:ascii="宋体" w:hAnsi="宋体" w:cs="宋体" w:eastAsia="宋体" w:hint="default"/>
          <w:sz w:val="22"/>
          <w:szCs w:val="22"/>
        </w:rPr>
      </w:pPr>
    </w:p>
    <w:p>
      <w:pPr>
        <w:pStyle w:val="Heading6"/>
        <w:tabs>
          <w:tab w:pos="850" w:val="left" w:leader="none"/>
        </w:tabs>
        <w:spacing w:line="240" w:lineRule="auto" w:before="153"/>
        <w:ind w:left="138" w:right="167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营业周期</w:t>
      </w:r>
      <w:r>
        <w:rPr>
          <w:b w:val="0"/>
          <w:bCs w:val="0"/>
        </w:rPr>
      </w:r>
    </w:p>
    <w:p>
      <w:pPr>
        <w:spacing w:after="0" w:line="240" w:lineRule="auto"/>
        <w:jc w:val="left"/>
        <w:sectPr>
          <w:pgSz w:w="11910" w:h="16840"/>
          <w:pgMar w:header="779" w:footer="996" w:top="1000" w:bottom="1180" w:left="1660" w:right="0"/>
        </w:sectPr>
      </w:pPr>
    </w:p>
    <w:p>
      <w:pPr>
        <w:spacing w:line="240" w:lineRule="auto" w:before="10"/>
        <w:rPr>
          <w:rFonts w:ascii="Microsoft JhengHei" w:hAnsi="Microsoft JhengHei" w:cs="Microsoft JhengHei" w:eastAsia="Microsoft JhengHei" w:hint="default"/>
          <w:b/>
          <w:bCs/>
          <w:sz w:val="27"/>
          <w:szCs w:val="27"/>
        </w:rPr>
      </w:pPr>
    </w:p>
    <w:p>
      <w:pPr>
        <w:pStyle w:val="BodyText"/>
        <w:spacing w:line="240" w:lineRule="auto"/>
        <w:ind w:left="850" w:right="1675"/>
        <w:jc w:val="left"/>
      </w:pPr>
      <w:r>
        <w:rPr/>
        <w:t>本公司营业周期为</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line="240" w:lineRule="auto" w:before="0"/>
        <w:rPr>
          <w:rFonts w:ascii="宋体" w:hAnsi="宋体" w:cs="宋体" w:eastAsia="宋体" w:hint="default"/>
          <w:sz w:val="22"/>
          <w:szCs w:val="22"/>
        </w:rPr>
      </w:pPr>
    </w:p>
    <w:p>
      <w:pPr>
        <w:tabs>
          <w:tab w:pos="850" w:val="left" w:leader="none"/>
        </w:tabs>
        <w:spacing w:line="307" w:lineRule="auto" w:before="153"/>
        <w:ind w:left="850" w:right="6239"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pacing w:val="-2"/>
          <w:sz w:val="21"/>
          <w:szCs w:val="21"/>
        </w:rPr>
        <w:t>本公司采用人民币为记账本位币。</w:t>
      </w:r>
    </w:p>
    <w:p>
      <w:pPr>
        <w:spacing w:line="240" w:lineRule="auto" w:before="0"/>
        <w:rPr>
          <w:rFonts w:ascii="宋体" w:hAnsi="宋体" w:cs="宋体" w:eastAsia="宋体" w:hint="default"/>
          <w:sz w:val="20"/>
          <w:szCs w:val="20"/>
        </w:rPr>
      </w:pPr>
    </w:p>
    <w:p>
      <w:pPr>
        <w:tabs>
          <w:tab w:pos="850" w:val="left" w:leader="none"/>
        </w:tabs>
        <w:spacing w:line="307" w:lineRule="auto" w:before="137"/>
        <w:ind w:left="850" w:right="1790"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z w:val="21"/>
          <w:szCs w:val="21"/>
        </w:rPr>
        <w:t>同一控制下企业合并：本公司在企业合并中取得的资产和负债，按照合并日被合并</w:t>
      </w:r>
    </w:p>
    <w:p>
      <w:pPr>
        <w:pStyle w:val="BodyText"/>
        <w:spacing w:line="350" w:lineRule="auto" w:before="67"/>
        <w:ind w:left="850" w:right="1675"/>
        <w:jc w:val="left"/>
      </w:pPr>
      <w:r>
        <w:rPr/>
        <w:t>方资产、负债（包括最终控制方收购被合并方而形成的商誉）在最终控制方合并财</w:t>
      </w:r>
      <w:r>
        <w:rPr>
          <w:spacing w:val="-62"/>
        </w:rPr>
        <w:t> </w:t>
      </w:r>
      <w:r>
        <w:rPr/>
        <w:t>务报表中的账面价值计量。在合并中取得的净资产账面价值与支付的合并对价账面</w:t>
      </w:r>
      <w:r>
        <w:rPr>
          <w:spacing w:val="-62"/>
        </w:rPr>
        <w:t> </w:t>
      </w:r>
      <w:r>
        <w:rPr/>
        <w:t>价值（或发行股份面值总额）的差额，调整资本公积中的股本溢价，资本公积中的</w:t>
      </w:r>
      <w:r>
        <w:rPr>
          <w:spacing w:val="-62"/>
        </w:rPr>
        <w:t> </w:t>
      </w:r>
      <w:r>
        <w:rPr/>
        <w:t>股本溢价不足冲减的，调整留存收益。</w:t>
      </w:r>
      <w:r>
        <w:rPr>
          <w:w w:val="100"/>
        </w:rPr>
        <w:t> </w:t>
      </w:r>
      <w:r>
        <w:rPr/>
        <w:t>非同一控制下企业合并：本公司在购买日对作为企业合并对价付出的资产、发生或</w:t>
      </w:r>
      <w:r>
        <w:rPr>
          <w:spacing w:val="-62"/>
        </w:rPr>
        <w:t> </w:t>
      </w:r>
      <w:r>
        <w:rPr/>
        <w:t>承担的负债按照公允价值计量，公允价值与其账面价值的差额，计入当期损益。本</w:t>
      </w:r>
      <w:r>
        <w:rPr>
          <w:spacing w:val="-62"/>
        </w:rPr>
        <w:t> </w:t>
      </w:r>
      <w:r>
        <w:rPr/>
        <w:t>公司对合并成本大于合并中取得的被购买方可辨认净资产公允价值份额的差额，确</w:t>
      </w:r>
      <w:r>
        <w:rPr>
          <w:spacing w:val="-62"/>
        </w:rPr>
        <w:t> </w:t>
      </w:r>
      <w:r>
        <w:rPr>
          <w:spacing w:val="-4"/>
        </w:rPr>
        <w:t>认为商誉；合并成本小于合并中取得的被购买方可辨认净资产公允价值份额的差额，</w:t>
      </w:r>
      <w:r>
        <w:rPr>
          <w:spacing w:val="-26"/>
        </w:rPr>
        <w:t> </w:t>
      </w:r>
      <w:r>
        <w:rPr>
          <w:spacing w:val="-26"/>
        </w:rPr>
      </w:r>
      <w:r>
        <w:rPr/>
        <w:t>经复核后，计入当期损益。</w:t>
      </w:r>
      <w:r>
        <w:rPr>
          <w:w w:val="100"/>
        </w:rPr>
        <w:t> </w:t>
      </w:r>
      <w:r>
        <w:rPr/>
        <w:t>为企业合并发生的审计、法律服务、评估咨询等中介费用以及其他直接相关费用，</w:t>
      </w:r>
      <w:r>
        <w:rPr>
          <w:spacing w:val="-62"/>
        </w:rPr>
        <w:t> </w:t>
      </w:r>
      <w:r>
        <w:rPr/>
        <w:t>于发生时计入当期损益；为企业合并而发行权益性证券的交易费用，冲减权益。</w:t>
      </w:r>
    </w:p>
    <w:p>
      <w:pPr>
        <w:spacing w:line="240" w:lineRule="auto" w:before="10"/>
        <w:rPr>
          <w:rFonts w:ascii="宋体" w:hAnsi="宋体" w:cs="宋体" w:eastAsia="宋体" w:hint="default"/>
          <w:sz w:val="27"/>
          <w:szCs w:val="27"/>
        </w:rPr>
      </w:pPr>
    </w:p>
    <w:p>
      <w:pPr>
        <w:pStyle w:val="Heading6"/>
        <w:tabs>
          <w:tab w:pos="850" w:val="left" w:leader="none"/>
        </w:tabs>
        <w:spacing w:line="240" w:lineRule="auto"/>
        <w:ind w:left="138" w:right="1675"/>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合并财务报表的编制方法</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合并范围</w:t>
      </w:r>
      <w:r>
        <w:rPr>
          <w:b w:val="0"/>
          <w:bCs w:val="0"/>
        </w:rPr>
      </w:r>
    </w:p>
    <w:p>
      <w:pPr>
        <w:pStyle w:val="BodyText"/>
        <w:spacing w:line="350" w:lineRule="auto" w:before="102"/>
        <w:ind w:right="1675"/>
        <w:jc w:val="left"/>
      </w:pPr>
      <w:r>
        <w:rPr>
          <w:spacing w:val="-5"/>
        </w:rPr>
        <w:t>本公司合并财务报表的合并范围以控制为基础确定，所有子公司（包括本公司</w:t>
      </w:r>
      <w:r>
        <w:rPr>
          <w:spacing w:val="-43"/>
        </w:rPr>
        <w:t> </w:t>
      </w:r>
      <w:r>
        <w:rPr>
          <w:spacing w:val="-43"/>
        </w:rPr>
      </w:r>
      <w:r>
        <w:rPr/>
        <w:t>所控制的被投资方可分割的部分）均纳入合并财务报表。</w:t>
      </w:r>
    </w:p>
    <w:p>
      <w:pPr>
        <w:spacing w:line="240" w:lineRule="auto" w:before="8"/>
        <w:rPr>
          <w:rFonts w:ascii="宋体" w:hAnsi="宋体" w:cs="宋体" w:eastAsia="宋体" w:hint="default"/>
          <w:sz w:val="27"/>
          <w:szCs w:val="27"/>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合并程序</w:t>
      </w:r>
      <w:r>
        <w:rPr>
          <w:b w:val="0"/>
          <w:bCs w:val="0"/>
        </w:rPr>
      </w:r>
    </w:p>
    <w:p>
      <w:pPr>
        <w:pStyle w:val="BodyText"/>
        <w:spacing w:line="350" w:lineRule="auto" w:before="102"/>
        <w:ind w:right="1675"/>
        <w:jc w:val="left"/>
      </w:pPr>
      <w:r>
        <w:rPr>
          <w:spacing w:val="-5"/>
        </w:rPr>
        <w:t>本公司以自身和各子公司的财务报表为基础，根据其他有关资料，编制合并财</w:t>
      </w:r>
      <w:r>
        <w:rPr>
          <w:spacing w:val="-47"/>
        </w:rPr>
        <w:t> </w:t>
      </w:r>
      <w:r>
        <w:rPr>
          <w:spacing w:val="-47"/>
        </w:rPr>
      </w:r>
      <w:r>
        <w:rPr>
          <w:spacing w:val="-5"/>
        </w:rPr>
        <w:t>务报表。本公司编制合并财务报表，将整个企业集团视为一个会计主体，依据</w:t>
      </w:r>
      <w:r>
        <w:rPr>
          <w:spacing w:val="-48"/>
        </w:rPr>
        <w:t> </w:t>
      </w:r>
      <w:r>
        <w:rPr>
          <w:spacing w:val="-48"/>
        </w:rPr>
      </w:r>
      <w:r>
        <w:rPr>
          <w:spacing w:val="-5"/>
        </w:rPr>
        <w:t>相关企业会计准则的确认、计量和列报要求，按照统一的会计政策，反映本企</w:t>
      </w:r>
      <w:r>
        <w:rPr>
          <w:spacing w:val="-46"/>
        </w:rPr>
        <w:t> </w:t>
      </w:r>
      <w:r>
        <w:rPr>
          <w:spacing w:val="-46"/>
        </w:rPr>
      </w:r>
      <w:r>
        <w:rPr/>
        <w:t>业集团整体财务状况、经营成果和现金流量。</w:t>
      </w:r>
      <w:r>
        <w:rPr>
          <w:w w:val="100"/>
        </w:rPr>
        <w:t> </w:t>
      </w:r>
      <w:r>
        <w:rPr>
          <w:spacing w:val="-5"/>
          <w:w w:val="100"/>
        </w:rPr>
        <w:t>所有纳入合并财务报表合并范围的子公司所采用的会计政策、会计期间与本公</w:t>
      </w:r>
      <w:r>
        <w:rPr>
          <w:spacing w:val="-84"/>
          <w:w w:val="100"/>
        </w:rPr>
        <w:t> </w:t>
      </w:r>
      <w:r>
        <w:rPr>
          <w:spacing w:val="-84"/>
          <w:w w:val="100"/>
        </w:rPr>
      </w:r>
      <w:r>
        <w:rPr>
          <w:spacing w:val="-5"/>
        </w:rPr>
        <w:t>司一致，如子公司采用的会计政策、会计期间与本公司不一致的，在编制合并</w:t>
      </w:r>
      <w:r>
        <w:rPr>
          <w:spacing w:val="-49"/>
        </w:rPr>
        <w:t> </w:t>
      </w:r>
      <w:r>
        <w:rPr>
          <w:spacing w:val="-49"/>
        </w:rPr>
      </w:r>
      <w:r>
        <w:rPr>
          <w:spacing w:val="-5"/>
        </w:rPr>
        <w:t>财务报表时，按本公司的会计政策、会计期间进行必要的调整。对于非同一控</w:t>
      </w:r>
      <w:r>
        <w:rPr>
          <w:spacing w:val="-48"/>
        </w:rPr>
        <w:t> </w:t>
      </w:r>
      <w:r>
        <w:rPr>
          <w:spacing w:val="-48"/>
        </w:rPr>
      </w:r>
      <w:r>
        <w:rPr>
          <w:spacing w:val="-5"/>
          <w:w w:val="100"/>
        </w:rPr>
        <w:t>制下企业合并取得的子公司，以购买日可辨认净资产公允价值为基础对其财务</w:t>
      </w:r>
      <w:r>
        <w:rPr>
          <w:spacing w:val="-85"/>
          <w:w w:val="100"/>
        </w:rPr>
        <w:t> </w:t>
      </w:r>
      <w:r>
        <w:rPr>
          <w:spacing w:val="-85"/>
          <w:w w:val="100"/>
        </w:rPr>
      </w:r>
      <w:r>
        <w:rPr>
          <w:spacing w:val="-5"/>
        </w:rPr>
        <w:t>报表进行调整。对于同一控制下企业合并取得的子公司，以其资产、负债（包</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50" w:lineRule="auto"/>
        <w:ind w:right="1675"/>
        <w:jc w:val="left"/>
      </w:pPr>
      <w:r>
        <w:rPr>
          <w:spacing w:val="-5"/>
          <w:w w:val="100"/>
        </w:rPr>
        <w:t>括最终控制方收购该子公司而形成的商誉）在最终控制方财务报表中的账面价</w:t>
      </w:r>
      <w:r>
        <w:rPr>
          <w:spacing w:val="-85"/>
          <w:w w:val="100"/>
        </w:rPr>
        <w:t> </w:t>
      </w:r>
      <w:r>
        <w:rPr>
          <w:spacing w:val="-85"/>
          <w:w w:val="100"/>
        </w:rPr>
      </w:r>
      <w:r>
        <w:rPr/>
        <w:t>值为基础对其财务报表进行调整。</w:t>
      </w:r>
    </w:p>
    <w:p>
      <w:pPr>
        <w:pStyle w:val="BodyText"/>
        <w:spacing w:line="348" w:lineRule="auto" w:before="27"/>
        <w:ind w:right="1675"/>
        <w:jc w:val="left"/>
      </w:pPr>
      <w:r>
        <w:rPr/>
        <w:t>（</w:t>
      </w:r>
      <w:r>
        <w:rPr>
          <w:rFonts w:ascii="Times New Roman" w:hAnsi="Times New Roman" w:cs="Times New Roman" w:eastAsia="Times New Roman" w:hint="default"/>
        </w:rPr>
        <w:t>1</w:t>
      </w:r>
      <w:r>
        <w:rPr/>
        <w:t>）增加子公司或业务</w:t>
      </w:r>
      <w:r>
        <w:rPr>
          <w:w w:val="100"/>
        </w:rPr>
        <w:t> </w:t>
      </w:r>
      <w:r>
        <w:rPr>
          <w:spacing w:val="-5"/>
        </w:rPr>
        <w:t>在报告期内，若因同一控制下企业合并增加子公司或业务的，则调整合并资产</w:t>
      </w:r>
      <w:r>
        <w:rPr>
          <w:spacing w:val="-47"/>
        </w:rPr>
        <w:t> </w:t>
      </w:r>
      <w:r>
        <w:rPr>
          <w:spacing w:val="-47"/>
        </w:rPr>
      </w:r>
      <w:r>
        <w:rPr>
          <w:spacing w:val="-5"/>
        </w:rPr>
        <w:t>负债表的期初数；将子公司或业务合并当期期初至报告期末的收入、费用、利</w:t>
      </w:r>
      <w:r>
        <w:rPr>
          <w:spacing w:val="-45"/>
        </w:rPr>
        <w:t> </w:t>
      </w:r>
      <w:r>
        <w:rPr>
          <w:spacing w:val="-45"/>
        </w:rPr>
      </w:r>
      <w:r>
        <w:rPr>
          <w:spacing w:val="-5"/>
          <w:w w:val="100"/>
        </w:rPr>
        <w:t>润纳入合并利润表；将子公司或业务合并当期期初至报告期末的现金流量纳入</w:t>
      </w:r>
      <w:r>
        <w:rPr>
          <w:spacing w:val="-84"/>
          <w:w w:val="100"/>
        </w:rPr>
        <w:t> </w:t>
      </w:r>
      <w:r>
        <w:rPr>
          <w:spacing w:val="-84"/>
          <w:w w:val="100"/>
        </w:rPr>
      </w:r>
      <w:r>
        <w:rPr>
          <w:spacing w:val="-5"/>
        </w:rPr>
        <w:t>合并现金流量表，同时对比较报表的相关项目进行调整，视同合并后的报告主</w:t>
      </w:r>
      <w:r>
        <w:rPr>
          <w:spacing w:val="-47"/>
        </w:rPr>
        <w:t> </w:t>
      </w:r>
      <w:r>
        <w:rPr>
          <w:spacing w:val="-47"/>
        </w:rPr>
      </w:r>
      <w:r>
        <w:rPr/>
        <w:t>体自最终控制方开始控制时点起一直存在。</w:t>
      </w:r>
      <w:r>
        <w:rPr>
          <w:w w:val="100"/>
        </w:rPr>
        <w:t> </w:t>
      </w:r>
      <w:r>
        <w:rPr>
          <w:spacing w:val="-5"/>
          <w:w w:val="100"/>
        </w:rPr>
        <w:t>因追加投资等原因能够对同一控制下的被投资方实施控制的，视同参与合并的</w:t>
      </w:r>
      <w:r>
        <w:rPr>
          <w:spacing w:val="-84"/>
          <w:w w:val="100"/>
        </w:rPr>
        <w:t> </w:t>
      </w:r>
      <w:r>
        <w:rPr>
          <w:spacing w:val="-84"/>
          <w:w w:val="100"/>
        </w:rPr>
      </w:r>
      <w:r>
        <w:rPr>
          <w:spacing w:val="-5"/>
          <w:w w:val="100"/>
        </w:rPr>
        <w:t>各方在最终控制方开始控制时即以目前的状态存在进行调整。在取得被合并方</w:t>
      </w:r>
      <w:r>
        <w:rPr>
          <w:spacing w:val="-84"/>
          <w:w w:val="100"/>
        </w:rPr>
        <w:t> </w:t>
      </w:r>
      <w:r>
        <w:rPr>
          <w:spacing w:val="-84"/>
          <w:w w:val="100"/>
        </w:rPr>
      </w:r>
      <w:r>
        <w:rPr>
          <w:spacing w:val="-5"/>
          <w:w w:val="100"/>
        </w:rPr>
        <w:t>控制权之前持有的股权投资，在取得原股权之日与合并方和被合并方同处于同</w:t>
      </w:r>
      <w:r>
        <w:rPr>
          <w:spacing w:val="-85"/>
          <w:w w:val="100"/>
        </w:rPr>
        <w:t> </w:t>
      </w:r>
      <w:r>
        <w:rPr>
          <w:spacing w:val="-85"/>
          <w:w w:val="100"/>
        </w:rPr>
      </w:r>
      <w:r>
        <w:rPr>
          <w:spacing w:val="-5"/>
          <w:w w:val="100"/>
        </w:rPr>
        <w:t>一控制之日孰晚日起至合并日之间已确认有关损益、其他综合收益以及其他净</w:t>
      </w:r>
      <w:r>
        <w:rPr>
          <w:spacing w:val="-84"/>
          <w:w w:val="100"/>
        </w:rPr>
        <w:t> </w:t>
      </w:r>
      <w:r>
        <w:rPr>
          <w:spacing w:val="-84"/>
          <w:w w:val="100"/>
        </w:rPr>
      </w:r>
      <w:r>
        <w:rPr/>
        <w:t>资产变动，分别冲减比较报表期间的期初留存收益或当期损益。</w:t>
      </w:r>
      <w:r>
        <w:rPr>
          <w:w w:val="100"/>
        </w:rPr>
        <w:t> </w:t>
      </w:r>
      <w:r>
        <w:rPr>
          <w:spacing w:val="-5"/>
        </w:rPr>
        <w:t>在报告期内，若因非同一控制下企业合并增加子公司或业务的，则不调整合并</w:t>
      </w:r>
      <w:r>
        <w:rPr>
          <w:spacing w:val="-46"/>
        </w:rPr>
        <w:t> </w:t>
      </w:r>
      <w:r>
        <w:rPr>
          <w:spacing w:val="-46"/>
        </w:rPr>
      </w:r>
      <w:r>
        <w:rPr>
          <w:spacing w:val="-5"/>
        </w:rPr>
        <w:t>资产负债表期初数；将该子公司或业务自购买日至报告期末的收入、费用、利</w:t>
      </w:r>
      <w:r>
        <w:rPr>
          <w:spacing w:val="-46"/>
        </w:rPr>
        <w:t> </w:t>
      </w:r>
      <w:r>
        <w:rPr>
          <w:spacing w:val="-46"/>
        </w:rPr>
      </w:r>
      <w:r>
        <w:rPr>
          <w:spacing w:val="-5"/>
          <w:w w:val="100"/>
        </w:rPr>
        <w:t>润纳入合并利润表；该子公司或业务自购买日至报告期末的现金流量纳入合并</w:t>
      </w:r>
      <w:r>
        <w:rPr>
          <w:spacing w:val="-84"/>
          <w:w w:val="100"/>
        </w:rPr>
        <w:t> </w:t>
      </w:r>
      <w:r>
        <w:rPr>
          <w:spacing w:val="-84"/>
          <w:w w:val="100"/>
        </w:rPr>
      </w:r>
      <w:r>
        <w:rPr/>
        <w:t>现金流量表。</w:t>
      </w:r>
      <w:r>
        <w:rPr>
          <w:w w:val="100"/>
        </w:rPr>
        <w:t> </w:t>
      </w:r>
      <w:r>
        <w:rPr>
          <w:spacing w:val="-5"/>
          <w:w w:val="100"/>
        </w:rPr>
        <w:t>因追加投资等原因能够对非同一控制下的被投资方实施控制的，对于购买日之</w:t>
      </w:r>
      <w:r>
        <w:rPr>
          <w:spacing w:val="-85"/>
          <w:w w:val="100"/>
        </w:rPr>
        <w:t> </w:t>
      </w:r>
      <w:r>
        <w:rPr>
          <w:spacing w:val="-85"/>
          <w:w w:val="100"/>
        </w:rPr>
      </w:r>
      <w:r>
        <w:rPr>
          <w:spacing w:val="-5"/>
          <w:w w:val="100"/>
        </w:rPr>
        <w:t>前持有的被购买方的股权，本公司按照该股权在购买日的公允价值进行重新计</w:t>
      </w:r>
      <w:r>
        <w:rPr>
          <w:spacing w:val="-84"/>
          <w:w w:val="100"/>
        </w:rPr>
        <w:t> </w:t>
      </w:r>
      <w:r>
        <w:rPr>
          <w:spacing w:val="-84"/>
          <w:w w:val="100"/>
        </w:rPr>
      </w:r>
      <w:r>
        <w:rPr>
          <w:spacing w:val="-5"/>
        </w:rPr>
        <w:t>量，公允价值与其账面价值的差额计入当期投资收益。购买日之前持有的被购</w:t>
      </w:r>
      <w:r>
        <w:rPr>
          <w:spacing w:val="-46"/>
        </w:rPr>
        <w:t> </w:t>
      </w:r>
      <w:r>
        <w:rPr>
          <w:spacing w:val="-46"/>
        </w:rPr>
      </w:r>
      <w:r>
        <w:rPr>
          <w:spacing w:val="-5"/>
          <w:w w:val="100"/>
        </w:rPr>
        <w:t>买方的股权涉及权益法核算下的其他综合收益以及除净损益、其他综合收益和</w:t>
      </w:r>
      <w:r>
        <w:rPr>
          <w:spacing w:val="-84"/>
          <w:w w:val="100"/>
        </w:rPr>
        <w:t> </w:t>
      </w:r>
      <w:r>
        <w:rPr>
          <w:spacing w:val="-84"/>
          <w:w w:val="100"/>
        </w:rPr>
      </w:r>
      <w:r>
        <w:rPr>
          <w:spacing w:val="-5"/>
        </w:rPr>
        <w:t>利润分配之外的其他所有者权益变动的，与其相关的其他综合收益、其他所有</w:t>
      </w:r>
      <w:r>
        <w:rPr>
          <w:spacing w:val="-47"/>
        </w:rPr>
        <w:t> </w:t>
      </w:r>
      <w:r>
        <w:rPr>
          <w:spacing w:val="-47"/>
        </w:rPr>
      </w:r>
      <w:r>
        <w:rPr>
          <w:spacing w:val="-5"/>
          <w:w w:val="100"/>
        </w:rPr>
        <w:t>者权益变动转为购买日所属当期投资收益，由于被投资方重新计量设定受益计</w:t>
      </w:r>
      <w:r>
        <w:rPr>
          <w:spacing w:val="-85"/>
          <w:w w:val="100"/>
        </w:rPr>
        <w:t> </w:t>
      </w:r>
      <w:r>
        <w:rPr>
          <w:spacing w:val="-85"/>
          <w:w w:val="100"/>
        </w:rPr>
      </w:r>
      <w:r>
        <w:rPr/>
        <w:t>划净负债或净资产变动而产生的其他综合收益除外。</w:t>
      </w:r>
    </w:p>
    <w:p>
      <w:pPr>
        <w:pStyle w:val="BodyText"/>
        <w:spacing w:line="343" w:lineRule="auto" w:before="31"/>
        <w:ind w:right="1675"/>
        <w:jc w:val="left"/>
      </w:pPr>
      <w:r>
        <w:rPr/>
        <w:t>（</w:t>
      </w:r>
      <w:r>
        <w:rPr>
          <w:rFonts w:ascii="Times New Roman" w:hAnsi="Times New Roman" w:cs="Times New Roman" w:eastAsia="Times New Roman" w:hint="default"/>
        </w:rPr>
        <w:t>2</w:t>
      </w:r>
      <w:r>
        <w:rPr/>
        <w:t>）处置子公司或业务</w:t>
      </w:r>
      <w:r>
        <w:rPr>
          <w:w w:val="100"/>
        </w:rPr>
        <w:t> </w:t>
      </w:r>
      <w:r>
        <w:rPr>
          <w:spacing w:val="-5"/>
        </w:rPr>
        <w:t>在报告期内，本公司处置子公司或业务，则该子公司或业务期初至处置日的收</w:t>
      </w:r>
      <w:r>
        <w:rPr>
          <w:spacing w:val="-46"/>
        </w:rPr>
        <w:t> </w:t>
      </w:r>
      <w:r>
        <w:rPr>
          <w:spacing w:val="-46"/>
        </w:rPr>
      </w:r>
      <w:r>
        <w:rPr>
          <w:spacing w:val="-5"/>
        </w:rPr>
        <w:t>入、费用、利润纳入合并利润表；该子公司或业务期初至处置日的现金流量纳</w:t>
      </w:r>
      <w:r>
        <w:rPr>
          <w:spacing w:val="-45"/>
        </w:rPr>
        <w:t> </w:t>
      </w:r>
      <w:r>
        <w:rPr>
          <w:spacing w:val="-45"/>
        </w:rPr>
      </w:r>
      <w:r>
        <w:rPr/>
        <w:t>入合并现金流量表。</w:t>
      </w:r>
    </w:p>
    <w:p>
      <w:pPr>
        <w:spacing w:line="240" w:lineRule="auto" w:before="1"/>
        <w:rPr>
          <w:rFonts w:ascii="宋体" w:hAnsi="宋体" w:cs="宋体" w:eastAsia="宋体" w:hint="default"/>
          <w:sz w:val="28"/>
          <w:szCs w:val="28"/>
        </w:rPr>
      </w:pPr>
    </w:p>
    <w:p>
      <w:pPr>
        <w:tabs>
          <w:tab w:pos="850" w:val="left" w:leader="none"/>
        </w:tabs>
        <w:spacing w:line="307" w:lineRule="auto" w:before="0"/>
        <w:ind w:left="850" w:right="1683"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七</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4"/>
          <w:sz w:val="21"/>
          <w:szCs w:val="21"/>
        </w:rPr>
        <w:t>在编制现金流量表时，将本公司库存现金以及可以随时用于支付的存款确认为现金。</w:t>
      </w:r>
    </w:p>
    <w:p>
      <w:pPr>
        <w:pStyle w:val="BodyText"/>
        <w:spacing w:line="348" w:lineRule="auto" w:before="67"/>
        <w:ind w:left="850" w:right="1675"/>
        <w:jc w:val="left"/>
      </w:pPr>
      <w:r>
        <w:rPr>
          <w:spacing w:val="-5"/>
          <w:w w:val="100"/>
        </w:rPr>
        <w:t>将同时具备期限短（从购买日起三个月内到期）、流动性强、易于转换为已知现金、</w:t>
      </w:r>
      <w:r>
        <w:rPr>
          <w:spacing w:val="-75"/>
          <w:w w:val="100"/>
        </w:rPr>
        <w:t> </w:t>
      </w:r>
      <w:r>
        <w:rPr>
          <w:spacing w:val="-75"/>
          <w:w w:val="100"/>
        </w:rPr>
      </w:r>
      <w:r>
        <w:rPr/>
        <w:t>价值变动风险很小四个条件的投资，确定为现金等价物。</w:t>
      </w:r>
    </w:p>
    <w:p>
      <w:pPr>
        <w:spacing w:after="0" w:line="348"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外币业务和外币报表折算</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外币业务</w:t>
      </w:r>
      <w:r>
        <w:rPr>
          <w:b w:val="0"/>
          <w:bCs w:val="0"/>
        </w:rPr>
      </w:r>
    </w:p>
    <w:p>
      <w:pPr>
        <w:pStyle w:val="BodyText"/>
        <w:spacing w:line="350" w:lineRule="auto" w:before="99"/>
        <w:ind w:right="1675"/>
        <w:jc w:val="left"/>
      </w:pPr>
      <w:r>
        <w:rPr/>
        <w:t>外币业务采用交易发生日的即期汇率作为折算汇率将外币金额折合成人民币</w:t>
      </w:r>
      <w:r>
        <w:rPr>
          <w:spacing w:val="-8"/>
        </w:rPr>
        <w:t> </w:t>
      </w:r>
      <w:r>
        <w:rPr>
          <w:spacing w:val="-8"/>
        </w:rPr>
      </w:r>
      <w:r>
        <w:rPr/>
        <w:t>记账。</w:t>
      </w:r>
      <w:r>
        <w:rPr>
          <w:spacing w:val="-102"/>
        </w:rPr>
        <w:t> </w:t>
      </w:r>
      <w:r>
        <w:rPr>
          <w:spacing w:val="-5"/>
          <w:w w:val="100"/>
        </w:rPr>
        <w:t>资产负债表日外币货币性项目余额按资产负债表日即期汇率折算，由此产生的</w:t>
      </w:r>
      <w:r>
        <w:rPr>
          <w:spacing w:val="-87"/>
          <w:w w:val="100"/>
        </w:rPr>
        <w:t> </w:t>
      </w:r>
      <w:r>
        <w:rPr>
          <w:spacing w:val="-87"/>
          <w:w w:val="100"/>
        </w:rPr>
      </w:r>
      <w:r>
        <w:rPr>
          <w:spacing w:val="-5"/>
          <w:w w:val="100"/>
        </w:rPr>
        <w:t>汇兑差额，除属于与购建符合资本化条件的资产相关的外币专门借款产生的汇</w:t>
      </w:r>
      <w:r>
        <w:rPr>
          <w:spacing w:val="-84"/>
          <w:w w:val="100"/>
        </w:rPr>
        <w:t> </w:t>
      </w:r>
      <w:r>
        <w:rPr>
          <w:spacing w:val="-84"/>
          <w:w w:val="100"/>
        </w:rPr>
      </w:r>
      <w:r>
        <w:rPr/>
        <w:t>兑差额按照借款费用资本化的原则处理外，均计入当期损益。</w:t>
      </w:r>
    </w:p>
    <w:p>
      <w:pPr>
        <w:spacing w:line="240" w:lineRule="auto" w:before="8"/>
        <w:rPr>
          <w:rFonts w:ascii="宋体" w:hAnsi="宋体" w:cs="宋体" w:eastAsia="宋体" w:hint="default"/>
          <w:sz w:val="27"/>
          <w:szCs w:val="27"/>
        </w:rPr>
      </w:pPr>
    </w:p>
    <w:p>
      <w:pPr>
        <w:pStyle w:val="BodyText"/>
        <w:tabs>
          <w:tab w:pos="1397" w:val="left" w:leader="none"/>
        </w:tabs>
        <w:spacing w:line="328" w:lineRule="auto" w:before="0"/>
        <w:ind w:right="1809" w:hanging="569"/>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w:t>
        <w:tab/>
        <w:t>外币财务报表的折算</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5"/>
        </w:rPr>
        <w:t>资产负债表中的资产和负债项目，采用资产负债表日的即期汇率折算；所有者</w:t>
      </w:r>
      <w:r>
        <w:rPr>
          <w:w w:val="100"/>
        </w:rPr>
        <w:t> </w:t>
      </w:r>
      <w:r>
        <w:rPr>
          <w:spacing w:val="-4"/>
        </w:rPr>
        <w:t>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项目外，其他项目采用发生时的即期汇率折算。利润</w:t>
      </w:r>
      <w:r>
        <w:rPr>
          <w:w w:val="100"/>
        </w:rPr>
        <w:t> </w:t>
      </w:r>
      <w:r>
        <w:rPr/>
        <w:t>表中的收入和费用项目，采用交易发生日的即期汇率折算。</w:t>
      </w:r>
    </w:p>
    <w:p>
      <w:pPr>
        <w:pStyle w:val="BodyText"/>
        <w:spacing w:line="350" w:lineRule="auto" w:before="48"/>
        <w:ind w:right="1675"/>
        <w:jc w:val="left"/>
      </w:pPr>
      <w:r>
        <w:rPr>
          <w:spacing w:val="-5"/>
        </w:rPr>
        <w:t>处置境外经营时，将与该境外经营相关的外币财务报表折算差额，自所有者权</w:t>
      </w:r>
      <w:r>
        <w:rPr>
          <w:spacing w:val="-46"/>
        </w:rPr>
        <w:t> </w:t>
      </w:r>
      <w:r>
        <w:rPr>
          <w:spacing w:val="-46"/>
        </w:rPr>
      </w:r>
      <w:r>
        <w:rPr/>
        <w:t>益项目转入处置当期损益。</w:t>
      </w:r>
    </w:p>
    <w:p>
      <w:pPr>
        <w:spacing w:line="240" w:lineRule="auto" w:before="8"/>
        <w:rPr>
          <w:rFonts w:ascii="宋体" w:hAnsi="宋体" w:cs="宋体" w:eastAsia="宋体" w:hint="default"/>
          <w:sz w:val="27"/>
          <w:szCs w:val="27"/>
        </w:rPr>
      </w:pPr>
    </w:p>
    <w:p>
      <w:pPr>
        <w:tabs>
          <w:tab w:pos="850" w:val="left" w:leader="none"/>
          <w:tab w:pos="1397" w:val="left" w:leader="none"/>
        </w:tabs>
        <w:spacing w:line="297" w:lineRule="auto" w:before="0"/>
        <w:ind w:left="846" w:right="4979" w:hanging="72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九</w:t>
      </w:r>
      <w:r>
        <w:rPr>
          <w:rFonts w:ascii="Times New Roman" w:hAnsi="Times New Roman" w:cs="Times New Roman" w:eastAsia="Times New Roman" w:hint="default"/>
          <w:b/>
          <w:bCs/>
          <w:sz w:val="21"/>
          <w:szCs w:val="21"/>
        </w:rPr>
        <w:t>)</w:t>
        <w:tab/>
        <w:tab/>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金融工具的分类</w:t>
      </w:r>
      <w:r>
        <w:rPr>
          <w:rFonts w:ascii="Microsoft JhengHei" w:hAnsi="Microsoft JhengHei" w:cs="Microsoft JhengHei" w:eastAsia="Microsoft JhengHei" w:hint="default"/>
          <w:sz w:val="21"/>
          <w:szCs w:val="21"/>
        </w:rPr>
      </w:r>
    </w:p>
    <w:p>
      <w:pPr>
        <w:pStyle w:val="BodyText"/>
        <w:spacing w:line="350" w:lineRule="auto" w:before="35"/>
        <w:ind w:right="1786"/>
        <w:jc w:val="both"/>
      </w:pPr>
      <w:r>
        <w:rPr>
          <w:spacing w:val="-5"/>
          <w:w w:val="100"/>
        </w:rPr>
        <w:t>金融资产和金融负债于初始确认时分类为：以公允价值计量且其变动计入当期</w:t>
      </w:r>
      <w:r>
        <w:rPr>
          <w:spacing w:val="-85"/>
          <w:w w:val="100"/>
        </w:rPr>
        <w:t> </w:t>
      </w:r>
      <w:r>
        <w:rPr>
          <w:spacing w:val="-85"/>
          <w:w w:val="100"/>
        </w:rPr>
      </w:r>
      <w:r>
        <w:rPr>
          <w:spacing w:val="-5"/>
          <w:w w:val="100"/>
        </w:rPr>
        <w:t>损益的金融资产或金融负债，包括交易性金融资产或金融负债和直接指定为以</w:t>
      </w:r>
      <w:r>
        <w:rPr>
          <w:spacing w:val="-85"/>
          <w:w w:val="100"/>
        </w:rPr>
        <w:t> </w:t>
      </w:r>
      <w:r>
        <w:rPr>
          <w:spacing w:val="-85"/>
          <w:w w:val="100"/>
        </w:rPr>
      </w:r>
      <w:r>
        <w:rPr/>
        <w:t>公允价值计量且其变动计入当期损益的金融资产或金融负债；持有至到期投</w:t>
      </w:r>
      <w:r>
        <w:rPr>
          <w:spacing w:val="-8"/>
        </w:rPr>
        <w:t> </w:t>
      </w:r>
      <w:r>
        <w:rPr>
          <w:spacing w:val="-8"/>
        </w:rPr>
      </w:r>
      <w:r>
        <w:rPr/>
        <w:t>资；应收款项；可供出售金融资产；其他金融负债等。</w:t>
      </w:r>
    </w:p>
    <w:p>
      <w:pPr>
        <w:spacing w:line="240" w:lineRule="auto" w:before="8"/>
        <w:rPr>
          <w:rFonts w:ascii="宋体" w:hAnsi="宋体" w:cs="宋体" w:eastAsia="宋体" w:hint="default"/>
          <w:sz w:val="27"/>
          <w:szCs w:val="27"/>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金融工具的确认依据和计量方法</w:t>
      </w:r>
      <w:r>
        <w:rPr>
          <w:b w:val="0"/>
          <w:bCs w:val="0"/>
        </w:rPr>
      </w:r>
    </w:p>
    <w:p>
      <w:pPr>
        <w:pStyle w:val="BodyText"/>
        <w:spacing w:line="345" w:lineRule="auto" w:before="102"/>
        <w:ind w:right="1675"/>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5"/>
          <w:w w:val="100"/>
        </w:rPr>
        <w:t>取得时以公允价值（扣除已宣告但尚未发放的现金股利或已到付息期但尚未领</w:t>
      </w:r>
      <w:r>
        <w:rPr>
          <w:spacing w:val="-85"/>
          <w:w w:val="100"/>
        </w:rPr>
        <w:t> </w:t>
      </w:r>
      <w:r>
        <w:rPr>
          <w:spacing w:val="-85"/>
          <w:w w:val="100"/>
        </w:rPr>
      </w:r>
      <w:r>
        <w:rPr/>
        <w:t>取的债券利息）作为初始确认金额，相关的交易费用计入当期损益。</w:t>
      </w:r>
      <w:r>
        <w:rPr>
          <w:w w:val="100"/>
        </w:rPr>
        <w:t> </w:t>
      </w:r>
      <w:r>
        <w:rPr>
          <w:spacing w:val="-5"/>
          <w:w w:val="100"/>
        </w:rPr>
        <w:t>持有期间将取得的利息或现金股利确认为投资收益，期末将公允价值变动计入</w:t>
      </w:r>
      <w:r>
        <w:rPr>
          <w:spacing w:val="-84"/>
          <w:w w:val="100"/>
        </w:rPr>
        <w:t> </w:t>
      </w:r>
      <w:r>
        <w:rPr>
          <w:spacing w:val="-84"/>
          <w:w w:val="100"/>
        </w:rPr>
      </w:r>
      <w:r>
        <w:rPr/>
        <w:t>当期损益。</w:t>
      </w:r>
      <w:r>
        <w:rPr>
          <w:spacing w:val="-102"/>
        </w:rPr>
        <w:t> </w:t>
      </w:r>
      <w:r>
        <w:rPr>
          <w:spacing w:val="-102"/>
        </w:rPr>
      </w:r>
      <w:r>
        <w:rPr>
          <w:spacing w:val="-5"/>
        </w:rPr>
        <w:t>处置时，其公允价值与初始入账金额之间的差额确认为投资收益，同时调整公</w:t>
      </w:r>
      <w:r>
        <w:rPr>
          <w:spacing w:val="-46"/>
        </w:rPr>
        <w:t> </w:t>
      </w:r>
      <w:r>
        <w:rPr>
          <w:spacing w:val="-46"/>
        </w:rPr>
      </w:r>
      <w:r>
        <w:rPr/>
        <w:t>允价值变动损益。</w:t>
      </w:r>
    </w:p>
    <w:p>
      <w:pPr>
        <w:pStyle w:val="BodyText"/>
        <w:spacing w:line="338" w:lineRule="auto" w:before="33"/>
        <w:ind w:right="1675"/>
        <w:jc w:val="left"/>
      </w:pPr>
      <w:r>
        <w:rPr/>
        <w:t>（</w:t>
      </w:r>
      <w:r>
        <w:rPr>
          <w:rFonts w:ascii="Times New Roman" w:hAnsi="Times New Roman" w:cs="Times New Roman" w:eastAsia="Times New Roman" w:hint="default"/>
        </w:rPr>
        <w:t>2</w:t>
      </w:r>
      <w:r>
        <w:rPr/>
        <w:t>）持有至到期投资</w:t>
      </w:r>
      <w:r>
        <w:rPr>
          <w:w w:val="100"/>
        </w:rPr>
        <w:t> </w:t>
      </w:r>
      <w:r>
        <w:rPr>
          <w:spacing w:val="-5"/>
        </w:rPr>
        <w:t>取得时按公允价值（扣除已到付息期但尚未领取的债券利息）和相关交易费用</w:t>
      </w:r>
      <w:r>
        <w:rPr>
          <w:spacing w:val="-46"/>
        </w:rPr>
        <w:t> </w:t>
      </w:r>
      <w:r>
        <w:rPr>
          <w:spacing w:val="-46"/>
        </w:rPr>
      </w:r>
      <w:r>
        <w:rPr/>
        <w:t>之和作为初始确认金额。</w:t>
      </w:r>
    </w:p>
    <w:p>
      <w:pPr>
        <w:spacing w:after="0" w:line="338"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48" w:lineRule="auto"/>
        <w:ind w:right="1675"/>
        <w:jc w:val="left"/>
      </w:pPr>
      <w:r>
        <w:rPr>
          <w:spacing w:val="-5"/>
        </w:rPr>
        <w:t>持有期间按照摊余成本和实际利率计算确认利息收入，计入投资收益。实际利</w:t>
      </w:r>
      <w:r>
        <w:rPr>
          <w:spacing w:val="-43"/>
        </w:rPr>
        <w:t> </w:t>
      </w:r>
      <w:r>
        <w:rPr>
          <w:spacing w:val="-43"/>
        </w:rPr>
      </w:r>
      <w:r>
        <w:rPr/>
        <w:t>率在取得时确定，在该预期存续期间或适用的更短期间内保持不变。</w:t>
      </w:r>
      <w:r>
        <w:rPr>
          <w:w w:val="100"/>
        </w:rPr>
        <w:t> </w:t>
      </w:r>
      <w:r>
        <w:rPr/>
        <w:t>处置时，将所取得价款与该投资账面价值之间的差额计入投资收益。</w:t>
      </w:r>
    </w:p>
    <w:p>
      <w:pPr>
        <w:pStyle w:val="BodyText"/>
        <w:spacing w:line="345" w:lineRule="auto" w:before="31"/>
        <w:ind w:right="1675"/>
        <w:jc w:val="left"/>
      </w:pPr>
      <w:r>
        <w:rPr/>
        <w:t>（</w:t>
      </w:r>
      <w:r>
        <w:rPr>
          <w:rFonts w:ascii="Times New Roman" w:hAnsi="Times New Roman" w:cs="Times New Roman" w:eastAsia="Times New Roman" w:hint="default"/>
        </w:rPr>
        <w:t>3</w:t>
      </w:r>
      <w:r>
        <w:rPr/>
        <w:t>）应收款项</w:t>
      </w:r>
      <w:r>
        <w:rPr>
          <w:w w:val="100"/>
        </w:rPr>
        <w:t> </w:t>
      </w:r>
      <w:r>
        <w:rPr>
          <w:spacing w:val="-5"/>
          <w:w w:val="100"/>
        </w:rPr>
        <w:t>公司对外销售商品或提供劳务形成的应收债权，以及公司持有的其他企业的不</w:t>
      </w:r>
      <w:r>
        <w:rPr>
          <w:spacing w:val="-85"/>
          <w:w w:val="100"/>
        </w:rPr>
        <w:t> </w:t>
      </w:r>
      <w:r>
        <w:rPr>
          <w:spacing w:val="-85"/>
          <w:w w:val="100"/>
        </w:rPr>
      </w:r>
      <w:r>
        <w:rPr>
          <w:spacing w:val="-2"/>
        </w:rPr>
        <w:t>包括在活跃市场上有报价的债务工具的债权，包括应收账款、其他应收款等，</w:t>
      </w:r>
      <w:r>
        <w:rPr>
          <w:spacing w:val="-42"/>
        </w:rPr>
        <w:t> </w:t>
      </w:r>
      <w:r>
        <w:rPr>
          <w:spacing w:val="-42"/>
        </w:rPr>
      </w:r>
      <w:r>
        <w:rPr>
          <w:spacing w:val="-5"/>
        </w:rPr>
        <w:t>以向购货方应收的合同或协议价款作为初始确认金额；具有融资性质的，按其</w:t>
      </w:r>
      <w:r>
        <w:rPr>
          <w:spacing w:val="-43"/>
        </w:rPr>
        <w:t> </w:t>
      </w:r>
      <w:r>
        <w:rPr>
          <w:spacing w:val="-43"/>
        </w:rPr>
      </w:r>
      <w:r>
        <w:rPr/>
        <w:t>现值进行初始确认。</w:t>
      </w:r>
      <w:r>
        <w:rPr>
          <w:w w:val="100"/>
        </w:rPr>
        <w:t> </w:t>
      </w:r>
      <w:r>
        <w:rPr/>
        <w:t>收回或处置时，将取得的价款与该应收款项账面价值之间的差额计入当期损</w:t>
      </w:r>
      <w:r>
        <w:rPr>
          <w:spacing w:val="-8"/>
        </w:rPr>
        <w:t> </w:t>
      </w:r>
      <w:r>
        <w:rPr>
          <w:spacing w:val="-8"/>
        </w:rPr>
      </w:r>
      <w:r>
        <w:rPr/>
        <w:t>益。</w:t>
      </w:r>
    </w:p>
    <w:p>
      <w:pPr>
        <w:pStyle w:val="BodyText"/>
        <w:spacing w:line="348" w:lineRule="auto" w:before="33"/>
        <w:ind w:right="1675"/>
        <w:jc w:val="left"/>
      </w:pPr>
      <w:r>
        <w:rPr/>
        <w:t>（</w:t>
      </w:r>
      <w:r>
        <w:rPr>
          <w:rFonts w:ascii="Times New Roman" w:hAnsi="Times New Roman" w:cs="Times New Roman" w:eastAsia="Times New Roman" w:hint="default"/>
        </w:rPr>
        <w:t>4</w:t>
      </w:r>
      <w:r>
        <w:rPr/>
        <w:t>）可供出售金融资产</w:t>
      </w:r>
      <w:r>
        <w:rPr>
          <w:w w:val="100"/>
        </w:rPr>
        <w:t> </w:t>
      </w:r>
      <w:r>
        <w:rPr>
          <w:spacing w:val="-5"/>
          <w:w w:val="100"/>
        </w:rPr>
        <w:t>取得时按公允价值（扣除已宣告但尚未发放的现金股利或已到付息期但尚未领</w:t>
      </w:r>
      <w:r>
        <w:rPr>
          <w:spacing w:val="-85"/>
          <w:w w:val="100"/>
        </w:rPr>
        <w:t> </w:t>
      </w:r>
      <w:r>
        <w:rPr>
          <w:spacing w:val="-85"/>
          <w:w w:val="100"/>
        </w:rPr>
      </w:r>
      <w:r>
        <w:rPr/>
        <w:t>取的债券利息）和相关交易费用之和作为初始确认金额。</w:t>
      </w:r>
      <w:r>
        <w:rPr>
          <w:w w:val="100"/>
        </w:rPr>
        <w:t> </w:t>
      </w:r>
      <w:r>
        <w:rPr>
          <w:spacing w:val="-5"/>
          <w:w w:val="100"/>
        </w:rPr>
        <w:t>持有期间将取得的利息或现金股利确认为投资收益。期末以公允价值计量且将</w:t>
      </w:r>
      <w:r>
        <w:rPr>
          <w:spacing w:val="-84"/>
          <w:w w:val="100"/>
        </w:rPr>
        <w:t> </w:t>
      </w:r>
      <w:r>
        <w:rPr>
          <w:spacing w:val="-84"/>
          <w:w w:val="100"/>
        </w:rPr>
      </w:r>
      <w:r>
        <w:rPr>
          <w:spacing w:val="-5"/>
        </w:rPr>
        <w:t>公允价值变动计入其他综合收益。但是，在活跃市场中没有报价且其公允价值</w:t>
      </w:r>
      <w:r>
        <w:rPr>
          <w:spacing w:val="-43"/>
        </w:rPr>
        <w:t> </w:t>
      </w:r>
      <w:r>
        <w:rPr>
          <w:spacing w:val="-43"/>
        </w:rPr>
      </w:r>
      <w:r>
        <w:rPr>
          <w:spacing w:val="-5"/>
          <w:w w:val="100"/>
        </w:rPr>
        <w:t>不能可靠计量的权益工具投资，以及与该权益工具挂钩并须通过交付该权益工</w:t>
      </w:r>
      <w:r>
        <w:rPr>
          <w:spacing w:val="-84"/>
          <w:w w:val="100"/>
        </w:rPr>
        <w:t> </w:t>
      </w:r>
      <w:r>
        <w:rPr>
          <w:spacing w:val="-84"/>
          <w:w w:val="100"/>
        </w:rPr>
      </w:r>
      <w:r>
        <w:rPr/>
        <w:t>具结算的衍生金融资产，按照成本计量。</w:t>
      </w:r>
      <w:r>
        <w:rPr>
          <w:w w:val="100"/>
        </w:rPr>
        <w:t> </w:t>
      </w:r>
      <w:r>
        <w:rPr>
          <w:spacing w:val="-5"/>
        </w:rPr>
        <w:t>处置时，将取得的价款与该金融资产账面价值之间的差额，计入投资损益；同</w:t>
      </w:r>
      <w:r>
        <w:rPr>
          <w:spacing w:val="-45"/>
        </w:rPr>
        <w:t> </w:t>
      </w:r>
      <w:r>
        <w:rPr>
          <w:spacing w:val="-45"/>
        </w:rPr>
      </w:r>
      <w:r>
        <w:rPr>
          <w:spacing w:val="-5"/>
          <w:w w:val="100"/>
        </w:rPr>
        <w:t>时，将原直接计入其他综合收益的公允价值变动累计额对应处置部分的金额转</w:t>
      </w:r>
      <w:r>
        <w:rPr>
          <w:spacing w:val="-85"/>
          <w:w w:val="100"/>
        </w:rPr>
        <w:t> </w:t>
      </w:r>
      <w:r>
        <w:rPr>
          <w:spacing w:val="-85"/>
          <w:w w:val="100"/>
        </w:rPr>
      </w:r>
      <w:r>
        <w:rPr/>
        <w:t>出，计入当期损益。</w:t>
      </w:r>
    </w:p>
    <w:p>
      <w:pPr>
        <w:pStyle w:val="BodyText"/>
        <w:spacing w:line="340" w:lineRule="auto" w:before="29"/>
        <w:ind w:right="1675"/>
        <w:jc w:val="left"/>
      </w:pPr>
      <w:r>
        <w:rPr/>
        <w:t>（</w:t>
      </w:r>
      <w:r>
        <w:rPr>
          <w:rFonts w:ascii="Times New Roman" w:hAnsi="Times New Roman" w:cs="Times New Roman" w:eastAsia="Times New Roman" w:hint="default"/>
        </w:rPr>
        <w:t>5</w:t>
      </w:r>
      <w:r>
        <w:rPr/>
        <w:t>）其他金融负债</w:t>
      </w:r>
      <w:r>
        <w:rPr>
          <w:w w:val="100"/>
        </w:rPr>
        <w:t> </w:t>
      </w:r>
      <w:r>
        <w:rPr>
          <w:spacing w:val="-5"/>
          <w:w w:val="100"/>
        </w:rPr>
        <w:t>按其公允价值和相关交易费用之和作为初始确认金额。采用摊余成本进行后续</w:t>
      </w:r>
      <w:r>
        <w:rPr>
          <w:spacing w:val="-85"/>
          <w:w w:val="100"/>
        </w:rPr>
        <w:t> </w:t>
      </w:r>
      <w:r>
        <w:rPr>
          <w:spacing w:val="-85"/>
          <w:w w:val="100"/>
        </w:rPr>
      </w:r>
      <w:r>
        <w:rPr/>
        <w:t>计量。</w:t>
      </w:r>
    </w:p>
    <w:p>
      <w:pPr>
        <w:spacing w:line="240" w:lineRule="auto" w:before="3"/>
        <w:rPr>
          <w:rFonts w:ascii="宋体" w:hAnsi="宋体" w:cs="宋体" w:eastAsia="宋体" w:hint="default"/>
          <w:sz w:val="28"/>
          <w:szCs w:val="28"/>
        </w:rPr>
      </w:pPr>
    </w:p>
    <w:p>
      <w:pPr>
        <w:tabs>
          <w:tab w:pos="1397" w:val="left" w:leader="none"/>
        </w:tabs>
        <w:spacing w:line="326" w:lineRule="auto" w:before="0"/>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金融资产转移的确认依据和计量方法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5"/>
          <w:w w:val="100"/>
          <w:sz w:val="21"/>
          <w:szCs w:val="21"/>
        </w:rPr>
        <w:t>公司发生金融资产转移时，如已将金融资产所有权上几乎所有的风险和报酬转</w:t>
      </w:r>
      <w:r>
        <w:rPr>
          <w:rFonts w:ascii="宋体" w:hAnsi="宋体" w:cs="宋体" w:eastAsia="宋体" w:hint="default"/>
          <w:w w:val="100"/>
          <w:sz w:val="21"/>
          <w:szCs w:val="21"/>
        </w:rPr>
        <w:t> </w:t>
      </w:r>
      <w:r>
        <w:rPr>
          <w:rFonts w:ascii="宋体" w:hAnsi="宋体" w:cs="宋体" w:eastAsia="宋体" w:hint="default"/>
          <w:spacing w:val="-5"/>
          <w:sz w:val="21"/>
          <w:szCs w:val="21"/>
        </w:rPr>
        <w:t>移给转入方，则终止确认该金融资产；如保留了金融资产所有权上几乎所有的</w:t>
      </w:r>
    </w:p>
    <w:p>
      <w:pPr>
        <w:pStyle w:val="BodyText"/>
        <w:spacing w:line="350" w:lineRule="auto" w:before="50"/>
        <w:ind w:right="1675"/>
        <w:jc w:val="left"/>
      </w:pPr>
      <w:r>
        <w:rPr/>
        <w:t>风险和报酬的，则不终止确认该金融资产。</w:t>
      </w:r>
      <w:r>
        <w:rPr>
          <w:w w:val="100"/>
        </w:rPr>
        <w:t> </w:t>
      </w:r>
      <w:r>
        <w:rPr>
          <w:spacing w:val="-5"/>
          <w:w w:val="100"/>
        </w:rPr>
        <w:t>在判断金融资产转移是否满足上述金融资产终止确认条件时，采用实质重于形</w:t>
      </w:r>
      <w:r>
        <w:rPr>
          <w:spacing w:val="-84"/>
          <w:w w:val="100"/>
        </w:rPr>
        <w:t> </w:t>
      </w:r>
      <w:r>
        <w:rPr>
          <w:spacing w:val="-84"/>
          <w:w w:val="100"/>
        </w:rPr>
      </w:r>
      <w:r>
        <w:rPr>
          <w:spacing w:val="-5"/>
        </w:rPr>
        <w:t>式的原则。公司将金融资产转移区分为金融资产整体转移和部分转移。金融资</w:t>
      </w:r>
      <w:r>
        <w:rPr>
          <w:spacing w:val="-47"/>
        </w:rPr>
        <w:t> </w:t>
      </w:r>
      <w:r>
        <w:rPr>
          <w:spacing w:val="-47"/>
        </w:rPr>
      </w:r>
      <w:r>
        <w:rPr/>
        <w:t>产整体转移满足终止确认条件的，将下列两项金额的差额计入当期损益：</w:t>
      </w:r>
    </w:p>
    <w:p>
      <w:pPr>
        <w:pStyle w:val="BodyText"/>
        <w:spacing w:line="240" w:lineRule="auto" w:before="29"/>
        <w:ind w:right="1675"/>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107"/>
        <w:ind w:right="1675"/>
        <w:jc w:val="left"/>
      </w:pPr>
      <w:r>
        <w:rPr/>
        <w:t>（</w:t>
      </w:r>
      <w:r>
        <w:rPr>
          <w:rFonts w:ascii="Times New Roman" w:hAnsi="Times New Roman" w:cs="Times New Roman" w:eastAsia="Times New Roman" w:hint="default"/>
        </w:rPr>
        <w:t>2</w:t>
      </w:r>
      <w:r>
        <w:rPr/>
        <w:t>）因转移而收到的对价，与原直接计入所有者权益的公允价值变动累计额</w:t>
      </w:r>
    </w:p>
    <w:p>
      <w:pPr>
        <w:pStyle w:val="BodyText"/>
        <w:spacing w:line="240" w:lineRule="auto" w:before="110"/>
        <w:ind w:right="1675"/>
        <w:jc w:val="left"/>
      </w:pPr>
      <w:r>
        <w:rPr/>
        <w:t>（涉及转移的金融资产为可供出售金融资产的情形）之和。</w:t>
      </w:r>
    </w:p>
    <w:p>
      <w:pPr>
        <w:spacing w:after="0" w:line="24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48" w:lineRule="auto"/>
        <w:ind w:right="1683"/>
        <w:jc w:val="both"/>
      </w:pPr>
      <w:r>
        <w:rPr>
          <w:spacing w:val="-2"/>
        </w:rPr>
        <w:t>金融资产部分转移满足终止确认条件的，将所转移金融资产整体的账面价值，</w:t>
      </w:r>
      <w:r>
        <w:rPr>
          <w:spacing w:val="-42"/>
        </w:rPr>
        <w:t> </w:t>
      </w:r>
      <w:r>
        <w:rPr>
          <w:spacing w:val="-42"/>
        </w:rPr>
      </w:r>
      <w:r>
        <w:rPr>
          <w:spacing w:val="-2"/>
        </w:rPr>
        <w:t>在终止确认部分和未终止确认部分之间，按照各自的相对公允价值进行分摊，</w:t>
      </w:r>
      <w:r>
        <w:rPr>
          <w:spacing w:val="-42"/>
        </w:rPr>
        <w:t> </w:t>
      </w:r>
      <w:r>
        <w:rPr>
          <w:spacing w:val="-42"/>
        </w:rPr>
      </w:r>
      <w:r>
        <w:rPr/>
        <w:t>并将下列两项金额的差额计入当期损益：</w:t>
      </w:r>
    </w:p>
    <w:p>
      <w:pPr>
        <w:pStyle w:val="BodyText"/>
        <w:spacing w:line="240" w:lineRule="auto" w:before="31"/>
        <w:ind w:right="1675"/>
        <w:jc w:val="left"/>
      </w:pPr>
      <w:r>
        <w:rPr/>
        <w:t>（</w:t>
      </w:r>
      <w:r>
        <w:rPr>
          <w:rFonts w:ascii="Times New Roman" w:hAnsi="Times New Roman" w:cs="Times New Roman" w:eastAsia="Times New Roman" w:hint="default"/>
        </w:rPr>
        <w:t>1</w:t>
      </w:r>
      <w:r>
        <w:rPr/>
        <w:t>）终止确认部分的账面价值；</w:t>
      </w:r>
    </w:p>
    <w:p>
      <w:pPr>
        <w:pStyle w:val="BodyText"/>
        <w:spacing w:line="343" w:lineRule="auto" w:before="110"/>
        <w:ind w:right="1675"/>
        <w:jc w:val="left"/>
      </w:pPr>
      <w:r>
        <w:rPr>
          <w:spacing w:val="-2"/>
        </w:rPr>
        <w:t>（</w:t>
      </w:r>
      <w:r>
        <w:rPr>
          <w:rFonts w:ascii="Times New Roman" w:hAnsi="Times New Roman" w:cs="Times New Roman" w:eastAsia="Times New Roman" w:hint="default"/>
          <w:spacing w:val="-2"/>
        </w:rPr>
        <w:t>2</w:t>
      </w:r>
      <w:r>
        <w:rPr>
          <w:spacing w:val="-2"/>
        </w:rPr>
        <w:t>）终止确认部分的对价，与原直接计入所有者权益的公允价值变动累计额</w:t>
      </w:r>
      <w:r>
        <w:rPr>
          <w:spacing w:val="-39"/>
        </w:rPr>
        <w:t> </w:t>
      </w:r>
      <w:r>
        <w:rPr>
          <w:spacing w:val="-39"/>
        </w:rPr>
      </w:r>
      <w:r>
        <w:rPr/>
        <w:t>中对应终止确认部分的金额（涉及转移的金融资产为可供出售金融资产的情</w:t>
      </w:r>
      <w:r>
        <w:rPr>
          <w:spacing w:val="-8"/>
        </w:rPr>
        <w:t> </w:t>
      </w:r>
      <w:r>
        <w:rPr>
          <w:spacing w:val="-8"/>
        </w:rPr>
      </w:r>
      <w:r>
        <w:rPr/>
        <w:t>形）之和。</w:t>
      </w:r>
      <w:r>
        <w:rPr>
          <w:spacing w:val="-102"/>
        </w:rPr>
        <w:t> </w:t>
      </w:r>
      <w:r>
        <w:rPr>
          <w:spacing w:val="-102"/>
        </w:rPr>
      </w:r>
      <w:r>
        <w:rPr>
          <w:spacing w:val="-5"/>
        </w:rPr>
        <w:t>金融资产转移不满足终止确认条件的，继续确认该金融资产，所收到的对价确</w:t>
      </w:r>
      <w:r>
        <w:rPr>
          <w:spacing w:val="-46"/>
        </w:rPr>
        <w:t> </w:t>
      </w:r>
      <w:r>
        <w:rPr>
          <w:spacing w:val="-46"/>
        </w:rPr>
      </w:r>
      <w:r>
        <w:rPr/>
        <w:t>认为一项金融负债。</w:t>
      </w:r>
    </w:p>
    <w:p>
      <w:pPr>
        <w:spacing w:line="240" w:lineRule="auto" w:before="3"/>
        <w:rPr>
          <w:rFonts w:ascii="宋体" w:hAnsi="宋体" w:cs="宋体" w:eastAsia="宋体" w:hint="default"/>
          <w:sz w:val="28"/>
          <w:szCs w:val="28"/>
        </w:rPr>
      </w:pPr>
    </w:p>
    <w:p>
      <w:pPr>
        <w:pStyle w:val="BodyText"/>
        <w:tabs>
          <w:tab w:pos="1397" w:val="left" w:leader="none"/>
        </w:tabs>
        <w:spacing w:line="328" w:lineRule="auto" w:before="0"/>
        <w:ind w:right="1683" w:hanging="569"/>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w:t>
        <w:tab/>
        <w:t>金融负债终止确认条件</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5"/>
          <w:w w:val="100"/>
        </w:rPr>
        <w:t>金融负债的现时义务全部或部分已经解除的，则终止确认该金融负债或其一部</w:t>
      </w:r>
      <w:r>
        <w:rPr>
          <w:w w:val="100"/>
        </w:rPr>
        <w:t> </w:t>
      </w:r>
      <w:r>
        <w:rPr>
          <w:spacing w:val="-2"/>
        </w:rPr>
        <w:t>分；本公司若与债权人签定协议，以承担新金融负债方式替换现存金融负债，</w:t>
      </w:r>
    </w:p>
    <w:p>
      <w:pPr>
        <w:pStyle w:val="BodyText"/>
        <w:spacing w:line="348" w:lineRule="auto" w:before="48"/>
        <w:ind w:right="1675"/>
        <w:jc w:val="left"/>
      </w:pPr>
      <w:r>
        <w:rPr>
          <w:spacing w:val="-5"/>
          <w:w w:val="100"/>
        </w:rPr>
        <w:t>且新金融负债与现存金融负债的合同条款实质上不同的，则终止确认现存金融</w:t>
      </w:r>
      <w:r>
        <w:rPr>
          <w:spacing w:val="-84"/>
          <w:w w:val="100"/>
        </w:rPr>
        <w:t> </w:t>
      </w:r>
      <w:r>
        <w:rPr>
          <w:spacing w:val="-84"/>
          <w:w w:val="100"/>
        </w:rPr>
      </w:r>
      <w:r>
        <w:rPr/>
        <w:t>负债，并同时确认新金融负债。</w:t>
      </w:r>
      <w:r>
        <w:rPr>
          <w:w w:val="100"/>
        </w:rPr>
        <w:t> </w:t>
      </w:r>
      <w:r>
        <w:rPr>
          <w:spacing w:val="-5"/>
          <w:w w:val="100"/>
        </w:rPr>
        <w:t>对现存金融负债全部或部分合同条款作出实质性修改的，则终止确认现存金融</w:t>
      </w:r>
      <w:r>
        <w:rPr>
          <w:spacing w:val="-84"/>
          <w:w w:val="100"/>
        </w:rPr>
        <w:t> </w:t>
      </w:r>
      <w:r>
        <w:rPr>
          <w:spacing w:val="-84"/>
          <w:w w:val="100"/>
        </w:rPr>
      </w:r>
      <w:r>
        <w:rPr/>
        <w:t>负债或其一部分，同时将修改条款后的金融负债确认为一项新金融负债。</w:t>
      </w:r>
      <w:r>
        <w:rPr>
          <w:w w:val="100"/>
        </w:rPr>
        <w:t> </w:t>
      </w:r>
      <w:r>
        <w:rPr/>
        <w:t>金融负债全部或部分终止确认时，终止确认的金融负债账面价值与支付对价</w:t>
      </w:r>
    </w:p>
    <w:p>
      <w:pPr>
        <w:pStyle w:val="BodyText"/>
        <w:spacing w:line="350" w:lineRule="auto" w:before="31"/>
        <w:ind w:right="1675"/>
        <w:jc w:val="left"/>
      </w:pPr>
      <w:r>
        <w:rPr>
          <w:spacing w:val="-2"/>
        </w:rPr>
        <w:t>（包括转出的非现金资产或承担的新金融负债）之间的差额，计入当期损益。</w:t>
      </w:r>
      <w:r>
        <w:rPr>
          <w:spacing w:val="-45"/>
        </w:rPr>
        <w:t> </w:t>
      </w:r>
      <w:r>
        <w:rPr>
          <w:spacing w:val="-45"/>
        </w:rPr>
      </w:r>
      <w:r>
        <w:rPr>
          <w:spacing w:val="-5"/>
          <w:w w:val="100"/>
        </w:rPr>
        <w:t>本公司若回购部分金融负债的，在回购日按照继续确认部分与终止确认部分的</w:t>
      </w:r>
      <w:r>
        <w:rPr>
          <w:spacing w:val="-84"/>
          <w:w w:val="100"/>
        </w:rPr>
        <w:t> </w:t>
      </w:r>
      <w:r>
        <w:rPr>
          <w:spacing w:val="-84"/>
          <w:w w:val="100"/>
        </w:rPr>
      </w:r>
      <w:r>
        <w:rPr>
          <w:spacing w:val="-5"/>
        </w:rPr>
        <w:t>相对公允价值，将该金融负债整体的账面价值进行分配。分配给终止确认部分</w:t>
      </w:r>
      <w:r>
        <w:rPr>
          <w:spacing w:val="-47"/>
        </w:rPr>
        <w:t> </w:t>
      </w:r>
      <w:r>
        <w:rPr>
          <w:spacing w:val="-47"/>
        </w:rPr>
      </w:r>
      <w:r>
        <w:rPr>
          <w:spacing w:val="-5"/>
        </w:rPr>
        <w:t>的账面价值与支付的对价（包括转出的非现金资产或承担的新金融负债）之间</w:t>
      </w:r>
      <w:r>
        <w:rPr>
          <w:spacing w:val="-44"/>
        </w:rPr>
        <w:t> </w:t>
      </w:r>
      <w:r>
        <w:rPr>
          <w:spacing w:val="-44"/>
        </w:rPr>
      </w:r>
      <w:r>
        <w:rPr/>
        <w:t>的差额，计入当期损益。</w:t>
      </w:r>
    </w:p>
    <w:p>
      <w:pPr>
        <w:spacing w:line="240" w:lineRule="auto" w:before="8"/>
        <w:rPr>
          <w:rFonts w:ascii="宋体" w:hAnsi="宋体" w:cs="宋体" w:eastAsia="宋体" w:hint="default"/>
          <w:sz w:val="27"/>
          <w:szCs w:val="27"/>
        </w:rPr>
      </w:pPr>
    </w:p>
    <w:p>
      <w:pPr>
        <w:tabs>
          <w:tab w:pos="1397" w:val="left" w:leader="none"/>
        </w:tabs>
        <w:spacing w:line="326" w:lineRule="auto" w:before="0"/>
        <w:ind w:left="1414" w:right="180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金融资产和金融负债的公允价值的确定方法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5"/>
          <w:sz w:val="21"/>
          <w:szCs w:val="21"/>
        </w:rPr>
        <w:t>存在活跃市场的金融工具，以活跃市场中的报价确定其公允价值。不存在活跃</w:t>
      </w:r>
      <w:r>
        <w:rPr>
          <w:rFonts w:ascii="宋体" w:hAnsi="宋体" w:cs="宋体" w:eastAsia="宋体" w:hint="default"/>
          <w:w w:val="100"/>
          <w:sz w:val="21"/>
          <w:szCs w:val="21"/>
        </w:rPr>
        <w:t> </w:t>
      </w:r>
      <w:r>
        <w:rPr>
          <w:rFonts w:ascii="宋体" w:hAnsi="宋体" w:cs="宋体" w:eastAsia="宋体" w:hint="default"/>
          <w:spacing w:val="-5"/>
          <w:sz w:val="21"/>
          <w:szCs w:val="21"/>
        </w:rPr>
        <w:t>市场的金融工具，采用估值技术确定其公允价值。在估值时，本公司采用在当</w:t>
      </w:r>
    </w:p>
    <w:p>
      <w:pPr>
        <w:pStyle w:val="BodyText"/>
        <w:spacing w:line="350" w:lineRule="auto" w:before="50"/>
        <w:ind w:right="1675"/>
        <w:jc w:val="left"/>
      </w:pPr>
      <w:r>
        <w:rPr>
          <w:spacing w:val="-5"/>
          <w:w w:val="100"/>
        </w:rPr>
        <w:t>前情况下适用并且有足够可利用数据和其他信息支持的估值技术，选择与市场</w:t>
      </w:r>
      <w:r>
        <w:rPr>
          <w:spacing w:val="-84"/>
          <w:w w:val="100"/>
        </w:rPr>
        <w:t> </w:t>
      </w:r>
      <w:r>
        <w:rPr>
          <w:spacing w:val="-84"/>
          <w:w w:val="100"/>
        </w:rPr>
      </w:r>
      <w:r>
        <w:rPr>
          <w:spacing w:val="-2"/>
        </w:rPr>
        <w:t>参与者在相关资产或负债的交易中所考虑的资产或负债特征相一致的输入值，</w:t>
      </w:r>
      <w:r>
        <w:rPr>
          <w:spacing w:val="-42"/>
        </w:rPr>
        <w:t> </w:t>
      </w:r>
      <w:r>
        <w:rPr>
          <w:spacing w:val="-42"/>
        </w:rPr>
      </w:r>
      <w:r>
        <w:rPr>
          <w:spacing w:val="-5"/>
          <w:w w:val="100"/>
        </w:rPr>
        <w:t>并优先使用相关可观察输入值。只有在相关可观察输入值无法取得或取得不切</w:t>
      </w:r>
      <w:r>
        <w:rPr>
          <w:spacing w:val="-84"/>
          <w:w w:val="100"/>
        </w:rPr>
        <w:t> </w:t>
      </w:r>
      <w:r>
        <w:rPr>
          <w:spacing w:val="-84"/>
          <w:w w:val="100"/>
        </w:rPr>
      </w:r>
      <w:r>
        <w:rPr/>
        <w:t>实可行的情况下，才使用不可观察输入值。</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金融资产（不含应收款项）减值的测试方法及会计处理方法</w:t>
      </w:r>
      <w:r>
        <w:rPr>
          <w:rFonts w:ascii="Microsoft JhengHei" w:hAnsi="Microsoft JhengHei" w:cs="Microsoft JhengHei" w:eastAsia="Microsoft JhengHei" w:hint="default"/>
          <w:b/>
          <w:bCs/>
          <w:spacing w:val="-34"/>
          <w:sz w:val="21"/>
          <w:szCs w:val="21"/>
        </w:rPr>
        <w:t> </w:t>
      </w:r>
      <w:r>
        <w:rPr>
          <w:rFonts w:ascii="Microsoft JhengHei" w:hAnsi="Microsoft JhengHei" w:cs="Microsoft JhengHei" w:eastAsia="Microsoft JhengHei" w:hint="default"/>
          <w:b/>
          <w:bCs/>
          <w:spacing w:val="-34"/>
          <w:sz w:val="21"/>
          <w:szCs w:val="21"/>
        </w:rPr>
      </w:r>
      <w:r>
        <w:rPr>
          <w:rFonts w:ascii="宋体" w:hAnsi="宋体" w:cs="宋体" w:eastAsia="宋体" w:hint="default"/>
          <w:spacing w:val="-5"/>
          <w:w w:val="100"/>
          <w:sz w:val="21"/>
          <w:szCs w:val="21"/>
        </w:rPr>
        <w:t>除以公允价值计量且其变动计入当期损益的金融资产外，本公司于资产负债表</w:t>
      </w:r>
    </w:p>
    <w:p>
      <w:pPr>
        <w:spacing w:after="0" w:line="307" w:lineRule="auto"/>
        <w:jc w:val="left"/>
        <w:rPr>
          <w:rFonts w:ascii="宋体" w:hAnsi="宋体" w:cs="宋体" w:eastAsia="宋体" w:hint="default"/>
          <w:sz w:val="21"/>
          <w:szCs w:val="21"/>
        </w:rPr>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50" w:lineRule="auto"/>
        <w:ind w:right="1675"/>
        <w:jc w:val="left"/>
      </w:pPr>
      <w:r>
        <w:rPr>
          <w:spacing w:val="-5"/>
          <w:w w:val="100"/>
        </w:rPr>
        <w:t>日对金融资产的账面价值进行检查，如果有客观证据表明某项金融资产发生减</w:t>
      </w:r>
      <w:r>
        <w:rPr>
          <w:spacing w:val="-84"/>
          <w:w w:val="100"/>
        </w:rPr>
        <w:t> </w:t>
      </w:r>
      <w:r>
        <w:rPr>
          <w:spacing w:val="-84"/>
          <w:w w:val="100"/>
        </w:rPr>
      </w:r>
      <w:r>
        <w:rPr/>
        <w:t>值的，计提减值准备。</w:t>
      </w:r>
    </w:p>
    <w:p>
      <w:pPr>
        <w:pStyle w:val="BodyText"/>
        <w:spacing w:line="345" w:lineRule="auto" w:before="27"/>
        <w:ind w:right="1675"/>
        <w:jc w:val="left"/>
      </w:pPr>
      <w:r>
        <w:rPr/>
        <w:t>（</w:t>
      </w:r>
      <w:r>
        <w:rPr>
          <w:rFonts w:ascii="Times New Roman" w:hAnsi="Times New Roman" w:cs="Times New Roman" w:eastAsia="Times New Roman" w:hint="default"/>
        </w:rPr>
        <w:t>1</w:t>
      </w:r>
      <w:r>
        <w:rPr/>
        <w:t>）可供出售金融资产的减值准备：</w:t>
      </w:r>
      <w:r>
        <w:rPr>
          <w:w w:val="100"/>
        </w:rPr>
        <w:t> </w:t>
      </w:r>
      <w:r>
        <w:rPr>
          <w:spacing w:val="-5"/>
          <w:w w:val="100"/>
        </w:rPr>
        <w:t>期末如果可供出售金融资产的公允价值发生严重下降，或在综合考虑各种相关</w:t>
      </w:r>
      <w:r>
        <w:rPr>
          <w:spacing w:val="-85"/>
          <w:w w:val="100"/>
        </w:rPr>
        <w:t> </w:t>
      </w:r>
      <w:r>
        <w:rPr>
          <w:spacing w:val="-85"/>
          <w:w w:val="100"/>
        </w:rPr>
      </w:r>
      <w:r>
        <w:rPr>
          <w:spacing w:val="-5"/>
        </w:rPr>
        <w:t>因素后，预期这种下降趋势属于非暂时性的，就认定其已发生减值，将原直接</w:t>
      </w:r>
      <w:r>
        <w:rPr>
          <w:spacing w:val="-49"/>
        </w:rPr>
        <w:t> </w:t>
      </w:r>
      <w:r>
        <w:rPr>
          <w:spacing w:val="-49"/>
        </w:rPr>
      </w:r>
      <w:r>
        <w:rPr/>
        <w:t>计入所有者权益的公允价值下降形成的累计损失一并转出，确认减值损失。</w:t>
      </w:r>
      <w:r>
        <w:rPr>
          <w:w w:val="100"/>
        </w:rPr>
        <w:t> </w:t>
      </w:r>
      <w:r>
        <w:rPr>
          <w:spacing w:val="-5"/>
          <w:w w:val="100"/>
        </w:rPr>
        <w:t>对于已确认减值损失的可供出售债务工具，在随后的会计期间公允价值已上升</w:t>
      </w:r>
      <w:r>
        <w:rPr>
          <w:spacing w:val="-85"/>
          <w:w w:val="100"/>
        </w:rPr>
        <w:t> </w:t>
      </w:r>
      <w:r>
        <w:rPr>
          <w:spacing w:val="-85"/>
          <w:w w:val="100"/>
        </w:rPr>
      </w:r>
      <w:r>
        <w:rPr>
          <w:spacing w:val="-5"/>
          <w:w w:val="100"/>
        </w:rPr>
        <w:t>且客观上与确认原减值损失确认后发生的事项有关的，原确认的减值损失予以</w:t>
      </w:r>
      <w:r>
        <w:rPr>
          <w:spacing w:val="-85"/>
          <w:w w:val="100"/>
        </w:rPr>
        <w:t> </w:t>
      </w:r>
      <w:r>
        <w:rPr>
          <w:spacing w:val="-85"/>
          <w:w w:val="100"/>
        </w:rPr>
      </w:r>
      <w:r>
        <w:rPr/>
        <w:t>转回，计入当期损益。</w:t>
      </w:r>
      <w:r>
        <w:rPr>
          <w:w w:val="100"/>
        </w:rPr>
        <w:t> </w:t>
      </w:r>
      <w:r>
        <w:rPr/>
        <w:t>可供出售权益工具投资发生的减值损失，不通过损益转回。</w:t>
      </w:r>
    </w:p>
    <w:p>
      <w:pPr>
        <w:pStyle w:val="BodyText"/>
        <w:spacing w:line="328" w:lineRule="auto" w:before="33"/>
        <w:ind w:right="1675"/>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3"/>
        <w:rPr>
          <w:rFonts w:ascii="宋体" w:hAnsi="宋体" w:cs="宋体" w:eastAsia="宋体" w:hint="default"/>
          <w:sz w:val="29"/>
          <w:szCs w:val="29"/>
        </w:rPr>
      </w:pPr>
    </w:p>
    <w:p>
      <w:pPr>
        <w:pStyle w:val="Heading6"/>
        <w:tabs>
          <w:tab w:pos="850" w:val="left" w:leader="none"/>
        </w:tabs>
        <w:spacing w:line="240" w:lineRule="auto"/>
        <w:ind w:left="126" w:right="1675"/>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应收款项坏账准备</w:t>
      </w:r>
      <w:r>
        <w:rPr>
          <w:b w:val="0"/>
          <w:bCs w:val="0"/>
        </w:rPr>
      </w:r>
    </w:p>
    <w:p>
      <w:pPr>
        <w:tabs>
          <w:tab w:pos="1397" w:val="left" w:leader="none"/>
        </w:tabs>
        <w:spacing w:line="307" w:lineRule="auto" w:before="33"/>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单项金额重大并单独计提坏账准备的应收款项：</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5"/>
          <w:w w:val="100"/>
          <w:sz w:val="21"/>
          <w:szCs w:val="21"/>
        </w:rPr>
        <w:t>单项金额重大的判断依据或金额标准：本公司将期末余额为人民币</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100</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万元及</w:t>
      </w:r>
    </w:p>
    <w:p>
      <w:pPr>
        <w:pStyle w:val="BodyText"/>
        <w:spacing w:line="343" w:lineRule="auto" w:before="45"/>
        <w:ind w:right="1778"/>
        <w:jc w:val="left"/>
      </w:pPr>
      <w:r>
        <w:rPr/>
        <w:t>以上的应收账款，期末余额</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万元及以上的其他应收款确认为单项金额重大</w:t>
      </w:r>
      <w:r>
        <w:rPr>
          <w:w w:val="100"/>
        </w:rPr>
        <w:t> </w:t>
      </w:r>
      <w:r>
        <w:rPr/>
        <w:t>的应收款项。</w:t>
      </w:r>
      <w:r>
        <w:rPr>
          <w:w w:val="100"/>
        </w:rPr>
        <w:t> </w:t>
      </w:r>
      <w:r>
        <w:rPr>
          <w:spacing w:val="-5"/>
        </w:rPr>
        <w:t>单项金额重大并单独计提坏账准备的计提方法：单独进行减值测试，按预计未</w:t>
      </w:r>
      <w:r>
        <w:rPr>
          <w:spacing w:val="-45"/>
        </w:rPr>
        <w:t> </w:t>
      </w:r>
      <w:r>
        <w:rPr>
          <w:spacing w:val="-45"/>
        </w:rPr>
      </w:r>
      <w:r>
        <w:rPr>
          <w:spacing w:val="-5"/>
        </w:rPr>
        <w:t>来现金流量现值低于其账面价值的差额计提坏账准备，计入当期损益。单独测</w:t>
      </w:r>
      <w:r>
        <w:rPr>
          <w:spacing w:val="-43"/>
        </w:rPr>
        <w:t> </w:t>
      </w:r>
      <w:r>
        <w:rPr>
          <w:spacing w:val="-43"/>
        </w:rPr>
      </w:r>
      <w:r>
        <w:rPr/>
        <w:t>试未发生减值的应收款项，将其归入相应组合计提坏账准备。</w:t>
      </w:r>
    </w:p>
    <w:p>
      <w:pPr>
        <w:spacing w:line="240" w:lineRule="auto" w:before="4"/>
        <w:rPr>
          <w:rFonts w:ascii="宋体" w:hAnsi="宋体" w:cs="宋体" w:eastAsia="宋体" w:hint="default"/>
          <w:sz w:val="28"/>
          <w:szCs w:val="28"/>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按信用风险特征组合计提坏账准备应收款项：</w:t>
      </w:r>
      <w:r>
        <w:rPr>
          <w:b w:val="0"/>
          <w:bCs w:val="0"/>
        </w:rPr>
      </w:r>
    </w:p>
    <w:p>
      <w:pPr>
        <w:pStyle w:val="BodyText"/>
        <w:spacing w:line="345" w:lineRule="auto" w:before="99"/>
        <w:ind w:left="1218" w:right="1675"/>
        <w:jc w:val="left"/>
      </w:pPr>
      <w:r>
        <w:rPr/>
        <w:t>（</w:t>
      </w:r>
      <w:r>
        <w:rPr>
          <w:rFonts w:ascii="Times New Roman" w:hAnsi="Times New Roman" w:cs="Times New Roman" w:eastAsia="Times New Roman" w:hint="default"/>
        </w:rPr>
        <w:t>1</w:t>
      </w:r>
      <w:r>
        <w:rPr/>
        <w:t>）信用风险特征组合的确定依据</w:t>
      </w:r>
      <w:r>
        <w:rPr>
          <w:w w:val="100"/>
        </w:rPr>
        <w:t> </w:t>
      </w:r>
      <w:r>
        <w:rPr>
          <w:spacing w:val="-2"/>
        </w:rPr>
        <w:t>对于单项金额不重大的应收款项，与经单独测试后未减值的单项金额重大的应</w:t>
      </w:r>
      <w:r>
        <w:rPr>
          <w:spacing w:val="-42"/>
        </w:rPr>
        <w:t> </w:t>
      </w:r>
      <w:r>
        <w:rPr>
          <w:spacing w:val="-42"/>
        </w:rPr>
      </w:r>
      <w:r>
        <w:rPr>
          <w:spacing w:val="-2"/>
        </w:rPr>
        <w:t>收款项一起按信用风险特征划分为若干组合，根据以前年度与之具有类似信用</w:t>
      </w:r>
      <w:r>
        <w:rPr>
          <w:spacing w:val="-42"/>
        </w:rPr>
        <w:t> </w:t>
      </w:r>
      <w:r>
        <w:rPr>
          <w:spacing w:val="-42"/>
        </w:rPr>
      </w:r>
      <w:r>
        <w:rPr>
          <w:spacing w:val="-2"/>
        </w:rPr>
        <w:t>风险特征的应收款项组合的实际损失率为基础，结合现时情况确定应计提的坏</w:t>
      </w:r>
      <w:r>
        <w:rPr>
          <w:spacing w:val="-42"/>
        </w:rPr>
        <w:t> </w:t>
      </w:r>
      <w:r>
        <w:rPr>
          <w:spacing w:val="-42"/>
        </w:rPr>
      </w:r>
      <w:r>
        <w:rPr/>
        <w:t>账准备。</w:t>
      </w:r>
    </w:p>
    <w:p>
      <w:pPr>
        <w:pStyle w:val="BodyText"/>
        <w:spacing w:line="240" w:lineRule="auto" w:before="33"/>
        <w:ind w:left="1218" w:right="1675"/>
        <w:jc w:val="left"/>
      </w:pPr>
      <w:r>
        <w:rPr/>
        <w:t>确定组合的依据：</w:t>
      </w:r>
    </w:p>
    <w:p>
      <w:pPr>
        <w:spacing w:line="240" w:lineRule="auto" w:before="4"/>
        <w:rPr>
          <w:rFonts w:ascii="宋体" w:hAnsi="宋体" w:cs="宋体" w:eastAsia="宋体" w:hint="default"/>
          <w:sz w:val="2"/>
          <w:szCs w:val="2"/>
        </w:rPr>
      </w:pPr>
    </w:p>
    <w:tbl>
      <w:tblPr>
        <w:tblW w:w="0" w:type="auto"/>
        <w:jc w:val="left"/>
        <w:tblInd w:w="834" w:type="dxa"/>
        <w:tblLayout w:type="fixed"/>
        <w:tblCellMar>
          <w:top w:w="0" w:type="dxa"/>
          <w:left w:w="0" w:type="dxa"/>
          <w:bottom w:w="0" w:type="dxa"/>
          <w:right w:w="0" w:type="dxa"/>
        </w:tblCellMar>
        <w:tblLook w:val="01E0"/>
      </w:tblPr>
      <w:tblGrid>
        <w:gridCol w:w="1426"/>
        <w:gridCol w:w="2398"/>
        <w:gridCol w:w="3807"/>
      </w:tblGrid>
      <w:tr>
        <w:trPr>
          <w:trHeight w:val="461" w:hRule="exact"/>
        </w:trPr>
        <w:tc>
          <w:tcPr>
            <w:tcW w:w="14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组合名称</w:t>
            </w:r>
          </w:p>
        </w:tc>
        <w:tc>
          <w:tcPr>
            <w:tcW w:w="23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计提方法</w:t>
            </w:r>
          </w:p>
        </w:tc>
        <w:tc>
          <w:tcPr>
            <w:tcW w:w="38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确定组合的依据</w:t>
            </w:r>
          </w:p>
        </w:tc>
      </w:tr>
      <w:tr>
        <w:trPr>
          <w:trHeight w:val="730"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保证金、押金组合</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7"/>
              <w:ind w:left="21" w:right="19"/>
              <w:jc w:val="left"/>
              <w:rPr>
                <w:rFonts w:ascii="宋体" w:hAnsi="宋体" w:cs="宋体" w:eastAsia="宋体" w:hint="default"/>
                <w:sz w:val="16"/>
                <w:szCs w:val="16"/>
              </w:rPr>
            </w:pPr>
            <w:r>
              <w:rPr>
                <w:rFonts w:ascii="宋体" w:hAnsi="宋体" w:cs="宋体" w:eastAsia="宋体" w:hint="default"/>
                <w:spacing w:val="-5"/>
                <w:sz w:val="16"/>
                <w:szCs w:val="16"/>
              </w:rPr>
              <w:t>如无客观证据表明发生了减值，按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固定比例</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宋体" w:hAnsi="宋体" w:cs="宋体" w:eastAsia="宋体" w:hint="default"/>
                <w:sz w:val="16"/>
                <w:szCs w:val="16"/>
              </w:rPr>
              <w:t>计提</w:t>
            </w:r>
          </w:p>
        </w:tc>
        <w:tc>
          <w:tcPr>
            <w:tcW w:w="38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1" w:right="0"/>
              <w:jc w:val="left"/>
              <w:rPr>
                <w:rFonts w:ascii="宋体" w:hAnsi="宋体" w:cs="宋体" w:eastAsia="宋体" w:hint="default"/>
                <w:sz w:val="16"/>
                <w:szCs w:val="16"/>
              </w:rPr>
            </w:pPr>
            <w:r>
              <w:rPr>
                <w:rFonts w:ascii="宋体" w:hAnsi="宋体" w:cs="宋体" w:eastAsia="宋体" w:hint="default"/>
                <w:sz w:val="16"/>
                <w:szCs w:val="16"/>
              </w:rPr>
              <w:t>缴纳的各类保证金及押金</w:t>
            </w:r>
          </w:p>
        </w:tc>
      </w:tr>
      <w:tr>
        <w:trPr>
          <w:trHeight w:val="742" w:hRule="exact"/>
        </w:trPr>
        <w:tc>
          <w:tcPr>
            <w:tcW w:w="1426" w:type="dxa"/>
            <w:tcBorders>
              <w:top w:val="dotted" w:sz="4" w:space="0" w:color="000000"/>
              <w:left w:val="nil" w:sz="6" w:space="0" w:color="auto"/>
              <w:bottom w:val="single" w:sz="12" w:space="0" w:color="000000"/>
              <w:right w:val="dotted" w:sz="4" w:space="0" w:color="000000"/>
            </w:tcBorders>
          </w:tcPr>
          <w:p>
            <w:pPr>
              <w:pStyle w:val="TableParagraph"/>
              <w:spacing w:line="360" w:lineRule="exact" w:before="29"/>
              <w:ind w:left="43" w:right="94"/>
              <w:jc w:val="left"/>
              <w:rPr>
                <w:rFonts w:ascii="宋体" w:hAnsi="宋体" w:cs="宋体" w:eastAsia="宋体" w:hint="default"/>
                <w:sz w:val="16"/>
                <w:szCs w:val="16"/>
              </w:rPr>
            </w:pPr>
            <w:r>
              <w:rPr>
                <w:rFonts w:ascii="宋体" w:hAnsi="宋体" w:cs="宋体" w:eastAsia="宋体" w:hint="default"/>
                <w:spacing w:val="-1"/>
                <w:sz w:val="16"/>
                <w:szCs w:val="16"/>
              </w:rPr>
              <w:t>被投资单位往来款</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组合</w:t>
            </w:r>
          </w:p>
        </w:tc>
        <w:tc>
          <w:tcPr>
            <w:tcW w:w="2398" w:type="dxa"/>
            <w:tcBorders>
              <w:top w:val="dotted" w:sz="4" w:space="0" w:color="000000"/>
              <w:left w:val="dotted" w:sz="4" w:space="0" w:color="000000"/>
              <w:bottom w:val="single" w:sz="12" w:space="0" w:color="000000"/>
              <w:right w:val="dotted" w:sz="4" w:space="0" w:color="000000"/>
            </w:tcBorders>
          </w:tcPr>
          <w:p>
            <w:pPr>
              <w:pStyle w:val="TableParagraph"/>
              <w:spacing w:line="360" w:lineRule="exact" w:before="29"/>
              <w:ind w:left="21" w:right="19"/>
              <w:jc w:val="left"/>
              <w:rPr>
                <w:rFonts w:ascii="宋体" w:hAnsi="宋体" w:cs="宋体" w:eastAsia="宋体" w:hint="default"/>
                <w:sz w:val="16"/>
                <w:szCs w:val="16"/>
              </w:rPr>
            </w:pPr>
            <w:r>
              <w:rPr>
                <w:rFonts w:ascii="宋体" w:hAnsi="宋体" w:cs="宋体" w:eastAsia="宋体" w:hint="default"/>
                <w:spacing w:val="-5"/>
                <w:sz w:val="16"/>
                <w:szCs w:val="16"/>
              </w:rPr>
              <w:t>如无客观证据表明发生了减值，按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固定比例</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宋体" w:hAnsi="宋体" w:cs="宋体" w:eastAsia="宋体" w:hint="default"/>
                <w:sz w:val="16"/>
                <w:szCs w:val="16"/>
              </w:rPr>
              <w:t>计提</w:t>
            </w:r>
          </w:p>
        </w:tc>
        <w:tc>
          <w:tcPr>
            <w:tcW w:w="3807" w:type="dxa"/>
            <w:tcBorders>
              <w:top w:val="dotted" w:sz="4" w:space="0" w:color="000000"/>
              <w:left w:val="dotted" w:sz="4" w:space="0" w:color="000000"/>
              <w:bottom w:val="single" w:sz="12" w:space="0" w:color="000000"/>
              <w:right w:val="nil" w:sz="6" w:space="0" w:color="auto"/>
            </w:tcBorders>
          </w:tcPr>
          <w:p>
            <w:pPr>
              <w:pStyle w:val="TableParagraph"/>
              <w:spacing w:line="360" w:lineRule="exact" w:before="29"/>
              <w:ind w:left="21" w:right="97"/>
              <w:jc w:val="left"/>
              <w:rPr>
                <w:rFonts w:ascii="宋体" w:hAnsi="宋体" w:cs="宋体" w:eastAsia="宋体" w:hint="default"/>
                <w:sz w:val="16"/>
                <w:szCs w:val="16"/>
              </w:rPr>
            </w:pPr>
            <w:r>
              <w:rPr>
                <w:rFonts w:ascii="宋体" w:hAnsi="宋体" w:cs="宋体" w:eastAsia="宋体" w:hint="default"/>
                <w:spacing w:val="-1"/>
                <w:sz w:val="16"/>
                <w:szCs w:val="16"/>
              </w:rPr>
              <w:t>因提供财务资助和发生业务关系形成的应收被投资单</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位往来款项</w:t>
            </w:r>
          </w:p>
        </w:tc>
      </w:tr>
    </w:tbl>
    <w:p>
      <w:pPr>
        <w:spacing w:after="0" w:line="360" w:lineRule="exact"/>
        <w:jc w:val="left"/>
        <w:rPr>
          <w:rFonts w:ascii="宋体" w:hAnsi="宋体" w:cs="宋体" w:eastAsia="宋体" w:hint="default"/>
          <w:sz w:val="16"/>
          <w:szCs w:val="16"/>
        </w:rPr>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834" w:type="dxa"/>
        <w:tblLayout w:type="fixed"/>
        <w:tblCellMar>
          <w:top w:w="0" w:type="dxa"/>
          <w:left w:w="0" w:type="dxa"/>
          <w:bottom w:w="0" w:type="dxa"/>
          <w:right w:w="0" w:type="dxa"/>
        </w:tblCellMar>
        <w:tblLook w:val="01E0"/>
      </w:tblPr>
      <w:tblGrid>
        <w:gridCol w:w="1426"/>
        <w:gridCol w:w="2398"/>
        <w:gridCol w:w="3807"/>
      </w:tblGrid>
      <w:tr>
        <w:trPr>
          <w:trHeight w:val="461" w:hRule="exact"/>
        </w:trPr>
        <w:tc>
          <w:tcPr>
            <w:tcW w:w="14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6"/>
                <w:szCs w:val="16"/>
              </w:rPr>
            </w:pPr>
            <w:r>
              <w:rPr>
                <w:rFonts w:ascii="宋体" w:hAnsi="宋体" w:cs="宋体" w:eastAsia="宋体" w:hint="default"/>
                <w:sz w:val="16"/>
                <w:szCs w:val="16"/>
              </w:rPr>
              <w:t>组合名称</w:t>
            </w:r>
          </w:p>
        </w:tc>
        <w:tc>
          <w:tcPr>
            <w:tcW w:w="23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计提方法</w:t>
            </w:r>
          </w:p>
        </w:tc>
        <w:tc>
          <w:tcPr>
            <w:tcW w:w="38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确定组合的依据</w:t>
            </w:r>
          </w:p>
        </w:tc>
      </w:tr>
      <w:tr>
        <w:trPr>
          <w:trHeight w:val="730"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6"/>
              <w:ind w:left="43" w:right="94"/>
              <w:jc w:val="left"/>
              <w:rPr>
                <w:rFonts w:ascii="宋体" w:hAnsi="宋体" w:cs="宋体" w:eastAsia="宋体" w:hint="default"/>
                <w:sz w:val="16"/>
                <w:szCs w:val="16"/>
              </w:rPr>
            </w:pPr>
            <w:r>
              <w:rPr>
                <w:rFonts w:ascii="宋体" w:hAnsi="宋体" w:cs="宋体" w:eastAsia="宋体" w:hint="default"/>
                <w:spacing w:val="-1"/>
                <w:sz w:val="16"/>
                <w:szCs w:val="16"/>
              </w:rPr>
              <w:t>政府机构往来款组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合</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6"/>
              <w:ind w:left="21" w:right="19"/>
              <w:jc w:val="left"/>
              <w:rPr>
                <w:rFonts w:ascii="宋体" w:hAnsi="宋体" w:cs="宋体" w:eastAsia="宋体" w:hint="default"/>
                <w:sz w:val="16"/>
                <w:szCs w:val="16"/>
              </w:rPr>
            </w:pPr>
            <w:r>
              <w:rPr>
                <w:rFonts w:ascii="宋体" w:hAnsi="宋体" w:cs="宋体" w:eastAsia="宋体" w:hint="default"/>
                <w:spacing w:val="-5"/>
                <w:sz w:val="16"/>
                <w:szCs w:val="16"/>
              </w:rPr>
              <w:t>如无客观证据表明发生了减值，按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固定比例</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宋体" w:hAnsi="宋体" w:cs="宋体" w:eastAsia="宋体" w:hint="default"/>
                <w:sz w:val="16"/>
                <w:szCs w:val="16"/>
              </w:rPr>
              <w:t>计提</w:t>
            </w:r>
          </w:p>
        </w:tc>
        <w:tc>
          <w:tcPr>
            <w:tcW w:w="3807"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6"/>
              <w:ind w:left="21" w:right="97"/>
              <w:jc w:val="left"/>
              <w:rPr>
                <w:rFonts w:ascii="宋体" w:hAnsi="宋体" w:cs="宋体" w:eastAsia="宋体" w:hint="default"/>
                <w:sz w:val="16"/>
                <w:szCs w:val="16"/>
              </w:rPr>
            </w:pPr>
            <w:r>
              <w:rPr>
                <w:rFonts w:ascii="宋体" w:hAnsi="宋体" w:cs="宋体" w:eastAsia="宋体" w:hint="default"/>
                <w:spacing w:val="-1"/>
                <w:sz w:val="16"/>
                <w:szCs w:val="16"/>
              </w:rPr>
              <w:t>因发生业务关系形成的应收政府机构或者由政府、国</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z w:val="16"/>
                <w:szCs w:val="16"/>
              </w:rPr>
              <w:t>资委及其派出机构控制的单位往来款项</w:t>
            </w:r>
          </w:p>
        </w:tc>
      </w:tr>
      <w:tr>
        <w:trPr>
          <w:trHeight w:val="574"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6"/>
                <w:szCs w:val="16"/>
              </w:rPr>
            </w:pPr>
            <w:r>
              <w:rPr>
                <w:rFonts w:ascii="宋体" w:hAnsi="宋体" w:cs="宋体" w:eastAsia="宋体" w:hint="default"/>
                <w:sz w:val="16"/>
                <w:szCs w:val="16"/>
              </w:rPr>
              <w:t>账龄分析法</w:t>
            </w:r>
          </w:p>
        </w:tc>
        <w:tc>
          <w:tcPr>
            <w:tcW w:w="38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6"/>
                <w:szCs w:val="16"/>
              </w:rPr>
            </w:pPr>
            <w:r>
              <w:rPr>
                <w:rFonts w:ascii="宋体" w:hAnsi="宋体" w:cs="宋体" w:eastAsia="宋体" w:hint="default"/>
                <w:sz w:val="16"/>
                <w:szCs w:val="16"/>
              </w:rPr>
              <w:t>应收款项账龄</w:t>
            </w:r>
          </w:p>
        </w:tc>
      </w:tr>
      <w:tr>
        <w:trPr>
          <w:trHeight w:val="821" w:hRule="exact"/>
        </w:trPr>
        <w:tc>
          <w:tcPr>
            <w:tcW w:w="1426"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5"/>
              <w:ind w:left="43" w:right="14"/>
              <w:jc w:val="left"/>
              <w:rPr>
                <w:rFonts w:ascii="宋体" w:hAnsi="宋体" w:cs="宋体" w:eastAsia="宋体" w:hint="default"/>
                <w:sz w:val="16"/>
                <w:szCs w:val="16"/>
              </w:rPr>
            </w:pPr>
            <w:r>
              <w:rPr>
                <w:rFonts w:ascii="宋体" w:hAnsi="宋体" w:cs="宋体" w:eastAsia="宋体" w:hint="default"/>
                <w:spacing w:val="8"/>
                <w:sz w:val="16"/>
                <w:szCs w:val="16"/>
              </w:rPr>
              <w:t>合并范围内关联方</w:t>
            </w:r>
            <w:r>
              <w:rPr>
                <w:rFonts w:ascii="宋体" w:hAnsi="宋体" w:cs="宋体" w:eastAsia="宋体" w:hint="default"/>
                <w:spacing w:val="-66"/>
                <w:sz w:val="16"/>
                <w:szCs w:val="16"/>
              </w:rPr>
              <w:t> </w:t>
            </w:r>
            <w:r>
              <w:rPr>
                <w:rFonts w:ascii="宋体" w:hAnsi="宋体" w:cs="宋体" w:eastAsia="宋体" w:hint="default"/>
                <w:sz w:val="16"/>
                <w:szCs w:val="16"/>
              </w:rPr>
              <w:t>组合</w:t>
            </w:r>
          </w:p>
        </w:tc>
        <w:tc>
          <w:tcPr>
            <w:tcW w:w="23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21" w:right="0"/>
              <w:jc w:val="left"/>
              <w:rPr>
                <w:rFonts w:ascii="宋体" w:hAnsi="宋体" w:cs="宋体" w:eastAsia="宋体" w:hint="default"/>
                <w:sz w:val="16"/>
                <w:szCs w:val="16"/>
              </w:rPr>
            </w:pPr>
            <w:r>
              <w:rPr>
                <w:rFonts w:ascii="宋体" w:hAnsi="宋体" w:cs="宋体" w:eastAsia="宋体" w:hint="default"/>
                <w:sz w:val="16"/>
                <w:szCs w:val="16"/>
              </w:rPr>
              <w:t>不计提坏账</w:t>
            </w:r>
          </w:p>
        </w:tc>
        <w:tc>
          <w:tcPr>
            <w:tcW w:w="3807"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21" w:right="0"/>
              <w:jc w:val="left"/>
              <w:rPr>
                <w:rFonts w:ascii="宋体" w:hAnsi="宋体" w:cs="宋体" w:eastAsia="宋体" w:hint="default"/>
                <w:sz w:val="16"/>
                <w:szCs w:val="16"/>
              </w:rPr>
            </w:pPr>
            <w:r>
              <w:rPr>
                <w:rFonts w:ascii="宋体" w:hAnsi="宋体" w:cs="宋体" w:eastAsia="宋体" w:hint="default"/>
                <w:sz w:val="16"/>
                <w:szCs w:val="16"/>
              </w:rPr>
              <w:t>本公司合并范围内关联单位之间形成的应收款项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1218" w:right="1675"/>
        <w:jc w:val="left"/>
      </w:pPr>
      <w:r>
        <w:rPr/>
        <w:t>（</w:t>
      </w:r>
      <w:r>
        <w:rPr>
          <w:rFonts w:ascii="Times New Roman" w:hAnsi="Times New Roman" w:cs="Times New Roman" w:eastAsia="Times New Roman" w:hint="default"/>
        </w:rPr>
        <w:t>2</w:t>
      </w:r>
      <w:r>
        <w:rPr/>
        <w:t>）组合中采用账龄分析法计提坏账准备的组合计提方法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tbl>
      <w:tblPr>
        <w:tblW w:w="0" w:type="auto"/>
        <w:jc w:val="left"/>
        <w:tblInd w:w="769" w:type="dxa"/>
        <w:tblLayout w:type="fixed"/>
        <w:tblCellMar>
          <w:top w:w="0" w:type="dxa"/>
          <w:left w:w="0" w:type="dxa"/>
          <w:bottom w:w="0" w:type="dxa"/>
          <w:right w:w="0" w:type="dxa"/>
        </w:tblCellMar>
        <w:tblLook w:val="01E0"/>
      </w:tblPr>
      <w:tblGrid>
        <w:gridCol w:w="2708"/>
        <w:gridCol w:w="2386"/>
        <w:gridCol w:w="2684"/>
      </w:tblGrid>
      <w:tr>
        <w:trPr>
          <w:trHeight w:val="461" w:hRule="exact"/>
        </w:trPr>
        <w:tc>
          <w:tcPr>
            <w:tcW w:w="27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3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6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49"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w:t>
            </w:r>
          </w:p>
        </w:tc>
        <w:tc>
          <w:tcPr>
            <w:tcW w:w="26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0.5</w:t>
            </w:r>
          </w:p>
        </w:tc>
      </w:tr>
      <w:tr>
        <w:trPr>
          <w:trHeight w:val="451"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26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w:t>
            </w:r>
          </w:p>
        </w:tc>
      </w:tr>
      <w:tr>
        <w:trPr>
          <w:trHeight w:val="449"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6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w:t>
            </w:r>
          </w:p>
        </w:tc>
      </w:tr>
      <w:tr>
        <w:trPr>
          <w:trHeight w:val="452"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26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50</w:t>
            </w:r>
          </w:p>
        </w:tc>
      </w:tr>
      <w:tr>
        <w:trPr>
          <w:trHeight w:val="449"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w:t>
            </w:r>
          </w:p>
        </w:tc>
        <w:tc>
          <w:tcPr>
            <w:tcW w:w="26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80</w:t>
            </w:r>
          </w:p>
        </w:tc>
      </w:tr>
      <w:tr>
        <w:trPr>
          <w:trHeight w:val="461" w:hRule="exact"/>
        </w:trPr>
        <w:tc>
          <w:tcPr>
            <w:tcW w:w="27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6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单项金额虽不重大但单项计提坏账准备的应收款项</w:t>
      </w:r>
      <w:r>
        <w:rPr>
          <w:b w:val="0"/>
          <w:bCs w:val="0"/>
        </w:rPr>
      </w:r>
    </w:p>
    <w:p>
      <w:pPr>
        <w:pStyle w:val="BodyText"/>
        <w:spacing w:line="350" w:lineRule="auto" w:before="102"/>
        <w:ind w:left="1218" w:right="1675"/>
        <w:jc w:val="left"/>
      </w:pPr>
      <w:r>
        <w:rPr>
          <w:spacing w:val="-2"/>
        </w:rPr>
        <w:t>单项计提坏账准备的理由为：存在客观证据表明本公司将无法按应收款项的原</w:t>
      </w:r>
      <w:r>
        <w:rPr>
          <w:spacing w:val="-42"/>
        </w:rPr>
        <w:t> </w:t>
      </w:r>
      <w:r>
        <w:rPr>
          <w:spacing w:val="-42"/>
        </w:rPr>
      </w:r>
      <w:r>
        <w:rPr/>
        <w:t>有条款收回款项。</w:t>
      </w:r>
      <w:r>
        <w:rPr>
          <w:w w:val="100"/>
        </w:rPr>
        <w:t> </w:t>
      </w:r>
      <w:r>
        <w:rPr>
          <w:spacing w:val="-2"/>
        </w:rPr>
        <w:t>坏账准备的计提方法为：根据应收款项的预计未来现金流量现值低于其账面价</w:t>
      </w:r>
      <w:r>
        <w:rPr>
          <w:spacing w:val="-42"/>
        </w:rPr>
        <w:t> </w:t>
      </w:r>
      <w:r>
        <w:rPr>
          <w:spacing w:val="-42"/>
        </w:rPr>
      </w:r>
      <w:r>
        <w:rPr/>
        <w:t>值的差额进行计提。</w:t>
      </w:r>
    </w:p>
    <w:p>
      <w:pPr>
        <w:spacing w:line="240" w:lineRule="auto" w:before="8"/>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存货</w:t>
      </w:r>
      <w:r>
        <w:rPr>
          <w:b w:val="0"/>
          <w:bCs w:val="0"/>
        </w:rPr>
      </w:r>
    </w:p>
    <w:p>
      <w:pPr>
        <w:tabs>
          <w:tab w:pos="1397" w:val="left" w:leader="none"/>
        </w:tabs>
        <w:spacing w:line="244" w:lineRule="auto" w:before="35"/>
        <w:ind w:left="1218" w:right="1791" w:hanging="372"/>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ab/>
        <w:t>存货的分类</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z w:val="18"/>
          <w:szCs w:val="18"/>
        </w:rPr>
        <w:t>存货是指本公司在日常活动中持有以备出售的产成品或商品、处在生产过程中的在产品、在 生产过程或提供劳务过程中耗用的材料和物料等。主要包括原材料、开发成本、开发产品、</w:t>
      </w:r>
    </w:p>
    <w:p>
      <w:pPr>
        <w:spacing w:line="259" w:lineRule="auto" w:before="0"/>
        <w:ind w:left="1218" w:right="1675" w:firstLine="0"/>
        <w:jc w:val="left"/>
        <w:rPr>
          <w:rFonts w:ascii="宋体" w:hAnsi="宋体" w:cs="宋体" w:eastAsia="宋体" w:hint="default"/>
          <w:sz w:val="18"/>
          <w:szCs w:val="18"/>
        </w:rPr>
      </w:pPr>
      <w:r>
        <w:rPr>
          <w:rFonts w:ascii="宋体" w:hAnsi="宋体" w:cs="宋体" w:eastAsia="宋体" w:hint="default"/>
          <w:sz w:val="18"/>
          <w:szCs w:val="18"/>
        </w:rPr>
        <w:t>库存商品、低值易耗品等。 开发成本是指尚未建成、以出售为目的的物业；拟开发土地是指所购入的、已决定将之发展</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为已完工开发产品的土地；开发产品是指已建成、待出售的物业。项目整体开发时，拟开发</w:t>
      </w:r>
    </w:p>
    <w:p>
      <w:pPr>
        <w:spacing w:line="230" w:lineRule="exact" w:before="9"/>
        <w:ind w:left="1218" w:right="1675" w:firstLine="0"/>
        <w:jc w:val="left"/>
        <w:rPr>
          <w:rFonts w:ascii="宋体" w:hAnsi="宋体" w:cs="宋体" w:eastAsia="宋体" w:hint="default"/>
          <w:sz w:val="18"/>
          <w:szCs w:val="18"/>
        </w:rPr>
      </w:pPr>
      <w:r>
        <w:rPr>
          <w:rFonts w:ascii="宋体" w:hAnsi="宋体" w:cs="宋体" w:eastAsia="宋体" w:hint="default"/>
          <w:sz w:val="18"/>
          <w:szCs w:val="18"/>
        </w:rPr>
        <w:t>土地全部转入开发成本；项目分期开发时，将分期开发用地部分转入开发成本，未开发土地</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仍保留在拟开发土地。</w:t>
      </w:r>
    </w:p>
    <w:p>
      <w:pPr>
        <w:spacing w:line="240" w:lineRule="auto" w:before="9"/>
        <w:rPr>
          <w:rFonts w:ascii="宋体" w:hAnsi="宋体" w:cs="宋体" w:eastAsia="宋体" w:hint="default"/>
          <w:sz w:val="24"/>
          <w:szCs w:val="24"/>
        </w:rPr>
      </w:pPr>
    </w:p>
    <w:p>
      <w:pPr>
        <w:tabs>
          <w:tab w:pos="1397" w:val="left" w:leader="none"/>
        </w:tabs>
        <w:spacing w:line="307" w:lineRule="auto" w:before="0"/>
        <w:ind w:left="1218" w:right="1809"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ab/>
        <w:t>发出存货的计价方法</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存货在取得时，按成本进行初始计量，包括采购成本、加工成本和其他成本。</w:t>
      </w:r>
    </w:p>
    <w:p>
      <w:pPr>
        <w:spacing w:after="0" w:line="307" w:lineRule="auto"/>
        <w:jc w:val="left"/>
        <w:rPr>
          <w:rFonts w:ascii="宋体" w:hAnsi="宋体" w:cs="宋体" w:eastAsia="宋体" w:hint="default"/>
          <w:sz w:val="21"/>
          <w:szCs w:val="21"/>
        </w:rPr>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1218" w:right="0"/>
        <w:jc w:val="both"/>
      </w:pPr>
      <w:r>
        <w:rPr/>
        <w:t>存货发出时按月末一次加权平均法计价。</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97" w:val="left" w:leader="none"/>
        </w:tabs>
        <w:spacing w:line="307" w:lineRule="auto" w:before="0"/>
        <w:ind w:left="1218" w:right="1809"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ab/>
        <w:t>不同类别存货可变现净值的确定依据</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z w:val="21"/>
          <w:szCs w:val="21"/>
        </w:rPr>
        <w:t>产成品、库存商品和用于出售的材料等直接用于出售的商品存货，在正常生产</w:t>
      </w:r>
    </w:p>
    <w:p>
      <w:pPr>
        <w:pStyle w:val="BodyText"/>
        <w:spacing w:line="350" w:lineRule="auto" w:before="67"/>
        <w:ind w:left="1218" w:right="1801"/>
        <w:jc w:val="both"/>
      </w:pPr>
      <w:r>
        <w:rPr/>
        <w:t>经营过程中，以该存货的估计售价减去估计的销售费用和相关税费后的金额，</w:t>
      </w:r>
      <w:r>
        <w:rPr>
          <w:spacing w:val="-23"/>
        </w:rPr>
        <w:t> </w:t>
      </w:r>
      <w:r>
        <w:rPr>
          <w:spacing w:val="-23"/>
        </w:rPr>
      </w:r>
      <w:r>
        <w:rPr/>
        <w:t>确定其可变现净值；需要经过加工的材料存货，在正常生产经营过程中，以所</w:t>
      </w:r>
      <w:r>
        <w:rPr>
          <w:spacing w:val="-23"/>
        </w:rPr>
        <w:t> </w:t>
      </w:r>
      <w:r>
        <w:rPr>
          <w:spacing w:val="-23"/>
        </w:rPr>
      </w:r>
      <w:r>
        <w:rPr/>
        <w:t>生产的产成品的估计售价减去至完工时估计将要发生的成本、估计的销售费用</w:t>
      </w:r>
      <w:r>
        <w:rPr>
          <w:spacing w:val="-23"/>
        </w:rPr>
        <w:t> </w:t>
      </w:r>
      <w:r>
        <w:rPr>
          <w:spacing w:val="-23"/>
        </w:rPr>
      </w:r>
      <w:r>
        <w:rPr/>
        <w:t>和相关税费后的金额，确定其可变现净值；为执行销售合同或者劳务合同而持</w:t>
      </w:r>
      <w:r>
        <w:rPr>
          <w:spacing w:val="-23"/>
        </w:rPr>
        <w:t> </w:t>
      </w:r>
      <w:r>
        <w:rPr>
          <w:spacing w:val="-23"/>
        </w:rPr>
      </w:r>
      <w:r>
        <w:rPr/>
        <w:t>有的存货，其可变现净值以合同价格为基础计算，若持有存货的数量多于销售</w:t>
      </w:r>
      <w:r>
        <w:rPr>
          <w:spacing w:val="-23"/>
        </w:rPr>
        <w:t> </w:t>
      </w:r>
      <w:r>
        <w:rPr>
          <w:spacing w:val="-23"/>
        </w:rPr>
      </w:r>
      <w:r>
        <w:rPr/>
        <w:t>合同订购数量的，超出部分的存货的可变现净值以一般销售价格为基础计算。</w:t>
      </w:r>
    </w:p>
    <w:p>
      <w:pPr>
        <w:pStyle w:val="BodyText"/>
        <w:spacing w:line="350" w:lineRule="auto" w:before="29"/>
        <w:ind w:right="1675"/>
        <w:jc w:val="left"/>
      </w:pPr>
      <w:r>
        <w:rPr>
          <w:spacing w:val="-8"/>
          <w:w w:val="100"/>
        </w:rPr>
        <w:t>期末按照单个存货项目计提存货跌价准备；但对于数量繁多、单价较低的存货，</w:t>
      </w:r>
      <w:r>
        <w:rPr>
          <w:spacing w:val="-80"/>
          <w:w w:val="100"/>
        </w:rPr>
        <w:t> </w:t>
      </w:r>
      <w:r>
        <w:rPr>
          <w:spacing w:val="-80"/>
          <w:w w:val="100"/>
        </w:rPr>
      </w:r>
      <w:r>
        <w:rPr>
          <w:spacing w:val="-2"/>
        </w:rPr>
        <w:t>按照存货类别计提存货跌价准备；与在同一地区生产和销售的产品系列相关、</w:t>
      </w:r>
      <w:r>
        <w:rPr>
          <w:spacing w:val="-42"/>
        </w:rPr>
        <w:t> </w:t>
      </w:r>
      <w:r>
        <w:rPr>
          <w:spacing w:val="-42"/>
        </w:rPr>
      </w:r>
      <w:r>
        <w:rPr>
          <w:spacing w:val="-5"/>
        </w:rPr>
        <w:t>具有相同或类似最终用途或目的，且难以与其他项目分开计量的存货，则合并</w:t>
      </w:r>
      <w:r>
        <w:rPr>
          <w:spacing w:val="-46"/>
        </w:rPr>
        <w:t> </w:t>
      </w:r>
      <w:r>
        <w:rPr>
          <w:spacing w:val="-46"/>
        </w:rPr>
      </w:r>
      <w:r>
        <w:rPr/>
        <w:t>计提存货跌价准备。</w:t>
      </w:r>
      <w:r>
        <w:rPr>
          <w:w w:val="100"/>
        </w:rPr>
        <w:t> </w:t>
      </w:r>
      <w:r>
        <w:rPr>
          <w:spacing w:val="-5"/>
          <w:w w:val="100"/>
        </w:rPr>
        <w:t>除有明确证据表明资产负债表日市场价格异常外，存货项目的可变现净值以资</w:t>
      </w:r>
      <w:r>
        <w:rPr>
          <w:spacing w:val="-84"/>
          <w:w w:val="100"/>
        </w:rPr>
        <w:t> </w:t>
      </w:r>
      <w:r>
        <w:rPr>
          <w:spacing w:val="-84"/>
          <w:w w:val="100"/>
        </w:rPr>
      </w:r>
      <w:r>
        <w:rPr/>
        <w:t>产负债表日市场价格为基础确定。</w:t>
      </w:r>
      <w:r>
        <w:rPr>
          <w:w w:val="100"/>
        </w:rPr>
        <w:t> </w:t>
      </w:r>
      <w:r>
        <w:rPr/>
        <w:t>本期期末存货项目的可变现净值以资产负债表日市场价格为基础确定。</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414" w:right="714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存货的盘存制度</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采用永续盘存制。</w:t>
      </w:r>
    </w:p>
    <w:p>
      <w:pPr>
        <w:spacing w:line="240" w:lineRule="auto" w:before="0"/>
        <w:rPr>
          <w:rFonts w:ascii="宋体" w:hAnsi="宋体" w:cs="宋体" w:eastAsia="宋体" w:hint="default"/>
          <w:sz w:val="20"/>
          <w:szCs w:val="20"/>
        </w:rPr>
      </w:pPr>
    </w:p>
    <w:p>
      <w:pPr>
        <w:tabs>
          <w:tab w:pos="1397" w:val="left" w:leader="none"/>
        </w:tabs>
        <w:spacing w:line="307" w:lineRule="auto" w:before="137"/>
        <w:ind w:left="1398" w:right="5894" w:hanging="55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低值易耗品和包装物的摊销方法</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pacing w:val="-28"/>
          <w:sz w:val="21"/>
          <w:szCs w:val="21"/>
        </w:rPr>
      </w:r>
      <w:r>
        <w:rPr>
          <w:rFonts w:ascii="宋体" w:hAnsi="宋体" w:cs="宋体" w:eastAsia="宋体" w:hint="default"/>
          <w:sz w:val="21"/>
          <w:szCs w:val="21"/>
        </w:rPr>
        <w:t>一次转销法。</w:t>
      </w:r>
    </w:p>
    <w:p>
      <w:pPr>
        <w:spacing w:line="240" w:lineRule="auto" w:before="0"/>
        <w:rPr>
          <w:rFonts w:ascii="宋体" w:hAnsi="宋体" w:cs="宋体" w:eastAsia="宋体" w:hint="default"/>
          <w:sz w:val="20"/>
          <w:szCs w:val="20"/>
        </w:rPr>
      </w:pPr>
    </w:p>
    <w:p>
      <w:pPr>
        <w:tabs>
          <w:tab w:pos="1397" w:val="left" w:leader="none"/>
        </w:tabs>
        <w:spacing w:line="326" w:lineRule="auto" w:before="137"/>
        <w:ind w:left="1218" w:right="1880"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ab/>
        <w:t>开发用土地的核算方法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z w:val="21"/>
          <w:szCs w:val="21"/>
        </w:rPr>
        <w:t>纯土地开发项目，其费用支出单独构成土地开发成本；</w:t>
      </w:r>
      <w:r>
        <w:rPr>
          <w:rFonts w:ascii="宋体" w:hAnsi="宋体" w:cs="宋体" w:eastAsia="宋体" w:hint="default"/>
          <w:w w:val="100"/>
          <w:sz w:val="21"/>
          <w:szCs w:val="21"/>
        </w:rPr>
        <w:t> </w:t>
      </w:r>
      <w:r>
        <w:rPr>
          <w:rFonts w:ascii="宋体" w:hAnsi="宋体" w:cs="宋体" w:eastAsia="宋体" w:hint="default"/>
          <w:spacing w:val="-2"/>
          <w:sz w:val="21"/>
          <w:szCs w:val="21"/>
        </w:rPr>
        <w:t>连同房产整体开发的项目，其费用可分清负担对象的，一般按实际面积分摊记</w:t>
      </w:r>
    </w:p>
    <w:p>
      <w:pPr>
        <w:pStyle w:val="BodyText"/>
        <w:spacing w:line="240" w:lineRule="auto" w:before="50"/>
        <w:ind w:left="1218" w:right="0"/>
        <w:jc w:val="both"/>
      </w:pPr>
      <w:r>
        <w:rPr/>
        <w:t>入商品房成本。</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97" w:val="left" w:leader="none"/>
        </w:tabs>
        <w:spacing w:line="307" w:lineRule="auto" w:before="0"/>
        <w:ind w:left="1218" w:right="1880"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w:t>
        <w:tab/>
        <w:tab/>
        <w:t>公共配套设施费用的核算方法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不能有偿转让的公共配套设施：按受益比例确定标准分配计入商品房成本；</w:t>
      </w:r>
    </w:p>
    <w:p>
      <w:pPr>
        <w:pStyle w:val="BodyText"/>
        <w:spacing w:line="348" w:lineRule="auto" w:before="67"/>
        <w:ind w:left="1218" w:right="1880"/>
        <w:jc w:val="both"/>
      </w:pPr>
      <w:r>
        <w:rPr>
          <w:spacing w:val="-2"/>
        </w:rPr>
        <w:t>能有偿转让的公共配套设施：以各配套设施项目作为成本核算对象，归集所发</w:t>
      </w:r>
      <w:r>
        <w:rPr>
          <w:spacing w:val="-42"/>
        </w:rPr>
        <w:t> </w:t>
      </w:r>
      <w:r>
        <w:rPr>
          <w:spacing w:val="-42"/>
        </w:rPr>
      </w:r>
      <w:r>
        <w:rPr/>
        <w:t>生的成本。</w:t>
      </w:r>
    </w:p>
    <w:p>
      <w:pPr>
        <w:spacing w:after="0" w:line="348" w:lineRule="auto"/>
        <w:jc w:val="both"/>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持有待售资产</w:t>
      </w:r>
      <w:r>
        <w:rPr>
          <w:b w:val="0"/>
          <w:bCs w:val="0"/>
        </w:rPr>
      </w:r>
    </w:p>
    <w:p>
      <w:pPr>
        <w:pStyle w:val="BodyText"/>
        <w:spacing w:line="240" w:lineRule="auto" w:before="102"/>
        <w:ind w:left="850" w:right="1675"/>
        <w:jc w:val="left"/>
      </w:pPr>
      <w:r>
        <w:rPr/>
        <w:t>本公司将同时满足下列条件的非流动资产或处置组划分为持有待售类别：</w:t>
      </w:r>
    </w:p>
    <w:p>
      <w:pPr>
        <w:pStyle w:val="BodyText"/>
        <w:spacing w:line="240" w:lineRule="auto" w:before="123"/>
        <w:ind w:left="850" w:right="1675"/>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38" w:lineRule="auto" w:before="110"/>
        <w:ind w:left="850" w:right="1786"/>
        <w:jc w:val="both"/>
      </w:pPr>
      <w:r>
        <w:rPr>
          <w:spacing w:val="-4"/>
        </w:rPr>
        <w:t>（</w:t>
      </w:r>
      <w:r>
        <w:rPr>
          <w:rFonts w:ascii="Times New Roman" w:hAnsi="Times New Roman" w:cs="Times New Roman" w:eastAsia="Times New Roman" w:hint="default"/>
          <w:spacing w:val="-4"/>
        </w:rPr>
        <w:t>2</w:t>
      </w:r>
      <w:r>
        <w:rPr>
          <w:spacing w:val="-4"/>
        </w:rPr>
        <w:t>）出售极可能发生，即本公司已经就一项出售计划作出决议且获得确定的购买承</w:t>
      </w:r>
      <w:r>
        <w:rPr>
          <w:spacing w:val="-26"/>
        </w:rPr>
        <w:t> </w:t>
      </w:r>
      <w:r>
        <w:rPr>
          <w:spacing w:val="-26"/>
        </w:rPr>
      </w:r>
      <w:r>
        <w:rPr/>
        <w:t>诺，预计出售将在一年内完成。有关规定要求本公司相关权力机构或者监管部门批</w:t>
      </w:r>
      <w:r>
        <w:rPr>
          <w:spacing w:val="-62"/>
        </w:rPr>
        <w:t> </w:t>
      </w:r>
      <w:r>
        <w:rPr/>
        <w:t>准后方可出售的，已经获得批准。</w:t>
      </w:r>
    </w:p>
    <w:p>
      <w:pPr>
        <w:spacing w:line="240" w:lineRule="auto" w:before="8"/>
        <w:rPr>
          <w:rFonts w:ascii="宋体" w:hAnsi="宋体" w:cs="宋体" w:eastAsia="宋体" w:hint="default"/>
          <w:sz w:val="28"/>
          <w:szCs w:val="28"/>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长期股权投资</w:t>
      </w:r>
      <w:r>
        <w:rPr>
          <w:b w:val="0"/>
          <w:bCs w:val="0"/>
        </w:rPr>
      </w:r>
    </w:p>
    <w:p>
      <w:pPr>
        <w:tabs>
          <w:tab w:pos="1397" w:val="left" w:leader="none"/>
        </w:tabs>
        <w:spacing w:line="307" w:lineRule="auto" w:before="33"/>
        <w:ind w:left="1218" w:right="1809"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ab/>
        <w:t>共同控制、重大影响的判断标准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共同控制，是指按照相关约定对某项安排所共有的控制，并且该安排的相关活</w:t>
      </w:r>
    </w:p>
    <w:p>
      <w:pPr>
        <w:pStyle w:val="BodyText"/>
        <w:spacing w:line="350" w:lineRule="auto" w:before="67"/>
        <w:ind w:left="1218" w:right="1675"/>
        <w:jc w:val="left"/>
      </w:pPr>
      <w:r>
        <w:rPr/>
        <w:t>动必须经过分享控制权的参与方一致同意后才能决策。本公司与其他合营方一</w:t>
      </w:r>
      <w:r>
        <w:rPr>
          <w:spacing w:val="-23"/>
        </w:rPr>
        <w:t> </w:t>
      </w:r>
      <w:r>
        <w:rPr>
          <w:spacing w:val="-23"/>
        </w:rPr>
      </w:r>
      <w:r>
        <w:rPr/>
        <w:t>同对被投资单位实施共同控制且对被投资单位净资产享有权利的，被投资单位</w:t>
      </w:r>
      <w:r>
        <w:rPr>
          <w:spacing w:val="-23"/>
        </w:rPr>
        <w:t> </w:t>
      </w:r>
      <w:r>
        <w:rPr>
          <w:spacing w:val="-23"/>
        </w:rPr>
      </w:r>
      <w:r>
        <w:rPr/>
        <w:t>为本公司的合营企业。</w:t>
      </w:r>
      <w:r>
        <w:rPr>
          <w:w w:val="100"/>
        </w:rPr>
        <w:t> </w:t>
      </w:r>
      <w:r>
        <w:rPr/>
        <w:t>重大影响，是指对一个企业的财务和经营决策有参与决策的权力，但并不能够</w:t>
      </w:r>
      <w:r>
        <w:rPr>
          <w:spacing w:val="-23"/>
        </w:rPr>
        <w:t> </w:t>
      </w:r>
      <w:r>
        <w:rPr>
          <w:spacing w:val="-23"/>
        </w:rPr>
      </w:r>
      <w:r>
        <w:rPr/>
        <w:t>控制或者与其他方一起共同控制这些政策的制定。本公司能够对被投资单位施</w:t>
      </w:r>
      <w:r>
        <w:rPr>
          <w:spacing w:val="-20"/>
        </w:rPr>
        <w:t> </w:t>
      </w:r>
      <w:r>
        <w:rPr>
          <w:spacing w:val="-20"/>
        </w:rPr>
      </w:r>
      <w:r>
        <w:rPr/>
        <w:t>加重大影响的，被投资单位为本公司联营企业。</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218" w:right="1809"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ab/>
        <w:t>初始投资成本的确定</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以支付现金方式取得的对联营企业和合营企业的长期股权投资，按照实际支付</w:t>
      </w:r>
    </w:p>
    <w:p>
      <w:pPr>
        <w:pStyle w:val="BodyText"/>
        <w:spacing w:line="350" w:lineRule="auto" w:before="67"/>
        <w:ind w:left="1218" w:right="1675"/>
        <w:jc w:val="left"/>
      </w:pPr>
      <w:r>
        <w:rPr/>
        <w:t>的购买价款作为初始投资成本。</w:t>
      </w:r>
      <w:r>
        <w:rPr>
          <w:w w:val="100"/>
        </w:rPr>
        <w:t> </w:t>
      </w:r>
      <w:r>
        <w:rPr/>
        <w:t>以发行权益性证券取得的对联营企业和合营企业的长期股权投资，按照发行权</w:t>
      </w:r>
      <w:r>
        <w:rPr>
          <w:spacing w:val="-23"/>
        </w:rPr>
        <w:t> </w:t>
      </w:r>
      <w:r>
        <w:rPr>
          <w:spacing w:val="-23"/>
        </w:rPr>
      </w:r>
      <w:r>
        <w:rPr/>
        <w:t>益性证券的公允价值作为初始投资成本。</w:t>
      </w:r>
      <w:r>
        <w:rPr>
          <w:w w:val="100"/>
        </w:rPr>
        <w:t> </w:t>
      </w:r>
      <w:r>
        <w:rPr/>
        <w:t>在非货币性资产交换具备商业实质和换入资产或换出资产的公允价值能够可靠</w:t>
      </w:r>
      <w:r>
        <w:rPr>
          <w:spacing w:val="-23"/>
        </w:rPr>
        <w:t> </w:t>
      </w:r>
      <w:r>
        <w:rPr>
          <w:spacing w:val="-23"/>
        </w:rPr>
      </w:r>
      <w:r>
        <w:rPr/>
        <w:t>计量的前提下，非货币性资产交换换入的对联营企业和合营企业的长期股权投</w:t>
      </w:r>
      <w:r>
        <w:rPr>
          <w:spacing w:val="-23"/>
        </w:rPr>
        <w:t> </w:t>
      </w:r>
      <w:r>
        <w:rPr>
          <w:spacing w:val="-23"/>
        </w:rPr>
      </w:r>
      <w:r>
        <w:rPr/>
        <w:t>资以换出资产的公允价值和应支付的相关税费确定其初始投资成本，除非有确</w:t>
      </w:r>
      <w:r>
        <w:rPr>
          <w:spacing w:val="-16"/>
        </w:rPr>
        <w:t> </w:t>
      </w:r>
      <w:r>
        <w:rPr>
          <w:spacing w:val="-16"/>
        </w:rPr>
      </w:r>
      <w:r>
        <w:rPr/>
        <w:t>凿证据表明换入资产的公允价值更加可靠；不满足上述前提的非货币性资产交</w:t>
      </w:r>
      <w:r>
        <w:rPr>
          <w:spacing w:val="-23"/>
        </w:rPr>
        <w:t> </w:t>
      </w:r>
      <w:r>
        <w:rPr>
          <w:spacing w:val="-23"/>
        </w:rPr>
      </w:r>
      <w:r>
        <w:rPr/>
        <w:t>换，以换出资产的账面价值和应支付的相关税费作为换入长期股权投资的初始</w:t>
      </w:r>
      <w:r>
        <w:rPr>
          <w:spacing w:val="-23"/>
        </w:rPr>
        <w:t> </w:t>
      </w:r>
      <w:r>
        <w:rPr>
          <w:spacing w:val="-23"/>
        </w:rPr>
      </w:r>
      <w:r>
        <w:rPr/>
        <w:t>投资成本。</w:t>
      </w:r>
      <w:r>
        <w:rPr>
          <w:spacing w:val="-102"/>
        </w:rPr>
        <w:t> </w:t>
      </w:r>
      <w:r>
        <w:rPr>
          <w:spacing w:val="-102"/>
        </w:rPr>
      </w:r>
      <w:r>
        <w:rPr/>
        <w:t>通过债务重组取得的对联营企业和合营企业的长期股权投资，其初始投资成本</w:t>
      </w:r>
      <w:r>
        <w:rPr>
          <w:spacing w:val="-23"/>
        </w:rPr>
        <w:t> </w:t>
      </w:r>
      <w:r>
        <w:rPr>
          <w:spacing w:val="-23"/>
        </w:rPr>
      </w:r>
      <w:r>
        <w:rPr/>
        <w:t>按照公允价值为基础确定。</w:t>
      </w:r>
    </w:p>
    <w:p>
      <w:pPr>
        <w:spacing w:line="240" w:lineRule="auto" w:before="10"/>
        <w:rPr>
          <w:rFonts w:ascii="宋体" w:hAnsi="宋体" w:cs="宋体" w:eastAsia="宋体" w:hint="default"/>
          <w:sz w:val="27"/>
          <w:szCs w:val="27"/>
        </w:rPr>
      </w:pPr>
    </w:p>
    <w:p>
      <w:pPr>
        <w:pStyle w:val="BodyText"/>
        <w:tabs>
          <w:tab w:pos="1397" w:val="left" w:leader="none"/>
        </w:tabs>
        <w:spacing w:line="328" w:lineRule="auto" w:before="0"/>
        <w:ind w:left="1218" w:right="1809" w:hanging="372"/>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w:t>
        <w:tab/>
        <w:tab/>
        <w:t>后续计量及损益确认方法</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t>对联营企业和合营企业的长期股权投资，采用权益法核算。初始投资成本大于</w:t>
      </w:r>
      <w:r>
        <w:rPr>
          <w:w w:val="100"/>
        </w:rPr>
        <w:t> </w:t>
      </w:r>
      <w:r>
        <w:rPr/>
        <w:t>投资时应享有被投资单位可辨认净资产公允价值份额的差额，不调整长期股权</w:t>
      </w:r>
    </w:p>
    <w:p>
      <w:pPr>
        <w:spacing w:after="0" w:line="328"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50" w:lineRule="auto"/>
        <w:ind w:left="1218" w:right="1675"/>
        <w:jc w:val="left"/>
      </w:pPr>
      <w:r>
        <w:rPr/>
        <w:t>投资的初始投资成本；初始投资成本小于投资时应享有被投资单位可辨认净资</w:t>
      </w:r>
      <w:r>
        <w:rPr>
          <w:spacing w:val="-23"/>
        </w:rPr>
        <w:t> </w:t>
      </w:r>
      <w:r>
        <w:rPr>
          <w:spacing w:val="-23"/>
        </w:rPr>
      </w:r>
      <w:r>
        <w:rPr/>
        <w:t>产公允价值份额的差额，计入当期损益。</w:t>
      </w:r>
      <w:r>
        <w:rPr>
          <w:w w:val="100"/>
        </w:rPr>
        <w:t> </w:t>
      </w:r>
      <w:r>
        <w:rPr/>
        <w:t>公司按照应享有或应分担的被投资单位实现的净损益和其他综合收益的份额，</w:t>
      </w:r>
      <w:r>
        <w:rPr>
          <w:spacing w:val="-23"/>
        </w:rPr>
        <w:t> </w:t>
      </w:r>
      <w:r>
        <w:rPr>
          <w:spacing w:val="-23"/>
        </w:rPr>
      </w:r>
      <w:r>
        <w:rPr/>
        <w:t>分别确认投资收益和其他综合收益，同时调整长期股权投资的账面价值；按照</w:t>
      </w:r>
      <w:r>
        <w:rPr>
          <w:spacing w:val="-23"/>
        </w:rPr>
        <w:t> </w:t>
      </w:r>
      <w:r>
        <w:rPr>
          <w:spacing w:val="-23"/>
        </w:rPr>
      </w:r>
      <w:r>
        <w:rPr/>
        <w:t>被投资单位宣告分派的利润或现金股利计算应享有的部分，相应减少长期股权</w:t>
      </w:r>
      <w:r>
        <w:rPr>
          <w:spacing w:val="-23"/>
        </w:rPr>
        <w:t> </w:t>
      </w:r>
      <w:r>
        <w:rPr>
          <w:spacing w:val="-23"/>
        </w:rPr>
      </w:r>
      <w:r>
        <w:rPr/>
        <w:t>投资的账面价值；对于被投资单位除净损益、其他综合收益和利润分配以外所</w:t>
      </w:r>
      <w:r>
        <w:rPr>
          <w:spacing w:val="-23"/>
        </w:rPr>
        <w:t> </w:t>
      </w:r>
      <w:r>
        <w:rPr>
          <w:spacing w:val="-23"/>
        </w:rPr>
      </w:r>
      <w:r>
        <w:rPr/>
        <w:t>有者权益的其他变动，调整长期股权投资的账面价值并计入所有者权益。</w:t>
      </w:r>
      <w:r>
        <w:rPr>
          <w:w w:val="100"/>
        </w:rPr>
        <w:t> </w:t>
      </w:r>
      <w:r>
        <w:rPr/>
        <w:t>在确认应享有被投资单位净损益的份额时，以取得投资时被投资单位可辨认净</w:t>
      </w:r>
      <w:r>
        <w:rPr>
          <w:spacing w:val="-23"/>
        </w:rPr>
        <w:t> </w:t>
      </w:r>
      <w:r>
        <w:rPr>
          <w:spacing w:val="-23"/>
        </w:rPr>
      </w:r>
      <w:r>
        <w:rPr/>
        <w:t>资产的公允价值为基础，并按照公司的会计政策及会计期间，对被投资单位的</w:t>
      </w:r>
      <w:r>
        <w:rPr>
          <w:spacing w:val="-23"/>
        </w:rPr>
        <w:t> </w:t>
      </w:r>
      <w:r>
        <w:rPr>
          <w:spacing w:val="-23"/>
        </w:rPr>
      </w:r>
      <w:r>
        <w:rPr/>
        <w:t>净利润进行调整后确认。在持有投资期间，被投资单位编制合并财务报表的，</w:t>
      </w:r>
      <w:r>
        <w:rPr>
          <w:spacing w:val="-19"/>
        </w:rPr>
        <w:t> </w:t>
      </w:r>
      <w:r>
        <w:rPr>
          <w:spacing w:val="-19"/>
        </w:rPr>
      </w:r>
      <w:r>
        <w:rPr/>
        <w:t>以合并财务报表中的净利润、其他综合收益和其他所有者权益变动中归属于被</w:t>
      </w:r>
      <w:r>
        <w:rPr>
          <w:spacing w:val="-23"/>
        </w:rPr>
        <w:t> </w:t>
      </w:r>
      <w:r>
        <w:rPr>
          <w:spacing w:val="-23"/>
        </w:rPr>
      </w:r>
      <w:r>
        <w:rPr/>
        <w:t>投资单位的金额为基础进行核算。</w:t>
      </w:r>
    </w:p>
    <w:p>
      <w:pPr>
        <w:pStyle w:val="BodyText"/>
        <w:spacing w:line="350" w:lineRule="auto" w:before="29"/>
        <w:ind w:right="1675"/>
        <w:jc w:val="left"/>
      </w:pPr>
      <w:r>
        <w:rPr>
          <w:spacing w:val="-2"/>
        </w:rPr>
        <w:t>在公司确认应分担被投资单位发生的亏损时，按照以下顺序进行处理：首先，</w:t>
      </w:r>
      <w:r>
        <w:rPr>
          <w:spacing w:val="-42"/>
        </w:rPr>
        <w:t> </w:t>
      </w:r>
      <w:r>
        <w:rPr>
          <w:spacing w:val="-42"/>
        </w:rPr>
      </w:r>
      <w:r>
        <w:rPr>
          <w:spacing w:val="-8"/>
          <w:w w:val="100"/>
        </w:rPr>
        <w:t>冲减长期股权投资的账面价值。其次，长期股权投资的账面价值不足以冲减的，</w:t>
      </w:r>
      <w:r>
        <w:rPr>
          <w:spacing w:val="-85"/>
          <w:w w:val="100"/>
        </w:rPr>
        <w:t> </w:t>
      </w:r>
      <w:r>
        <w:rPr>
          <w:spacing w:val="-85"/>
          <w:w w:val="100"/>
        </w:rPr>
      </w:r>
      <w:r>
        <w:rPr/>
        <w:t>以其他实质上构成对被投资单位净投资的长期权益账面价值为限继续确认投</w:t>
      </w:r>
      <w:r>
        <w:rPr>
          <w:spacing w:val="-8"/>
        </w:rPr>
        <w:t> </w:t>
      </w:r>
      <w:r>
        <w:rPr>
          <w:spacing w:val="-8"/>
        </w:rPr>
      </w:r>
      <w:r>
        <w:rPr>
          <w:spacing w:val="-5"/>
        </w:rPr>
        <w:t>资损失，冲减长期应收项目等的账面价值。最后，经过上述处理，按照投资合</w:t>
      </w:r>
      <w:r>
        <w:rPr>
          <w:spacing w:val="-45"/>
        </w:rPr>
        <w:t> </w:t>
      </w:r>
      <w:r>
        <w:rPr>
          <w:spacing w:val="-45"/>
        </w:rPr>
      </w:r>
      <w:r>
        <w:rPr>
          <w:spacing w:val="-5"/>
        </w:rPr>
        <w:t>同或协议约定企业仍承担额外义务的，按预计承担的义务确认预计负债，计入</w:t>
      </w:r>
      <w:r>
        <w:rPr>
          <w:spacing w:val="-45"/>
        </w:rPr>
        <w:t> </w:t>
      </w:r>
      <w:r>
        <w:rPr>
          <w:spacing w:val="-45"/>
        </w:rPr>
      </w:r>
      <w:r>
        <w:rPr/>
        <w:t>当期投资损失。</w:t>
      </w:r>
    </w:p>
    <w:p>
      <w:pPr>
        <w:spacing w:line="240" w:lineRule="auto" w:before="10"/>
        <w:rPr>
          <w:rFonts w:ascii="宋体" w:hAnsi="宋体" w:cs="宋体" w:eastAsia="宋体" w:hint="default"/>
          <w:sz w:val="27"/>
          <w:szCs w:val="27"/>
        </w:rPr>
      </w:pPr>
    </w:p>
    <w:p>
      <w:pPr>
        <w:pStyle w:val="BodyText"/>
        <w:tabs>
          <w:tab w:pos="1397" w:val="left" w:leader="none"/>
        </w:tabs>
        <w:spacing w:line="328" w:lineRule="auto" w:before="0"/>
        <w:ind w:right="1809" w:hanging="569"/>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w:t>
        <w:tab/>
        <w:t>长期股权投资的处置</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t>处置长期股权投资，其账面价值与实际取得价款的差额，计入当期损益。</w:t>
      </w:r>
      <w:r>
        <w:rPr>
          <w:w w:val="100"/>
        </w:rPr>
        <w:t> </w:t>
      </w:r>
      <w:r>
        <w:rPr>
          <w:spacing w:val="-5"/>
        </w:rPr>
        <w:t>采用权益法核算的长期股权投资，在处置该项投资时，采用与被投资单位直接</w:t>
      </w:r>
    </w:p>
    <w:p>
      <w:pPr>
        <w:pStyle w:val="BodyText"/>
        <w:spacing w:line="350" w:lineRule="auto" w:before="49"/>
        <w:ind w:right="1675"/>
        <w:jc w:val="left"/>
      </w:pPr>
      <w:r>
        <w:rPr>
          <w:spacing w:val="-5"/>
          <w:w w:val="100"/>
        </w:rPr>
        <w:t>处置相关资产或负债相同的基础，按相应比例对原计入其他综合收益的部分进</w:t>
      </w:r>
      <w:r>
        <w:rPr>
          <w:spacing w:val="-85"/>
          <w:w w:val="100"/>
        </w:rPr>
        <w:t> </w:t>
      </w:r>
      <w:r>
        <w:rPr>
          <w:spacing w:val="-85"/>
          <w:w w:val="100"/>
        </w:rPr>
      </w:r>
      <w:r>
        <w:rPr>
          <w:spacing w:val="-5"/>
        </w:rPr>
        <w:t>行会计处理。因被投资单位除净损益、其他综合收益和利润分配以外的其他所</w:t>
      </w:r>
      <w:r>
        <w:rPr>
          <w:spacing w:val="-45"/>
        </w:rPr>
        <w:t> </w:t>
      </w:r>
      <w:r>
        <w:rPr>
          <w:spacing w:val="-45"/>
        </w:rPr>
      </w:r>
      <w:r>
        <w:rPr>
          <w:spacing w:val="-5"/>
        </w:rPr>
        <w:t>有者权益变动而确认的所有者权益，按比例结转入当期损益，由于被投资方重</w:t>
      </w:r>
      <w:r>
        <w:rPr>
          <w:spacing w:val="-47"/>
        </w:rPr>
        <w:t> </w:t>
      </w:r>
      <w:r>
        <w:rPr>
          <w:spacing w:val="-47"/>
        </w:rPr>
      </w:r>
      <w:r>
        <w:rPr/>
        <w:t>新计量设定受益计划净负债或净资产变动而产生的其他综合收益除外。</w:t>
      </w:r>
      <w:r>
        <w:rPr>
          <w:w w:val="100"/>
        </w:rPr>
        <w:t> </w:t>
      </w:r>
      <w:r>
        <w:rPr>
          <w:spacing w:val="-5"/>
          <w:w w:val="100"/>
        </w:rPr>
        <w:t>因处置部分股权投资等原因丧失了对被投资单位的共同控制或重大影响的，处</w:t>
      </w:r>
      <w:r>
        <w:rPr>
          <w:spacing w:val="-84"/>
          <w:w w:val="100"/>
        </w:rPr>
        <w:t> </w:t>
      </w:r>
      <w:r>
        <w:rPr>
          <w:spacing w:val="-84"/>
          <w:w w:val="100"/>
        </w:rPr>
      </w:r>
      <w:r>
        <w:rPr>
          <w:spacing w:val="-5"/>
          <w:w w:val="100"/>
        </w:rPr>
        <w:t>置后的剩余股权改按金融工具确认和计量准则核算，其在丧失共同控制或重大</w:t>
      </w:r>
      <w:r>
        <w:rPr>
          <w:spacing w:val="-84"/>
          <w:w w:val="100"/>
        </w:rPr>
        <w:t> </w:t>
      </w:r>
      <w:r>
        <w:rPr>
          <w:spacing w:val="-84"/>
          <w:w w:val="100"/>
        </w:rPr>
      </w:r>
      <w:r>
        <w:rPr>
          <w:spacing w:val="-5"/>
          <w:w w:val="100"/>
        </w:rPr>
        <w:t>影响之日的公允价值与账面价值之间的差额计入当期损益。原股权投资因采用</w:t>
      </w:r>
      <w:r>
        <w:rPr>
          <w:spacing w:val="-85"/>
          <w:w w:val="100"/>
        </w:rPr>
        <w:t> </w:t>
      </w:r>
      <w:r>
        <w:rPr>
          <w:spacing w:val="-85"/>
          <w:w w:val="100"/>
        </w:rPr>
      </w:r>
      <w:r>
        <w:rPr>
          <w:spacing w:val="-5"/>
          <w:w w:val="100"/>
        </w:rPr>
        <w:t>权益法核算而确认的其他综合收益，在终止采用权益法核算时采用与被投资单</w:t>
      </w:r>
      <w:r>
        <w:rPr>
          <w:spacing w:val="-84"/>
          <w:w w:val="100"/>
        </w:rPr>
        <w:t> </w:t>
      </w:r>
      <w:r>
        <w:rPr>
          <w:spacing w:val="-84"/>
          <w:w w:val="100"/>
        </w:rPr>
      </w:r>
      <w:r>
        <w:rPr>
          <w:spacing w:val="-2"/>
        </w:rPr>
        <w:t>位直接处置相关资产或负债相同的基础进行会计处理。因被投资方除净损益、</w:t>
      </w:r>
      <w:r>
        <w:rPr>
          <w:spacing w:val="-42"/>
        </w:rPr>
        <w:t> </w:t>
      </w:r>
      <w:r>
        <w:rPr>
          <w:spacing w:val="-42"/>
        </w:rPr>
      </w:r>
      <w:r>
        <w:rPr>
          <w:spacing w:val="-5"/>
          <w:w w:val="100"/>
        </w:rPr>
        <w:t>其他综合收益和利润分配以外的其他所有者权益变动而确认的所有者权益，在</w:t>
      </w:r>
      <w:r>
        <w:rPr>
          <w:spacing w:val="-84"/>
          <w:w w:val="100"/>
        </w:rPr>
        <w:t> </w:t>
      </w:r>
      <w:r>
        <w:rPr>
          <w:spacing w:val="-84"/>
          <w:w w:val="100"/>
        </w:rPr>
      </w:r>
      <w:r>
        <w:rPr/>
        <w:t>终止采用权益法核算时全部转入当期损益。</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投资性房地产</w:t>
      </w:r>
      <w:r>
        <w:rPr>
          <w:b w:val="0"/>
          <w:bCs w:val="0"/>
        </w:rPr>
      </w:r>
    </w:p>
    <w:p>
      <w:pPr>
        <w:pStyle w:val="BodyText"/>
        <w:spacing w:line="348" w:lineRule="auto" w:before="102"/>
        <w:ind w:left="850" w:right="1675"/>
        <w:jc w:val="left"/>
      </w:pPr>
      <w:r>
        <w:rPr/>
        <w:t>投资性房地产是指为赚取租金或资本增值，或两者兼有而持有的房地产，包括已出</w:t>
      </w:r>
      <w:r>
        <w:rPr>
          <w:spacing w:val="-62"/>
        </w:rPr>
        <w:t> </w:t>
      </w:r>
      <w:r>
        <w:rPr/>
        <w:t>租的土地使用权、持有并准备增值后转让的土地使用权、已出租的建筑物（含自行</w:t>
      </w:r>
      <w:r>
        <w:rPr>
          <w:spacing w:val="-62"/>
        </w:rPr>
        <w:t> </w:t>
      </w:r>
      <w:r>
        <w:rPr/>
        <w:t>建造或开发活动完成后用于出租的建筑物以及正在建造或开发过程中将来用于出租</w:t>
      </w:r>
      <w:r>
        <w:rPr>
          <w:spacing w:val="-62"/>
        </w:rPr>
        <w:t> </w:t>
      </w:r>
      <w:r>
        <w:rPr>
          <w:spacing w:val="-19"/>
          <w:w w:val="100"/>
        </w:rPr>
        <w:t>的建筑物）。</w:t>
      </w:r>
      <w:r>
        <w:rPr>
          <w:spacing w:val="-103"/>
          <w:w w:val="100"/>
        </w:rPr>
        <w:t> </w:t>
      </w:r>
      <w:r>
        <w:rPr>
          <w:spacing w:val="-103"/>
          <w:w w:val="100"/>
        </w:rPr>
      </w:r>
      <w:r>
        <w:rPr/>
        <w:t>公司对现有投资性房地产采用成本模式计量。对按照成本模式计量的投资性房地产</w:t>
      </w:r>
    </w:p>
    <w:p>
      <w:pPr>
        <w:pStyle w:val="BodyText"/>
        <w:spacing w:line="350" w:lineRule="auto" w:before="31"/>
        <w:ind w:left="850" w:right="1675"/>
        <w:jc w:val="left"/>
      </w:pPr>
      <w:r>
        <w:rPr/>
        <w:t>－出租用建筑物采用与本公司固定资产相同的折旧政策，出租用土地使用权按与无</w:t>
      </w:r>
      <w:r>
        <w:rPr>
          <w:spacing w:val="-62"/>
        </w:rPr>
        <w:t> </w:t>
      </w:r>
      <w:r>
        <w:rPr/>
        <w:t>形资产相同的摊销政策执行。</w:t>
      </w:r>
    </w:p>
    <w:p>
      <w:pPr>
        <w:spacing w:line="240" w:lineRule="auto" w:before="8"/>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固定资产</w:t>
      </w:r>
      <w:r>
        <w:rPr>
          <w:b w:val="0"/>
          <w:bCs w:val="0"/>
        </w:rPr>
      </w:r>
    </w:p>
    <w:p>
      <w:pPr>
        <w:pStyle w:val="BodyText"/>
        <w:tabs>
          <w:tab w:pos="1397" w:val="left" w:leader="none"/>
        </w:tabs>
        <w:spacing w:line="328" w:lineRule="auto" w:before="35"/>
        <w:ind w:right="1809" w:hanging="56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w:t>
        <w:tab/>
        <w:t>固定资产确认条件</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5"/>
        </w:rPr>
        <w:t>固定资产指为生产商品、提供劳务、出租或经营管理而持有，并且使用寿命超</w:t>
      </w:r>
      <w:r>
        <w:rPr>
          <w:w w:val="100"/>
        </w:rPr>
        <w:t> </w:t>
      </w:r>
      <w:r>
        <w:rPr/>
        <w:t>过一个会计年度的有形资产。固定资产在同时满足下列条件时予以确认：</w:t>
      </w:r>
    </w:p>
    <w:p>
      <w:pPr>
        <w:pStyle w:val="BodyText"/>
        <w:spacing w:line="240" w:lineRule="auto" w:before="48"/>
        <w:ind w:right="1675"/>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7"/>
        <w:ind w:right="1675"/>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2"/>
          <w:szCs w:val="22"/>
        </w:rPr>
      </w:pPr>
    </w:p>
    <w:p>
      <w:pPr>
        <w:pStyle w:val="Heading6"/>
        <w:tabs>
          <w:tab w:pos="1397" w:val="left" w:leader="none"/>
        </w:tabs>
        <w:spacing w:line="240" w:lineRule="auto" w:before="156"/>
        <w:ind w:right="1675"/>
        <w:jc w:val="left"/>
        <w:rPr>
          <w:b w:val="0"/>
          <w:bCs w:val="0"/>
        </w:rPr>
      </w:pPr>
      <w:r>
        <w:rPr>
          <w:rFonts w:ascii="Times New Roman" w:hAnsi="Times New Roman" w:cs="Times New Roman" w:eastAsia="Times New Roman" w:hint="default"/>
        </w:rPr>
        <w:t>2</w:t>
      </w:r>
      <w:r>
        <w:rPr/>
        <w:t>、</w:t>
        <w:tab/>
        <w:t>折旧方法</w:t>
      </w:r>
      <w:r>
        <w:rPr>
          <w:b w:val="0"/>
          <w:bCs w:val="0"/>
        </w:rPr>
      </w:r>
    </w:p>
    <w:p>
      <w:pPr>
        <w:pStyle w:val="BodyText"/>
        <w:spacing w:line="350" w:lineRule="auto" w:before="99"/>
        <w:ind w:right="1675"/>
        <w:jc w:val="left"/>
      </w:pPr>
      <w:r>
        <w:rPr/>
        <w:pict>
          <v:shape style="position:absolute;margin-left:124.699997pt;margin-top:80.333672pt;width:383.75pt;height:182.5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2"/>
                    <w:gridCol w:w="1541"/>
                    <w:gridCol w:w="1544"/>
                    <w:gridCol w:w="1543"/>
                    <w:gridCol w:w="1541"/>
                  </w:tblGrid>
                  <w:tr>
                    <w:trPr>
                      <w:trHeight w:val="461" w:hRule="exact"/>
                    </w:trPr>
                    <w:tc>
                      <w:tcPr>
                        <w:tcW w:w="14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5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5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5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49" w:hRule="exact"/>
                    </w:trPr>
                    <w:tc>
                      <w:tcPr>
                        <w:tcW w:w="14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4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2.11</w:t>
                        </w:r>
                      </w:p>
                    </w:tc>
                  </w:tr>
                  <w:tr>
                    <w:trPr>
                      <w:trHeight w:val="451" w:hRule="exact"/>
                    </w:trPr>
                    <w:tc>
                      <w:tcPr>
                        <w:tcW w:w="14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3.8</w:t>
                        </w:r>
                      </w:p>
                    </w:tc>
                  </w:tr>
                  <w:tr>
                    <w:trPr>
                      <w:trHeight w:val="449" w:hRule="exact"/>
                    </w:trPr>
                    <w:tc>
                      <w:tcPr>
                        <w:tcW w:w="14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9.5</w:t>
                        </w:r>
                      </w:p>
                    </w:tc>
                  </w:tr>
                  <w:tr>
                    <w:trPr>
                      <w:trHeight w:val="451" w:hRule="exact"/>
                    </w:trPr>
                    <w:tc>
                      <w:tcPr>
                        <w:tcW w:w="14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11.875</w:t>
                        </w:r>
                      </w:p>
                    </w:tc>
                  </w:tr>
                  <w:tr>
                    <w:trPr>
                      <w:trHeight w:val="449" w:hRule="exact"/>
                    </w:trPr>
                    <w:tc>
                      <w:tcPr>
                        <w:tcW w:w="14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w:t>
                        </w:r>
                      </w:p>
                    </w:tc>
                  </w:tr>
                  <w:tr>
                    <w:trPr>
                      <w:trHeight w:val="451" w:hRule="exact"/>
                    </w:trPr>
                    <w:tc>
                      <w:tcPr>
                        <w:tcW w:w="14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w:t>
                        </w:r>
                      </w:p>
                    </w:tc>
                  </w:tr>
                  <w:tr>
                    <w:trPr>
                      <w:trHeight w:val="461" w:hRule="exact"/>
                    </w:trPr>
                    <w:tc>
                      <w:tcPr>
                        <w:tcW w:w="14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5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w:t>
                        </w:r>
                      </w:p>
                    </w:tc>
                  </w:tr>
                </w:tbl>
                <w:p>
                  <w:pPr/>
                </w:p>
              </w:txbxContent>
            </v:textbox>
            <w10:wrap type="none"/>
          </v:shape>
        </w:pict>
      </w:r>
      <w:r>
        <w:rPr>
          <w:spacing w:val="-5"/>
        </w:rPr>
        <w:t>固定资产折旧采用年限平均法分类计提，根据固定资产类别、预计使用寿命和</w:t>
      </w:r>
      <w:r>
        <w:rPr>
          <w:spacing w:val="-47"/>
        </w:rPr>
        <w:t> </w:t>
      </w:r>
      <w:r>
        <w:rPr>
          <w:spacing w:val="-47"/>
        </w:rPr>
      </w:r>
      <w:r>
        <w:rPr>
          <w:spacing w:val="-5"/>
          <w:w w:val="100"/>
        </w:rPr>
        <w:t>预计净残值率确定折旧率。如固定资产各组成部分的使用寿命不同或者以不同</w:t>
      </w:r>
      <w:r>
        <w:rPr>
          <w:spacing w:val="-84"/>
          <w:w w:val="100"/>
        </w:rPr>
        <w:t> </w:t>
      </w:r>
      <w:r>
        <w:rPr>
          <w:spacing w:val="-84"/>
          <w:w w:val="100"/>
        </w:rPr>
      </w:r>
      <w:r>
        <w:rPr/>
        <w:t>方式为企业提供经济利益，则选择不同折旧率或折旧方法，分别计提折旧。</w:t>
      </w:r>
      <w:r>
        <w:rPr>
          <w:w w:val="100"/>
        </w:rPr>
        <w:t> </w:t>
      </w:r>
      <w:r>
        <w:rPr/>
        <w:t>各类固定资产折旧方法、折旧年限、残值率和年折旧率如下：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固定资产的后续支出</w:t>
      </w:r>
      <w:r>
        <w:rPr>
          <w:b w:val="0"/>
          <w:bCs w:val="0"/>
        </w:rPr>
      </w:r>
    </w:p>
    <w:p>
      <w:pPr>
        <w:pStyle w:val="BodyText"/>
        <w:spacing w:line="350" w:lineRule="auto" w:before="99"/>
        <w:ind w:left="1218" w:right="1675"/>
        <w:jc w:val="left"/>
      </w:pPr>
      <w:r>
        <w:rPr/>
        <w:t>与固定资产有关的后续支出，符合固定资产确认条件的，计入固定资产成本；</w:t>
      </w:r>
      <w:r>
        <w:rPr>
          <w:spacing w:val="-23"/>
        </w:rPr>
        <w:t> </w:t>
      </w:r>
      <w:r>
        <w:rPr>
          <w:spacing w:val="-23"/>
        </w:rPr>
      </w:r>
      <w:r>
        <w:rPr/>
        <w:t>不符合固定资产确认条件的，在发生时计入当期损益。</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4</w:t>
      </w:r>
      <w:r>
        <w:rPr/>
        <w:t>、</w:t>
        <w:tab/>
        <w:t>固定资产处置</w:t>
      </w:r>
      <w:r>
        <w:rPr>
          <w:b w:val="0"/>
          <w:bCs w:val="0"/>
        </w:rPr>
      </w:r>
    </w:p>
    <w:p>
      <w:pPr>
        <w:pStyle w:val="BodyText"/>
        <w:spacing w:line="350" w:lineRule="auto" w:before="99"/>
        <w:ind w:left="1218" w:right="1880"/>
        <w:jc w:val="both"/>
      </w:pPr>
      <w:r>
        <w:rPr>
          <w:spacing w:val="-2"/>
        </w:rPr>
        <w:t>当固定资产被处置、或者预期通过使用或处置不能产生经济利益时，终止确认</w:t>
      </w:r>
      <w:r>
        <w:rPr>
          <w:spacing w:val="-42"/>
        </w:rPr>
        <w:t> </w:t>
      </w:r>
      <w:r>
        <w:rPr>
          <w:spacing w:val="-42"/>
        </w:rPr>
      </w:r>
      <w:r>
        <w:rPr>
          <w:spacing w:val="-2"/>
        </w:rPr>
        <w:t>该固定资产。固定资产出售、转让、报废或毁损的处置收入扣除其账面价值和</w:t>
      </w:r>
      <w:r>
        <w:rPr>
          <w:spacing w:val="-42"/>
        </w:rPr>
        <w:t> </w:t>
      </w:r>
      <w:r>
        <w:rPr>
          <w:spacing w:val="-42"/>
        </w:rPr>
      </w:r>
      <w:r>
        <w:rPr/>
        <w:t>相关税费后的金额计入当期损益。</w:t>
      </w:r>
    </w:p>
    <w:p>
      <w:pPr>
        <w:spacing w:line="240" w:lineRule="auto" w:before="8"/>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在建工程</w:t>
      </w:r>
      <w:r>
        <w:rPr>
          <w:b w:val="0"/>
          <w:bCs w:val="0"/>
        </w:rPr>
      </w:r>
    </w:p>
    <w:p>
      <w:pPr>
        <w:pStyle w:val="BodyText"/>
        <w:spacing w:line="348" w:lineRule="auto" w:before="102"/>
        <w:ind w:left="850" w:right="1789"/>
        <w:jc w:val="both"/>
      </w:pPr>
      <w:r>
        <w:rPr/>
        <w:t>在建工程项目按建造该项资产达到预定可使用状态前所发生的必要支出，作为固定</w:t>
      </w:r>
      <w:r>
        <w:rPr>
          <w:spacing w:val="-62"/>
        </w:rPr>
        <w:t> </w:t>
      </w:r>
      <w:r>
        <w:rPr/>
        <w:t>资产的入账价值。所建造的固定资产在工程已达到预定可使用状态，但尚未办理竣</w:t>
      </w:r>
      <w:r>
        <w:rPr>
          <w:spacing w:val="-62"/>
        </w:rPr>
        <w:t> </w:t>
      </w:r>
      <w:r>
        <w:rPr/>
        <w:t>工决算的，自达到预定可使用状态之日起，根据工程预算、造价或者工程实际成本</w:t>
      </w:r>
      <w:r>
        <w:rPr>
          <w:spacing w:val="-62"/>
        </w:rPr>
        <w:t> </w:t>
      </w:r>
      <w:r>
        <w:rPr/>
        <w:t>等，按估计的价值转入固定资产，并按本公司固定资产折旧政策计提固定资产的折</w:t>
      </w:r>
      <w:r>
        <w:rPr>
          <w:spacing w:val="-62"/>
        </w:rPr>
        <w:t> </w:t>
      </w:r>
      <w:r>
        <w:rPr/>
        <w:t>旧，待办理竣工决算后，再按实际成本调整原来的暂估价值，但不调整原已计提的</w:t>
      </w:r>
      <w:r>
        <w:rPr>
          <w:spacing w:val="-62"/>
        </w:rPr>
        <w:t> </w:t>
      </w:r>
      <w:r>
        <w:rPr/>
        <w:t>折旧额。</w:t>
      </w:r>
    </w:p>
    <w:p>
      <w:pPr>
        <w:spacing w:line="240" w:lineRule="auto" w:before="10"/>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借款费用</w:t>
      </w:r>
      <w:r>
        <w:rPr>
          <w:b w:val="0"/>
          <w:bCs w:val="0"/>
        </w:rPr>
      </w:r>
    </w:p>
    <w:p>
      <w:pPr>
        <w:tabs>
          <w:tab w:pos="1397" w:val="left" w:leader="none"/>
        </w:tabs>
        <w:spacing w:line="326" w:lineRule="auto" w:before="35"/>
        <w:ind w:left="1414" w:right="180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借款费用资本化的确认原则</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5"/>
          <w:sz w:val="21"/>
          <w:szCs w:val="21"/>
        </w:rPr>
        <w:t>借款费用，包括借款利息、折价或者溢价的摊销、辅助费用以及因外币借款而</w:t>
      </w:r>
      <w:r>
        <w:rPr>
          <w:rFonts w:ascii="宋体" w:hAnsi="宋体" w:cs="宋体" w:eastAsia="宋体" w:hint="default"/>
          <w:w w:val="100"/>
          <w:sz w:val="21"/>
          <w:szCs w:val="21"/>
        </w:rPr>
        <w:t> </w:t>
      </w:r>
      <w:r>
        <w:rPr>
          <w:rFonts w:ascii="宋体" w:hAnsi="宋体" w:cs="宋体" w:eastAsia="宋体" w:hint="default"/>
          <w:sz w:val="21"/>
          <w:szCs w:val="21"/>
        </w:rPr>
        <w:t>发生的汇兑差额等。</w:t>
      </w:r>
    </w:p>
    <w:p>
      <w:pPr>
        <w:pStyle w:val="BodyText"/>
        <w:spacing w:line="350" w:lineRule="auto" w:before="50"/>
        <w:ind w:right="1675"/>
        <w:jc w:val="left"/>
      </w:pPr>
      <w:r>
        <w:rPr/>
        <w:t>公司发生的借款费用，可直接归属于符合资本化条件的资产的购建或者生产</w:t>
      </w:r>
      <w:r>
        <w:rPr>
          <w:spacing w:val="-7"/>
        </w:rPr>
        <w:t> </w:t>
      </w:r>
      <w:r>
        <w:rPr>
          <w:spacing w:val="-7"/>
        </w:rPr>
      </w:r>
      <w:r>
        <w:rPr>
          <w:spacing w:val="-5"/>
        </w:rPr>
        <w:t>的，予以资本化，计入相关资产成本；其他借款费用，在发生时根据其发生额</w:t>
      </w:r>
      <w:r>
        <w:rPr>
          <w:spacing w:val="-46"/>
        </w:rPr>
        <w:t> </w:t>
      </w:r>
      <w:r>
        <w:rPr>
          <w:spacing w:val="-46"/>
        </w:rPr>
      </w:r>
      <w:r>
        <w:rPr/>
        <w:t>确认为费用，计入当期损益。</w:t>
      </w:r>
      <w:r>
        <w:rPr>
          <w:w w:val="100"/>
        </w:rPr>
        <w:t> </w:t>
      </w:r>
      <w:r>
        <w:rPr>
          <w:spacing w:val="-5"/>
          <w:w w:val="100"/>
        </w:rPr>
        <w:t>符合资本化条件的资产，是指需要经过相当长时间的购建或者生产活动才能达</w:t>
      </w:r>
      <w:r>
        <w:rPr>
          <w:spacing w:val="-84"/>
          <w:w w:val="100"/>
        </w:rPr>
        <w:t> </w:t>
      </w:r>
      <w:r>
        <w:rPr>
          <w:spacing w:val="-84"/>
          <w:w w:val="100"/>
        </w:rPr>
      </w:r>
      <w:r>
        <w:rPr/>
        <w:t>到预定可使用或者可销售状态的固定资产、投资性房地产和存货等资产。</w:t>
      </w:r>
      <w:r>
        <w:rPr>
          <w:w w:val="100"/>
        </w:rPr>
        <w:t> </w:t>
      </w:r>
      <w:r>
        <w:rPr/>
        <w:t>借款费用同时满足下列条件时开始资本化：</w:t>
      </w:r>
    </w:p>
    <w:p>
      <w:pPr>
        <w:pStyle w:val="BodyText"/>
        <w:spacing w:line="331" w:lineRule="auto" w:before="29"/>
        <w:ind w:right="1675"/>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w:t>
      </w:r>
      <w:r>
        <w:rPr>
          <w:spacing w:val="-39"/>
        </w:rPr>
        <w:t> </w:t>
      </w:r>
      <w:r>
        <w:rPr>
          <w:spacing w:val="-39"/>
        </w:rPr>
      </w:r>
      <w:r>
        <w:rPr/>
        <w:t>产而以支付现金、转移非现金资产或者承担带息债务形式发生的支出；</w:t>
      </w:r>
    </w:p>
    <w:p>
      <w:pPr>
        <w:pStyle w:val="BodyText"/>
        <w:spacing w:line="240" w:lineRule="auto" w:before="43"/>
        <w:ind w:right="1675"/>
        <w:jc w:val="left"/>
      </w:pPr>
      <w:r>
        <w:rPr/>
        <w:t>（</w:t>
      </w:r>
      <w:r>
        <w:rPr>
          <w:rFonts w:ascii="Times New Roman" w:hAnsi="Times New Roman" w:cs="Times New Roman" w:eastAsia="Times New Roman" w:hint="default"/>
        </w:rPr>
        <w:t>2</w:t>
      </w:r>
      <w:r>
        <w:rPr/>
        <w:t>）借款费用已经发生；</w:t>
      </w:r>
    </w:p>
    <w:p>
      <w:pPr>
        <w:pStyle w:val="BodyText"/>
        <w:spacing w:line="331" w:lineRule="auto" w:before="110"/>
        <w:ind w:right="1675"/>
        <w:jc w:val="left"/>
      </w:pPr>
      <w:r>
        <w:rPr>
          <w:spacing w:val="-2"/>
        </w:rPr>
        <w:t>（</w:t>
      </w:r>
      <w:r>
        <w:rPr>
          <w:rFonts w:ascii="Times New Roman" w:hAnsi="Times New Roman" w:cs="Times New Roman" w:eastAsia="Times New Roman" w:hint="default"/>
          <w:spacing w:val="-2"/>
        </w:rPr>
        <w:t>3</w:t>
      </w:r>
      <w:r>
        <w:rPr>
          <w:spacing w:val="-2"/>
        </w:rPr>
        <w:t>）为使资产达到预定可使用或者可销售状态所必要的购建或者生产活动已</w:t>
      </w:r>
      <w:r>
        <w:rPr>
          <w:spacing w:val="-39"/>
        </w:rPr>
        <w:t> </w:t>
      </w:r>
      <w:r>
        <w:rPr>
          <w:spacing w:val="-39"/>
        </w:rPr>
      </w:r>
      <w:r>
        <w:rPr/>
        <w:t>经开始。</w:t>
      </w:r>
    </w:p>
    <w:p>
      <w:pPr>
        <w:spacing w:line="240" w:lineRule="auto" w:before="12"/>
        <w:rPr>
          <w:rFonts w:ascii="宋体" w:hAnsi="宋体" w:cs="宋体" w:eastAsia="宋体" w:hint="default"/>
          <w:sz w:val="28"/>
          <w:szCs w:val="28"/>
        </w:rPr>
      </w:pPr>
    </w:p>
    <w:p>
      <w:pPr>
        <w:tabs>
          <w:tab w:pos="1397" w:val="left" w:leader="none"/>
        </w:tabs>
        <w:spacing w:line="307" w:lineRule="auto" w:before="0"/>
        <w:ind w:left="1414" w:right="180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借款费用资本化期间</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5"/>
          <w:sz w:val="21"/>
          <w:szCs w:val="21"/>
        </w:rPr>
        <w:t>资本化期间，指从借款费用开始资本化时点到停止资本化时点的期间，借款费</w:t>
      </w:r>
    </w:p>
    <w:p>
      <w:pPr>
        <w:pStyle w:val="BodyText"/>
        <w:spacing w:line="350" w:lineRule="auto" w:before="64"/>
        <w:ind w:right="1675"/>
        <w:jc w:val="left"/>
      </w:pPr>
      <w:r>
        <w:rPr/>
        <w:t>用暂停资本化的期间不包括在内。</w:t>
      </w:r>
      <w:r>
        <w:rPr>
          <w:w w:val="100"/>
        </w:rPr>
        <w:t> </w:t>
      </w:r>
      <w:r>
        <w:rPr>
          <w:spacing w:val="-5"/>
          <w:w w:val="100"/>
        </w:rPr>
        <w:t>当购建或者生产符合资本化条件的资产达到预定可使用或者可销售状态时，借</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50" w:lineRule="auto"/>
        <w:ind w:right="1675"/>
        <w:jc w:val="left"/>
      </w:pPr>
      <w:r>
        <w:rPr/>
        <w:t>款费用停止资本化。</w:t>
      </w:r>
      <w:r>
        <w:rPr>
          <w:w w:val="100"/>
        </w:rPr>
        <w:t> </w:t>
      </w:r>
      <w:r>
        <w:rPr>
          <w:spacing w:val="-2"/>
        </w:rPr>
        <w:t>当购建或者生产符合资本化条件的资产中部分项目分别完工且可单独使用时，</w:t>
      </w:r>
      <w:r>
        <w:rPr>
          <w:spacing w:val="-42"/>
        </w:rPr>
        <w:t> </w:t>
      </w:r>
      <w:r>
        <w:rPr>
          <w:spacing w:val="-42"/>
        </w:rPr>
      </w:r>
      <w:r>
        <w:rPr/>
        <w:t>该部分资产借款费用停止资本化。</w:t>
      </w:r>
      <w:r>
        <w:rPr>
          <w:w w:val="100"/>
        </w:rPr>
        <w:t> </w:t>
      </w:r>
      <w:r>
        <w:rPr>
          <w:spacing w:val="-5"/>
          <w:w w:val="100"/>
        </w:rPr>
        <w:t>购建或者生产的资产的各部分分别完工，但必须等到整体完工后才可使用或可</w:t>
      </w:r>
      <w:r>
        <w:rPr>
          <w:spacing w:val="-84"/>
          <w:w w:val="100"/>
        </w:rPr>
        <w:t> </w:t>
      </w:r>
      <w:r>
        <w:rPr>
          <w:spacing w:val="-84"/>
          <w:w w:val="100"/>
        </w:rPr>
      </w:r>
      <w:r>
        <w:rPr/>
        <w:t>对外销售的，在该资产整体完工时停止借款费用资本化。</w:t>
      </w:r>
    </w:p>
    <w:p>
      <w:pPr>
        <w:spacing w:line="240" w:lineRule="auto" w:before="8"/>
        <w:rPr>
          <w:rFonts w:ascii="宋体" w:hAnsi="宋体" w:cs="宋体" w:eastAsia="宋体" w:hint="default"/>
          <w:sz w:val="27"/>
          <w:szCs w:val="27"/>
        </w:rPr>
      </w:pPr>
    </w:p>
    <w:p>
      <w:pPr>
        <w:pStyle w:val="BodyText"/>
        <w:tabs>
          <w:tab w:pos="1397" w:val="left" w:leader="none"/>
        </w:tabs>
        <w:spacing w:line="328" w:lineRule="auto" w:before="0"/>
        <w:ind w:right="1786" w:hanging="569"/>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w:t>
        <w:tab/>
        <w:t>暂停资本化期间</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5"/>
          <w:w w:val="100"/>
        </w:rPr>
        <w:t>符合资本化条件的资产在购建或生产过程中发生的非正常中断、且中断时间连</w:t>
      </w:r>
      <w:r>
        <w:rPr>
          <w:w w:val="100"/>
        </w:rPr>
        <w:t> </w:t>
      </w:r>
      <w:r>
        <w:rPr/>
        <w:t>续超过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5"/>
        </w:rPr>
        <w:t>个月的，则借款费用暂停资本化；该项中断如是所购建或生产的符合</w:t>
      </w:r>
    </w:p>
    <w:p>
      <w:pPr>
        <w:pStyle w:val="BodyText"/>
        <w:spacing w:line="348" w:lineRule="auto" w:before="24"/>
        <w:ind w:right="1786"/>
        <w:jc w:val="both"/>
      </w:pPr>
      <w:r>
        <w:rPr>
          <w:spacing w:val="-5"/>
          <w:w w:val="100"/>
        </w:rPr>
        <w:t>资本化条件的资产达到预定可使用状态或者可销售状态必要的程序，则借款费</w:t>
      </w:r>
      <w:r>
        <w:rPr>
          <w:spacing w:val="-85"/>
          <w:w w:val="100"/>
        </w:rPr>
        <w:t> </w:t>
      </w:r>
      <w:r>
        <w:rPr>
          <w:spacing w:val="-85"/>
          <w:w w:val="100"/>
        </w:rPr>
      </w:r>
      <w:r>
        <w:rPr>
          <w:spacing w:val="-5"/>
        </w:rPr>
        <w:t>用继续资本化。在中断期间发生的借款费用确认为当期损益，直至资产的购建</w:t>
      </w:r>
      <w:r>
        <w:rPr>
          <w:spacing w:val="-47"/>
        </w:rPr>
        <w:t> </w:t>
      </w:r>
      <w:r>
        <w:rPr>
          <w:spacing w:val="-47"/>
        </w:rPr>
      </w:r>
      <w:r>
        <w:rPr/>
        <w:t>或者生产活动重新开始后借款费用继续资本化。</w:t>
      </w:r>
    </w:p>
    <w:p>
      <w:pPr>
        <w:spacing w:line="240" w:lineRule="auto" w:before="12"/>
        <w:rPr>
          <w:rFonts w:ascii="宋体" w:hAnsi="宋体" w:cs="宋体" w:eastAsia="宋体" w:hint="default"/>
          <w:sz w:val="27"/>
          <w:szCs w:val="27"/>
        </w:rPr>
      </w:pPr>
    </w:p>
    <w:p>
      <w:pPr>
        <w:tabs>
          <w:tab w:pos="1397" w:val="left" w:leader="none"/>
        </w:tabs>
        <w:spacing w:line="328" w:lineRule="auto" w:before="0"/>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借款费用资本化率、资本化金额的计算方法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5"/>
          <w:w w:val="100"/>
          <w:sz w:val="21"/>
          <w:szCs w:val="21"/>
        </w:rPr>
        <w:t>对于为购建或者生产符合资本化条件的资产而借入的专门借款，以专门借款当</w:t>
      </w:r>
      <w:r>
        <w:rPr>
          <w:rFonts w:ascii="宋体" w:hAnsi="宋体" w:cs="宋体" w:eastAsia="宋体" w:hint="default"/>
          <w:w w:val="100"/>
          <w:sz w:val="21"/>
          <w:szCs w:val="21"/>
        </w:rPr>
        <w:t> </w:t>
      </w:r>
      <w:r>
        <w:rPr>
          <w:rFonts w:ascii="宋体" w:hAnsi="宋体" w:cs="宋体" w:eastAsia="宋体" w:hint="default"/>
          <w:spacing w:val="-5"/>
          <w:w w:val="100"/>
          <w:sz w:val="21"/>
          <w:szCs w:val="21"/>
        </w:rPr>
        <w:t>期实际发生的借款费用，减去尚未动用的借款资金存入银行取得的利息收入或</w:t>
      </w:r>
    </w:p>
    <w:p>
      <w:pPr>
        <w:pStyle w:val="BodyText"/>
        <w:spacing w:line="348" w:lineRule="auto" w:before="48"/>
        <w:ind w:right="1675"/>
        <w:jc w:val="left"/>
      </w:pPr>
      <w:r>
        <w:rPr/>
        <w:t>进行暂时性投资取得的投资收益后的金额，来确定借款费用的资本化金额。</w:t>
      </w:r>
      <w:r>
        <w:rPr>
          <w:w w:val="100"/>
        </w:rPr>
        <w:t> </w:t>
      </w:r>
      <w:r>
        <w:rPr>
          <w:spacing w:val="-5"/>
          <w:w w:val="100"/>
        </w:rPr>
        <w:t>对于为购建或者生产符合资本化条件的资产而占用的一般借款，根据累计资产</w:t>
      </w:r>
      <w:r>
        <w:rPr>
          <w:spacing w:val="-85"/>
          <w:w w:val="100"/>
        </w:rPr>
        <w:t> </w:t>
      </w:r>
      <w:r>
        <w:rPr>
          <w:spacing w:val="-85"/>
          <w:w w:val="100"/>
        </w:rPr>
      </w:r>
      <w:r>
        <w:rPr/>
        <w:t>支出超过专门借款部分的资产支出加权平均数乘以所占用一般借款的资本化</w:t>
      </w:r>
      <w:r>
        <w:rPr>
          <w:spacing w:val="-8"/>
        </w:rPr>
        <w:t> </w:t>
      </w:r>
      <w:r>
        <w:rPr>
          <w:spacing w:val="-8"/>
        </w:rPr>
      </w:r>
      <w:r>
        <w:rPr>
          <w:spacing w:val="-5"/>
        </w:rPr>
        <w:t>率，计算确定一般借款应予资本化的借款费用金额。资本化率根据一般借款加</w:t>
      </w:r>
      <w:r>
        <w:rPr>
          <w:spacing w:val="-46"/>
        </w:rPr>
        <w:t> </w:t>
      </w:r>
      <w:r>
        <w:rPr>
          <w:spacing w:val="-46"/>
        </w:rPr>
      </w:r>
      <w:r>
        <w:rPr/>
        <w:t>权平均利率计算确定。</w:t>
      </w:r>
    </w:p>
    <w:p>
      <w:pPr>
        <w:spacing w:line="240" w:lineRule="auto" w:before="13"/>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无形资产</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无形资产的计价方法</w:t>
      </w:r>
      <w:r>
        <w:rPr>
          <w:b w:val="0"/>
          <w:bCs w:val="0"/>
        </w:rPr>
      </w:r>
    </w:p>
    <w:p>
      <w:pPr>
        <w:pStyle w:val="BodyText"/>
        <w:spacing w:line="348" w:lineRule="auto" w:before="102"/>
        <w:ind w:right="1675"/>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5"/>
        </w:rPr>
        <w:t>外购无形资产的成本，包括购买价款、相关税费以及直接归属于使该项资产达</w:t>
      </w:r>
      <w:r>
        <w:rPr>
          <w:spacing w:val="-45"/>
        </w:rPr>
        <w:t> </w:t>
      </w:r>
      <w:r>
        <w:rPr>
          <w:spacing w:val="-45"/>
        </w:rPr>
      </w:r>
      <w:r>
        <w:rPr>
          <w:spacing w:val="-5"/>
          <w:w w:val="100"/>
        </w:rPr>
        <w:t>到预定用途所发生的其他支出。购买无形资产的价款超过正常信用条件延期支</w:t>
      </w:r>
      <w:r>
        <w:rPr>
          <w:spacing w:val="-84"/>
          <w:w w:val="100"/>
        </w:rPr>
        <w:t> </w:t>
      </w:r>
      <w:r>
        <w:rPr>
          <w:spacing w:val="-84"/>
          <w:w w:val="100"/>
        </w:rPr>
      </w:r>
      <w:r>
        <w:rPr>
          <w:spacing w:val="-2"/>
        </w:rPr>
        <w:t>付，实质上具有融资性质的，无形资产的成本以购买价款的现值为基础确定。</w:t>
      </w:r>
      <w:r>
        <w:rPr>
          <w:spacing w:val="-46"/>
        </w:rPr>
        <w:t> </w:t>
      </w:r>
      <w:r>
        <w:rPr>
          <w:spacing w:val="-46"/>
        </w:rPr>
      </w:r>
      <w:r>
        <w:rPr>
          <w:spacing w:val="-5"/>
          <w:w w:val="100"/>
        </w:rPr>
        <w:t>债务重组取得债务人用以抵债的无形资产，以该无形资产的公允价值为基础确</w:t>
      </w:r>
      <w:r>
        <w:rPr>
          <w:spacing w:val="-85"/>
          <w:w w:val="100"/>
        </w:rPr>
        <w:t> </w:t>
      </w:r>
      <w:r>
        <w:rPr>
          <w:spacing w:val="-85"/>
          <w:w w:val="100"/>
        </w:rPr>
      </w:r>
      <w:r>
        <w:rPr>
          <w:spacing w:val="-5"/>
          <w:w w:val="100"/>
        </w:rPr>
        <w:t>定其入账价值，并将重组债务的账面价值与该用以抵债的无形资产公允价值之</w:t>
      </w:r>
      <w:r>
        <w:rPr>
          <w:spacing w:val="-84"/>
          <w:w w:val="100"/>
        </w:rPr>
        <w:t> </w:t>
      </w:r>
      <w:r>
        <w:rPr>
          <w:spacing w:val="-84"/>
          <w:w w:val="100"/>
        </w:rPr>
      </w:r>
      <w:r>
        <w:rPr/>
        <w:t>间的差额，计入当期损益。</w:t>
      </w:r>
      <w:r>
        <w:rPr>
          <w:w w:val="100"/>
        </w:rPr>
        <w:t> </w:t>
      </w:r>
      <w:r>
        <w:rPr/>
        <w:t>在非货币性资产交换具备商业实质且换入资产或换出资产的公允价值能够可</w:t>
      </w:r>
      <w:r>
        <w:rPr>
          <w:spacing w:val="-8"/>
        </w:rPr>
        <w:t> </w:t>
      </w:r>
      <w:r>
        <w:rPr>
          <w:spacing w:val="-8"/>
        </w:rPr>
      </w:r>
      <w:r>
        <w:rPr>
          <w:spacing w:val="-5"/>
          <w:w w:val="100"/>
        </w:rPr>
        <w:t>靠计量的前提下，非货币性资产交换换入的无形资产以换出资产的公允价值为</w:t>
      </w:r>
      <w:r>
        <w:rPr>
          <w:spacing w:val="-85"/>
          <w:w w:val="100"/>
        </w:rPr>
        <w:t> </w:t>
      </w:r>
      <w:r>
        <w:rPr>
          <w:spacing w:val="-85"/>
          <w:w w:val="100"/>
        </w:rPr>
      </w:r>
      <w:r>
        <w:rPr>
          <w:spacing w:val="-5"/>
        </w:rPr>
        <w:t>基础确定其入账价值，除非有确凿证据表明换入资产的公允价值更加可靠；不</w:t>
      </w:r>
    </w:p>
    <w:p>
      <w:pPr>
        <w:spacing w:after="0" w:line="348"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50" w:lineRule="auto"/>
        <w:ind w:right="1675"/>
        <w:jc w:val="left"/>
      </w:pPr>
      <w:r>
        <w:rPr>
          <w:spacing w:val="-5"/>
          <w:w w:val="100"/>
        </w:rPr>
        <w:t>满足上述前提的非货币性资产交换，以换出资产的账面价值和应支付的相关税</w:t>
      </w:r>
      <w:r>
        <w:rPr>
          <w:spacing w:val="-84"/>
          <w:w w:val="100"/>
        </w:rPr>
        <w:t> </w:t>
      </w:r>
      <w:r>
        <w:rPr>
          <w:spacing w:val="-84"/>
          <w:w w:val="100"/>
        </w:rPr>
      </w:r>
      <w:r>
        <w:rPr/>
        <w:t>费作为换入无形资产的成本，不确认损益。</w:t>
      </w:r>
    </w:p>
    <w:p>
      <w:pPr>
        <w:pStyle w:val="BodyText"/>
        <w:spacing w:line="340" w:lineRule="auto" w:before="27"/>
        <w:ind w:left="1285" w:right="1675" w:firstLine="129"/>
        <w:jc w:val="left"/>
      </w:pPr>
      <w:r>
        <w:rPr/>
        <w:t>（</w:t>
      </w:r>
      <w:r>
        <w:rPr>
          <w:rFonts w:ascii="Times New Roman" w:hAnsi="Times New Roman" w:cs="Times New Roman" w:eastAsia="Times New Roman" w:hint="default"/>
        </w:rPr>
        <w:t>2</w:t>
      </w:r>
      <w:r>
        <w:rPr/>
        <w:t>）后续计量</w:t>
      </w:r>
      <w:r>
        <w:rPr>
          <w:w w:val="100"/>
        </w:rPr>
        <w:t> </w:t>
      </w:r>
      <w:r>
        <w:rPr>
          <w:spacing w:val="-1"/>
        </w:rPr>
        <w:t>本公司在取得无形资产时分析判断其使用寿命，划分为使用寿命有限和使用寿</w:t>
      </w:r>
      <w:r>
        <w:rPr>
          <w:spacing w:val="-49"/>
        </w:rPr>
        <w:t> </w:t>
      </w:r>
      <w:r>
        <w:rPr>
          <w:spacing w:val="-49"/>
        </w:rPr>
      </w:r>
      <w:r>
        <w:rPr/>
        <w:t>命不确定的无形资产。</w:t>
      </w:r>
    </w:p>
    <w:p>
      <w:pPr>
        <w:pStyle w:val="BodyText"/>
        <w:spacing w:line="345" w:lineRule="auto" w:before="35"/>
        <w:ind w:left="1270" w:right="1675" w:firstLine="105"/>
        <w:jc w:val="left"/>
      </w:pPr>
      <w:r>
        <w:rPr>
          <w:rFonts w:ascii="Times New Roman" w:hAnsi="Times New Roman" w:cs="Times New Roman" w:eastAsia="Times New Roman" w:hint="default"/>
        </w:rPr>
        <w:t>1</w:t>
      </w:r>
      <w:r>
        <w:rPr/>
        <w:t>）</w:t>
      </w:r>
      <w:r>
        <w:rPr>
          <w:spacing w:val="19"/>
        </w:rPr>
        <w:t> </w:t>
      </w:r>
      <w:r>
        <w:rPr/>
        <w:t>使用寿命有限的无形资产</w:t>
      </w:r>
      <w:r>
        <w:rPr>
          <w:w w:val="100"/>
        </w:rPr>
        <w:t> </w:t>
      </w:r>
      <w:r>
        <w:rPr>
          <w:spacing w:val="-4"/>
        </w:rPr>
        <w:t>对于使用寿命有限的无形资产，在为企业带来经济利益的期限内按直线法摊销。</w:t>
      </w:r>
      <w:r>
        <w:rPr>
          <w:spacing w:val="-51"/>
        </w:rPr>
        <w:t> </w:t>
      </w:r>
      <w:r>
        <w:rPr>
          <w:spacing w:val="-51"/>
        </w:rPr>
      </w:r>
      <w:r>
        <w:rPr/>
        <w:t>每期末，对使用寿命有限的无形资产的使用寿命及摊销方法进行复核，如与原</w:t>
      </w:r>
      <w:r>
        <w:rPr>
          <w:spacing w:val="-83"/>
        </w:rPr>
        <w:t> </w:t>
      </w:r>
      <w:r>
        <w:rPr>
          <w:spacing w:val="-83"/>
        </w:rPr>
      </w:r>
      <w:r>
        <w:rPr/>
        <w:t>先估计数存在差异的，进行相应的调整。</w:t>
      </w:r>
      <w:r>
        <w:rPr>
          <w:w w:val="100"/>
        </w:rPr>
        <w:t> </w:t>
      </w:r>
      <w:r>
        <w:rPr/>
        <w:t>经复核，本期期末无形资产的使用寿命及摊销方法与以前估计未有不同。</w:t>
      </w:r>
    </w:p>
    <w:p>
      <w:pPr>
        <w:pStyle w:val="BodyText"/>
        <w:tabs>
          <w:tab w:pos="1817" w:val="left" w:leader="none"/>
        </w:tabs>
        <w:spacing w:line="343" w:lineRule="auto" w:before="33"/>
        <w:ind w:left="1196" w:right="1809" w:firstLine="74"/>
        <w:jc w:val="left"/>
      </w:pPr>
      <w:r>
        <w:rPr>
          <w:rFonts w:ascii="Times New Roman" w:hAnsi="Times New Roman" w:cs="Times New Roman" w:eastAsia="Times New Roman" w:hint="default"/>
        </w:rPr>
        <w:t>2</w:t>
      </w:r>
      <w:r>
        <w:rPr/>
        <w:t>）</w:t>
        <w:tab/>
        <w:t>使用寿命不确定的无形资产</w:t>
      </w:r>
      <w:r>
        <w:rPr>
          <w:w w:val="100"/>
        </w:rPr>
        <w:t> </w:t>
      </w:r>
      <w:r>
        <w:rPr/>
        <w:t>无法预见无形资产为企业带来经济利益期限的，视为使用寿命不确定的无形资</w:t>
      </w:r>
      <w:r>
        <w:rPr>
          <w:spacing w:val="-1"/>
        </w:rPr>
        <w:t> </w:t>
      </w:r>
      <w:r>
        <w:rPr>
          <w:spacing w:val="-1"/>
        </w:rPr>
      </w:r>
      <w:r>
        <w:rPr>
          <w:spacing w:val="-5"/>
        </w:rPr>
        <w:t>产。对于使用寿命不确定的无形资产，在持有期间内不摊销，每期末对无形资产</w:t>
      </w:r>
      <w:r>
        <w:rPr>
          <w:spacing w:val="-36"/>
        </w:rPr>
        <w:t> </w:t>
      </w:r>
      <w:r>
        <w:rPr>
          <w:spacing w:val="-36"/>
        </w:rPr>
      </w:r>
      <w:r>
        <w:rPr>
          <w:spacing w:val="-5"/>
        </w:rPr>
        <w:t>的寿命进行复核。如果期末重新复核后仍为不确定的，在每个会计期间继续进行</w:t>
      </w:r>
      <w:r>
        <w:rPr>
          <w:spacing w:val="-29"/>
        </w:rPr>
        <w:t> </w:t>
      </w:r>
      <w:r>
        <w:rPr>
          <w:spacing w:val="-29"/>
        </w:rPr>
      </w:r>
      <w:r>
        <w:rPr/>
        <w:t>减值测试。</w:t>
      </w:r>
    </w:p>
    <w:p>
      <w:pPr>
        <w:spacing w:line="240" w:lineRule="auto" w:before="4"/>
        <w:rPr>
          <w:rFonts w:ascii="宋体" w:hAnsi="宋体" w:cs="宋体" w:eastAsia="宋体" w:hint="default"/>
          <w:sz w:val="28"/>
          <w:szCs w:val="28"/>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长期资产减值</w:t>
      </w:r>
      <w:r>
        <w:rPr>
          <w:b w:val="0"/>
          <w:bCs w:val="0"/>
        </w:rPr>
      </w:r>
    </w:p>
    <w:p>
      <w:pPr>
        <w:pStyle w:val="BodyText"/>
        <w:spacing w:line="350" w:lineRule="auto" w:before="99"/>
        <w:ind w:left="850" w:right="1675"/>
        <w:jc w:val="left"/>
      </w:pPr>
      <w:r>
        <w:rPr/>
        <w:t>长期股权投资、采用成本模式计量的投资性房地产、固定资产、在建工程、使用寿</w:t>
      </w:r>
      <w:r>
        <w:rPr>
          <w:spacing w:val="-62"/>
        </w:rPr>
        <w:t> </w:t>
      </w:r>
      <w:r>
        <w:rPr/>
        <w:t>命有限的无形资产等长期资产，于资产负债表日存在减值迹象的，进行减值测试。</w:t>
      </w:r>
      <w:r>
        <w:rPr>
          <w:spacing w:val="-62"/>
        </w:rPr>
        <w:t> </w:t>
      </w:r>
      <w:r>
        <w:rPr/>
        <w:t>减值测试结果表明资产的可收回金额低于其账面价值的，按其差额计提减值准备并</w:t>
      </w:r>
      <w:r>
        <w:rPr>
          <w:spacing w:val="-62"/>
        </w:rPr>
        <w:t> </w:t>
      </w:r>
      <w:r>
        <w:rPr/>
        <w:t>计入减值损失。可收回金额为资产的公允价值减去处置费用后的净额与资产预计未</w:t>
      </w:r>
      <w:r>
        <w:rPr>
          <w:spacing w:val="-62"/>
        </w:rPr>
        <w:t> </w:t>
      </w:r>
      <w:r>
        <w:rPr>
          <w:spacing w:val="-4"/>
        </w:rPr>
        <w:t>来现金流量的现值两者之间的较高者。资产减值准备按单项资产为基础计算并确认，</w:t>
      </w:r>
      <w:r>
        <w:rPr>
          <w:spacing w:val="-25"/>
        </w:rPr>
        <w:t> </w:t>
      </w:r>
      <w:r>
        <w:rPr>
          <w:spacing w:val="-25"/>
        </w:rPr>
      </w:r>
      <w:r>
        <w:rPr/>
        <w:t>如果难以对单项资产的可收回金额进行估计的，以该资产所属的资产组确定资产组</w:t>
      </w:r>
      <w:r>
        <w:rPr>
          <w:spacing w:val="-61"/>
        </w:rPr>
        <w:t> </w:t>
      </w:r>
      <w:r>
        <w:rPr>
          <w:spacing w:val="-61"/>
        </w:rPr>
      </w:r>
      <w:r>
        <w:rPr/>
        <w:t>的可收回金额。资产组是能够独立产生现金流入的最小资产组合。</w:t>
      </w:r>
      <w:r>
        <w:rPr>
          <w:w w:val="100"/>
        </w:rPr>
        <w:t> </w:t>
      </w:r>
      <w:r>
        <w:rPr/>
        <w:t>商誉和使用寿命不确定的无形资产至少在每年年度终了进行减值测试。</w:t>
      </w:r>
      <w:r>
        <w:rPr>
          <w:w w:val="100"/>
        </w:rPr>
        <w:t> </w:t>
      </w:r>
      <w:r>
        <w:rPr/>
        <w:t>本公司进行商誉减值测试，对于因企业合并形成的商誉的账面价值，自购买日起按</w:t>
      </w:r>
      <w:r>
        <w:rPr>
          <w:spacing w:val="-62"/>
        </w:rPr>
        <w:t> </w:t>
      </w:r>
      <w:r>
        <w:rPr/>
        <w:t>照合理的方法分摊至相关的资产组；难以分摊至相关的资产组的，将其分摊至相关</w:t>
      </w:r>
      <w:r>
        <w:rPr>
          <w:spacing w:val="-62"/>
        </w:rPr>
        <w:t> </w:t>
      </w:r>
      <w:r>
        <w:rPr/>
        <w:t>的资产组组合。在将商誉的账面价值分摊至相关的资产组或者资产组组合时，按照</w:t>
      </w:r>
      <w:r>
        <w:rPr>
          <w:spacing w:val="-62"/>
        </w:rPr>
        <w:t> </w:t>
      </w:r>
      <w:r>
        <w:rPr/>
        <w:t>各资产组或者资产组组合的公允价值占相关资产组或者资产组组合公允价值总额的</w:t>
      </w:r>
      <w:r>
        <w:rPr>
          <w:spacing w:val="-62"/>
        </w:rPr>
        <w:t> </w:t>
      </w:r>
      <w:r>
        <w:rPr/>
        <w:t>比例进行分摊。公允价值难以可靠计量的，按照各资产组或者资产组组合的账面价</w:t>
      </w:r>
      <w:r>
        <w:rPr>
          <w:spacing w:val="-62"/>
        </w:rPr>
        <w:t> </w:t>
      </w:r>
      <w:r>
        <w:rPr/>
        <w:t>值占相关资产组或者资产组组合账面价值总额的比例进行分摊。</w:t>
      </w:r>
      <w:r>
        <w:rPr>
          <w:w w:val="100"/>
        </w:rPr>
        <w:t> </w:t>
      </w:r>
      <w:r>
        <w:rPr/>
        <w:t>在对包含商誉的相关资产组或者资产组组合进行减值测试时，如与商誉相关的资产</w:t>
      </w:r>
      <w:r>
        <w:rPr>
          <w:spacing w:val="-62"/>
        </w:rPr>
        <w:t> </w:t>
      </w:r>
      <w:r>
        <w:rPr/>
        <w:t>组或者资产组组合存在减值迹象的，先对不包含商誉的资产组或者资产组组合进行</w:t>
      </w:r>
      <w:r>
        <w:rPr>
          <w:spacing w:val="-62"/>
        </w:rPr>
        <w:t> </w:t>
      </w:r>
      <w:r>
        <w:rPr/>
        <w:t>减值测试，计算可收回金额，并与相关账面价值相比较，确认相应的减值损失。再</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50" w:lineRule="auto"/>
        <w:ind w:left="850" w:right="1675"/>
        <w:jc w:val="left"/>
      </w:pPr>
      <w:r>
        <w:rPr/>
        <w:t>对包含商誉的资产组或者资产组组合进行减值测试，比较这些相关资产组或者资产</w:t>
      </w:r>
      <w:r>
        <w:rPr>
          <w:spacing w:val="-62"/>
        </w:rPr>
        <w:t> </w:t>
      </w:r>
      <w:r>
        <w:rPr/>
        <w:t>组组合的账面价值（包括所分摊的商誉的账面价值部分）与其可收回金额，如相关</w:t>
      </w:r>
      <w:r>
        <w:rPr>
          <w:spacing w:val="-62"/>
        </w:rPr>
        <w:t> </w:t>
      </w:r>
      <w:r>
        <w:rPr/>
        <w:t>资产组或者资产组组合的可收回金额低于其账面价值的，确认商誉的减值损失。</w:t>
      </w:r>
      <w:r>
        <w:rPr>
          <w:w w:val="100"/>
        </w:rPr>
        <w:t> </w:t>
      </w:r>
      <w:r>
        <w:rPr/>
        <w:t>上述资产减值损失一经确认，在以后会计期间不予转回。</w:t>
      </w:r>
    </w:p>
    <w:p>
      <w:pPr>
        <w:spacing w:line="240" w:lineRule="auto" w:before="8"/>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贷款减值</w:t>
      </w:r>
      <w:r>
        <w:rPr>
          <w:b w:val="0"/>
          <w:bCs w:val="0"/>
        </w:rPr>
      </w:r>
    </w:p>
    <w:p>
      <w:pPr>
        <w:pStyle w:val="BodyText"/>
        <w:spacing w:line="350" w:lineRule="auto" w:before="102"/>
        <w:ind w:left="850" w:right="1675"/>
        <w:jc w:val="left"/>
      </w:pPr>
      <w:r>
        <w:rPr/>
        <w:t>公司于每年年度终了，对发放贷款进行全面检查，如果有迹象表明发放贷款账面价</w:t>
      </w:r>
      <w:r>
        <w:rPr>
          <w:spacing w:val="-62"/>
        </w:rPr>
        <w:t> </w:t>
      </w:r>
      <w:r>
        <w:rPr/>
        <w:t>值高于其可收回金额的，按五级分类计提相应的减值准备，备类计提比例如下：</w:t>
      </w:r>
    </w:p>
    <w:p>
      <w:pPr>
        <w:spacing w:line="240" w:lineRule="auto" w:before="9"/>
        <w:rPr>
          <w:rFonts w:ascii="宋体" w:hAnsi="宋体" w:cs="宋体" w:eastAsia="宋体" w:hint="default"/>
          <w:sz w:val="26"/>
          <w:szCs w:val="26"/>
        </w:rPr>
      </w:pPr>
    </w:p>
    <w:tbl>
      <w:tblPr>
        <w:tblW w:w="0" w:type="auto"/>
        <w:jc w:val="left"/>
        <w:tblInd w:w="848" w:type="dxa"/>
        <w:tblLayout w:type="fixed"/>
        <w:tblCellMar>
          <w:top w:w="0" w:type="dxa"/>
          <w:left w:w="0" w:type="dxa"/>
          <w:bottom w:w="0" w:type="dxa"/>
          <w:right w:w="0" w:type="dxa"/>
        </w:tblCellMar>
        <w:tblLook w:val="01E0"/>
      </w:tblPr>
      <w:tblGrid>
        <w:gridCol w:w="963"/>
        <w:gridCol w:w="2787"/>
        <w:gridCol w:w="3882"/>
      </w:tblGrid>
      <w:tr>
        <w:trPr>
          <w:trHeight w:val="461" w:hRule="exact"/>
        </w:trPr>
        <w:tc>
          <w:tcPr>
            <w:tcW w:w="963" w:type="dxa"/>
            <w:tcBorders>
              <w:top w:val="single" w:sz="12" w:space="0" w:color="000000"/>
              <w:left w:val="nil" w:sz="6" w:space="0" w:color="auto"/>
              <w:bottom w:val="dotted" w:sz="4" w:space="0" w:color="000000"/>
              <w:right w:val="nil" w:sz="6" w:space="0" w:color="auto"/>
            </w:tcBorders>
          </w:tcPr>
          <w:p>
            <w:pPr/>
          </w:p>
        </w:tc>
        <w:tc>
          <w:tcPr>
            <w:tcW w:w="27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559" w:right="0"/>
              <w:jc w:val="left"/>
              <w:rPr>
                <w:rFonts w:ascii="宋体" w:hAnsi="宋体" w:cs="宋体" w:eastAsia="宋体" w:hint="default"/>
                <w:sz w:val="18"/>
                <w:szCs w:val="18"/>
              </w:rPr>
            </w:pPr>
            <w:r>
              <w:rPr>
                <w:rFonts w:ascii="宋体" w:hAnsi="宋体" w:cs="宋体" w:eastAsia="宋体" w:hint="default"/>
                <w:sz w:val="18"/>
                <w:szCs w:val="18"/>
              </w:rPr>
              <w:t>贷款形态</w:t>
            </w:r>
          </w:p>
        </w:tc>
        <w:tc>
          <w:tcPr>
            <w:tcW w:w="388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计提标准</w:t>
            </w:r>
          </w:p>
        </w:tc>
      </w:tr>
      <w:tr>
        <w:trPr>
          <w:trHeight w:val="449" w:hRule="exact"/>
        </w:trPr>
        <w:tc>
          <w:tcPr>
            <w:tcW w:w="963" w:type="dxa"/>
            <w:tcBorders>
              <w:top w:val="dotted" w:sz="4" w:space="0" w:color="000000"/>
              <w:left w:val="nil" w:sz="6" w:space="0" w:color="auto"/>
              <w:bottom w:val="dotted" w:sz="4" w:space="0" w:color="000000"/>
              <w:right w:val="nil" w:sz="6" w:space="0" w:color="auto"/>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787" w:type="dxa"/>
            <w:tcBorders>
              <w:top w:val="dotted" w:sz="4" w:space="0" w:color="000000"/>
              <w:left w:val="nil" w:sz="6" w:space="0" w:color="auto"/>
              <w:bottom w:val="dotted" w:sz="4" w:space="0" w:color="000000"/>
              <w:right w:val="dotted" w:sz="4" w:space="0" w:color="000000"/>
            </w:tcBorders>
          </w:tcPr>
          <w:p>
            <w:pPr/>
          </w:p>
        </w:tc>
        <w:tc>
          <w:tcPr>
            <w:tcW w:w="3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r>
      <w:tr>
        <w:trPr>
          <w:trHeight w:val="451" w:hRule="exact"/>
        </w:trPr>
        <w:tc>
          <w:tcPr>
            <w:tcW w:w="963" w:type="dxa"/>
            <w:tcBorders>
              <w:top w:val="dotted" w:sz="4" w:space="0" w:color="000000"/>
              <w:left w:val="nil" w:sz="6" w:space="0" w:color="auto"/>
              <w:bottom w:val="dotted" w:sz="4" w:space="0" w:color="000000"/>
              <w:right w:val="nil" w:sz="6" w:space="0" w:color="auto"/>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787" w:type="dxa"/>
            <w:tcBorders>
              <w:top w:val="dotted" w:sz="4" w:space="0" w:color="000000"/>
              <w:left w:val="nil" w:sz="6" w:space="0" w:color="auto"/>
              <w:bottom w:val="dotted" w:sz="4" w:space="0" w:color="000000"/>
              <w:right w:val="dotted" w:sz="4" w:space="0" w:color="000000"/>
            </w:tcBorders>
          </w:tcPr>
          <w:p>
            <w:pPr/>
          </w:p>
        </w:tc>
        <w:tc>
          <w:tcPr>
            <w:tcW w:w="3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w:t>
            </w:r>
          </w:p>
        </w:tc>
      </w:tr>
      <w:tr>
        <w:trPr>
          <w:trHeight w:val="449" w:hRule="exact"/>
        </w:trPr>
        <w:tc>
          <w:tcPr>
            <w:tcW w:w="963" w:type="dxa"/>
            <w:tcBorders>
              <w:top w:val="dotted" w:sz="4" w:space="0" w:color="000000"/>
              <w:left w:val="nil" w:sz="6" w:space="0" w:color="auto"/>
              <w:bottom w:val="dotted" w:sz="4" w:space="0" w:color="000000"/>
              <w:right w:val="nil" w:sz="6" w:space="0" w:color="auto"/>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2787" w:type="dxa"/>
            <w:tcBorders>
              <w:top w:val="dotted" w:sz="4" w:space="0" w:color="000000"/>
              <w:left w:val="nil" w:sz="6" w:space="0" w:color="auto"/>
              <w:bottom w:val="dotted" w:sz="4" w:space="0" w:color="000000"/>
              <w:right w:val="dotted" w:sz="4" w:space="0" w:color="000000"/>
            </w:tcBorders>
          </w:tcPr>
          <w:p>
            <w:pPr/>
          </w:p>
        </w:tc>
        <w:tc>
          <w:tcPr>
            <w:tcW w:w="3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25%</w:t>
            </w:r>
          </w:p>
        </w:tc>
      </w:tr>
      <w:tr>
        <w:trPr>
          <w:trHeight w:val="451" w:hRule="exact"/>
        </w:trPr>
        <w:tc>
          <w:tcPr>
            <w:tcW w:w="963" w:type="dxa"/>
            <w:tcBorders>
              <w:top w:val="dotted" w:sz="4" w:space="0" w:color="000000"/>
              <w:left w:val="nil" w:sz="6" w:space="0" w:color="auto"/>
              <w:bottom w:val="dotted" w:sz="4" w:space="0" w:color="000000"/>
              <w:right w:val="nil" w:sz="6" w:space="0" w:color="auto"/>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2787" w:type="dxa"/>
            <w:tcBorders>
              <w:top w:val="dotted" w:sz="4" w:space="0" w:color="000000"/>
              <w:left w:val="nil" w:sz="6" w:space="0" w:color="auto"/>
              <w:bottom w:val="dotted" w:sz="4" w:space="0" w:color="000000"/>
              <w:right w:val="dotted" w:sz="4" w:space="0" w:color="000000"/>
            </w:tcBorders>
          </w:tcPr>
          <w:p>
            <w:pPr/>
          </w:p>
        </w:tc>
        <w:tc>
          <w:tcPr>
            <w:tcW w:w="3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50%</w:t>
            </w:r>
          </w:p>
        </w:tc>
      </w:tr>
      <w:tr>
        <w:trPr>
          <w:trHeight w:val="461" w:hRule="exact"/>
        </w:trPr>
        <w:tc>
          <w:tcPr>
            <w:tcW w:w="963" w:type="dxa"/>
            <w:tcBorders>
              <w:top w:val="dotted" w:sz="4" w:space="0" w:color="000000"/>
              <w:left w:val="nil" w:sz="6" w:space="0" w:color="auto"/>
              <w:bottom w:val="single" w:sz="12" w:space="0" w:color="000000"/>
              <w:right w:val="nil" w:sz="6" w:space="0" w:color="auto"/>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787" w:type="dxa"/>
            <w:tcBorders>
              <w:top w:val="dotted" w:sz="4" w:space="0" w:color="000000"/>
              <w:left w:val="nil" w:sz="6" w:space="0" w:color="auto"/>
              <w:bottom w:val="single" w:sz="12" w:space="0" w:color="000000"/>
              <w:right w:val="dotted" w:sz="4" w:space="0" w:color="000000"/>
            </w:tcBorders>
          </w:tcPr>
          <w:p>
            <w:pPr/>
          </w:p>
        </w:tc>
        <w:tc>
          <w:tcPr>
            <w:tcW w:w="38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长期待摊费用</w:t>
      </w:r>
      <w:r>
        <w:rPr>
          <w:b w:val="0"/>
          <w:bCs w:val="0"/>
        </w:rPr>
      </w:r>
    </w:p>
    <w:p>
      <w:pPr>
        <w:pStyle w:val="BodyText"/>
        <w:spacing w:line="350" w:lineRule="auto" w:before="99"/>
        <w:ind w:left="850" w:right="1675"/>
        <w:jc w:val="left"/>
      </w:pPr>
      <w:r>
        <w:rPr/>
        <w:t>长期待摊费用为已经发生但应由本期和以后各期负担的分摊期限在一年以上的各项</w:t>
      </w:r>
      <w:r>
        <w:rPr>
          <w:spacing w:val="-62"/>
        </w:rPr>
        <w:t> </w:t>
      </w:r>
      <w:r>
        <w:rPr/>
        <w:t>费用。</w:t>
      </w:r>
    </w:p>
    <w:p>
      <w:pPr>
        <w:pStyle w:val="Heading6"/>
        <w:tabs>
          <w:tab w:pos="1397" w:val="left" w:leader="none"/>
        </w:tabs>
        <w:spacing w:line="328" w:lineRule="exact"/>
        <w:ind w:right="1675"/>
        <w:jc w:val="left"/>
        <w:rPr>
          <w:b w:val="0"/>
          <w:bCs w:val="0"/>
        </w:rPr>
      </w:pPr>
      <w:r>
        <w:rPr>
          <w:rFonts w:ascii="Times New Roman" w:hAnsi="Times New Roman" w:cs="Times New Roman" w:eastAsia="Times New Roman" w:hint="default"/>
        </w:rPr>
        <w:t>1</w:t>
      </w:r>
      <w:r>
        <w:rPr/>
        <w:t>、</w:t>
        <w:tab/>
        <w:t>摊销方法</w:t>
      </w:r>
      <w:r>
        <w:rPr>
          <w:b w:val="0"/>
          <w:bCs w:val="0"/>
        </w:rPr>
      </w:r>
    </w:p>
    <w:p>
      <w:pPr>
        <w:pStyle w:val="BodyText"/>
        <w:spacing w:line="240" w:lineRule="auto" w:before="99"/>
        <w:ind w:right="1675"/>
        <w:jc w:val="left"/>
      </w:pPr>
      <w:r>
        <w:rPr/>
        <w:t>长期待摊费用在受益期内平均摊销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摊销年限</w:t>
      </w:r>
      <w:r>
        <w:rPr>
          <w:b w:val="0"/>
          <w:bCs w:val="0"/>
        </w:rPr>
      </w:r>
    </w:p>
    <w:p>
      <w:pPr>
        <w:pStyle w:val="BodyText"/>
        <w:spacing w:line="240" w:lineRule="auto" w:before="99"/>
        <w:ind w:right="1675"/>
        <w:jc w:val="left"/>
      </w:pPr>
      <w:r>
        <w:rPr/>
        <w:t>本公司根据各项长期待摊费用类别在受益期内按直线法分期摊销。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职工薪酬</w:t>
      </w:r>
      <w:r>
        <w:rPr>
          <w:b w:val="0"/>
          <w:bCs w:val="0"/>
        </w:rPr>
      </w:r>
    </w:p>
    <w:p>
      <w:pPr>
        <w:tabs>
          <w:tab w:pos="1397" w:val="left" w:leader="none"/>
        </w:tabs>
        <w:spacing w:line="307" w:lineRule="auto" w:before="33"/>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短期薪酬的会计处理方法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5"/>
          <w:w w:val="100"/>
          <w:sz w:val="21"/>
          <w:szCs w:val="21"/>
        </w:rPr>
        <w:t>本公司在职工为本公司提供服务的会计期间，将实际发生的短期薪酬确认为负</w:t>
      </w:r>
    </w:p>
    <w:p>
      <w:pPr>
        <w:pStyle w:val="BodyText"/>
        <w:spacing w:line="348" w:lineRule="auto" w:before="67"/>
        <w:ind w:right="1675"/>
        <w:jc w:val="left"/>
      </w:pPr>
      <w:r>
        <w:rPr/>
        <w:t>债，并计入当期损益或相关资产成本。</w:t>
      </w:r>
      <w:r>
        <w:rPr>
          <w:w w:val="100"/>
        </w:rPr>
        <w:t> </w:t>
      </w:r>
      <w:r>
        <w:rPr>
          <w:spacing w:val="-5"/>
          <w:w w:val="100"/>
        </w:rPr>
        <w:t>本公司为职工缴纳的社会保险费和住房公积金，以及按规定提取的工会经费和</w:t>
      </w:r>
      <w:r>
        <w:rPr>
          <w:spacing w:val="-85"/>
          <w:w w:val="100"/>
        </w:rPr>
        <w:t> </w:t>
      </w:r>
      <w:r>
        <w:rPr>
          <w:spacing w:val="-85"/>
          <w:w w:val="100"/>
        </w:rPr>
      </w:r>
      <w:r>
        <w:rPr>
          <w:spacing w:val="-5"/>
        </w:rPr>
        <w:t>职工教育经费，在职工为本公司提供服务的会计期间，根据规定的计提基础和</w:t>
      </w:r>
      <w:r>
        <w:rPr>
          <w:spacing w:val="-46"/>
        </w:rPr>
        <w:t> </w:t>
      </w:r>
      <w:r>
        <w:rPr>
          <w:spacing w:val="-46"/>
        </w:rPr>
      </w:r>
      <w:r>
        <w:rPr/>
        <w:t>计提比例计算确定相应的职工薪酬金额。</w:t>
      </w:r>
      <w:r>
        <w:rPr>
          <w:w w:val="100"/>
        </w:rPr>
        <w:t> </w:t>
      </w:r>
      <w:r>
        <w:rPr/>
        <w:t>职工福利费为非货币性福利的，如能够可靠计量的，按照公允价值计量。</w:t>
      </w:r>
    </w:p>
    <w:p>
      <w:pPr>
        <w:spacing w:after="0" w:line="348"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离职后福利的会计处理方法</w:t>
      </w:r>
      <w:r>
        <w:rPr>
          <w:b w:val="0"/>
          <w:bCs w:val="0"/>
        </w:rPr>
      </w:r>
    </w:p>
    <w:p>
      <w:pPr>
        <w:pStyle w:val="BodyText"/>
        <w:spacing w:line="348" w:lineRule="auto" w:before="102"/>
        <w:ind w:right="1786"/>
        <w:jc w:val="both"/>
      </w:pPr>
      <w:r>
        <w:rPr>
          <w:spacing w:val="-5"/>
          <w:w w:val="100"/>
        </w:rPr>
        <w:t>本公司按当地政府的相关规定为职工缴纳基本养老保险和失业保险，在职工为</w:t>
      </w:r>
      <w:r>
        <w:rPr>
          <w:spacing w:val="-85"/>
          <w:w w:val="100"/>
        </w:rPr>
        <w:t> </w:t>
      </w:r>
      <w:r>
        <w:rPr>
          <w:spacing w:val="-85"/>
          <w:w w:val="100"/>
        </w:rPr>
      </w:r>
      <w:r>
        <w:rPr/>
        <w:t>本公司提供服务的会计期间，按以当地规定的缴纳基数和比例计算应缴纳金</w:t>
      </w:r>
      <w:r>
        <w:rPr>
          <w:spacing w:val="-7"/>
        </w:rPr>
        <w:t> </w:t>
      </w:r>
      <w:r>
        <w:rPr>
          <w:spacing w:val="-7"/>
        </w:rPr>
      </w:r>
      <w:r>
        <w:rPr/>
        <w:t>额，确认为负债，并计入当期损益或相关资产成本。</w:t>
      </w:r>
    </w:p>
    <w:p>
      <w:pPr>
        <w:spacing w:line="240" w:lineRule="auto" w:before="10"/>
        <w:rPr>
          <w:rFonts w:ascii="宋体" w:hAnsi="宋体" w:cs="宋体" w:eastAsia="宋体" w:hint="default"/>
          <w:sz w:val="27"/>
          <w:szCs w:val="27"/>
        </w:rPr>
      </w:pPr>
    </w:p>
    <w:p>
      <w:pPr>
        <w:tabs>
          <w:tab w:pos="1397" w:val="left" w:leader="none"/>
        </w:tabs>
        <w:spacing w:line="307" w:lineRule="auto" w:before="0"/>
        <w:ind w:left="1414" w:right="180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辞退福利的会计处理方法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本公司在不能单方面撤回因解除劳动关系计划或裁减建议所提供的辞退福利</w:t>
      </w:r>
    </w:p>
    <w:p>
      <w:pPr>
        <w:pStyle w:val="BodyText"/>
        <w:spacing w:line="348" w:lineRule="auto" w:before="67"/>
        <w:ind w:right="1786"/>
        <w:jc w:val="both"/>
      </w:pPr>
      <w:r>
        <w:rPr>
          <w:spacing w:val="-5"/>
          <w:w w:val="100"/>
        </w:rPr>
        <w:t>时，或确认与涉及支付辞退福利的重组相关的成本或费用时（两者孰早），确</w:t>
      </w:r>
      <w:r>
        <w:rPr>
          <w:spacing w:val="-83"/>
          <w:w w:val="100"/>
        </w:rPr>
        <w:t> </w:t>
      </w:r>
      <w:r>
        <w:rPr>
          <w:spacing w:val="-83"/>
          <w:w w:val="100"/>
        </w:rPr>
      </w:r>
      <w:r>
        <w:rPr/>
        <w:t>认辞退福利产生的职工薪酬负债，并计入当期损益。</w:t>
      </w:r>
    </w:p>
    <w:p>
      <w:pPr>
        <w:spacing w:line="240" w:lineRule="auto" w:before="12"/>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收入</w:t>
      </w:r>
      <w:r>
        <w:rPr>
          <w:b w:val="0"/>
          <w:bCs w:val="0"/>
        </w:rPr>
      </w:r>
    </w:p>
    <w:p>
      <w:pPr>
        <w:tabs>
          <w:tab w:pos="1397" w:val="left" w:leader="none"/>
        </w:tabs>
        <w:spacing w:line="307" w:lineRule="auto" w:before="33"/>
        <w:ind w:left="1218" w:right="1809"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ab/>
        <w:t>销售商品收入确认时间的具体判断标准</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z w:val="21"/>
          <w:szCs w:val="21"/>
        </w:rPr>
        <w:t>本公司在已将商品所有权上的主要风险和报酬转移给买方，既没有保留通常与</w:t>
      </w:r>
    </w:p>
    <w:p>
      <w:pPr>
        <w:pStyle w:val="BodyText"/>
        <w:spacing w:line="350" w:lineRule="auto" w:before="67"/>
        <w:ind w:left="1218" w:right="1675"/>
        <w:jc w:val="left"/>
      </w:pPr>
      <w:r>
        <w:rPr/>
        <w:t>所有权相联系的继续管理权，也没有对已售商品实施有效控制，收入的金额能</w:t>
      </w:r>
      <w:r>
        <w:rPr>
          <w:spacing w:val="-23"/>
        </w:rPr>
        <w:t> </w:t>
      </w:r>
      <w:r>
        <w:rPr>
          <w:spacing w:val="-23"/>
        </w:rPr>
      </w:r>
      <w:r>
        <w:rPr/>
        <w:t>够可靠地计量，相关的经济利益很可能流入企业，相关的已发生或将发生的成</w:t>
      </w:r>
      <w:r>
        <w:rPr>
          <w:spacing w:val="-16"/>
        </w:rPr>
        <w:t> </w:t>
      </w:r>
      <w:r>
        <w:rPr>
          <w:spacing w:val="-16"/>
        </w:rPr>
      </w:r>
      <w:r>
        <w:rPr/>
        <w:t>本能够可靠地计量时，确认商品销售收入的实现。</w:t>
      </w:r>
      <w:r>
        <w:rPr>
          <w:w w:val="100"/>
        </w:rPr>
        <w:t> </w:t>
      </w:r>
      <w:r>
        <w:rPr/>
        <w:t>本公司农产品批发市场商铺出售在房屋（商铺）所有权上的主要风险和报酬转</w:t>
      </w:r>
      <w:r>
        <w:rPr>
          <w:spacing w:val="-23"/>
        </w:rPr>
        <w:t> </w:t>
      </w:r>
      <w:r>
        <w:rPr>
          <w:spacing w:val="-23"/>
        </w:rPr>
      </w:r>
      <w:r>
        <w:rPr/>
        <w:t>移给购买方，公司不再保留通常与所有权相联系的继续管理权，也不再对已售</w:t>
      </w:r>
      <w:r>
        <w:rPr>
          <w:spacing w:val="-23"/>
        </w:rPr>
        <w:t> </w:t>
      </w:r>
      <w:r>
        <w:rPr>
          <w:spacing w:val="-23"/>
        </w:rPr>
      </w:r>
      <w:r>
        <w:rPr/>
        <w:t>出的房屋（商铺）实施有效控制，收入的金额能够可靠地计量，相关的经济利</w:t>
      </w:r>
      <w:r>
        <w:rPr>
          <w:spacing w:val="-23"/>
        </w:rPr>
        <w:t> </w:t>
      </w:r>
      <w:r>
        <w:rPr>
          <w:spacing w:val="-23"/>
        </w:rPr>
      </w:r>
      <w:r>
        <w:rPr/>
        <w:t>益很可能流入，并且该房屋（商铺）成本能够可靠地计量时，确认销售收入的</w:t>
      </w:r>
      <w:r>
        <w:rPr>
          <w:spacing w:val="-23"/>
        </w:rPr>
        <w:t> </w:t>
      </w:r>
      <w:r>
        <w:rPr>
          <w:spacing w:val="-23"/>
        </w:rPr>
      </w:r>
      <w:r>
        <w:rPr/>
        <w:t>实现。</w:t>
      </w:r>
      <w:r>
        <w:rPr>
          <w:spacing w:val="-102"/>
        </w:rPr>
        <w:t> </w:t>
      </w:r>
      <w:r>
        <w:rPr/>
        <w:t>本公司蔬菜、水果种植与销售采取批发和零售两种方式销售，零售在售出货物</w:t>
      </w:r>
      <w:r>
        <w:rPr>
          <w:spacing w:val="-23"/>
        </w:rPr>
        <w:t> </w:t>
      </w:r>
      <w:r>
        <w:rPr>
          <w:spacing w:val="-23"/>
        </w:rPr>
      </w:r>
      <w:r>
        <w:rPr/>
        <w:t>同时收取货款时确认收入，批发在将货物交付给买方并收取货款或取得收取货</w:t>
      </w:r>
      <w:r>
        <w:rPr>
          <w:spacing w:val="-23"/>
        </w:rPr>
        <w:t> </w:t>
      </w:r>
      <w:r>
        <w:rPr>
          <w:spacing w:val="-23"/>
        </w:rPr>
      </w:r>
      <w:r>
        <w:rPr/>
        <w:t>款的权利后确认收入，其中供港蔬菜、水果在经报关地海关发运出关后确认收</w:t>
      </w:r>
      <w:r>
        <w:rPr>
          <w:spacing w:val="-18"/>
        </w:rPr>
        <w:t> </w:t>
      </w:r>
      <w:r>
        <w:rPr>
          <w:spacing w:val="-18"/>
        </w:rPr>
      </w:r>
      <w:r>
        <w:rPr/>
        <w:t>入。</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218" w:right="1809" w:hanging="36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ab/>
        <w:t>提供劳务收入</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z w:val="21"/>
          <w:szCs w:val="21"/>
        </w:rPr>
        <w:t>在提供劳务交易的结果能够可靠估计的情况下，于资产负债表日按照完工百分</w:t>
      </w:r>
    </w:p>
    <w:p>
      <w:pPr>
        <w:pStyle w:val="BodyText"/>
        <w:spacing w:line="350" w:lineRule="auto" w:before="67"/>
        <w:ind w:left="1218" w:right="1675"/>
        <w:jc w:val="left"/>
      </w:pPr>
      <w:r>
        <w:rPr/>
        <w:t>比法确认提供的劳务收入。劳务交易的完工进度按已经发生的劳务成本占估计</w:t>
      </w:r>
      <w:r>
        <w:rPr>
          <w:spacing w:val="-23"/>
        </w:rPr>
        <w:t> </w:t>
      </w:r>
      <w:r>
        <w:rPr>
          <w:spacing w:val="-23"/>
        </w:rPr>
      </w:r>
      <w:r>
        <w:rPr/>
        <w:t>总成本的比例确定。</w:t>
      </w:r>
      <w:r>
        <w:rPr>
          <w:w w:val="100"/>
        </w:rPr>
        <w:t> </w:t>
      </w:r>
      <w:r>
        <w:rPr/>
        <w:t>提供劳务交易的结果能够可靠估计是指同时满足：①收入的金额能够可靠地计</w:t>
      </w:r>
      <w:r>
        <w:rPr>
          <w:spacing w:val="-18"/>
        </w:rPr>
        <w:t> </w:t>
      </w:r>
      <w:r>
        <w:rPr>
          <w:spacing w:val="-18"/>
        </w:rPr>
      </w:r>
      <w:r>
        <w:rPr/>
        <w:t>量；②相关的经济利益很可能流入企业；③交易的完工程度能够可靠地确定；</w:t>
      </w:r>
    </w:p>
    <w:p>
      <w:pPr>
        <w:pStyle w:val="BodyText"/>
        <w:spacing w:line="350" w:lineRule="auto" w:before="27"/>
        <w:ind w:left="1218" w:right="1675"/>
        <w:jc w:val="left"/>
      </w:pPr>
      <w:r>
        <w:rPr/>
        <w:t>④交易中已发生和将发生的成本能够可靠地计量。</w:t>
      </w:r>
      <w:r>
        <w:rPr>
          <w:w w:val="100"/>
        </w:rPr>
        <w:t> </w:t>
      </w:r>
      <w:r>
        <w:rPr/>
        <w:t>如果在资产负债表日提供劳务交易结果不能够可靠估计的，已经发生的劳务成</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48" w:lineRule="auto"/>
        <w:ind w:left="1218" w:right="1794"/>
        <w:jc w:val="both"/>
      </w:pPr>
      <w:r>
        <w:rPr/>
        <w:t>本并预计能够得到补偿的，按照已经发生的劳务成本金额确认提供劳务收入，</w:t>
      </w:r>
      <w:r>
        <w:rPr>
          <w:spacing w:val="-17"/>
        </w:rPr>
        <w:t> </w:t>
      </w:r>
      <w:r>
        <w:rPr>
          <w:spacing w:val="-17"/>
        </w:rPr>
      </w:r>
      <w:r>
        <w:rPr/>
        <w:t>并按相同金额结转劳务成本；已经发生的劳务成本预计不能够得到补偿的，将</w:t>
      </w:r>
      <w:r>
        <w:rPr>
          <w:spacing w:val="-23"/>
        </w:rPr>
        <w:t> </w:t>
      </w:r>
      <w:r>
        <w:rPr>
          <w:spacing w:val="-23"/>
        </w:rPr>
      </w:r>
      <w:r>
        <w:rPr/>
        <w:t>已经发生的劳务成本计入当期损益，不确认收入。</w:t>
      </w:r>
    </w:p>
    <w:p>
      <w:pPr>
        <w:spacing w:line="240" w:lineRule="auto" w:before="12"/>
        <w:rPr>
          <w:rFonts w:ascii="宋体" w:hAnsi="宋体" w:cs="宋体" w:eastAsia="宋体" w:hint="default"/>
          <w:sz w:val="27"/>
          <w:szCs w:val="27"/>
        </w:rPr>
      </w:pPr>
    </w:p>
    <w:p>
      <w:pPr>
        <w:tabs>
          <w:tab w:pos="1397" w:val="left" w:leader="none"/>
        </w:tabs>
        <w:spacing w:line="328" w:lineRule="auto" w:before="0"/>
        <w:ind w:left="1218" w:right="1809" w:hanging="3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ab/>
        <w:t>让渡资产使用权收入</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让渡资产使用权，相关的经济利益很可能流入企业，且收入的金额能够可靠地</w:t>
      </w:r>
      <w:r>
        <w:rPr>
          <w:rFonts w:ascii="宋体" w:hAnsi="宋体" w:cs="宋体" w:eastAsia="宋体" w:hint="default"/>
          <w:w w:val="100"/>
          <w:sz w:val="21"/>
          <w:szCs w:val="21"/>
        </w:rPr>
        <w:t> </w:t>
      </w:r>
      <w:r>
        <w:rPr>
          <w:rFonts w:ascii="宋体" w:hAnsi="宋体" w:cs="宋体" w:eastAsia="宋体" w:hint="default"/>
          <w:sz w:val="21"/>
          <w:szCs w:val="21"/>
        </w:rPr>
        <w:t>计量的，确认收入。</w:t>
      </w:r>
    </w:p>
    <w:p>
      <w:pPr>
        <w:pStyle w:val="BodyText"/>
        <w:spacing w:line="343" w:lineRule="auto" w:before="49"/>
        <w:ind w:left="1218" w:right="1791"/>
        <w:jc w:val="both"/>
      </w:pPr>
      <w:r>
        <w:rPr/>
        <w:t>本公司农产品批发市场租赁按租赁合同、协议约定的承租日期（有免租期的考</w:t>
      </w:r>
      <w:r>
        <w:rPr>
          <w:spacing w:val="-23"/>
        </w:rPr>
        <w:t> </w:t>
      </w:r>
      <w:r>
        <w:rPr>
          <w:spacing w:val="-23"/>
        </w:rPr>
      </w:r>
      <w:r>
        <w:rPr/>
        <w:t>虑免租期）与租赁金额，在相关租金已经收到或取得了收款的证据时确认出租</w:t>
      </w:r>
      <w:r>
        <w:rPr>
          <w:spacing w:val="-23"/>
        </w:rPr>
        <w:t> </w:t>
      </w:r>
      <w:r>
        <w:rPr>
          <w:spacing w:val="-23"/>
        </w:rPr>
      </w:r>
      <w:r>
        <w:rPr>
          <w:spacing w:val="-2"/>
          <w:w w:val="100"/>
        </w:rPr>
        <w:t>收入的实现。本公司农产品批发市场租赁收入金额按</w:t>
      </w:r>
      <w:r>
        <w:rPr>
          <w:rFonts w:ascii="Times New Roman" w:hAnsi="Times New Roman" w:cs="Times New Roman" w:eastAsia="Times New Roman" w:hint="default"/>
          <w:spacing w:val="-2"/>
          <w:w w:val="100"/>
        </w:rPr>
        <w:t>“</w:t>
      </w:r>
      <w:r>
        <w:rPr>
          <w:spacing w:val="-2"/>
          <w:w w:val="100"/>
        </w:rPr>
        <w:t>附注四、（二十六）经营</w:t>
      </w:r>
      <w:r>
        <w:rPr>
          <w:spacing w:val="-79"/>
          <w:w w:val="100"/>
        </w:rPr>
        <w:t> </w:t>
      </w:r>
      <w:r>
        <w:rPr>
          <w:spacing w:val="-79"/>
          <w:w w:val="100"/>
        </w:rPr>
      </w:r>
      <w:r>
        <w:rPr/>
        <w:t>租赁</w:t>
      </w:r>
      <w:r>
        <w:rPr>
          <w:rFonts w:ascii="Times New Roman" w:hAnsi="Times New Roman" w:cs="Times New Roman" w:eastAsia="Times New Roman" w:hint="default"/>
        </w:rPr>
        <w:t>”</w:t>
      </w:r>
      <w:r>
        <w:rPr/>
        <w:t>的原则确定。</w:t>
      </w:r>
    </w:p>
    <w:p>
      <w:pPr>
        <w:pStyle w:val="BodyText"/>
        <w:spacing w:line="340" w:lineRule="auto" w:before="7"/>
        <w:ind w:left="1218" w:right="1675"/>
        <w:jc w:val="left"/>
      </w:pPr>
      <w:r>
        <w:rPr/>
        <w:t>（</w:t>
      </w:r>
      <w:r>
        <w:rPr>
          <w:rFonts w:ascii="Times New Roman" w:hAnsi="Times New Roman" w:cs="Times New Roman" w:eastAsia="Times New Roman" w:hint="default"/>
        </w:rPr>
        <w:t>1</w:t>
      </w:r>
      <w:r>
        <w:rPr/>
        <w:t>）利息收入</w:t>
      </w:r>
      <w:r>
        <w:rPr>
          <w:w w:val="100"/>
        </w:rPr>
        <w:t> </w:t>
      </w:r>
      <w:r>
        <w:rPr/>
        <w:t>本公司利息收入金额，按照他人使用本企业货币资金的时间和实际利率计算确</w:t>
      </w:r>
      <w:r>
        <w:rPr>
          <w:spacing w:val="-19"/>
        </w:rPr>
        <w:t> </w:t>
      </w:r>
      <w:r>
        <w:rPr>
          <w:spacing w:val="-19"/>
        </w:rPr>
      </w:r>
      <w:r>
        <w:rPr/>
        <w:t>定。</w:t>
      </w:r>
    </w:p>
    <w:p>
      <w:pPr>
        <w:pStyle w:val="BodyText"/>
        <w:spacing w:line="331" w:lineRule="auto" w:before="35"/>
        <w:ind w:left="1218" w:right="1675"/>
        <w:jc w:val="left"/>
      </w:pPr>
      <w:r>
        <w:rPr/>
        <w:t>（</w:t>
      </w:r>
      <w:r>
        <w:rPr>
          <w:rFonts w:ascii="Times New Roman" w:hAnsi="Times New Roman" w:cs="Times New Roman" w:eastAsia="Times New Roman" w:hint="default"/>
        </w:rPr>
        <w:t>2</w:t>
      </w:r>
      <w:r>
        <w:rPr/>
        <w:t>）使用费收入</w:t>
      </w:r>
      <w:r>
        <w:rPr>
          <w:w w:val="100"/>
        </w:rPr>
        <w:t> </w:t>
      </w:r>
      <w:r>
        <w:rPr>
          <w:spacing w:val="-2"/>
        </w:rPr>
        <w:t>本公司使用费收入金额，按照有关合同或协议约定的收费时间和方法计算确定。</w:t>
      </w:r>
    </w:p>
    <w:p>
      <w:pPr>
        <w:spacing w:line="240" w:lineRule="auto" w:before="11"/>
        <w:rPr>
          <w:rFonts w:ascii="宋体" w:hAnsi="宋体" w:cs="宋体" w:eastAsia="宋体" w:hint="default"/>
          <w:sz w:val="28"/>
          <w:szCs w:val="28"/>
        </w:rPr>
      </w:pPr>
    </w:p>
    <w:p>
      <w:pPr>
        <w:tabs>
          <w:tab w:pos="1397" w:val="left" w:leader="none"/>
        </w:tabs>
        <w:spacing w:line="307" w:lineRule="auto" w:before="0"/>
        <w:ind w:left="1218" w:right="1809" w:hanging="36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ab/>
        <w:t>会员费收入</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z w:val="21"/>
          <w:szCs w:val="21"/>
        </w:rPr>
        <w:t>申请入会费和会员费只允许取得会籍，所有其他服务或商品都要另行收费的，</w:t>
      </w:r>
    </w:p>
    <w:p>
      <w:pPr>
        <w:pStyle w:val="BodyText"/>
        <w:spacing w:line="348" w:lineRule="auto" w:before="67"/>
        <w:ind w:left="1218" w:right="1801"/>
        <w:jc w:val="both"/>
      </w:pPr>
      <w:r>
        <w:rPr/>
        <w:t>在款项收回不存在重大不确定性时确认收入。申请入会费和会员费能使会员在</w:t>
      </w:r>
      <w:r>
        <w:rPr>
          <w:spacing w:val="-23"/>
        </w:rPr>
        <w:t> </w:t>
      </w:r>
      <w:r>
        <w:rPr>
          <w:spacing w:val="-23"/>
        </w:rPr>
      </w:r>
      <w:r>
        <w:rPr/>
        <w:t>会员期内得到各种服务或商品，或者以低于非会员的价格销售商品或提供服务</w:t>
      </w:r>
      <w:r>
        <w:rPr>
          <w:spacing w:val="-23"/>
        </w:rPr>
        <w:t> </w:t>
      </w:r>
      <w:r>
        <w:rPr>
          <w:spacing w:val="-23"/>
        </w:rPr>
      </w:r>
      <w:r>
        <w:rPr/>
        <w:t>的，在整个受益期内分期确认收入。</w:t>
      </w:r>
    </w:p>
    <w:p>
      <w:pPr>
        <w:spacing w:line="240" w:lineRule="auto" w:before="10"/>
        <w:rPr>
          <w:rFonts w:ascii="宋体" w:hAnsi="宋体" w:cs="宋体" w:eastAsia="宋体" w:hint="default"/>
          <w:sz w:val="27"/>
          <w:szCs w:val="27"/>
        </w:rPr>
      </w:pPr>
    </w:p>
    <w:p>
      <w:pPr>
        <w:tabs>
          <w:tab w:pos="1397" w:val="left" w:leader="none"/>
        </w:tabs>
        <w:spacing w:line="307" w:lineRule="auto" w:before="0"/>
        <w:ind w:left="1218" w:right="1809" w:hanging="36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ab/>
        <w:t>农产品批发市场配套服务收入确认方法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z w:val="21"/>
          <w:szCs w:val="21"/>
        </w:rPr>
        <w:t>按相关合同、协议的约定，与交易相关的经济利益很可能流入企业，收入金额</w:t>
      </w:r>
    </w:p>
    <w:p>
      <w:pPr>
        <w:pStyle w:val="BodyText"/>
        <w:spacing w:line="348" w:lineRule="auto" w:before="67"/>
        <w:ind w:left="1218" w:right="1799"/>
        <w:jc w:val="both"/>
      </w:pPr>
      <w:r>
        <w:rPr/>
        <w:t>能够可靠计量，与收入相关的已发生或将发生成本能够可靠地计量时，确认其</w:t>
      </w:r>
      <w:r>
        <w:rPr>
          <w:spacing w:val="-21"/>
        </w:rPr>
        <w:t> </w:t>
      </w:r>
      <w:r>
        <w:rPr>
          <w:spacing w:val="-21"/>
        </w:rPr>
      </w:r>
      <w:r>
        <w:rPr/>
        <w:t>他业务收入的实现。</w:t>
      </w:r>
    </w:p>
    <w:p>
      <w:pPr>
        <w:spacing w:line="240" w:lineRule="auto" w:before="12"/>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政府补助</w:t>
      </w:r>
      <w:r>
        <w:rPr>
          <w:b w:val="0"/>
          <w:bCs w:val="0"/>
        </w:rPr>
      </w:r>
    </w:p>
    <w:p>
      <w:pPr>
        <w:pStyle w:val="BodyText"/>
        <w:tabs>
          <w:tab w:pos="1397" w:val="left" w:leader="none"/>
        </w:tabs>
        <w:spacing w:line="307" w:lineRule="auto" w:before="33"/>
        <w:ind w:right="1809" w:hanging="56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w:t>
        <w:tab/>
        <w:t>类型</w:t>
      </w:r>
      <w:r>
        <w:rPr>
          <w:rFonts w:ascii="Microsoft JhengHei" w:hAnsi="Microsoft JhengHei" w:cs="Microsoft JhengHei" w:eastAsia="Microsoft JhengHei" w:hint="default"/>
          <w:b/>
          <w:bCs/>
          <w:spacing w:val="-51"/>
        </w:rPr>
        <w:t> </w:t>
      </w:r>
      <w:r>
        <w:rPr>
          <w:rFonts w:ascii="Microsoft JhengHei" w:hAnsi="Microsoft JhengHei" w:cs="Microsoft JhengHei" w:eastAsia="Microsoft JhengHei" w:hint="default"/>
          <w:b/>
          <w:bCs/>
          <w:spacing w:val="-51"/>
        </w:rPr>
      </w:r>
      <w:r>
        <w:rPr>
          <w:spacing w:val="-5"/>
        </w:rPr>
        <w:t>政府补助，是本公司从政府无偿取得的货币性资产与非货币性资产。分为与资</w:t>
      </w:r>
    </w:p>
    <w:p>
      <w:pPr>
        <w:pStyle w:val="BodyText"/>
        <w:spacing w:line="348" w:lineRule="auto" w:before="67"/>
        <w:ind w:right="1675"/>
        <w:jc w:val="left"/>
      </w:pPr>
      <w:r>
        <w:rPr/>
        <w:t>产相关的政府补助和与收益相关的政府补助。</w:t>
      </w:r>
      <w:r>
        <w:rPr>
          <w:w w:val="100"/>
        </w:rPr>
        <w:t> </w:t>
      </w:r>
      <w:r>
        <w:rPr>
          <w:spacing w:val="-5"/>
        </w:rPr>
        <w:t>与资产相关的政府补助，是指本公司取得的、用于购建或以其他方式形成长期</w:t>
      </w:r>
      <w:r>
        <w:rPr>
          <w:spacing w:val="-46"/>
        </w:rPr>
        <w:t> </w:t>
      </w:r>
      <w:r>
        <w:rPr>
          <w:spacing w:val="-46"/>
        </w:rPr>
      </w:r>
      <w:r>
        <w:rPr>
          <w:spacing w:val="-5"/>
        </w:rPr>
        <w:t>资产的政府补助。与收益相关的政府补助，是指除与资产相关的政府补助之外</w:t>
      </w:r>
    </w:p>
    <w:p>
      <w:pPr>
        <w:spacing w:after="0" w:line="348"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675"/>
        <w:jc w:val="left"/>
      </w:pPr>
      <w:r>
        <w:rPr/>
        <w:t>的政府补助。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确认时点</w:t>
      </w:r>
      <w:r>
        <w:rPr>
          <w:b w:val="0"/>
          <w:bCs w:val="0"/>
        </w:rPr>
      </w:r>
    </w:p>
    <w:p>
      <w:pPr>
        <w:pStyle w:val="BodyText"/>
        <w:spacing w:line="350" w:lineRule="auto" w:before="102"/>
        <w:ind w:right="1675"/>
        <w:jc w:val="left"/>
      </w:pPr>
      <w:r>
        <w:rPr/>
        <w:t>对期末有证据表明公司能够符合财政扶持政策规定的相关条件且预计能够收</w:t>
      </w:r>
      <w:r>
        <w:rPr>
          <w:spacing w:val="-8"/>
        </w:rPr>
        <w:t> </w:t>
      </w:r>
      <w:r>
        <w:rPr>
          <w:spacing w:val="-8"/>
        </w:rPr>
      </w:r>
      <w:r>
        <w:rPr>
          <w:spacing w:val="-5"/>
        </w:rPr>
        <w:t>到财政扶持资金的，按应收金额确认政府补助。除此之外，政府补助均在实际</w:t>
      </w:r>
      <w:r>
        <w:rPr>
          <w:spacing w:val="-48"/>
        </w:rPr>
        <w:t> </w:t>
      </w:r>
      <w:r>
        <w:rPr>
          <w:spacing w:val="-48"/>
        </w:rPr>
      </w:r>
      <w:r>
        <w:rPr/>
        <w:t>收到时确认。</w:t>
      </w:r>
      <w:r>
        <w:rPr>
          <w:w w:val="100"/>
        </w:rPr>
        <w:t> </w:t>
      </w:r>
      <w:r>
        <w:rPr>
          <w:spacing w:val="-5"/>
        </w:rPr>
        <w:t>政府补助为货币性资产的，按照收到或应收的金额计量。政府补助为非货币性</w:t>
      </w:r>
      <w:r>
        <w:rPr>
          <w:spacing w:val="-47"/>
        </w:rPr>
        <w:t> </w:t>
      </w:r>
      <w:r>
        <w:rPr>
          <w:spacing w:val="-47"/>
        </w:rPr>
      </w:r>
      <w:r>
        <w:rPr>
          <w:spacing w:val="-5"/>
        </w:rPr>
        <w:t>资产的，按照公允价值计量；公允价值不能够可靠取得的，按照名义金额（人</w:t>
      </w:r>
      <w:r>
        <w:rPr>
          <w:spacing w:val="-47"/>
        </w:rPr>
        <w:t> </w:t>
      </w:r>
      <w:r>
        <w:rPr>
          <w:spacing w:val="-47"/>
        </w:rPr>
      </w:r>
      <w:r>
        <w:rPr/>
        <w:t>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元）计量。按照名义金额计量的政府补助，直接计入当期损益。</w:t>
      </w:r>
    </w:p>
    <w:p>
      <w:pPr>
        <w:pStyle w:val="Heading6"/>
        <w:tabs>
          <w:tab w:pos="1397" w:val="left" w:leader="none"/>
        </w:tabs>
        <w:spacing w:line="302" w:lineRule="exact"/>
        <w:ind w:right="1675"/>
        <w:jc w:val="left"/>
        <w:rPr>
          <w:b w:val="0"/>
          <w:bCs w:val="0"/>
        </w:rPr>
      </w:pPr>
      <w:r>
        <w:rPr>
          <w:rFonts w:ascii="Times New Roman" w:hAnsi="Times New Roman" w:cs="Times New Roman" w:eastAsia="Times New Roman" w:hint="default"/>
        </w:rPr>
        <w:t>3</w:t>
      </w:r>
      <w:r>
        <w:rPr/>
        <w:t>、</w:t>
        <w:tab/>
        <w:t>会计处理</w:t>
      </w:r>
      <w:r>
        <w:rPr>
          <w:b w:val="0"/>
          <w:bCs w:val="0"/>
        </w:rPr>
      </w:r>
    </w:p>
    <w:p>
      <w:pPr>
        <w:pStyle w:val="BodyText"/>
        <w:spacing w:line="350" w:lineRule="auto" w:before="102"/>
        <w:ind w:right="1675"/>
        <w:jc w:val="left"/>
      </w:pPr>
      <w:r>
        <w:rPr>
          <w:spacing w:val="-5"/>
        </w:rPr>
        <w:t>与资产相关的政府补助，确认为递延收益，按照所建造或购买的资产使用年限</w:t>
      </w:r>
      <w:r>
        <w:rPr>
          <w:spacing w:val="-45"/>
        </w:rPr>
        <w:t> </w:t>
      </w:r>
      <w:r>
        <w:rPr>
          <w:spacing w:val="-45"/>
        </w:rPr>
      </w:r>
      <w:r>
        <w:rPr/>
        <w:t>内按照合理、系统的方法分期计入损益。</w:t>
      </w:r>
      <w:r>
        <w:rPr>
          <w:w w:val="100"/>
        </w:rPr>
        <w:t> </w:t>
      </w:r>
      <w:r>
        <w:rPr>
          <w:spacing w:val="-5"/>
        </w:rPr>
        <w:t>与收益相关的政府补助，用于补偿企业以后期间的相关费用或损失的，确认为</w:t>
      </w:r>
      <w:r>
        <w:rPr>
          <w:spacing w:val="-46"/>
        </w:rPr>
        <w:t> </w:t>
      </w:r>
      <w:r>
        <w:rPr>
          <w:spacing w:val="-46"/>
        </w:rPr>
      </w:r>
      <w:r>
        <w:rPr>
          <w:spacing w:val="-5"/>
        </w:rPr>
        <w:t>递延收益，在确认相关费用或损失的期间计入当期损益；用于补偿企业已发生</w:t>
      </w:r>
      <w:r>
        <w:rPr>
          <w:spacing w:val="-47"/>
        </w:rPr>
        <w:t> </w:t>
      </w:r>
      <w:r>
        <w:rPr>
          <w:spacing w:val="-47"/>
        </w:rPr>
      </w:r>
      <w:r>
        <w:rPr/>
        <w:t>的相关费用或损失的，取得时直接计入当期损益。</w:t>
      </w:r>
      <w:r>
        <w:rPr>
          <w:w w:val="100"/>
        </w:rPr>
        <w:t> </w:t>
      </w:r>
      <w:r>
        <w:rPr>
          <w:spacing w:val="-5"/>
          <w:w w:val="100"/>
        </w:rPr>
        <w:t>与企业日常活动相关的政府补助计入其他收益；与企业日常活动无关的政府补</w:t>
      </w:r>
      <w:r>
        <w:rPr>
          <w:spacing w:val="-85"/>
          <w:w w:val="100"/>
        </w:rPr>
        <w:t> </w:t>
      </w:r>
      <w:r>
        <w:rPr>
          <w:spacing w:val="-85"/>
          <w:w w:val="100"/>
        </w:rPr>
      </w:r>
      <w:r>
        <w:rPr/>
        <w:t>助计入营业外收入。</w:t>
      </w:r>
      <w:r>
        <w:rPr>
          <w:w w:val="100"/>
        </w:rPr>
        <w:t> </w:t>
      </w:r>
      <w:r>
        <w:rPr>
          <w:spacing w:val="-5"/>
          <w:w w:val="100"/>
        </w:rPr>
        <w:t>收到与政策性优惠贷款贴息相关的政府补助冲减相关借款费用；取得贷款银行</w:t>
      </w:r>
      <w:r>
        <w:rPr>
          <w:spacing w:val="-85"/>
          <w:w w:val="100"/>
        </w:rPr>
        <w:t> </w:t>
      </w:r>
      <w:r>
        <w:rPr>
          <w:spacing w:val="-85"/>
          <w:w w:val="100"/>
        </w:rPr>
      </w:r>
      <w:r>
        <w:rPr>
          <w:spacing w:val="-2"/>
        </w:rPr>
        <w:t>提供的政策性优惠利率贷款的，以实际收到的借款金额作为借款的入账价值，</w:t>
      </w:r>
      <w:r>
        <w:rPr>
          <w:spacing w:val="-42"/>
        </w:rPr>
        <w:t> </w:t>
      </w:r>
      <w:r>
        <w:rPr>
          <w:spacing w:val="-42"/>
        </w:rPr>
      </w:r>
      <w:r>
        <w:rPr/>
        <w:t>按照借款本金和该政策性优惠利率计算相关借款费用。</w:t>
      </w:r>
      <w:r>
        <w:rPr>
          <w:w w:val="100"/>
        </w:rPr>
        <w:t> </w:t>
      </w:r>
      <w:r>
        <w:rPr>
          <w:spacing w:val="-5"/>
        </w:rPr>
        <w:t>已确认的政府补助需要返还时，初始确认时冲减相关资产账面价值的，调整资</w:t>
      </w:r>
      <w:r>
        <w:rPr>
          <w:spacing w:val="-47"/>
        </w:rPr>
        <w:t> </w:t>
      </w:r>
      <w:r>
        <w:rPr>
          <w:spacing w:val="-47"/>
        </w:rPr>
      </w:r>
      <w:r>
        <w:rPr>
          <w:spacing w:val="-5"/>
        </w:rPr>
        <w:t>产账面价值；存在相关递延收益余额的，冲减相关递延收益账面余额，超出部</w:t>
      </w:r>
      <w:r>
        <w:rPr>
          <w:spacing w:val="-49"/>
        </w:rPr>
        <w:t> </w:t>
      </w:r>
      <w:r>
        <w:rPr>
          <w:spacing w:val="-49"/>
        </w:rPr>
      </w:r>
      <w:r>
        <w:rPr/>
        <w:t>分计入当期损益；不存在相关递延收益的，直接计入当期损益。</w:t>
      </w:r>
    </w:p>
    <w:p>
      <w:pPr>
        <w:spacing w:line="240" w:lineRule="auto" w:before="8"/>
        <w:rPr>
          <w:rFonts w:ascii="宋体" w:hAnsi="宋体" w:cs="宋体" w:eastAsia="宋体" w:hint="default"/>
          <w:sz w:val="27"/>
          <w:szCs w:val="27"/>
        </w:rPr>
      </w:pPr>
    </w:p>
    <w:p>
      <w:pPr>
        <w:spacing w:line="326" w:lineRule="auto" w:before="0"/>
        <w:ind w:left="850" w:right="1675"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二十五</w:t>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pacing w:val="-3"/>
          <w:sz w:val="21"/>
          <w:szCs w:val="21"/>
        </w:rPr>
      </w:r>
      <w:r>
        <w:rPr>
          <w:rFonts w:ascii="宋体" w:hAnsi="宋体" w:cs="宋体" w:eastAsia="宋体" w:hint="default"/>
          <w:sz w:val="21"/>
          <w:szCs w:val="21"/>
        </w:rPr>
        <w:t>对于可抵扣暂时性差异确认递延所得税资产，以未来期间很可能取得的用来抵扣可</w:t>
      </w:r>
      <w:r>
        <w:rPr>
          <w:rFonts w:ascii="宋体" w:hAnsi="宋体" w:cs="宋体" w:eastAsia="宋体" w:hint="default"/>
          <w:w w:val="100"/>
          <w:sz w:val="21"/>
          <w:szCs w:val="21"/>
        </w:rPr>
        <w:t> </w:t>
      </w:r>
      <w:r>
        <w:rPr>
          <w:rFonts w:ascii="宋体" w:hAnsi="宋体" w:cs="宋体" w:eastAsia="宋体" w:hint="default"/>
          <w:sz w:val="21"/>
          <w:szCs w:val="21"/>
        </w:rPr>
        <w:t>抵扣暂时性差异的应纳税所得额为限。对于能够结转以后年度的可抵扣亏损和税款</w:t>
      </w:r>
    </w:p>
    <w:p>
      <w:pPr>
        <w:pStyle w:val="BodyText"/>
        <w:spacing w:line="350" w:lineRule="auto" w:before="50"/>
        <w:ind w:left="850" w:right="1675"/>
        <w:jc w:val="left"/>
      </w:pPr>
      <w:r>
        <w:rPr/>
        <w:t>抵减，以很可能获得用来抵扣可抵扣亏损和税款抵减的未来应纳税所得额为限，确</w:t>
      </w:r>
      <w:r>
        <w:rPr>
          <w:spacing w:val="-62"/>
        </w:rPr>
        <w:t> </w:t>
      </w:r>
      <w:r>
        <w:rPr/>
        <w:t>认相应的递延所得税资产。</w:t>
      </w:r>
      <w:r>
        <w:rPr>
          <w:w w:val="100"/>
        </w:rPr>
        <w:t> </w:t>
      </w:r>
      <w:r>
        <w:rPr/>
        <w:t>对于应纳税暂时性差异，除特殊情况外，确认递延所得税负债。</w:t>
      </w:r>
      <w:r>
        <w:rPr>
          <w:w w:val="100"/>
        </w:rPr>
        <w:t> </w:t>
      </w:r>
      <w:r>
        <w:rPr/>
        <w:t>不确认递延所得税资产或递延所得税负债的特殊情况包括：商誉的初始确认；除企</w:t>
      </w:r>
      <w:r>
        <w:rPr>
          <w:spacing w:val="-62"/>
        </w:rPr>
        <w:t> </w:t>
      </w:r>
      <w:r>
        <w:rPr/>
        <w:t>业合并以外的发生时既不影响会计利润也不影响应纳税所得额（或可抵扣亏损）的</w:t>
      </w:r>
      <w:r>
        <w:rPr>
          <w:spacing w:val="-62"/>
        </w:rPr>
        <w:t> </w:t>
      </w:r>
      <w:r>
        <w:rPr/>
        <w:t>其他交易或事项。</w:t>
      </w:r>
      <w:r>
        <w:rPr>
          <w:w w:val="100"/>
        </w:rPr>
        <w:t> </w:t>
      </w:r>
      <w:r>
        <w:rPr/>
        <w:t>当拥有以净额结算的法定权利，且意图以净额结算或取得资产、清偿负债同时进行</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48" w:lineRule="auto"/>
        <w:ind w:left="850" w:right="1675"/>
        <w:jc w:val="left"/>
      </w:pPr>
      <w:r>
        <w:rPr/>
        <w:t>时，当期所得税资产及当期所得税负债以抵销后的净额列报。</w:t>
      </w:r>
      <w:r>
        <w:rPr>
          <w:w w:val="100"/>
        </w:rPr>
        <w:t> </w:t>
      </w:r>
      <w:r>
        <w:rPr/>
        <w:t>当拥有以净额结算当期所得税资产及当期所得税负债的法定权利，且递延所得税资</w:t>
      </w:r>
      <w:r>
        <w:rPr>
          <w:spacing w:val="-62"/>
        </w:rPr>
        <w:t> </w:t>
      </w:r>
      <w:r>
        <w:rPr/>
        <w:t>产及递延所得税负债是与同一税收征管部门对同一纳税主体征收的所得税相关或者</w:t>
      </w:r>
      <w:r>
        <w:rPr>
          <w:spacing w:val="-62"/>
        </w:rPr>
        <w:t> </w:t>
      </w:r>
      <w:r>
        <w:rPr/>
        <w:t>是对不同的纳税主体相关，但在未来每一具有重要性的递延所得税资产及负债转回</w:t>
      </w:r>
      <w:r>
        <w:rPr>
          <w:spacing w:val="-62"/>
        </w:rPr>
        <w:t> </w:t>
      </w:r>
      <w:r>
        <w:rPr/>
        <w:t>的期间内，涉及的纳税主体意图以净额结算当期所得税资产和负债或是同时取得资</w:t>
      </w:r>
      <w:r>
        <w:rPr>
          <w:spacing w:val="-62"/>
        </w:rPr>
        <w:t> </w:t>
      </w:r>
      <w:r>
        <w:rPr/>
        <w:t>产、清偿负债时，递延所得税资产及递延所得税负债以抵销后的净额列报。</w:t>
      </w:r>
    </w:p>
    <w:p>
      <w:pPr>
        <w:spacing w:line="240" w:lineRule="auto" w:before="13"/>
        <w:rPr>
          <w:rFonts w:ascii="宋体" w:hAnsi="宋体" w:cs="宋体" w:eastAsia="宋体" w:hint="default"/>
          <w:sz w:val="27"/>
          <w:szCs w:val="27"/>
        </w:rPr>
      </w:pPr>
    </w:p>
    <w:p>
      <w:pPr>
        <w:pStyle w:val="Heading6"/>
        <w:tabs>
          <w:tab w:pos="1397" w:val="left" w:leader="none"/>
        </w:tabs>
        <w:spacing w:line="240" w:lineRule="auto"/>
        <w:ind w:left="279" w:right="1675"/>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tab/>
      </w:r>
      <w:r>
        <w:rPr/>
        <w:t>租赁</w:t>
      </w:r>
      <w:r>
        <w:rPr>
          <w:b w:val="0"/>
          <w:bCs w:val="0"/>
        </w:rPr>
      </w:r>
    </w:p>
    <w:p>
      <w:pPr>
        <w:pStyle w:val="BodyText"/>
        <w:spacing w:line="343" w:lineRule="auto" w:before="99"/>
        <w:ind w:left="754" w:right="1675"/>
        <w:jc w:val="left"/>
      </w:pPr>
      <w:r>
        <w:rPr/>
        <w:t>（</w:t>
      </w:r>
      <w:r>
        <w:rPr>
          <w:rFonts w:ascii="Times New Roman" w:hAnsi="Times New Roman" w:cs="Times New Roman" w:eastAsia="Times New Roman" w:hint="default"/>
        </w:rPr>
        <w:t>1</w:t>
      </w:r>
      <w:r>
        <w:rPr/>
        <w:t>）公司租入资产所支付的租赁费，在不扣除免租期的整个租赁期内，按直线法进</w:t>
      </w:r>
      <w:r>
        <w:rPr>
          <w:spacing w:val="-71"/>
        </w:rPr>
        <w:t> </w:t>
      </w:r>
      <w:r>
        <w:rPr>
          <w:spacing w:val="-71"/>
        </w:rPr>
      </w:r>
      <w:r>
        <w:rPr>
          <w:spacing w:val="-7"/>
        </w:rPr>
        <w:t>行分摊，计入当期费用。公司支付的与租赁交易相关的初始直接费用，计入当期费用。</w:t>
      </w:r>
      <w:r>
        <w:rPr>
          <w:spacing w:val="-25"/>
        </w:rPr>
        <w:t> </w:t>
      </w:r>
      <w:r>
        <w:rPr>
          <w:spacing w:val="-25"/>
        </w:rPr>
      </w:r>
      <w:r>
        <w:rPr>
          <w:spacing w:val="-4"/>
        </w:rPr>
        <w:t>资产出租方承担了应由公司承担的与租赁相关的费用时，公司将该部分费用从租金总</w:t>
      </w:r>
      <w:r>
        <w:rPr>
          <w:spacing w:val="-36"/>
        </w:rPr>
        <w:t> </w:t>
      </w:r>
      <w:r>
        <w:rPr>
          <w:spacing w:val="-36"/>
        </w:rPr>
      </w:r>
      <w:r>
        <w:rPr/>
        <w:t>额中扣除，按扣除后的租金费用在租赁期内分摊，计入当期费用。</w:t>
      </w:r>
    </w:p>
    <w:p>
      <w:pPr>
        <w:pStyle w:val="BodyText"/>
        <w:spacing w:line="345" w:lineRule="auto" w:before="35"/>
        <w:ind w:left="754" w:right="1675"/>
        <w:jc w:val="left"/>
      </w:pPr>
      <w:r>
        <w:rPr>
          <w:spacing w:val="-1"/>
        </w:rPr>
        <w:t>（</w:t>
      </w:r>
      <w:r>
        <w:rPr>
          <w:rFonts w:ascii="Times New Roman" w:hAnsi="Times New Roman" w:cs="Times New Roman" w:eastAsia="Times New Roman" w:hint="default"/>
          <w:spacing w:val="-1"/>
        </w:rPr>
        <w:t>2</w:t>
      </w:r>
      <w:r>
        <w:rPr>
          <w:spacing w:val="-1"/>
        </w:rPr>
        <w:t>）公司出租资产所收取的租赁费，在不扣除免租期的整个租赁期内，按直线法进</w:t>
      </w:r>
      <w:r>
        <w:rPr>
          <w:spacing w:val="-34"/>
        </w:rPr>
        <w:t> </w:t>
      </w:r>
      <w:r>
        <w:rPr>
          <w:spacing w:val="-34"/>
        </w:rPr>
      </w:r>
      <w:r>
        <w:rPr>
          <w:spacing w:val="-4"/>
        </w:rPr>
        <w:t>行分摊，确认为租赁相关收入。公司支付的与租赁交易相关的初始直接费用，计入当</w:t>
      </w:r>
      <w:r>
        <w:rPr>
          <w:spacing w:val="-41"/>
        </w:rPr>
        <w:t> </w:t>
      </w:r>
      <w:r>
        <w:rPr>
          <w:spacing w:val="-41"/>
        </w:rPr>
      </w:r>
      <w:r>
        <w:rPr>
          <w:spacing w:val="-4"/>
        </w:rPr>
        <w:t>期费用；如金额较大的，则予以资本化，在整个租赁期间内按照与租赁相关收入确认</w:t>
      </w:r>
      <w:r>
        <w:rPr>
          <w:spacing w:val="-40"/>
        </w:rPr>
        <w:t> </w:t>
      </w:r>
      <w:r>
        <w:rPr>
          <w:spacing w:val="-40"/>
        </w:rPr>
      </w:r>
      <w:r>
        <w:rPr/>
        <w:t>相同的基础分期计入当期收益。</w:t>
      </w:r>
      <w:r>
        <w:rPr>
          <w:w w:val="100"/>
        </w:rPr>
        <w:t> </w:t>
      </w:r>
      <w:r>
        <w:rPr>
          <w:spacing w:val="-4"/>
        </w:rPr>
        <w:t>公司承担了应由承租方承担的与租赁相关的费用时，公司将该部分费用从租金收入总</w:t>
      </w:r>
      <w:r>
        <w:rPr>
          <w:spacing w:val="-36"/>
        </w:rPr>
        <w:t> </w:t>
      </w:r>
      <w:r>
        <w:rPr>
          <w:spacing w:val="-36"/>
        </w:rPr>
      </w:r>
      <w:r>
        <w:rPr/>
        <w:t>额中扣除，按扣除后的租金费用在租赁期内分配。</w:t>
      </w:r>
    </w:p>
    <w:p>
      <w:pPr>
        <w:spacing w:line="240" w:lineRule="auto" w:before="1"/>
        <w:rPr>
          <w:rFonts w:ascii="宋体" w:hAnsi="宋体" w:cs="宋体" w:eastAsia="宋体" w:hint="default"/>
          <w:sz w:val="28"/>
          <w:szCs w:val="28"/>
        </w:rPr>
      </w:pPr>
    </w:p>
    <w:p>
      <w:pPr>
        <w:pStyle w:val="Heading6"/>
        <w:spacing w:line="240" w:lineRule="auto"/>
        <w:ind w:left="0" w:right="6178"/>
        <w:jc w:val="center"/>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重要会计政策和会计估计的变更</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重要会计政策变更</w:t>
      </w:r>
      <w:r>
        <w:rPr>
          <w:b w:val="0"/>
          <w:bCs w:val="0"/>
        </w:rPr>
      </w:r>
    </w:p>
    <w:p>
      <w:pPr>
        <w:pStyle w:val="BodyText"/>
        <w:spacing w:line="331" w:lineRule="auto" w:before="102"/>
        <w:ind w:right="1786"/>
        <w:jc w:val="both"/>
      </w:pPr>
      <w:r>
        <w:rPr/>
        <w:pict>
          <v:shape style="position:absolute;margin-left:121.459999pt;margin-top:60.473663pt;width:391.05pt;height:215.5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1"/>
                    <w:gridCol w:w="3896"/>
                  </w:tblGrid>
                  <w:tr>
                    <w:trPr>
                      <w:trHeight w:val="461" w:hRule="exact"/>
                    </w:trPr>
                    <w:tc>
                      <w:tcPr>
                        <w:tcW w:w="3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8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8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770"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821" w:hRule="exact"/>
                    </w:trPr>
                    <w:tc>
                      <w:tcPr>
                        <w:tcW w:w="388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45" w:lineRule="auto" w:before="140"/>
                          <w:ind w:left="122" w:right="9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 </w:t>
                        </w:r>
                        <w:r>
                          <w:rPr>
                            <w:rFonts w:ascii="宋体" w:hAnsi="宋体" w:cs="宋体" w:eastAsia="宋体" w:hint="default"/>
                            <w:spacing w:val="3"/>
                            <w:sz w:val="18"/>
                            <w:szCs w:val="18"/>
                          </w:rPr>
                          <w:t>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pacing w:val="7"/>
                            <w:sz w:val="18"/>
                            <w:szCs w:val="18"/>
                          </w:rPr>
                          <w:t>和</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合并列示为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应付票据及应付账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应收股利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其他应收</w:t>
                        </w:r>
                        <w:r>
                          <w:rPr>
                            <w:rFonts w:ascii="宋体" w:hAnsi="宋体" w:cs="宋体" w:eastAsia="宋体" w:hint="default"/>
                            <w:spacing w:val="-82"/>
                            <w:sz w:val="18"/>
                            <w:szCs w:val="18"/>
                          </w:rPr>
                          <w:t>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w:t>
                        </w:r>
                        <w:r>
                          <w:rPr>
                            <w:rFonts w:ascii="宋体" w:hAnsi="宋体" w:cs="宋体" w:eastAsia="宋体" w:hint="default"/>
                            <w:sz w:val="18"/>
                            <w:szCs w:val="18"/>
                          </w:rPr>
                          <w:t> 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w:t>
                        </w:r>
                        <w:r>
                          <w:rPr>
                            <w:rFonts w:ascii="宋体" w:hAnsi="宋体" w:cs="宋体" w:eastAsia="宋体" w:hint="default"/>
                            <w:spacing w:val="-84"/>
                            <w:sz w:val="18"/>
                            <w:szCs w:val="18"/>
                          </w:rPr>
                          <w:t> </w:t>
                        </w:r>
                        <w:r>
                          <w:rPr>
                            <w:rFonts w:ascii="宋体" w:hAnsi="宋体" w:cs="宋体" w:eastAsia="宋体" w:hint="default"/>
                            <w:sz w:val="18"/>
                            <w:szCs w:val="18"/>
                          </w:rPr>
                          <w:t>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w:t>
                        </w:r>
                        <w:r>
                          <w:rPr>
                            <w:rFonts w:ascii="宋体" w:hAnsi="宋体" w:cs="宋体" w:eastAsia="宋体" w:hint="default"/>
                            <w:spacing w:val="-84"/>
                            <w:sz w:val="18"/>
                            <w:szCs w:val="18"/>
                          </w:rPr>
                          <w:t> </w:t>
                        </w:r>
                        <w:r>
                          <w:rPr>
                            <w:rFonts w:ascii="宋体" w:hAnsi="宋体" w:cs="宋体" w:eastAsia="宋体" w:hint="default"/>
                            <w:spacing w:val="-1"/>
                            <w:sz w:val="18"/>
                            <w:szCs w:val="18"/>
                          </w:rPr>
                          <w:t>付款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长期应付款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列示。比较数据相应调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整。</w:t>
                        </w:r>
                      </w:p>
                    </w:tc>
                    <w:tc>
                      <w:tcPr>
                        <w:tcW w:w="3896" w:type="dxa"/>
                        <w:tcBorders>
                          <w:top w:val="dotted" w:sz="4" w:space="0" w:color="000000"/>
                          <w:left w:val="dotted" w:sz="4" w:space="0" w:color="000000"/>
                          <w:bottom w:val="single" w:sz="12" w:space="0" w:color="000000"/>
                          <w:right w:val="nil" w:sz="6" w:space="0" w:color="auto"/>
                        </w:tcBorders>
                      </w:tcPr>
                      <w:p>
                        <w:pPr>
                          <w:pStyle w:val="TableParagraph"/>
                          <w:spacing w:line="348" w:lineRule="auto" w:before="135"/>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59,377,586.96</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元，上期</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57,983,342.15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45" w:lineRule="auto" w:before="151"/>
                          <w:ind w:left="10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731,569,620.40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元，上</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833,614,198.94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20,490,047.18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419,377.23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7,151,860.85 </w:t>
                        </w:r>
                        <w:r>
                          <w:rPr>
                            <w:rFonts w:ascii="宋体" w:hAnsi="宋体" w:cs="宋体" w:eastAsia="宋体" w:hint="default"/>
                            <w:spacing w:val="-13"/>
                            <w:sz w:val="18"/>
                            <w:szCs w:val="18"/>
                          </w:rPr>
                          <w:t>元，上</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10,848,744.31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财政部于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日发布了《财政部关于修订印发</w:t>
      </w:r>
      <w:r>
        <w:rPr>
          <w:spacing w:val="-55"/>
        </w:rPr>
        <w:t> </w:t>
      </w:r>
      <w:r>
        <w:rPr>
          <w:rFonts w:ascii="Times New Roman" w:hAnsi="Times New Roman" w:cs="Times New Roman" w:eastAsia="Times New Roman" w:hint="default"/>
        </w:rPr>
        <w:t>2018 </w:t>
      </w:r>
      <w:r>
        <w:rPr/>
        <w:t>年度一般企业</w:t>
      </w:r>
      <w:r>
        <w:rPr>
          <w:w w:val="100"/>
        </w:rPr>
        <w:t> </w:t>
      </w:r>
      <w:r>
        <w:rPr>
          <w:spacing w:val="-6"/>
          <w:w w:val="100"/>
        </w:rPr>
        <w:t>财务报表格式的通知》（财会（</w:t>
      </w:r>
      <w:r>
        <w:rPr>
          <w:rFonts w:ascii="Times New Roman" w:hAnsi="Times New Roman" w:cs="Times New Roman" w:eastAsia="Times New Roman" w:hint="default"/>
          <w:spacing w:val="-6"/>
          <w:w w:val="100"/>
        </w:rPr>
        <w:t>2018</w:t>
      </w:r>
      <w:r>
        <w:rPr>
          <w:spacing w:val="-6"/>
          <w:w w:val="100"/>
        </w:rPr>
        <w:t>）</w:t>
      </w:r>
      <w:r>
        <w:rPr>
          <w:rFonts w:ascii="Times New Roman" w:hAnsi="Times New Roman" w:cs="Times New Roman" w:eastAsia="Times New Roman" w:hint="default"/>
          <w:spacing w:val="-6"/>
          <w:w w:val="100"/>
        </w:rPr>
        <w:t>15</w:t>
      </w:r>
      <w:r>
        <w:rPr>
          <w:rFonts w:ascii="Times New Roman" w:hAnsi="Times New Roman" w:cs="Times New Roman" w:eastAsia="Times New Roman" w:hint="default"/>
          <w:spacing w:val="1"/>
          <w:w w:val="100"/>
        </w:rPr>
        <w:t> </w:t>
      </w:r>
      <w:r>
        <w:rPr>
          <w:spacing w:val="-8"/>
          <w:w w:val="100"/>
        </w:rPr>
        <w:t>号），对一般企业财务报表格式进行</w:t>
      </w:r>
      <w:r>
        <w:rPr>
          <w:w w:val="100"/>
        </w:rPr>
        <w:t> </w:t>
      </w:r>
      <w:r>
        <w:rPr/>
        <w:t>了修订。</w:t>
      </w:r>
      <w:r>
        <w:rPr>
          <w:spacing w:val="-4"/>
        </w:rPr>
        <w:t> </w:t>
      </w:r>
      <w:r>
        <w:rPr/>
        <w:t>本公司执行上述规定的主要影响如下：</w:t>
      </w:r>
    </w:p>
    <w:p>
      <w:pPr>
        <w:spacing w:after="0" w:line="331" w:lineRule="auto"/>
        <w:jc w:val="both"/>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3881"/>
        <w:gridCol w:w="3896"/>
      </w:tblGrid>
      <w:tr>
        <w:trPr>
          <w:trHeight w:val="461" w:hRule="exact"/>
        </w:trPr>
        <w:tc>
          <w:tcPr>
            <w:tcW w:w="3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8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8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770"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529" w:hRule="exact"/>
        </w:trPr>
        <w:tc>
          <w:tcPr>
            <w:tcW w:w="3881" w:type="dxa"/>
            <w:tcBorders>
              <w:top w:val="dotted" w:sz="4" w:space="0" w:color="000000"/>
              <w:left w:val="nil" w:sz="6" w:space="0" w:color="auto"/>
              <w:bottom w:val="dotted" w:sz="4" w:space="0" w:color="000000"/>
              <w:right w:val="dotted" w:sz="4" w:space="0" w:color="000000"/>
            </w:tcBorders>
          </w:tcPr>
          <w:p>
            <w:pPr/>
          </w:p>
        </w:tc>
        <w:tc>
          <w:tcPr>
            <w:tcW w:w="3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355,691,941.27 </w:t>
            </w:r>
            <w:r>
              <w:rPr>
                <w:rFonts w:ascii="宋体" w:hAnsi="宋体" w:cs="宋体" w:eastAsia="宋体" w:hint="default"/>
                <w:spacing w:val="-13"/>
                <w:sz w:val="18"/>
                <w:szCs w:val="18"/>
              </w:rPr>
              <w:t>元，上</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310,536,624.70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15,617,069.00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15,617,069.00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892" w:hRule="exact"/>
        </w:trPr>
        <w:tc>
          <w:tcPr>
            <w:tcW w:w="3881"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7"/>
              <w:ind w:left="122" w:right="72"/>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）在利润表中新增</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研发费用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项目，将原</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管</w:t>
            </w:r>
            <w:r>
              <w:rPr>
                <w:rFonts w:ascii="宋体" w:hAnsi="宋体" w:cs="宋体" w:eastAsia="宋体" w:hint="default"/>
                <w:spacing w:val="-79"/>
                <w:sz w:val="18"/>
                <w:szCs w:val="18"/>
              </w:rPr>
              <w:t> </w:t>
            </w:r>
            <w:r>
              <w:rPr>
                <w:rFonts w:ascii="宋体" w:hAnsi="宋体" w:cs="宋体" w:eastAsia="宋体" w:hint="default"/>
                <w:spacing w:val="8"/>
                <w:sz w:val="18"/>
                <w:szCs w:val="18"/>
              </w:rPr>
              <w:t>理费用</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中的研发费用重分类至</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研发费用</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单</w:t>
            </w:r>
            <w:r>
              <w:rPr>
                <w:rFonts w:ascii="宋体" w:hAnsi="宋体" w:cs="宋体" w:eastAsia="宋体" w:hint="default"/>
                <w:sz w:val="18"/>
                <w:szCs w:val="18"/>
              </w:rPr>
              <w:t> 独列示；在利润表中财务费用项下新增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 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 整。</w:t>
            </w:r>
          </w:p>
        </w:tc>
        <w:tc>
          <w:tcPr>
            <w:tcW w:w="3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7,200,731.46 </w:t>
            </w:r>
            <w:r>
              <w:rPr>
                <w:rFonts w:ascii="宋体" w:hAnsi="宋体" w:cs="宋体" w:eastAsia="宋体" w:hint="default"/>
                <w:spacing w:val="-9"/>
                <w:sz w:val="18"/>
                <w:szCs w:val="18"/>
              </w:rPr>
              <w:t>元，上期</w:t>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4,260,587.71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元，重分类至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研发费用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。利</w:t>
            </w:r>
            <w:r>
              <w:rPr>
                <w:rFonts w:ascii="宋体" w:hAnsi="宋体" w:cs="宋体" w:eastAsia="宋体" w:hint="default"/>
                <w:sz w:val="18"/>
                <w:szCs w:val="18"/>
              </w:rPr>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息费用本期金额 </w:t>
            </w:r>
            <w:r>
              <w:rPr>
                <w:rFonts w:ascii="Times New Roman" w:hAnsi="Times New Roman" w:cs="Times New Roman" w:eastAsia="Times New Roman" w:hint="default"/>
                <w:sz w:val="18"/>
                <w:szCs w:val="18"/>
              </w:rPr>
              <w:t>315,929,524.49 </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元，上期金额</w:t>
            </w:r>
            <w:r>
              <w:rPr>
                <w:rFonts w:ascii="宋体" w:hAnsi="宋体" w:cs="宋体" w:eastAsia="宋体" w:hint="default"/>
                <w:sz w:val="18"/>
                <w:szCs w:val="18"/>
              </w:rPr>
            </w: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285,167,206.34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r>
              <w:rPr>
                <w:rFonts w:ascii="宋体" w:hAnsi="宋体" w:cs="宋体" w:eastAsia="宋体" w:hint="default"/>
                <w:spacing w:val="-27"/>
                <w:sz w:val="18"/>
                <w:szCs w:val="18"/>
              </w:rPr>
              <w:t> </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利</w:t>
            </w:r>
            <w:r>
              <w:rPr>
                <w:rFonts w:ascii="宋体" w:hAnsi="宋体" w:cs="宋体" w:eastAsia="宋体" w:hint="default"/>
                <w:spacing w:val="-27"/>
                <w:sz w:val="18"/>
                <w:szCs w:val="18"/>
              </w:rPr>
              <w:t> </w:t>
            </w:r>
            <w:r>
              <w:rPr>
                <w:rFonts w:ascii="宋体" w:hAnsi="宋体" w:cs="宋体" w:eastAsia="宋体" w:hint="default"/>
                <w:sz w:val="18"/>
                <w:szCs w:val="18"/>
              </w:rPr>
              <w:t>息</w:t>
            </w:r>
            <w:r>
              <w:rPr>
                <w:rFonts w:ascii="宋体" w:hAnsi="宋体" w:cs="宋体" w:eastAsia="宋体" w:hint="default"/>
                <w:spacing w:val="-27"/>
                <w:sz w:val="18"/>
                <w:szCs w:val="18"/>
              </w:rPr>
              <w:t> </w:t>
            </w:r>
            <w:r>
              <w:rPr>
                <w:rFonts w:ascii="宋体" w:hAnsi="宋体" w:cs="宋体" w:eastAsia="宋体" w:hint="default"/>
                <w:sz w:val="18"/>
                <w:szCs w:val="18"/>
              </w:rPr>
              <w:t>收</w:t>
            </w:r>
            <w:r>
              <w:rPr>
                <w:rFonts w:ascii="宋体" w:hAnsi="宋体" w:cs="宋体" w:eastAsia="宋体" w:hint="default"/>
                <w:spacing w:val="-25"/>
                <w:sz w:val="18"/>
                <w:szCs w:val="18"/>
              </w:rPr>
              <w:t> </w:t>
            </w:r>
            <w:r>
              <w:rPr>
                <w:rFonts w:ascii="宋体" w:hAnsi="宋体" w:cs="宋体" w:eastAsia="宋体" w:hint="default"/>
                <w:sz w:val="18"/>
                <w:szCs w:val="18"/>
              </w:rPr>
              <w:t>入</w:t>
            </w:r>
            <w:r>
              <w:rPr>
                <w:rFonts w:ascii="宋体" w:hAnsi="宋体" w:cs="宋体" w:eastAsia="宋体" w:hint="default"/>
                <w:spacing w:val="-25"/>
                <w:sz w:val="18"/>
                <w:szCs w:val="18"/>
              </w:rPr>
              <w:t> </w:t>
            </w:r>
            <w:r>
              <w:rPr>
                <w:rFonts w:ascii="宋体" w:hAnsi="宋体" w:cs="宋体" w:eastAsia="宋体" w:hint="default"/>
                <w:sz w:val="18"/>
                <w:szCs w:val="18"/>
              </w:rPr>
              <w:t>本</w:t>
            </w:r>
            <w:r>
              <w:rPr>
                <w:rFonts w:ascii="宋体" w:hAnsi="宋体" w:cs="宋体" w:eastAsia="宋体" w:hint="default"/>
                <w:spacing w:val="-25"/>
                <w:sz w:val="18"/>
                <w:szCs w:val="18"/>
              </w:rPr>
              <w:t> </w:t>
            </w:r>
            <w:r>
              <w:rPr>
                <w:rFonts w:ascii="宋体" w:hAnsi="宋体" w:cs="宋体" w:eastAsia="宋体" w:hint="default"/>
                <w:sz w:val="18"/>
                <w:szCs w:val="18"/>
              </w:rPr>
              <w:t>期</w:t>
            </w:r>
            <w:r>
              <w:rPr>
                <w:rFonts w:ascii="宋体" w:hAnsi="宋体" w:cs="宋体" w:eastAsia="宋体" w:hint="default"/>
                <w:spacing w:val="-27"/>
                <w:sz w:val="18"/>
                <w:szCs w:val="18"/>
              </w:rPr>
              <w:t> </w:t>
            </w:r>
            <w:r>
              <w:rPr>
                <w:rFonts w:ascii="宋体" w:hAnsi="宋体" w:cs="宋体" w:eastAsia="宋体" w:hint="default"/>
                <w:sz w:val="18"/>
                <w:szCs w:val="18"/>
              </w:rPr>
              <w:t>金</w:t>
            </w:r>
            <w:r>
              <w:rPr>
                <w:rFonts w:ascii="宋体" w:hAnsi="宋体" w:cs="宋体" w:eastAsia="宋体" w:hint="default"/>
                <w:spacing w:val="-25"/>
                <w:sz w:val="18"/>
                <w:szCs w:val="18"/>
              </w:rPr>
              <w:t> </w:t>
            </w:r>
            <w:r>
              <w:rPr>
                <w:rFonts w:ascii="宋体" w:hAnsi="宋体" w:cs="宋体" w:eastAsia="宋体" w:hint="default"/>
                <w:sz w:val="18"/>
                <w:szCs w:val="18"/>
              </w:rPr>
              <w:t>额</w:t>
            </w:r>
          </w:p>
          <w:p>
            <w:pPr>
              <w:pStyle w:val="TableParagraph"/>
              <w:spacing w:line="240" w:lineRule="auto" w:before="10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46,100,478.99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31,300,866.59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181" w:hRule="exact"/>
        </w:trPr>
        <w:tc>
          <w:tcPr>
            <w:tcW w:w="3881" w:type="dxa"/>
            <w:tcBorders>
              <w:top w:val="dotted" w:sz="4" w:space="0" w:color="000000"/>
              <w:left w:val="nil" w:sz="6" w:space="0" w:color="auto"/>
              <w:bottom w:val="single" w:sz="12" w:space="0" w:color="000000"/>
              <w:right w:val="dotted" w:sz="4" w:space="0" w:color="000000"/>
            </w:tcBorders>
          </w:tcPr>
          <w:p>
            <w:pPr>
              <w:pStyle w:val="TableParagraph"/>
              <w:spacing w:line="345" w:lineRule="auto" w:before="135"/>
              <w:ind w:left="122" w:right="10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）所有者权益变动表中新增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设定受益计划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变动额结转留存收益</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项目。比较数据相应调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w:t>
            </w:r>
          </w:p>
        </w:tc>
        <w:tc>
          <w:tcPr>
            <w:tcW w:w="389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重要会计估计变更</w:t>
      </w:r>
      <w:r>
        <w:rPr>
          <w:b w:val="0"/>
          <w:bCs w:val="0"/>
        </w:rPr>
      </w:r>
    </w:p>
    <w:p>
      <w:pPr>
        <w:pStyle w:val="BodyText"/>
        <w:spacing w:line="240" w:lineRule="auto" w:before="100"/>
        <w:ind w:right="1675"/>
        <w:jc w:val="left"/>
      </w:pPr>
      <w:r>
        <w:rPr/>
        <w:t>本报告期主要会计估计未发生变更。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6"/>
        <w:tabs>
          <w:tab w:pos="850" w:val="left" w:leader="none"/>
        </w:tabs>
        <w:spacing w:line="240" w:lineRule="auto"/>
        <w:ind w:left="138" w:right="1675"/>
        <w:jc w:val="left"/>
        <w:rPr>
          <w:b w:val="0"/>
          <w:bCs w:val="0"/>
        </w:rPr>
      </w:pPr>
      <w:r>
        <w:rPr/>
        <w:t>四、</w:t>
        <w:tab/>
        <w:t>税项</w:t>
      </w:r>
      <w:r>
        <w:rPr>
          <w:b w:val="0"/>
          <w:bCs w:val="0"/>
        </w:rPr>
      </w:r>
    </w:p>
    <w:p>
      <w:pPr>
        <w:pStyle w:val="Heading6"/>
        <w:tabs>
          <w:tab w:pos="850" w:val="left" w:leader="none"/>
        </w:tabs>
        <w:spacing w:line="240" w:lineRule="auto" w:before="33"/>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主要税种和税率</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817"/>
        <w:gridCol w:w="4496"/>
        <w:gridCol w:w="1465"/>
      </w:tblGrid>
      <w:tr>
        <w:trPr>
          <w:trHeight w:val="461" w:hRule="exact"/>
        </w:trPr>
        <w:tc>
          <w:tcPr>
            <w:tcW w:w="18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4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4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169"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销售货物、应税销售服务收入、无形资产或者不动产</w:t>
            </w:r>
          </w:p>
        </w:tc>
        <w:tc>
          <w:tcPr>
            <w:tcW w:w="1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p>
            <w:pPr>
              <w:pStyle w:val="TableParagraph"/>
              <w:spacing w:line="240" w:lineRule="auto" w:before="113"/>
              <w:ind w:left="86" w:right="0"/>
              <w:jc w:val="center"/>
              <w:rPr>
                <w:rFonts w:ascii="宋体" w:hAnsi="宋体" w:cs="宋体" w:eastAsia="宋体" w:hint="default"/>
                <w:sz w:val="18"/>
                <w:szCs w:val="18"/>
              </w:rPr>
            </w:pPr>
            <w:r>
              <w:rPr>
                <w:rFonts w:ascii="Times New Roman" w:hAnsi="Times New Roman" w:cs="Times New Roman" w:eastAsia="Times New Roman" w:hint="default"/>
                <w:spacing w:val="-10"/>
                <w:sz w:val="18"/>
                <w:szCs w:val="18"/>
              </w:rPr>
              <w:t>11%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w:t>
            </w:r>
          </w:p>
        </w:tc>
      </w:tr>
      <w:tr>
        <w:trPr>
          <w:trHeight w:val="451"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r>
      <w:tr>
        <w:trPr>
          <w:trHeight w:val="449"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r>
      <w:tr>
        <w:trPr>
          <w:trHeight w:val="451"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4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r>
      <w:tr>
        <w:trPr>
          <w:trHeight w:val="449"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4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（或租金收入）为纳税基准</w:t>
            </w:r>
          </w:p>
        </w:tc>
        <w:tc>
          <w:tcPr>
            <w:tcW w:w="1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r>
      <w:tr>
        <w:trPr>
          <w:trHeight w:val="461" w:hRule="exact"/>
        </w:trPr>
        <w:tc>
          <w:tcPr>
            <w:tcW w:w="18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4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税收优惠</w:t>
      </w:r>
      <w:r>
        <w:rPr>
          <w:b w:val="0"/>
          <w:bCs w:val="0"/>
        </w:rPr>
      </w:r>
    </w:p>
    <w:p>
      <w:pPr>
        <w:pStyle w:val="BodyText"/>
        <w:spacing w:line="240" w:lineRule="auto" w:before="102"/>
        <w:ind w:left="850" w:right="1675"/>
        <w:jc w:val="left"/>
      </w:pPr>
      <w:r>
        <w:rPr/>
        <w:t>根据</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日财税</w:t>
      </w:r>
      <w:r>
        <w:rPr>
          <w:rFonts w:ascii="Times New Roman" w:hAnsi="Times New Roman" w:cs="Times New Roman" w:eastAsia="Times New Roman" w:hint="default"/>
        </w:rPr>
        <w:t>[2016]1</w:t>
      </w:r>
      <w:r>
        <w:rPr>
          <w:rFonts w:ascii="Times New Roman" w:hAnsi="Times New Roman" w:cs="Times New Roman" w:eastAsia="Times New Roman" w:hint="default"/>
          <w:spacing w:val="-1"/>
        </w:rPr>
        <w:t> </w:t>
      </w:r>
      <w:r>
        <w:rPr/>
        <w:t>号文件，对专门经营农产品的农产品批发市场、</w:t>
      </w:r>
    </w:p>
    <w:p>
      <w:pPr>
        <w:pStyle w:val="BodyText"/>
        <w:spacing w:line="331" w:lineRule="auto" w:before="107"/>
        <w:ind w:left="850" w:right="1784"/>
        <w:jc w:val="left"/>
      </w:pPr>
      <w:r>
        <w:rPr/>
        <w:t>农贸市场使用的房产、土地，自</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日暂免征收房</w:t>
      </w:r>
      <w:r>
        <w:rPr>
          <w:w w:val="100"/>
        </w:rPr>
        <w:t> </w:t>
      </w:r>
      <w:r>
        <w:rPr/>
        <w:t>产税和城镇土地使用税。</w:t>
      </w:r>
    </w:p>
    <w:p>
      <w:pPr>
        <w:pStyle w:val="BodyText"/>
        <w:spacing w:line="240" w:lineRule="auto" w:before="46"/>
        <w:ind w:left="850" w:right="1675"/>
        <w:jc w:val="left"/>
      </w:pPr>
      <w:r>
        <w:rPr/>
        <w:t>根据</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号《关于继续实行农产品批发市场</w:t>
      </w:r>
      <w:r>
        <w:rPr>
          <w:spacing w:val="-5"/>
        </w:rPr>
        <w:t> </w:t>
      </w:r>
      <w:r>
        <w:rPr/>
        <w:t>农贸市场</w:t>
      </w:r>
    </w:p>
    <w:p>
      <w:pPr>
        <w:spacing w:after="0" w:line="24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45" w:lineRule="auto"/>
        <w:ind w:left="850" w:right="1777"/>
        <w:jc w:val="left"/>
      </w:pPr>
      <w:r>
        <w:rPr>
          <w:w w:val="100"/>
        </w:rPr>
        <w:t>房产税</w:t>
      </w:r>
      <w:r>
        <w:rPr>
          <w:spacing w:val="22"/>
          <w:w w:val="100"/>
        </w:rPr>
        <w:t> </w:t>
      </w:r>
      <w:r>
        <w:rPr>
          <w:spacing w:val="-4"/>
          <w:w w:val="100"/>
        </w:rPr>
        <w:t>城镇土地使用税优惠政策的通知》，对专门经营农产品的农产品批发市场、</w:t>
      </w:r>
      <w:r>
        <w:rPr>
          <w:spacing w:val="-104"/>
          <w:w w:val="100"/>
        </w:rPr>
        <w:t> </w:t>
      </w:r>
      <w:r>
        <w:rPr>
          <w:spacing w:val="-104"/>
          <w:w w:val="100"/>
        </w:rPr>
      </w:r>
      <w:r>
        <w:rPr/>
        <w:t>农贸市场使用的房产、土地，自</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9"/>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日暂免征收房</w:t>
      </w:r>
      <w:r>
        <w:rPr>
          <w:w w:val="100"/>
        </w:rPr>
        <w:t> </w:t>
      </w:r>
      <w:r>
        <w:rPr/>
        <w:t>产税和城镇土地使用税。</w:t>
      </w:r>
      <w:r>
        <w:rPr>
          <w:w w:val="100"/>
        </w:rPr>
        <w:t> </w:t>
      </w:r>
      <w:r>
        <w:rPr/>
        <w:t>对同时经营其他产品的农产品批发市场和农贸市场使用的房产、土地，按其他产品</w:t>
      </w:r>
      <w:r>
        <w:rPr>
          <w:spacing w:val="-62"/>
        </w:rPr>
        <w:t> </w:t>
      </w:r>
      <w:r>
        <w:rPr/>
        <w:t>与农产品交易场地面积的比例确定征免房产税和城镇土地使用税。</w:t>
      </w:r>
    </w:p>
    <w:p>
      <w:pPr>
        <w:pStyle w:val="BodyText"/>
        <w:spacing w:line="331" w:lineRule="auto" w:before="31"/>
        <w:ind w:left="850" w:right="1791"/>
        <w:jc w:val="both"/>
      </w:pPr>
      <w:r>
        <w:rPr/>
        <w:t>根据</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5"/>
        </w:rPr>
        <w:t>日财税（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58</w:t>
      </w:r>
      <w:r>
        <w:rPr>
          <w:rFonts w:ascii="Times New Roman" w:hAnsi="Times New Roman" w:cs="Times New Roman" w:eastAsia="Times New Roman" w:hint="default"/>
          <w:spacing w:val="-2"/>
        </w:rPr>
        <w:t> </w:t>
      </w:r>
      <w:r>
        <w:rPr>
          <w:spacing w:val="-4"/>
        </w:rPr>
        <w:t>号文件，自</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4"/>
        </w:rPr>
        <w:t>日，对设在西部地区的鼓励型产业企业减按</w:t>
      </w:r>
      <w:r>
        <w:rPr>
          <w:spacing w:val="-33"/>
        </w:rPr>
        <w:t> </w:t>
      </w:r>
      <w:r>
        <w:rPr>
          <w:rFonts w:ascii="Times New Roman" w:hAnsi="Times New Roman" w:cs="Times New Roman" w:eastAsia="Times New Roman" w:hint="default"/>
          <w:spacing w:val="-5"/>
        </w:rPr>
        <w:t>15%</w:t>
      </w:r>
      <w:r>
        <w:rPr>
          <w:spacing w:val="-5"/>
        </w:rPr>
        <w:t>的税率征收企业所得税。子公</w:t>
      </w:r>
      <w:r>
        <w:rPr>
          <w:spacing w:val="-98"/>
        </w:rPr>
        <w:t> </w:t>
      </w:r>
      <w:r>
        <w:rPr>
          <w:spacing w:val="-98"/>
        </w:rPr>
      </w:r>
      <w:r>
        <w:rPr>
          <w:spacing w:val="-2"/>
        </w:rPr>
        <w:t>司西安摩尔农产品有限责任公司减按</w:t>
      </w:r>
      <w:r>
        <w:rPr>
          <w:spacing w:val="4"/>
        </w:rPr>
        <w:t> </w:t>
      </w:r>
      <w:r>
        <w:rPr>
          <w:rFonts w:ascii="Times New Roman" w:hAnsi="Times New Roman" w:cs="Times New Roman" w:eastAsia="Times New Roman" w:hint="default"/>
          <w:spacing w:val="-2"/>
        </w:rPr>
        <w:t>15%</w:t>
      </w:r>
      <w:r>
        <w:rPr>
          <w:spacing w:val="-2"/>
        </w:rPr>
        <w:t>的税率征收企业所得税。</w:t>
      </w:r>
    </w:p>
    <w:p>
      <w:pPr>
        <w:spacing w:line="240" w:lineRule="auto" w:before="13"/>
        <w:rPr>
          <w:rFonts w:ascii="宋体" w:hAnsi="宋体" w:cs="宋体" w:eastAsia="宋体" w:hint="default"/>
          <w:sz w:val="26"/>
          <w:szCs w:val="26"/>
        </w:rPr>
      </w:pPr>
    </w:p>
    <w:p>
      <w:pPr>
        <w:pStyle w:val="Heading6"/>
        <w:tabs>
          <w:tab w:pos="850" w:val="left" w:leader="none"/>
        </w:tabs>
        <w:spacing w:line="240" w:lineRule="auto"/>
        <w:ind w:left="138" w:right="1675"/>
        <w:jc w:val="left"/>
        <w:rPr>
          <w:b w:val="0"/>
          <w:bCs w:val="0"/>
        </w:rPr>
      </w:pPr>
      <w:r>
        <w:rPr/>
        <w:t>五、</w:t>
        <w:tab/>
        <w:t>合并财务报表项目注释</w:t>
      </w:r>
      <w:r>
        <w:rPr>
          <w:b w:val="0"/>
          <w:bCs w:val="0"/>
        </w:rPr>
      </w:r>
    </w:p>
    <w:p>
      <w:pPr>
        <w:pStyle w:val="Heading6"/>
        <w:tabs>
          <w:tab w:pos="850" w:val="left" w:leader="none"/>
        </w:tabs>
        <w:spacing w:line="240" w:lineRule="auto" w:before="35"/>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货币资金</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769" w:type="dxa"/>
        <w:tblLayout w:type="fixed"/>
        <w:tblCellMar>
          <w:top w:w="0" w:type="dxa"/>
          <w:left w:w="0" w:type="dxa"/>
          <w:bottom w:w="0" w:type="dxa"/>
          <w:right w:w="0" w:type="dxa"/>
        </w:tblCellMar>
        <w:tblLook w:val="01E0"/>
      </w:tblPr>
      <w:tblGrid>
        <w:gridCol w:w="3286"/>
        <w:gridCol w:w="2206"/>
        <w:gridCol w:w="2285"/>
      </w:tblGrid>
      <w:tr>
        <w:trPr>
          <w:trHeight w:val="461" w:hRule="exact"/>
        </w:trPr>
        <w:tc>
          <w:tcPr>
            <w:tcW w:w="32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2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2,028,184.88</w:t>
            </w:r>
          </w:p>
        </w:tc>
        <w:tc>
          <w:tcPr>
            <w:tcW w:w="2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2,498,766.89</w:t>
            </w:r>
          </w:p>
        </w:tc>
      </w:tr>
      <w:tr>
        <w:trPr>
          <w:trHeight w:val="452" w:hRule="exact"/>
        </w:trPr>
        <w:tc>
          <w:tcPr>
            <w:tcW w:w="32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1,858,082,228.32</w:t>
            </w:r>
          </w:p>
        </w:tc>
        <w:tc>
          <w:tcPr>
            <w:tcW w:w="2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1,815,583,575.76</w:t>
            </w:r>
          </w:p>
        </w:tc>
      </w:tr>
      <w:tr>
        <w:trPr>
          <w:trHeight w:val="449" w:hRule="exact"/>
        </w:trPr>
        <w:tc>
          <w:tcPr>
            <w:tcW w:w="32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2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207,109.04</w:t>
            </w:r>
          </w:p>
        </w:tc>
        <w:tc>
          <w:tcPr>
            <w:tcW w:w="2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4,675,941.75</w:t>
            </w:r>
          </w:p>
        </w:tc>
      </w:tr>
      <w:tr>
        <w:trPr>
          <w:trHeight w:val="451" w:hRule="exact"/>
        </w:trPr>
        <w:tc>
          <w:tcPr>
            <w:tcW w:w="32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1,860,317,522.24</w:t>
            </w:r>
          </w:p>
        </w:tc>
        <w:tc>
          <w:tcPr>
            <w:tcW w:w="2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1,822,758,284.40</w:t>
            </w:r>
          </w:p>
        </w:tc>
      </w:tr>
      <w:tr>
        <w:trPr>
          <w:trHeight w:val="461" w:hRule="exact"/>
        </w:trPr>
        <w:tc>
          <w:tcPr>
            <w:tcW w:w="32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206" w:type="dxa"/>
            <w:tcBorders>
              <w:top w:val="dotted" w:sz="4" w:space="0" w:color="000000"/>
              <w:left w:val="dotted" w:sz="4" w:space="0" w:color="000000"/>
              <w:bottom w:val="single" w:sz="12" w:space="0" w:color="000000"/>
              <w:right w:val="dotted" w:sz="4" w:space="0" w:color="000000"/>
            </w:tcBorders>
          </w:tcPr>
          <w:p>
            <w:pPr/>
          </w:p>
        </w:tc>
        <w:tc>
          <w:tcPr>
            <w:tcW w:w="2285" w:type="dxa"/>
            <w:tcBorders>
              <w:top w:val="dotted" w:sz="4" w:space="0" w:color="000000"/>
              <w:left w:val="dotted" w:sz="4" w:space="0" w:color="000000"/>
              <w:bottom w:val="single" w:sz="12" w:space="0" w:color="000000"/>
              <w:right w:val="nil" w:sz="6" w:space="0" w:color="auto"/>
            </w:tcBorders>
          </w:tcPr>
          <w:p>
            <w:pPr/>
          </w:p>
        </w:tc>
      </w:tr>
    </w:tbl>
    <w:p>
      <w:pPr>
        <w:pStyle w:val="BodyText"/>
        <w:spacing w:line="331" w:lineRule="auto" w:before="93"/>
        <w:ind w:left="850" w:right="1675"/>
        <w:jc w:val="left"/>
      </w:pPr>
      <w:r>
        <w:rPr>
          <w:spacing w:val="-4"/>
        </w:rPr>
        <w:t>说明：截至</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日，本公司不存在质押、冻结，或有潜在收回风险的款</w:t>
      </w:r>
      <w:r>
        <w:rPr>
          <w:spacing w:val="-103"/>
        </w:rPr>
        <w:t> </w:t>
      </w:r>
      <w:r>
        <w:rPr>
          <w:spacing w:val="-103"/>
        </w:rPr>
      </w:r>
      <w:r>
        <w:rPr/>
        <w:t>项。</w:t>
      </w:r>
    </w:p>
    <w:p>
      <w:pPr>
        <w:spacing w:line="240" w:lineRule="auto" w:before="11"/>
        <w:rPr>
          <w:rFonts w:ascii="宋体" w:hAnsi="宋体" w:cs="宋体" w:eastAsia="宋体" w:hint="default"/>
          <w:sz w:val="28"/>
          <w:szCs w:val="28"/>
        </w:rPr>
      </w:pPr>
    </w:p>
    <w:p>
      <w:pPr>
        <w:pStyle w:val="Heading6"/>
        <w:tabs>
          <w:tab w:pos="850" w:val="left" w:leader="none"/>
        </w:tabs>
        <w:spacing w:line="240" w:lineRule="auto"/>
        <w:ind w:left="126"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应收票据及应收账款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941"/>
        <w:gridCol w:w="2357"/>
        <w:gridCol w:w="2480"/>
      </w:tblGrid>
      <w:tr>
        <w:trPr>
          <w:trHeight w:val="458" w:hRule="exact"/>
        </w:trPr>
        <w:tc>
          <w:tcPr>
            <w:tcW w:w="29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277"/>
              <w:jc w:val="right"/>
              <w:rPr>
                <w:rFonts w:ascii="宋体" w:hAnsi="宋体" w:cs="宋体" w:eastAsia="宋体" w:hint="default"/>
                <w:sz w:val="18"/>
                <w:szCs w:val="18"/>
              </w:rPr>
            </w:pPr>
            <w:r>
              <w:rPr>
                <w:rFonts w:ascii="宋体" w:hAnsi="宋体" w:cs="宋体" w:eastAsia="宋体" w:hint="default"/>
                <w:sz w:val="18"/>
                <w:szCs w:val="18"/>
              </w:rPr>
              <w:t>项目</w:t>
            </w:r>
          </w:p>
        </w:tc>
        <w:tc>
          <w:tcPr>
            <w:tcW w:w="23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2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57" w:type="dxa"/>
            <w:tcBorders>
              <w:top w:val="dotted" w:sz="4" w:space="0" w:color="000000"/>
              <w:left w:val="dotted" w:sz="4" w:space="0" w:color="000000"/>
              <w:bottom w:val="dotted" w:sz="4" w:space="0" w:color="000000"/>
              <w:right w:val="dotted" w:sz="4" w:space="0" w:color="000000"/>
            </w:tcBorders>
          </w:tcPr>
          <w:p>
            <w:pPr/>
          </w:p>
        </w:tc>
        <w:tc>
          <w:tcPr>
            <w:tcW w:w="248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59,377,586.96</w:t>
            </w:r>
          </w:p>
        </w:tc>
        <w:tc>
          <w:tcPr>
            <w:tcW w:w="24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57,983,342.15</w:t>
            </w:r>
          </w:p>
        </w:tc>
      </w:tr>
      <w:tr>
        <w:trPr>
          <w:trHeight w:val="461" w:hRule="exact"/>
        </w:trPr>
        <w:tc>
          <w:tcPr>
            <w:tcW w:w="29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1277"/>
              <w:jc w:val="right"/>
              <w:rPr>
                <w:rFonts w:ascii="宋体" w:hAnsi="宋体" w:cs="宋体" w:eastAsia="宋体" w:hint="default"/>
                <w:sz w:val="18"/>
                <w:szCs w:val="18"/>
              </w:rPr>
            </w:pPr>
            <w:r>
              <w:rPr>
                <w:rFonts w:ascii="宋体" w:hAnsi="宋体" w:cs="宋体" w:eastAsia="宋体" w:hint="default"/>
                <w:sz w:val="18"/>
                <w:szCs w:val="18"/>
              </w:rPr>
              <w:t>合计</w:t>
            </w:r>
          </w:p>
        </w:tc>
        <w:tc>
          <w:tcPr>
            <w:tcW w:w="23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59,377,586.96</w:t>
            </w:r>
          </w:p>
        </w:tc>
        <w:tc>
          <w:tcPr>
            <w:tcW w:w="24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57,983,342.15</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before="17"/>
        <w:ind w:left="0" w:right="419"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699.6pt;height:.5pt;mso-position-horizontal-relative:char;mso-position-vertical-relative:line" coordorigin="0,0" coordsize="13992,10">
            <v:group style="position:absolute;left:5;top:5;width:13983;height:2" coordorigin="5,5" coordsize="13983,2">
              <v:shape style="position:absolute;left:5;top:5;width:13983;height:2" coordorigin="5,5" coordsize="13983,0" path="m5,5l1398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1</w:t>
      </w:r>
      <w:r>
        <w:rPr/>
        <w:t>、</w:t>
        <w:tab/>
        <w:t>应收账款</w:t>
      </w:r>
      <w:r>
        <w:rPr>
          <w:b w:val="0"/>
          <w:bCs w:val="0"/>
        </w:rPr>
      </w:r>
    </w:p>
    <w:p>
      <w:pPr>
        <w:pStyle w:val="BodyText"/>
        <w:spacing w:line="240" w:lineRule="auto" w:before="99"/>
        <w:ind w:left="1417" w:right="230"/>
        <w:jc w:val="left"/>
      </w:pPr>
      <w:r>
        <w:rPr/>
        <w:t>（</w:t>
      </w:r>
      <w:r>
        <w:rPr>
          <w:rFonts w:ascii="Times New Roman" w:hAnsi="Times New Roman" w:cs="Times New Roman" w:eastAsia="Times New Roman" w:hint="default"/>
        </w:rPr>
        <w:t>1</w:t>
      </w:r>
      <w:r>
        <w:rPr/>
        <w:t>）应收账款分类披露</w:t>
      </w:r>
    </w:p>
    <w:tbl>
      <w:tblPr>
        <w:tblW w:w="0" w:type="auto"/>
        <w:jc w:val="left"/>
        <w:tblInd w:w="853" w:type="dxa"/>
        <w:tblLayout w:type="fixed"/>
        <w:tblCellMar>
          <w:top w:w="0" w:type="dxa"/>
          <w:left w:w="0" w:type="dxa"/>
          <w:bottom w:w="0" w:type="dxa"/>
          <w:right w:w="0" w:type="dxa"/>
        </w:tblCellMar>
        <w:tblLook w:val="01E0"/>
      </w:tblPr>
      <w:tblGrid>
        <w:gridCol w:w="2189"/>
        <w:gridCol w:w="1486"/>
        <w:gridCol w:w="710"/>
        <w:gridCol w:w="1224"/>
        <w:gridCol w:w="828"/>
        <w:gridCol w:w="1366"/>
        <w:gridCol w:w="1318"/>
        <w:gridCol w:w="804"/>
        <w:gridCol w:w="1224"/>
        <w:gridCol w:w="809"/>
        <w:gridCol w:w="1382"/>
      </w:tblGrid>
      <w:tr>
        <w:trPr>
          <w:trHeight w:val="502" w:hRule="exact"/>
        </w:trPr>
        <w:tc>
          <w:tcPr>
            <w:tcW w:w="218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5615"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553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490" w:hRule="exact"/>
        </w:trPr>
        <w:tc>
          <w:tcPr>
            <w:tcW w:w="2189" w:type="dxa"/>
            <w:vMerge/>
            <w:tcBorders>
              <w:left w:val="nil" w:sz="6" w:space="0" w:color="auto"/>
              <w:right w:val="dotted" w:sz="4" w:space="0" w:color="000000"/>
            </w:tcBorders>
          </w:tcPr>
          <w:p>
            <w:pPr/>
          </w:p>
        </w:tc>
        <w:tc>
          <w:tcPr>
            <w:tcW w:w="219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36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212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3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382"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891" w:hRule="exact"/>
        </w:trPr>
        <w:tc>
          <w:tcPr>
            <w:tcW w:w="2189" w:type="dxa"/>
            <w:vMerge/>
            <w:tcBorders>
              <w:left w:val="nil" w:sz="6" w:space="0" w:color="auto"/>
              <w:bottom w:val="dotted" w:sz="4" w:space="0" w:color="000000"/>
              <w:right w:val="dotted" w:sz="4" w:space="0" w:color="000000"/>
            </w:tcBorders>
          </w:tcPr>
          <w:p>
            <w:pP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28" w:type="dxa"/>
            <w:tcBorders>
              <w:top w:val="dotted" w:sz="4" w:space="0" w:color="000000"/>
              <w:left w:val="dotted" w:sz="4" w:space="0" w:color="000000"/>
              <w:bottom w:val="dotted" w:sz="4" w:space="0" w:color="000000"/>
              <w:right w:val="dotted" w:sz="4" w:space="0" w:color="000000"/>
            </w:tcBorders>
          </w:tcPr>
          <w:p>
            <w:pPr>
              <w:pStyle w:val="TableParagraph"/>
              <w:spacing w:line="410" w:lineRule="atLeast" w:before="6"/>
              <w:ind w:left="103" w:right="98" w:firstLine="64"/>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100"/>
                <w:sz w:val="16"/>
                <w:szCs w:val="16"/>
              </w:rPr>
              <w:t> </w:t>
            </w:r>
            <w:r>
              <w:rPr>
                <w:rFonts w:ascii="宋体" w:hAnsi="宋体" w:cs="宋体" w:eastAsia="宋体" w:hint="default"/>
                <w:sz w:val="16"/>
                <w:szCs w:val="16"/>
              </w:rPr>
              <w:t>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66" w:type="dxa"/>
            <w:vMerge/>
            <w:tcBorders>
              <w:left w:val="dotted" w:sz="4" w:space="0" w:color="000000"/>
              <w:bottom w:val="dotted" w:sz="4" w:space="0" w:color="000000"/>
              <w:right w:val="dotted" w:sz="4" w:space="0" w:color="000000"/>
            </w:tcBorders>
          </w:tcPr>
          <w:p>
            <w:pP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410" w:lineRule="atLeast" w:before="6"/>
              <w:ind w:left="100" w:right="83" w:firstLine="55"/>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100"/>
                <w:sz w:val="16"/>
                <w:szCs w:val="16"/>
              </w:rPr>
              <w:t> </w:t>
            </w:r>
            <w:r>
              <w:rPr>
                <w:rFonts w:ascii="宋体" w:hAnsi="宋体" w:cs="宋体" w:eastAsia="宋体" w:hint="default"/>
                <w:sz w:val="16"/>
                <w:szCs w:val="16"/>
              </w:rPr>
              <w:t>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82" w:type="dxa"/>
            <w:vMerge/>
            <w:tcBorders>
              <w:left w:val="dotted" w:sz="4" w:space="0" w:color="000000"/>
              <w:bottom w:val="dotted" w:sz="4" w:space="0" w:color="000000"/>
              <w:right w:val="nil" w:sz="6" w:space="0" w:color="auto"/>
            </w:tcBorders>
          </w:tcPr>
          <w:p>
            <w:pPr/>
          </w:p>
        </w:tc>
      </w:tr>
      <w:tr>
        <w:trPr>
          <w:trHeight w:val="888" w:hRule="exact"/>
        </w:trPr>
        <w:tc>
          <w:tcPr>
            <w:tcW w:w="2189"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37"/>
              <w:jc w:val="left"/>
              <w:rPr>
                <w:rFonts w:ascii="宋体" w:hAnsi="宋体" w:cs="宋体" w:eastAsia="宋体" w:hint="default"/>
                <w:sz w:val="16"/>
                <w:szCs w:val="16"/>
              </w:rPr>
            </w:pPr>
            <w:r>
              <w:rPr>
                <w:rFonts w:ascii="宋体" w:hAnsi="宋体" w:cs="宋体" w:eastAsia="宋体" w:hint="default"/>
                <w:spacing w:val="-1"/>
                <w:sz w:val="16"/>
                <w:szCs w:val="16"/>
              </w:rPr>
              <w:t>单项金额重大并单独计提坏</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账准备的应收账款</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40,424,762.01</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36.18</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40,424,762.01</w:t>
            </w:r>
          </w:p>
        </w:tc>
        <w:tc>
          <w:tcPr>
            <w:tcW w:w="8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366" w:type="dxa"/>
            <w:tcBorders>
              <w:top w:val="dotted" w:sz="4" w:space="0" w:color="000000"/>
              <w:left w:val="dotted" w:sz="4" w:space="0" w:color="000000"/>
              <w:bottom w:val="dotted" w:sz="4" w:space="0" w:color="000000"/>
              <w:right w:val="dotted" w:sz="4" w:space="0" w:color="000000"/>
            </w:tcBorders>
          </w:tcPr>
          <w:p>
            <w:pP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33,704,519.14</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38.79</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18,899,421.39</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56.07</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14,805,097.75</w:t>
            </w:r>
          </w:p>
        </w:tc>
      </w:tr>
      <w:tr>
        <w:trPr>
          <w:trHeight w:val="890" w:hRule="exact"/>
        </w:trPr>
        <w:tc>
          <w:tcPr>
            <w:tcW w:w="2189"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8"/>
              <w:ind w:left="122" w:right="137"/>
              <w:jc w:val="left"/>
              <w:rPr>
                <w:rFonts w:ascii="宋体" w:hAnsi="宋体" w:cs="宋体" w:eastAsia="宋体" w:hint="default"/>
                <w:sz w:val="16"/>
                <w:szCs w:val="16"/>
              </w:rPr>
            </w:pPr>
            <w:r>
              <w:rPr>
                <w:rFonts w:ascii="宋体" w:hAnsi="宋体" w:cs="宋体" w:eastAsia="宋体" w:hint="default"/>
                <w:spacing w:val="-1"/>
                <w:sz w:val="16"/>
                <w:szCs w:val="16"/>
              </w:rPr>
              <w:t>按信用风险特征组合计提坏</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账准备的应收账款</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70,979,597.08</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63.52</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11,602,010.12</w:t>
            </w:r>
          </w:p>
        </w:tc>
        <w:tc>
          <w:tcPr>
            <w:tcW w:w="8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16.35</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59,377,586.96</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52,846,764.45</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60.82</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9,668,520.05</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18.30</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43,178,244.40</w:t>
            </w:r>
          </w:p>
        </w:tc>
      </w:tr>
      <w:tr>
        <w:trPr>
          <w:trHeight w:val="891" w:hRule="exact"/>
        </w:trPr>
        <w:tc>
          <w:tcPr>
            <w:tcW w:w="2189"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37"/>
              <w:jc w:val="left"/>
              <w:rPr>
                <w:rFonts w:ascii="宋体" w:hAnsi="宋体" w:cs="宋体" w:eastAsia="宋体" w:hint="default"/>
                <w:sz w:val="16"/>
                <w:szCs w:val="16"/>
              </w:rPr>
            </w:pPr>
            <w:r>
              <w:rPr>
                <w:rFonts w:ascii="宋体" w:hAnsi="宋体" w:cs="宋体" w:eastAsia="宋体" w:hint="default"/>
                <w:spacing w:val="-1"/>
                <w:sz w:val="16"/>
                <w:szCs w:val="16"/>
              </w:rPr>
              <w:t>单项金额不重大但单独计提</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坏账准备的应收账款</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335,200.00</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0.30</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335,200.00</w:t>
            </w:r>
          </w:p>
        </w:tc>
        <w:tc>
          <w:tcPr>
            <w:tcW w:w="8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366" w:type="dxa"/>
            <w:tcBorders>
              <w:top w:val="dotted" w:sz="4" w:space="0" w:color="000000"/>
              <w:left w:val="dotted" w:sz="4" w:space="0" w:color="000000"/>
              <w:bottom w:val="dotted" w:sz="4" w:space="0" w:color="000000"/>
              <w:right w:val="dotted" w:sz="4" w:space="0" w:color="000000"/>
            </w:tcBorders>
          </w:tcPr>
          <w:p>
            <w:pP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335,200.00</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0.39</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335,200.00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382"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21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111,739,559.09</w:t>
            </w:r>
          </w:p>
        </w:tc>
        <w:tc>
          <w:tcPr>
            <w:tcW w:w="7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100.00</w:t>
            </w:r>
          </w:p>
        </w:tc>
        <w:tc>
          <w:tcPr>
            <w:tcW w:w="12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52,361,972.13</w:t>
            </w:r>
          </w:p>
        </w:tc>
        <w:tc>
          <w:tcPr>
            <w:tcW w:w="828" w:type="dxa"/>
            <w:tcBorders>
              <w:top w:val="dotted" w:sz="4" w:space="0" w:color="000000"/>
              <w:left w:val="dotted" w:sz="4" w:space="0" w:color="000000"/>
              <w:bottom w:val="single" w:sz="12" w:space="0" w:color="000000"/>
              <w:right w:val="dotted" w:sz="4" w:space="0" w:color="000000"/>
            </w:tcBorders>
          </w:tcPr>
          <w:p>
            <w:pP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59,377,586.96</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86,886,483.59</w:t>
            </w:r>
          </w:p>
        </w:tc>
        <w:tc>
          <w:tcPr>
            <w:tcW w:w="8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28,903,141.44</w:t>
            </w:r>
          </w:p>
        </w:tc>
        <w:tc>
          <w:tcPr>
            <w:tcW w:w="809" w:type="dxa"/>
            <w:tcBorders>
              <w:top w:val="dotted" w:sz="4" w:space="0" w:color="000000"/>
              <w:left w:val="dotted" w:sz="4" w:space="0" w:color="000000"/>
              <w:bottom w:val="single" w:sz="12" w:space="0" w:color="000000"/>
              <w:right w:val="dotted" w:sz="4" w:space="0" w:color="000000"/>
            </w:tcBorders>
          </w:tcPr>
          <w:p>
            <w:pPr/>
          </w:p>
        </w:tc>
        <w:tc>
          <w:tcPr>
            <w:tcW w:w="13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57,983,342.15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44"/>
        <w:ind w:left="6158" w:right="625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93"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91"/>
          <w:footerReference w:type="default" r:id="rId92"/>
          <w:pgSz w:w="16840" w:h="11910" w:orient="landscape"/>
          <w:pgMar w:header="0" w:footer="0" w:top="700" w:bottom="0" w:left="1300" w:right="12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675"/>
        <w:jc w:val="left"/>
      </w:pPr>
      <w:r>
        <w:rPr/>
        <w:t>期末单项金额重大并单独计提坏账准备的应收账款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801"/>
        <w:gridCol w:w="1457"/>
        <w:gridCol w:w="1361"/>
        <w:gridCol w:w="797"/>
        <w:gridCol w:w="1361"/>
      </w:tblGrid>
      <w:tr>
        <w:trPr>
          <w:trHeight w:val="461" w:hRule="exact"/>
        </w:trPr>
        <w:tc>
          <w:tcPr>
            <w:tcW w:w="280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4976"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2801" w:type="dxa"/>
            <w:vMerge/>
            <w:tcBorders>
              <w:left w:val="nil" w:sz="6" w:space="0" w:color="auto"/>
              <w:bottom w:val="dotted" w:sz="4" w:space="0" w:color="000000"/>
              <w:right w:val="dotted" w:sz="4" w:space="0" w:color="000000"/>
            </w:tcBorders>
          </w:tcPr>
          <w:p>
            <w:pP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358" w:lineRule="exact" w:before="59"/>
              <w:ind w:left="103" w:right="12" w:firstLine="19"/>
              <w:jc w:val="left"/>
              <w:rPr>
                <w:rFonts w:ascii="宋体" w:hAnsi="宋体" w:cs="宋体" w:eastAsia="宋体" w:hint="default"/>
                <w:sz w:val="18"/>
                <w:szCs w:val="18"/>
              </w:rPr>
            </w:pPr>
            <w:r>
              <w:rPr>
                <w:rFonts w:ascii="宋体" w:hAnsi="宋体" w:cs="宋体" w:eastAsia="宋体" w:hint="default"/>
                <w:sz w:val="18"/>
                <w:szCs w:val="18"/>
              </w:rPr>
              <w:t>计提比 </w:t>
            </w:r>
            <w:r>
              <w:rPr>
                <w:rFonts w:ascii="宋体" w:hAnsi="宋体" w:cs="宋体" w:eastAsia="宋体" w:hint="default"/>
                <w:spacing w:val="-6"/>
                <w:sz w:val="18"/>
                <w:szCs w:val="18"/>
              </w:rPr>
              <w:t>例（</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51" w:hRule="exact"/>
        </w:trPr>
        <w:tc>
          <w:tcPr>
            <w:tcW w:w="2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100.00</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68"/>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49" w:hRule="exact"/>
        </w:trPr>
        <w:tc>
          <w:tcPr>
            <w:tcW w:w="2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深圳市东方旋风娱乐有限公司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1,596,675.80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1,596,675.80</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100.00</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68"/>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12" w:hRule="exact"/>
        </w:trPr>
        <w:tc>
          <w:tcPr>
            <w:tcW w:w="280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52"/>
              <w:jc w:val="left"/>
              <w:rPr>
                <w:rFonts w:ascii="宋体" w:hAnsi="宋体" w:cs="宋体" w:eastAsia="宋体" w:hint="default"/>
                <w:sz w:val="18"/>
                <w:szCs w:val="18"/>
              </w:rPr>
            </w:pPr>
            <w:r>
              <w:rPr>
                <w:rFonts w:ascii="宋体" w:hAnsi="宋体" w:cs="宋体" w:eastAsia="宋体" w:hint="default"/>
                <w:sz w:val="18"/>
                <w:szCs w:val="18"/>
              </w:rPr>
              <w:t>深圳市绿膳谷农业创新发展有限 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36,330,438.37</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36,330,438.37</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87" w:right="0"/>
              <w:jc w:val="center"/>
              <w:rPr>
                <w:rFonts w:ascii="Times New Roman" w:hAnsi="Times New Roman" w:cs="Times New Roman" w:eastAsia="Times New Roman" w:hint="default"/>
                <w:sz w:val="18"/>
                <w:szCs w:val="18"/>
              </w:rPr>
            </w:pPr>
            <w:r>
              <w:rPr>
                <w:rFonts w:ascii="Times New Roman"/>
                <w:sz w:val="18"/>
              </w:rPr>
              <w:t>100.00</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1" w:hRule="exact"/>
        </w:trPr>
        <w:tc>
          <w:tcPr>
            <w:tcW w:w="28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40,424,762.01</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40,424,762.01</w:t>
            </w:r>
          </w:p>
        </w:tc>
        <w:tc>
          <w:tcPr>
            <w:tcW w:w="797" w:type="dxa"/>
            <w:tcBorders>
              <w:top w:val="dotted" w:sz="4" w:space="0" w:color="000000"/>
              <w:left w:val="dotted" w:sz="4" w:space="0" w:color="000000"/>
              <w:bottom w:val="single" w:sz="12" w:space="0" w:color="000000"/>
              <w:right w:val="dotted" w:sz="4" w:space="0" w:color="000000"/>
            </w:tcBorders>
          </w:tcPr>
          <w:p>
            <w:pPr/>
          </w:p>
        </w:tc>
        <w:tc>
          <w:tcPr>
            <w:tcW w:w="1361" w:type="dxa"/>
            <w:tcBorders>
              <w:top w:val="dotted" w:sz="4" w:space="0" w:color="000000"/>
              <w:left w:val="dotted" w:sz="4" w:space="0" w:color="000000"/>
              <w:bottom w:val="single" w:sz="12" w:space="0" w:color="000000"/>
              <w:right w:val="nil" w:sz="6" w:space="0" w:color="auto"/>
            </w:tcBorders>
          </w:tcPr>
          <w:p>
            <w:pPr/>
          </w:p>
        </w:tc>
      </w:tr>
    </w:tbl>
    <w:p>
      <w:pPr>
        <w:pStyle w:val="BodyText"/>
        <w:spacing w:line="328" w:lineRule="auto" w:before="93"/>
        <w:ind w:right="1681"/>
        <w:jc w:val="left"/>
      </w:pPr>
      <w:r>
        <w:rPr/>
        <w:pict>
          <v:shape style="position:absolute;margin-left:120.019997pt;margin-top:99.95369pt;width:392.5pt;height:205.0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3"/>
                    <w:gridCol w:w="1841"/>
                    <w:gridCol w:w="1702"/>
                    <w:gridCol w:w="1450"/>
                  </w:tblGrid>
                  <w:tr>
                    <w:trPr>
                      <w:trHeight w:val="461" w:hRule="exact"/>
                    </w:trPr>
                    <w:tc>
                      <w:tcPr>
                        <w:tcW w:w="281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99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2813" w:type="dxa"/>
                        <w:vMerge/>
                        <w:tcBorders>
                          <w:left w:val="nil" w:sz="6" w:space="0" w:color="auto"/>
                          <w:bottom w:val="dotted" w:sz="4" w:space="0" w:color="000000"/>
                          <w:right w:val="dotted" w:sz="4" w:space="0" w:color="000000"/>
                        </w:tcBorders>
                      </w:tcPr>
                      <w:p>
                        <w:pP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10"/>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51"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53,954,010.81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269,770.06</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49"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1,127,582.03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78,930.74</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7.00</w:t>
                        </w:r>
                      </w:p>
                    </w:tc>
                  </w:tr>
                  <w:tr>
                    <w:trPr>
                      <w:trHeight w:val="451"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273,510.20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27,351.02</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10.00</w:t>
                        </w:r>
                      </w:p>
                    </w:tc>
                  </w:tr>
                  <w:tr>
                    <w:trPr>
                      <w:trHeight w:val="449"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79,756.90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39,878.45</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50.00</w:t>
                        </w:r>
                      </w:p>
                    </w:tc>
                  </w:tr>
                  <w:tr>
                    <w:trPr>
                      <w:trHeight w:val="451"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7,418,819.30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5,935,055.44</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80.00</w:t>
                        </w:r>
                      </w:p>
                    </w:tc>
                  </w:tr>
                  <w:tr>
                    <w:trPr>
                      <w:trHeight w:val="449"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5,236,577.71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5,236,577.71</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28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68,090,256.95</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11,587,563.42</w:t>
                        </w:r>
                      </w:p>
                    </w:tc>
                    <w:tc>
                      <w:tcPr>
                        <w:tcW w:w="1450"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t>截止</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日，本公司之子公司深圳市海吉星国际食品产业发展有</w:t>
      </w:r>
      <w:r>
        <w:rPr>
          <w:w w:val="100"/>
        </w:rPr>
        <w:t> </w:t>
      </w:r>
      <w:r>
        <w:rPr>
          <w:spacing w:val="-5"/>
        </w:rPr>
        <w:t>限公司应收深圳市绿膳谷农业创新发展有限公司（以下简称</w:t>
      </w:r>
      <w:r>
        <w:rPr>
          <w:rFonts w:ascii="Times New Roman" w:hAnsi="Times New Roman" w:cs="Times New Roman" w:eastAsia="Times New Roman" w:hint="default"/>
          <w:spacing w:val="-5"/>
        </w:rPr>
        <w:t>”</w:t>
      </w:r>
      <w:r>
        <w:rPr>
          <w:spacing w:val="-5"/>
        </w:rPr>
        <w:t>绿膳谷公司</w:t>
      </w:r>
      <w:r>
        <w:rPr>
          <w:rFonts w:ascii="Times New Roman" w:hAnsi="Times New Roman" w:cs="Times New Roman" w:eastAsia="Times New Roman" w:hint="default"/>
          <w:spacing w:val="-5"/>
        </w:rPr>
        <w:t>”</w:t>
      </w:r>
      <w:r>
        <w:rPr>
          <w:spacing w:val="-5"/>
        </w:rPr>
        <w:t>）租</w:t>
      </w:r>
      <w:r>
        <w:rPr>
          <w:spacing w:val="-63"/>
        </w:rPr>
        <w:t> </w:t>
      </w:r>
      <w:r>
        <w:rPr/>
        <w:t>金</w:t>
      </w:r>
      <w:r>
        <w:rPr>
          <w:spacing w:val="-54"/>
        </w:rPr>
        <w:t> </w:t>
      </w:r>
      <w:r>
        <w:rPr>
          <w:rFonts w:ascii="Times New Roman" w:hAnsi="Times New Roman" w:cs="Times New Roman" w:eastAsia="Times New Roman" w:hint="default"/>
        </w:rPr>
        <w:t>3,633.04</w:t>
      </w:r>
      <w:r>
        <w:rPr>
          <w:rFonts w:ascii="Times New Roman" w:hAnsi="Times New Roman" w:cs="Times New Roman" w:eastAsia="Times New Roman" w:hint="default"/>
          <w:spacing w:val="-3"/>
        </w:rPr>
        <w:t> </w:t>
      </w:r>
      <w:r>
        <w:rPr/>
        <w:t>万元，因绿膳谷公司持续经营能力存在不确定性，预计无法收回，</w:t>
      </w:r>
      <w:r>
        <w:rPr>
          <w:w w:val="100"/>
        </w:rPr>
        <w:t> </w:t>
      </w:r>
      <w:r>
        <w:rPr/>
        <w:t>期末应收账款余额按</w:t>
      </w:r>
      <w:r>
        <w:rPr>
          <w:spacing w:val="-53"/>
        </w:rPr>
        <w:t> </w:t>
      </w:r>
      <w:r>
        <w:rPr>
          <w:rFonts w:ascii="Times New Roman" w:hAnsi="Times New Roman" w:cs="Times New Roman" w:eastAsia="Times New Roman" w:hint="default"/>
        </w:rPr>
        <w:t>100%</w:t>
      </w:r>
      <w:r>
        <w:rPr/>
        <w:t>的比例计提坏账准备。</w:t>
      </w:r>
      <w:r>
        <w:rPr>
          <w:w w:val="100"/>
        </w:rPr>
        <w:t> </w:t>
      </w:r>
      <w:r>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right="1675"/>
        <w:jc w:val="left"/>
      </w:pPr>
      <w:r>
        <w:rPr/>
        <w:t>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740" w:type="dxa"/>
        <w:tblLayout w:type="fixed"/>
        <w:tblCellMar>
          <w:top w:w="0" w:type="dxa"/>
          <w:left w:w="0" w:type="dxa"/>
          <w:bottom w:w="0" w:type="dxa"/>
          <w:right w:w="0" w:type="dxa"/>
        </w:tblCellMar>
        <w:tblLook w:val="01E0"/>
      </w:tblPr>
      <w:tblGrid>
        <w:gridCol w:w="2813"/>
        <w:gridCol w:w="1841"/>
        <w:gridCol w:w="1702"/>
        <w:gridCol w:w="1450"/>
      </w:tblGrid>
      <w:tr>
        <w:trPr>
          <w:trHeight w:val="458" w:hRule="exact"/>
        </w:trPr>
        <w:tc>
          <w:tcPr>
            <w:tcW w:w="281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99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1" w:hRule="exact"/>
        </w:trPr>
        <w:tc>
          <w:tcPr>
            <w:tcW w:w="2813" w:type="dxa"/>
            <w:vMerge/>
            <w:tcBorders>
              <w:left w:val="nil" w:sz="6" w:space="0" w:color="auto"/>
              <w:bottom w:val="dotted" w:sz="4" w:space="0" w:color="000000"/>
              <w:right w:val="dotted" w:sz="4" w:space="0" w:color="000000"/>
            </w:tcBorders>
          </w:tcPr>
          <w:p>
            <w:pP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110"/>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49"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2,889,340.13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14,446.70</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61" w:hRule="exact"/>
        </w:trPr>
        <w:tc>
          <w:tcPr>
            <w:tcW w:w="28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2,889,340.13</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14,446.70</w:t>
            </w:r>
          </w:p>
        </w:tc>
        <w:tc>
          <w:tcPr>
            <w:tcW w:w="145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1218" w:right="1675"/>
        <w:jc w:val="left"/>
      </w:pPr>
      <w:r>
        <w:rPr/>
        <w:t>期末单项金额虽不重大但单独计提坏账准备的应收账款</w:t>
      </w:r>
    </w:p>
    <w:p>
      <w:pPr>
        <w:spacing w:line="240" w:lineRule="auto" w:before="7"/>
        <w:rPr>
          <w:rFonts w:ascii="宋体" w:hAnsi="宋体" w:cs="宋体" w:eastAsia="宋体" w:hint="default"/>
          <w:sz w:val="2"/>
          <w:szCs w:val="2"/>
        </w:rPr>
      </w:pPr>
    </w:p>
    <w:tbl>
      <w:tblPr>
        <w:tblW w:w="0" w:type="auto"/>
        <w:jc w:val="left"/>
        <w:tblInd w:w="862" w:type="dxa"/>
        <w:tblLayout w:type="fixed"/>
        <w:tblCellMar>
          <w:top w:w="0" w:type="dxa"/>
          <w:left w:w="0" w:type="dxa"/>
          <w:bottom w:w="0" w:type="dxa"/>
          <w:right w:w="0" w:type="dxa"/>
        </w:tblCellMar>
        <w:tblLook w:val="01E0"/>
      </w:tblPr>
      <w:tblGrid>
        <w:gridCol w:w="2091"/>
        <w:gridCol w:w="5526"/>
      </w:tblGrid>
      <w:tr>
        <w:trPr>
          <w:trHeight w:val="470" w:hRule="exact"/>
        </w:trPr>
        <w:tc>
          <w:tcPr>
            <w:tcW w:w="2091"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35"/>
              <w:ind w:left="6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5526"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footerReference w:type="default" r:id="rId94"/>
          <w:pgSz w:w="11910" w:h="16840"/>
          <w:pgMar w:footer="996" w:header="0" w:top="1000" w:bottom="1180" w:left="1660" w:right="0"/>
          <w:pgNumType w:start="26"/>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834" w:type="dxa"/>
        <w:tblLayout w:type="fixed"/>
        <w:tblCellMar>
          <w:top w:w="0" w:type="dxa"/>
          <w:left w:w="0" w:type="dxa"/>
          <w:bottom w:w="0" w:type="dxa"/>
          <w:right w:w="0" w:type="dxa"/>
        </w:tblCellMar>
        <w:tblLook w:val="01E0"/>
      </w:tblPr>
      <w:tblGrid>
        <w:gridCol w:w="2105"/>
        <w:gridCol w:w="1159"/>
        <w:gridCol w:w="1421"/>
        <w:gridCol w:w="1162"/>
        <w:gridCol w:w="1784"/>
      </w:tblGrid>
      <w:tr>
        <w:trPr>
          <w:trHeight w:val="461" w:hRule="exact"/>
        </w:trPr>
        <w:tc>
          <w:tcPr>
            <w:tcW w:w="2105" w:type="dxa"/>
            <w:tcBorders>
              <w:top w:val="single" w:sz="12" w:space="0" w:color="000000"/>
              <w:left w:val="nil" w:sz="6" w:space="0" w:color="auto"/>
              <w:bottom w:val="dotted" w:sz="4" w:space="0" w:color="000000"/>
              <w:right w:val="dotted" w:sz="4" w:space="0" w:color="000000"/>
            </w:tcBorders>
          </w:tcPr>
          <w:p>
            <w:pPr/>
          </w:p>
        </w:tc>
        <w:tc>
          <w:tcPr>
            <w:tcW w:w="11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2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21"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计提比例（</w:t>
            </w:r>
            <w:r>
              <w:rPr>
                <w:rFonts w:ascii="Times New Roman" w:hAnsi="Times New Roman" w:cs="Times New Roman" w:eastAsia="Times New Roman" w:hint="default"/>
                <w:spacing w:val="-6"/>
                <w:sz w:val="18"/>
                <w:szCs w:val="18"/>
              </w:rPr>
              <w:t>%</w:t>
            </w:r>
          </w:p>
        </w:tc>
        <w:tc>
          <w:tcPr>
            <w:tcW w:w="1784" w:type="dxa"/>
            <w:tcBorders>
              <w:top w:val="single" w:sz="12" w:space="0" w:color="000000"/>
              <w:left w:val="dotted" w:sz="4" w:space="0" w:color="000000"/>
              <w:bottom w:val="dotted" w:sz="4" w:space="0" w:color="000000"/>
              <w:right w:val="nil" w:sz="6" w:space="0" w:color="auto"/>
            </w:tcBorders>
          </w:tcPr>
          <w:p>
            <w:pPr>
              <w:pStyle w:val="TableParagraph"/>
              <w:tabs>
                <w:tab w:pos="526" w:val="left" w:leader="none"/>
              </w:tabs>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w:t>
              <w:tab/>
              <w:t>计提理由</w:t>
            </w:r>
          </w:p>
        </w:tc>
      </w:tr>
      <w:tr>
        <w:trPr>
          <w:trHeight w:val="449" w:hRule="exact"/>
        </w:trPr>
        <w:tc>
          <w:tcPr>
            <w:tcW w:w="21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小马过河电子科技公司</w:t>
            </w: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335,200.00</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335,200.00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7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4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1" w:hRule="exact"/>
        </w:trPr>
        <w:tc>
          <w:tcPr>
            <w:tcW w:w="21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335,200.00</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335,200.00</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784"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3"/>
        <w:ind w:right="1675"/>
        <w:jc w:val="left"/>
      </w:pPr>
      <w:r>
        <w:rPr/>
        <w:t>（</w:t>
      </w:r>
      <w:r>
        <w:rPr>
          <w:rFonts w:ascii="Times New Roman" w:hAnsi="Times New Roman" w:cs="Times New Roman" w:eastAsia="Times New Roman" w:hint="default"/>
        </w:rPr>
        <w:t>2</w:t>
      </w:r>
      <w:r>
        <w:rPr/>
        <w:t>）本期计提、转回或收回的坏账准备情况</w:t>
      </w:r>
    </w:p>
    <w:p>
      <w:pPr>
        <w:pStyle w:val="BodyText"/>
        <w:spacing w:line="240" w:lineRule="auto" w:before="110"/>
        <w:ind w:right="1675"/>
        <w:jc w:val="left"/>
        <w:rPr>
          <w:rFonts w:ascii="Times New Roman" w:hAnsi="Times New Roman" w:cs="Times New Roman" w:eastAsia="Times New Roman" w:hint="default"/>
        </w:rPr>
      </w:pPr>
      <w:r>
        <w:rPr/>
        <w:t>本期计提坏账准备金额 </w:t>
      </w:r>
      <w:r>
        <w:rPr>
          <w:rFonts w:ascii="Times New Roman" w:hAnsi="Times New Roman" w:cs="Times New Roman" w:eastAsia="Times New Roman" w:hint="default"/>
        </w:rPr>
        <w:t>23,680,747.25  </w:t>
      </w:r>
      <w:r>
        <w:rPr/>
        <w:t>元，本期转回坏账准备金额</w:t>
      </w:r>
      <w:r>
        <w:rPr>
          <w:spacing w:val="-55"/>
        </w:rPr>
        <w:t> </w:t>
      </w:r>
      <w:r>
        <w:rPr>
          <w:rFonts w:ascii="Times New Roman" w:hAnsi="Times New Roman" w:cs="Times New Roman" w:eastAsia="Times New Roman" w:hint="default"/>
        </w:rPr>
        <w:t>221,916.56</w:t>
      </w:r>
    </w:p>
    <w:p>
      <w:pPr>
        <w:pStyle w:val="BodyText"/>
        <w:spacing w:line="240" w:lineRule="auto" w:before="110"/>
        <w:ind w:right="1675"/>
        <w:jc w:val="left"/>
      </w:pPr>
      <w:r>
        <w:rPr/>
        <w:t>元。</w:t>
      </w:r>
    </w:p>
    <w:p>
      <w:pPr>
        <w:pStyle w:val="BodyText"/>
        <w:spacing w:line="331" w:lineRule="auto" w:before="123"/>
        <w:ind w:right="3701"/>
        <w:jc w:val="left"/>
      </w:pPr>
      <w:r>
        <w:rPr>
          <w:spacing w:val="-2"/>
        </w:rPr>
        <w:t>（</w:t>
      </w:r>
      <w:r>
        <w:rPr>
          <w:rFonts w:ascii="Times New Roman" w:hAnsi="Times New Roman" w:cs="Times New Roman" w:eastAsia="Times New Roman" w:hint="default"/>
          <w:spacing w:val="-2"/>
        </w:rPr>
        <w:t>3</w:t>
      </w:r>
      <w:r>
        <w:rPr>
          <w:spacing w:val="-2"/>
        </w:rPr>
        <w:t>）本期实际核销的应收账款情况</w:t>
      </w:r>
      <w:r>
        <w:rPr>
          <w:spacing w:val="-76"/>
        </w:rPr>
        <w:t> </w:t>
      </w:r>
      <w:r>
        <w:rPr>
          <w:spacing w:val="-76"/>
        </w:rPr>
      </w:r>
      <w:r>
        <w:rPr/>
        <w:t>本期无实际核销的应收账款。</w:t>
      </w:r>
    </w:p>
    <w:p>
      <w:pPr>
        <w:pStyle w:val="BodyText"/>
        <w:spacing w:line="240" w:lineRule="auto" w:before="46"/>
        <w:ind w:right="1675"/>
        <w:jc w:val="left"/>
      </w:pPr>
      <w:r>
        <w:rPr/>
        <w:t>（</w:t>
      </w:r>
      <w:r>
        <w:rPr>
          <w:rFonts w:ascii="Times New Roman" w:hAnsi="Times New Roman" w:cs="Times New Roman" w:eastAsia="Times New Roman" w:hint="default"/>
        </w:rPr>
        <w:t>4</w:t>
      </w:r>
      <w:r>
        <w:rPr/>
        <w:t>）按欠款方归集的期末余额前五名的应收账款情况</w:t>
      </w:r>
    </w:p>
    <w:tbl>
      <w:tblPr>
        <w:tblW w:w="0" w:type="auto"/>
        <w:jc w:val="left"/>
        <w:tblInd w:w="769" w:type="dxa"/>
        <w:tblLayout w:type="fixed"/>
        <w:tblCellMar>
          <w:top w:w="0" w:type="dxa"/>
          <w:left w:w="0" w:type="dxa"/>
          <w:bottom w:w="0" w:type="dxa"/>
          <w:right w:w="0" w:type="dxa"/>
        </w:tblCellMar>
        <w:tblLook w:val="01E0"/>
      </w:tblPr>
      <w:tblGrid>
        <w:gridCol w:w="3353"/>
        <w:gridCol w:w="1587"/>
        <w:gridCol w:w="1418"/>
        <w:gridCol w:w="1419"/>
      </w:tblGrid>
      <w:tr>
        <w:trPr>
          <w:trHeight w:val="461" w:hRule="exact"/>
        </w:trPr>
        <w:tc>
          <w:tcPr>
            <w:tcW w:w="335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2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11" w:hRule="exact"/>
        </w:trPr>
        <w:tc>
          <w:tcPr>
            <w:tcW w:w="3353" w:type="dxa"/>
            <w:vMerge/>
            <w:tcBorders>
              <w:left w:val="nil" w:sz="6" w:space="0" w:color="auto"/>
              <w:bottom w:val="dotted" w:sz="4" w:space="0" w:color="000000"/>
              <w:right w:val="dotted" w:sz="4" w:space="0" w:color="000000"/>
            </w:tcBorders>
          </w:tcPr>
          <w:p>
            <w:pP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57"/>
              <w:ind w:left="120" w:right="118"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 计数的比例</w:t>
            </w:r>
            <w:r>
              <w:rPr>
                <w:rFonts w:ascii="Times New Roman" w:hAnsi="Times New Roman" w:cs="Times New Roman" w:eastAsia="Times New Roman" w:hint="default"/>
                <w:sz w:val="18"/>
                <w:szCs w:val="18"/>
              </w:rPr>
              <w:t>(%)</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3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深圳市绿膳谷农业创新发展有限公司</w:t>
            </w: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36,330,438.37</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32.51</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36,330,438.37</w:t>
            </w:r>
          </w:p>
        </w:tc>
      </w:tr>
      <w:tr>
        <w:trPr>
          <w:trHeight w:val="451" w:hRule="exact"/>
        </w:trPr>
        <w:tc>
          <w:tcPr>
            <w:tcW w:w="3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广州华泽包装设备有限公司</w:t>
            </w: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7,440,866.80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37,204.33</w:t>
            </w:r>
          </w:p>
        </w:tc>
      </w:tr>
      <w:tr>
        <w:trPr>
          <w:trHeight w:val="449" w:hRule="exact"/>
        </w:trPr>
        <w:tc>
          <w:tcPr>
            <w:tcW w:w="3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黄春城</w:t>
            </w: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6,720,965.78</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33,604.83</w:t>
            </w:r>
          </w:p>
        </w:tc>
      </w:tr>
      <w:tr>
        <w:trPr>
          <w:trHeight w:val="451" w:hRule="exact"/>
        </w:trPr>
        <w:tc>
          <w:tcPr>
            <w:tcW w:w="3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2,497,647.84</w:t>
            </w:r>
          </w:p>
        </w:tc>
      </w:tr>
      <w:tr>
        <w:trPr>
          <w:trHeight w:val="449" w:hRule="exact"/>
        </w:trPr>
        <w:tc>
          <w:tcPr>
            <w:tcW w:w="33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深圳市东方旋风娱乐有限公司</w:t>
            </w:r>
          </w:p>
        </w:tc>
        <w:tc>
          <w:tcPr>
            <w:tcW w:w="15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1,596,675.80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1,596,675.80</w:t>
            </w:r>
          </w:p>
        </w:tc>
      </w:tr>
      <w:tr>
        <w:trPr>
          <w:trHeight w:val="461" w:hRule="exact"/>
        </w:trPr>
        <w:tc>
          <w:tcPr>
            <w:tcW w:w="33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54,586,594.59</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48.85</w:t>
            </w:r>
          </w:p>
        </w:tc>
        <w:tc>
          <w:tcPr>
            <w:tcW w:w="14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40,495,571.17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1675"/>
        <w:jc w:val="left"/>
      </w:pPr>
      <w:r>
        <w:rPr/>
        <w:t>（</w:t>
      </w:r>
      <w:r>
        <w:rPr>
          <w:rFonts w:ascii="Times New Roman" w:hAnsi="Times New Roman" w:cs="Times New Roman" w:eastAsia="Times New Roman" w:hint="default"/>
        </w:rPr>
        <w:t>5</w:t>
      </w:r>
      <w:r>
        <w:rPr/>
        <w:t>）本期未发生因金融资产转移而终止确认的应收账款</w:t>
      </w:r>
    </w:p>
    <w:p>
      <w:pPr>
        <w:pStyle w:val="BodyText"/>
        <w:spacing w:line="240" w:lineRule="auto" w:before="110"/>
        <w:ind w:right="1675"/>
        <w:jc w:val="left"/>
      </w:pPr>
      <w:r>
        <w:rPr/>
        <w:t>（</w:t>
      </w:r>
      <w:r>
        <w:rPr>
          <w:rFonts w:ascii="Times New Roman" w:hAnsi="Times New Roman" w:cs="Times New Roman" w:eastAsia="Times New Roman" w:hint="default"/>
        </w:rPr>
        <w:t>6</w:t>
      </w:r>
      <w:r>
        <w:rPr/>
        <w:t>）本期末无因转移应收账款且继续涉入形成的资产、负债</w:t>
      </w:r>
    </w:p>
    <w:p>
      <w:pPr>
        <w:spacing w:line="240" w:lineRule="auto" w:before="0"/>
        <w:rPr>
          <w:rFonts w:ascii="宋体" w:hAnsi="宋体" w:cs="宋体" w:eastAsia="宋体" w:hint="default"/>
          <w:sz w:val="22"/>
          <w:szCs w:val="22"/>
        </w:rPr>
      </w:pPr>
    </w:p>
    <w:p>
      <w:pPr>
        <w:pStyle w:val="Heading6"/>
        <w:tabs>
          <w:tab w:pos="850" w:val="left" w:leader="none"/>
        </w:tabs>
        <w:spacing w:line="240" w:lineRule="auto" w:before="154"/>
        <w:ind w:left="126" w:right="167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预付款项</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预付款项按账龄列示</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1757"/>
        <w:gridCol w:w="1764"/>
        <w:gridCol w:w="1275"/>
        <w:gridCol w:w="1702"/>
        <w:gridCol w:w="1277"/>
      </w:tblGrid>
      <w:tr>
        <w:trPr>
          <w:trHeight w:val="461"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3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1757" w:type="dxa"/>
            <w:vMerge/>
            <w:tcBorders>
              <w:left w:val="nil" w:sz="6" w:space="0" w:color="auto"/>
              <w:bottom w:val="dotted" w:sz="4" w:space="0" w:color="000000"/>
              <w:right w:val="dotted" w:sz="4" w:space="0" w:color="000000"/>
            </w:tcBorders>
          </w:tcPr>
          <w:p>
            <w:pP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49"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43,166,589.27</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52,485,730.77</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76.54</w:t>
            </w:r>
          </w:p>
        </w:tc>
      </w:tr>
      <w:tr>
        <w:trPr>
          <w:trHeight w:val="45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3,310,629.99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474,923.91</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0.69</w:t>
            </w:r>
          </w:p>
        </w:tc>
      </w:tr>
      <w:tr>
        <w:trPr>
          <w:trHeight w:val="449"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106,800.00</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615,098.89</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0.90</w:t>
            </w:r>
          </w:p>
        </w:tc>
      </w:tr>
      <w:tr>
        <w:trPr>
          <w:trHeight w:val="45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15,015,098.89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21.87</w:t>
            </w:r>
          </w:p>
        </w:tc>
      </w:tr>
      <w:tr>
        <w:trPr>
          <w:trHeight w:val="461"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61,599,118.15</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68,575,753.57</w:t>
            </w: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10"/>
        <w:rPr>
          <w:rFonts w:ascii="Microsoft JhengHei" w:hAnsi="Microsoft JhengHei" w:cs="Microsoft JhengHei" w:eastAsia="Microsoft JhengHei" w:hint="default"/>
          <w:b/>
          <w:bCs/>
          <w:sz w:val="27"/>
          <w:szCs w:val="27"/>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账龄超过一年且金额重要的预付款项未及时结算原因的说明</w:t>
      </w:r>
      <w:r>
        <w:rPr>
          <w:b w:val="0"/>
          <w:bCs w:val="0"/>
        </w:rPr>
      </w:r>
    </w:p>
    <w:tbl>
      <w:tblPr>
        <w:tblW w:w="0" w:type="auto"/>
        <w:jc w:val="left"/>
        <w:tblInd w:w="834" w:type="dxa"/>
        <w:tblLayout w:type="fixed"/>
        <w:tblCellMar>
          <w:top w:w="0" w:type="dxa"/>
          <w:left w:w="0" w:type="dxa"/>
          <w:bottom w:w="0" w:type="dxa"/>
          <w:right w:w="0" w:type="dxa"/>
        </w:tblCellMar>
        <w:tblLook w:val="01E0"/>
      </w:tblPr>
      <w:tblGrid>
        <w:gridCol w:w="2660"/>
        <w:gridCol w:w="1520"/>
        <w:gridCol w:w="955"/>
        <w:gridCol w:w="2497"/>
      </w:tblGrid>
      <w:tr>
        <w:trPr>
          <w:trHeight w:val="461" w:hRule="exact"/>
        </w:trPr>
        <w:tc>
          <w:tcPr>
            <w:tcW w:w="26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4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449"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15,000,000.00</w:t>
            </w:r>
          </w:p>
        </w:tc>
        <w:tc>
          <w:tcPr>
            <w:tcW w:w="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代政府预先垫付的土地补偿款</w:t>
            </w:r>
          </w:p>
        </w:tc>
      </w:tr>
      <w:tr>
        <w:trPr>
          <w:trHeight w:val="461" w:hRule="exact"/>
        </w:trPr>
        <w:tc>
          <w:tcPr>
            <w:tcW w:w="26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15,000,000.00</w:t>
            </w:r>
          </w:p>
        </w:tc>
        <w:tc>
          <w:tcPr>
            <w:tcW w:w="955" w:type="dxa"/>
            <w:tcBorders>
              <w:top w:val="dotted" w:sz="4" w:space="0" w:color="000000"/>
              <w:left w:val="dotted" w:sz="4" w:space="0" w:color="000000"/>
              <w:bottom w:val="single" w:sz="12" w:space="0" w:color="000000"/>
              <w:right w:val="dotted" w:sz="4" w:space="0" w:color="000000"/>
            </w:tcBorders>
          </w:tcPr>
          <w:p>
            <w:pPr/>
          </w:p>
        </w:tc>
        <w:tc>
          <w:tcPr>
            <w:tcW w:w="249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按预付对象归集的期末余额前五名的预付款情况</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3521"/>
        <w:gridCol w:w="2127"/>
        <w:gridCol w:w="2127"/>
      </w:tblGrid>
      <w:tr>
        <w:trPr>
          <w:trHeight w:val="821" w:hRule="exact"/>
        </w:trPr>
        <w:tc>
          <w:tcPr>
            <w:tcW w:w="35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360" w:lineRule="exact" w:before="60"/>
              <w:ind w:left="470" w:right="164"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 计数的比例</w:t>
            </w:r>
            <w:r>
              <w:rPr>
                <w:rFonts w:ascii="Times New Roman" w:hAnsi="Times New Roman" w:cs="Times New Roman" w:eastAsia="Times New Roman" w:hint="default"/>
                <w:sz w:val="18"/>
                <w:szCs w:val="18"/>
              </w:rPr>
              <w:t>(%)</w:t>
            </w:r>
          </w:p>
        </w:tc>
      </w:tr>
      <w:tr>
        <w:trPr>
          <w:trHeight w:val="451"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深圳市深农国际物流发展有限公司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19,119,725.98</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31.04</w:t>
            </w:r>
          </w:p>
        </w:tc>
      </w:tr>
      <w:tr>
        <w:trPr>
          <w:trHeight w:val="449"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15,000,000.00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24.35</w:t>
            </w:r>
          </w:p>
        </w:tc>
      </w:tr>
      <w:tr>
        <w:trPr>
          <w:trHeight w:val="451"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东莞市六盛农产品有限公司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3,539,089.00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5.75</w:t>
            </w:r>
          </w:p>
        </w:tc>
      </w:tr>
      <w:tr>
        <w:trPr>
          <w:trHeight w:val="449"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2,700,000.00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4.38</w:t>
            </w:r>
          </w:p>
        </w:tc>
      </w:tr>
      <w:tr>
        <w:trPr>
          <w:trHeight w:val="451"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广州特美声电器有限公司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2,512,987.35</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4.08</w:t>
            </w:r>
          </w:p>
        </w:tc>
      </w:tr>
      <w:tr>
        <w:trPr>
          <w:trHeight w:val="461" w:hRule="exact"/>
        </w:trPr>
        <w:tc>
          <w:tcPr>
            <w:tcW w:w="3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42,871,802.33</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69.60</w:t>
            </w:r>
          </w:p>
        </w:tc>
      </w:tr>
    </w:tbl>
    <w:p>
      <w:pPr>
        <w:spacing w:line="240" w:lineRule="auto" w:before="9"/>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其他应收款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435"/>
        <w:gridCol w:w="2182"/>
        <w:gridCol w:w="2161"/>
      </w:tblGrid>
      <w:tr>
        <w:trPr>
          <w:trHeight w:val="461" w:hRule="exact"/>
        </w:trPr>
        <w:tc>
          <w:tcPr>
            <w:tcW w:w="34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524"/>
              <w:jc w:val="right"/>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7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7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4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317,191.17</w:t>
            </w:r>
          </w:p>
        </w:tc>
        <w:tc>
          <w:tcPr>
            <w:tcW w:w="21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419,377.23</w:t>
            </w:r>
          </w:p>
        </w:tc>
      </w:tr>
      <w:tr>
        <w:trPr>
          <w:trHeight w:val="451" w:hRule="exact"/>
        </w:trPr>
        <w:tc>
          <w:tcPr>
            <w:tcW w:w="34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20,172,856.01</w:t>
            </w:r>
          </w:p>
        </w:tc>
        <w:tc>
          <w:tcPr>
            <w:tcW w:w="2161"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4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824,245,229.37</w:t>
            </w:r>
          </w:p>
        </w:tc>
        <w:tc>
          <w:tcPr>
            <w:tcW w:w="21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760,698,104.70</w:t>
            </w:r>
          </w:p>
        </w:tc>
      </w:tr>
      <w:tr>
        <w:trPr>
          <w:trHeight w:val="461" w:hRule="exact"/>
        </w:trPr>
        <w:tc>
          <w:tcPr>
            <w:tcW w:w="34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8"/>
              <w:ind w:right="1524"/>
              <w:jc w:val="right"/>
              <w:rPr>
                <w:rFonts w:ascii="宋体" w:hAnsi="宋体" w:cs="宋体" w:eastAsia="宋体" w:hint="default"/>
                <w:sz w:val="18"/>
                <w:szCs w:val="18"/>
              </w:rPr>
            </w:pPr>
            <w:r>
              <w:rPr>
                <w:rFonts w:ascii="宋体" w:hAnsi="宋体" w:cs="宋体" w:eastAsia="宋体" w:hint="default"/>
                <w:sz w:val="18"/>
                <w:szCs w:val="18"/>
              </w:rPr>
              <w:t>合计</w:t>
            </w:r>
          </w:p>
        </w:tc>
        <w:tc>
          <w:tcPr>
            <w:tcW w:w="21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844,735,276.55</w:t>
            </w:r>
          </w:p>
        </w:tc>
        <w:tc>
          <w:tcPr>
            <w:tcW w:w="21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761,117,481.93</w:t>
            </w: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1</w:t>
      </w:r>
      <w:r>
        <w:rPr/>
        <w:t>、</w:t>
        <w:tab/>
        <w:t>应收利息</w:t>
      </w:r>
      <w:r>
        <w:rPr>
          <w:b w:val="0"/>
          <w:bCs w:val="0"/>
        </w:rPr>
      </w:r>
    </w:p>
    <w:p>
      <w:pPr>
        <w:pStyle w:val="BodyText"/>
        <w:spacing w:line="240" w:lineRule="auto" w:before="102"/>
        <w:ind w:right="1675"/>
        <w:jc w:val="left"/>
      </w:pPr>
      <w:r>
        <w:rPr/>
        <w:t>（</w:t>
      </w:r>
      <w:r>
        <w:rPr>
          <w:rFonts w:ascii="Times New Roman" w:hAnsi="Times New Roman" w:cs="Times New Roman" w:eastAsia="Times New Roman" w:hint="default"/>
        </w:rPr>
        <w:t>1</w:t>
      </w:r>
      <w:r>
        <w:rPr/>
        <w:t>）应收利息分类</w:t>
      </w:r>
    </w:p>
    <w:tbl>
      <w:tblPr>
        <w:tblW w:w="0" w:type="auto"/>
        <w:jc w:val="left"/>
        <w:tblInd w:w="769" w:type="dxa"/>
        <w:tblLayout w:type="fixed"/>
        <w:tblCellMar>
          <w:top w:w="0" w:type="dxa"/>
          <w:left w:w="0" w:type="dxa"/>
          <w:bottom w:w="0" w:type="dxa"/>
          <w:right w:w="0" w:type="dxa"/>
        </w:tblCellMar>
        <w:tblLook w:val="01E0"/>
      </w:tblPr>
      <w:tblGrid>
        <w:gridCol w:w="2549"/>
        <w:gridCol w:w="2542"/>
        <w:gridCol w:w="2686"/>
      </w:tblGrid>
      <w:tr>
        <w:trPr>
          <w:trHeight w:val="461" w:hRule="exact"/>
        </w:trPr>
        <w:tc>
          <w:tcPr>
            <w:tcW w:w="25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082"/>
              <w:jc w:val="right"/>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小额贷款利息</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317,191.17</w:t>
            </w:r>
          </w:p>
        </w:tc>
        <w:tc>
          <w:tcPr>
            <w:tcW w:w="26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419,377.23</w:t>
            </w:r>
          </w:p>
        </w:tc>
      </w:tr>
      <w:tr>
        <w:trPr>
          <w:trHeight w:val="461" w:hRule="exact"/>
        </w:trPr>
        <w:tc>
          <w:tcPr>
            <w:tcW w:w="25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082"/>
              <w:jc w:val="right"/>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317,191.17</w:t>
            </w:r>
          </w:p>
        </w:tc>
        <w:tc>
          <w:tcPr>
            <w:tcW w:w="26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419,377.23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应收股利</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773"/>
        <w:gridCol w:w="1692"/>
        <w:gridCol w:w="2312"/>
      </w:tblGrid>
      <w:tr>
        <w:trPr>
          <w:trHeight w:val="461" w:hRule="exact"/>
        </w:trPr>
        <w:tc>
          <w:tcPr>
            <w:tcW w:w="37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993"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6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1" w:hRule="exact"/>
        </w:trPr>
        <w:tc>
          <w:tcPr>
            <w:tcW w:w="37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北京大红门京深海鲜批发市场有限公司</w:t>
            </w:r>
          </w:p>
        </w:tc>
        <w:tc>
          <w:tcPr>
            <w:tcW w:w="16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20,172,856.01</w:t>
            </w:r>
          </w:p>
        </w:tc>
        <w:tc>
          <w:tcPr>
            <w:tcW w:w="23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3773"/>
        <w:gridCol w:w="1692"/>
        <w:gridCol w:w="2312"/>
      </w:tblGrid>
      <w:tr>
        <w:trPr>
          <w:trHeight w:val="461" w:hRule="exact"/>
        </w:trPr>
        <w:tc>
          <w:tcPr>
            <w:tcW w:w="37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8" w:right="0"/>
              <w:jc w:val="center"/>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6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4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1" w:hRule="exact"/>
        </w:trPr>
        <w:tc>
          <w:tcPr>
            <w:tcW w:w="37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20,172,856.01</w:t>
            </w:r>
          </w:p>
        </w:tc>
        <w:tc>
          <w:tcPr>
            <w:tcW w:w="231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000" w:bottom="1180" w:left="1660" w:right="0"/>
        </w:sectPr>
      </w:pPr>
    </w:p>
    <w:p>
      <w:pPr>
        <w:spacing w:before="17"/>
        <w:ind w:left="0" w:right="419"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699.6pt;height:.5pt;mso-position-horizontal-relative:char;mso-position-vertical-relative:line" coordorigin="0,0" coordsize="13992,10">
            <v:group style="position:absolute;left:5;top:5;width:13983;height:2" coordorigin="5,5" coordsize="13983,2">
              <v:shape style="position:absolute;left:5;top:5;width:13983;height:2" coordorigin="5,5" coordsize="13983,0" path="m5,5l1398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3</w:t>
      </w:r>
      <w:r>
        <w:rPr/>
        <w:t>、</w:t>
        <w:tab/>
        <w:t>其他应收款</w:t>
      </w:r>
      <w:r>
        <w:rPr>
          <w:b w:val="0"/>
          <w:bCs w:val="0"/>
        </w:rPr>
      </w:r>
    </w:p>
    <w:p>
      <w:pPr>
        <w:pStyle w:val="BodyText"/>
        <w:spacing w:line="240" w:lineRule="auto" w:before="99"/>
        <w:ind w:left="1417" w:right="230"/>
        <w:jc w:val="left"/>
      </w:pPr>
      <w:r>
        <w:rPr/>
        <w:t>（</w:t>
      </w:r>
      <w:r>
        <w:rPr>
          <w:rFonts w:ascii="Times New Roman" w:hAnsi="Times New Roman" w:cs="Times New Roman" w:eastAsia="Times New Roman" w:hint="default"/>
        </w:rPr>
        <w:t>1</w:t>
      </w:r>
      <w:r>
        <w:rPr/>
        <w:t>）其他应收款分类披露：</w:t>
      </w:r>
    </w:p>
    <w:tbl>
      <w:tblPr>
        <w:tblW w:w="0" w:type="auto"/>
        <w:jc w:val="left"/>
        <w:tblInd w:w="718" w:type="dxa"/>
        <w:tblLayout w:type="fixed"/>
        <w:tblCellMar>
          <w:top w:w="0" w:type="dxa"/>
          <w:left w:w="0" w:type="dxa"/>
          <w:bottom w:w="0" w:type="dxa"/>
          <w:right w:w="0" w:type="dxa"/>
        </w:tblCellMar>
        <w:tblLook w:val="01E0"/>
      </w:tblPr>
      <w:tblGrid>
        <w:gridCol w:w="1966"/>
        <w:gridCol w:w="1477"/>
        <w:gridCol w:w="727"/>
        <w:gridCol w:w="1342"/>
        <w:gridCol w:w="830"/>
        <w:gridCol w:w="1406"/>
        <w:gridCol w:w="1477"/>
        <w:gridCol w:w="727"/>
        <w:gridCol w:w="1339"/>
        <w:gridCol w:w="826"/>
        <w:gridCol w:w="1351"/>
      </w:tblGrid>
      <w:tr>
        <w:trPr>
          <w:trHeight w:val="502" w:hRule="exact"/>
        </w:trPr>
        <w:tc>
          <w:tcPr>
            <w:tcW w:w="19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83"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720"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1966" w:type="dxa"/>
            <w:vMerge/>
            <w:tcBorders>
              <w:left w:val="nil" w:sz="6" w:space="0" w:color="auto"/>
              <w:right w:val="dotted" w:sz="4" w:space="0" w:color="000000"/>
            </w:tcBorders>
          </w:tcPr>
          <w:p>
            <w:pPr/>
          </w:p>
        </w:tc>
        <w:tc>
          <w:tcPr>
            <w:tcW w:w="220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0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6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1"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91" w:hRule="exact"/>
        </w:trPr>
        <w:tc>
          <w:tcPr>
            <w:tcW w:w="1966" w:type="dxa"/>
            <w:vMerge/>
            <w:tcBorders>
              <w:left w:val="nil" w:sz="6" w:space="0" w:color="auto"/>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410" w:lineRule="atLeast" w:before="2"/>
              <w:ind w:left="103" w:right="26" w:firstLine="38"/>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6" w:type="dxa"/>
            <w:vMerge/>
            <w:tcBorders>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410" w:lineRule="atLeast" w:before="2"/>
              <w:ind w:left="103" w:right="23" w:firstLine="33"/>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1" w:type="dxa"/>
            <w:vMerge/>
            <w:tcBorders>
              <w:left w:val="dotted" w:sz="4" w:space="0" w:color="000000"/>
              <w:bottom w:val="dotted" w:sz="4" w:space="0" w:color="000000"/>
              <w:right w:val="nil" w:sz="6" w:space="0" w:color="auto"/>
            </w:tcBorders>
          </w:tcPr>
          <w:p>
            <w:pPr/>
          </w:p>
        </w:tc>
      </w:tr>
      <w:tr>
        <w:trPr>
          <w:trHeight w:val="1289"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20" w:right="218"/>
              <w:jc w:val="left"/>
              <w:rPr>
                <w:rFonts w:ascii="宋体" w:hAnsi="宋体" w:cs="宋体" w:eastAsia="宋体" w:hint="default"/>
                <w:sz w:val="18"/>
                <w:szCs w:val="18"/>
              </w:rPr>
            </w:pPr>
            <w:r>
              <w:rPr>
                <w:rFonts w:ascii="宋体" w:hAnsi="宋体" w:cs="宋体" w:eastAsia="宋体" w:hint="default"/>
                <w:sz w:val="18"/>
                <w:szCs w:val="18"/>
              </w:rPr>
              <w:t>单项金额重大并单独 计提坏账准备的其他</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232,734,905.42</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6" w:right="0"/>
              <w:jc w:val="center"/>
              <w:rPr>
                <w:rFonts w:ascii="Times New Roman" w:hAnsi="Times New Roman" w:cs="Times New Roman" w:eastAsia="Times New Roman" w:hint="default"/>
                <w:sz w:val="18"/>
                <w:szCs w:val="18"/>
              </w:rPr>
            </w:pPr>
            <w:r>
              <w:rPr>
                <w:rFonts w:ascii="Times New Roman"/>
                <w:sz w:val="18"/>
              </w:rPr>
              <w:t>21.46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232,734,905.42</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0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223,149,437.92</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22.21</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pacing w:val="-1"/>
                <w:sz w:val="18"/>
              </w:rPr>
              <w:t>218,149,437.92</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97.76</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8"/>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292"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p>
            <w:pPr>
              <w:pStyle w:val="TableParagraph"/>
              <w:spacing w:line="400" w:lineRule="atLeast" w:before="1"/>
              <w:ind w:left="120" w:right="218"/>
              <w:jc w:val="left"/>
              <w:rPr>
                <w:rFonts w:ascii="宋体" w:hAnsi="宋体" w:cs="宋体" w:eastAsia="宋体" w:hint="default"/>
                <w:sz w:val="18"/>
                <w:szCs w:val="18"/>
              </w:rPr>
            </w:pPr>
            <w:r>
              <w:rPr>
                <w:rFonts w:ascii="宋体" w:hAnsi="宋体" w:cs="宋体" w:eastAsia="宋体" w:hint="default"/>
                <w:sz w:val="18"/>
                <w:szCs w:val="18"/>
              </w:rPr>
              <w:t>计提坏账准备的其他 应收款</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851,733,687.59</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6" w:right="0"/>
              <w:jc w:val="center"/>
              <w:rPr>
                <w:rFonts w:ascii="Times New Roman" w:hAnsi="Times New Roman" w:cs="Times New Roman" w:eastAsia="Times New Roman" w:hint="default"/>
                <w:sz w:val="18"/>
                <w:szCs w:val="18"/>
              </w:rPr>
            </w:pPr>
            <w:r>
              <w:rPr>
                <w:rFonts w:ascii="Times New Roman"/>
                <w:sz w:val="18"/>
              </w:rPr>
              <w:t>78.54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0" w:right="0"/>
              <w:jc w:val="center"/>
              <w:rPr>
                <w:rFonts w:ascii="Times New Roman" w:hAnsi="Times New Roman" w:cs="Times New Roman" w:eastAsia="Times New Roman" w:hint="default"/>
                <w:sz w:val="18"/>
                <w:szCs w:val="18"/>
              </w:rPr>
            </w:pPr>
            <w:r>
              <w:rPr>
                <w:rFonts w:ascii="Times New Roman"/>
                <w:sz w:val="18"/>
              </w:rPr>
              <w:t>27,488,458.22</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3.23</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824,245,229.37</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781,744,925.46</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77.79</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26,046,820.76</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3.33</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8"/>
              <w:jc w:val="right"/>
              <w:rPr>
                <w:rFonts w:ascii="Times New Roman" w:hAnsi="Times New Roman" w:cs="Times New Roman" w:eastAsia="Times New Roman" w:hint="default"/>
                <w:sz w:val="18"/>
                <w:szCs w:val="18"/>
              </w:rPr>
            </w:pPr>
            <w:r>
              <w:rPr>
                <w:rFonts w:ascii="Times New Roman"/>
                <w:spacing w:val="-1"/>
                <w:sz w:val="18"/>
              </w:rPr>
              <w:t>755,698,104.70</w:t>
            </w:r>
          </w:p>
        </w:tc>
      </w:tr>
      <w:tr>
        <w:trPr>
          <w:trHeight w:val="1289"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20" w:right="218"/>
              <w:jc w:val="left"/>
              <w:rPr>
                <w:rFonts w:ascii="宋体" w:hAnsi="宋体" w:cs="宋体" w:eastAsia="宋体" w:hint="default"/>
                <w:sz w:val="18"/>
                <w:szCs w:val="18"/>
              </w:rPr>
            </w:pPr>
            <w:r>
              <w:rPr>
                <w:rFonts w:ascii="宋体" w:hAnsi="宋体" w:cs="宋体" w:eastAsia="宋体" w:hint="default"/>
                <w:sz w:val="18"/>
                <w:szCs w:val="18"/>
              </w:rPr>
              <w:t>单项金额不重大但单 独计提坏账准备的其</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477" w:type="dxa"/>
            <w:tcBorders>
              <w:top w:val="dotted" w:sz="4" w:space="0" w:color="000000"/>
              <w:left w:val="dotted" w:sz="4" w:space="0" w:color="000000"/>
              <w:bottom w:val="dotted" w:sz="4" w:space="0" w:color="000000"/>
              <w:right w:val="dotted" w:sz="4" w:space="0" w:color="000000"/>
            </w:tcBorders>
          </w:tcPr>
          <w:p>
            <w:pPr/>
          </w:p>
        </w:tc>
        <w:tc>
          <w:tcPr>
            <w:tcW w:w="72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830" w:type="dxa"/>
            <w:tcBorders>
              <w:top w:val="dotted" w:sz="4" w:space="0" w:color="000000"/>
              <w:left w:val="dotted" w:sz="4" w:space="0" w:color="000000"/>
              <w:bottom w:val="dotted" w:sz="4" w:space="0" w:color="000000"/>
              <w:right w:val="dotted" w:sz="4" w:space="0" w:color="000000"/>
            </w:tcBorders>
          </w:tcPr>
          <w:p>
            <w:pPr/>
          </w:p>
        </w:tc>
        <w:tc>
          <w:tcPr>
            <w:tcW w:w="140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727"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826"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19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1,084,468,593.01</w:t>
            </w:r>
          </w:p>
        </w:tc>
        <w:tc>
          <w:tcPr>
            <w:tcW w:w="7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100.00</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260,223,363.64</w:t>
            </w:r>
          </w:p>
        </w:tc>
        <w:tc>
          <w:tcPr>
            <w:tcW w:w="830" w:type="dxa"/>
            <w:tcBorders>
              <w:top w:val="dotted" w:sz="4" w:space="0" w:color="000000"/>
              <w:left w:val="dotted" w:sz="4" w:space="0" w:color="000000"/>
              <w:bottom w:val="single" w:sz="12" w:space="0" w:color="000000"/>
              <w:right w:val="dotted" w:sz="4" w:space="0" w:color="000000"/>
            </w:tcBorders>
          </w:tcPr>
          <w:p>
            <w:pPr/>
          </w:p>
        </w:tc>
        <w:tc>
          <w:tcPr>
            <w:tcW w:w="14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824,245,229.37</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1,004,894,363.38</w:t>
            </w:r>
          </w:p>
        </w:tc>
        <w:tc>
          <w:tcPr>
            <w:tcW w:w="7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244,196,258.68</w:t>
            </w:r>
          </w:p>
        </w:tc>
        <w:tc>
          <w:tcPr>
            <w:tcW w:w="826" w:type="dxa"/>
            <w:tcBorders>
              <w:top w:val="dotted" w:sz="4" w:space="0" w:color="000000"/>
              <w:left w:val="dotted" w:sz="4" w:space="0" w:color="000000"/>
              <w:bottom w:val="single" w:sz="12" w:space="0" w:color="000000"/>
              <w:right w:val="dotted" w:sz="4" w:space="0" w:color="000000"/>
            </w:tcBorders>
          </w:tcPr>
          <w:p>
            <w:pPr/>
          </w:p>
        </w:tc>
        <w:tc>
          <w:tcPr>
            <w:tcW w:w="13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760,698,104.70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6158" w:right="625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93"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95"/>
          <w:footerReference w:type="default" r:id="rId96"/>
          <w:pgSz w:w="16840" w:h="11910" w:orient="landscape"/>
          <w:pgMar w:header="0" w:footer="0" w:top="700" w:bottom="0" w:left="1300" w:right="12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675"/>
        <w:jc w:val="left"/>
      </w:pPr>
      <w:r>
        <w:rPr/>
        <w:t>期末单项金额重大并单独计提坏账准备的其他应收款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674"/>
        <w:gridCol w:w="1407"/>
        <w:gridCol w:w="1531"/>
        <w:gridCol w:w="836"/>
        <w:gridCol w:w="1330"/>
      </w:tblGrid>
      <w:tr>
        <w:trPr>
          <w:trHeight w:val="461" w:hRule="exact"/>
        </w:trPr>
        <w:tc>
          <w:tcPr>
            <w:tcW w:w="267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10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2674" w:type="dxa"/>
            <w:vMerge/>
            <w:tcBorders>
              <w:left w:val="nil" w:sz="6" w:space="0" w:color="auto"/>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358" w:lineRule="exact" w:before="59"/>
              <w:ind w:left="103" w:right="32" w:firstLine="38"/>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811"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06"/>
              <w:jc w:val="left"/>
              <w:rPr>
                <w:rFonts w:ascii="宋体" w:hAnsi="宋体" w:cs="宋体" w:eastAsia="宋体" w:hint="default"/>
                <w:sz w:val="18"/>
                <w:szCs w:val="18"/>
              </w:rPr>
            </w:pPr>
            <w:r>
              <w:rPr>
                <w:rFonts w:ascii="宋体" w:hAnsi="宋体" w:cs="宋体" w:eastAsia="宋体" w:hint="default"/>
                <w:sz w:val="18"/>
                <w:szCs w:val="18"/>
              </w:rPr>
              <w:t>深圳市民润农产品配送连锁商 业有限公司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09"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206"/>
              <w:jc w:val="left"/>
              <w:rPr>
                <w:rFonts w:ascii="宋体" w:hAnsi="宋体" w:cs="宋体" w:eastAsia="宋体" w:hint="default"/>
                <w:sz w:val="18"/>
                <w:szCs w:val="18"/>
              </w:rPr>
            </w:pPr>
            <w:r>
              <w:rPr>
                <w:rFonts w:ascii="宋体" w:hAnsi="宋体" w:cs="宋体" w:eastAsia="宋体" w:hint="default"/>
                <w:sz w:val="18"/>
                <w:szCs w:val="18"/>
              </w:rPr>
              <w:t>四川汇森机电工程有限责任公 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14,675,304.34</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14,675,304.34</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51"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49"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5,460,553.08</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5,460,553.08</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51"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4,713,813.76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4,713,813.76</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09"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206"/>
              <w:jc w:val="left"/>
              <w:rPr>
                <w:rFonts w:ascii="宋体" w:hAnsi="宋体" w:cs="宋体" w:eastAsia="宋体" w:hint="default"/>
                <w:sz w:val="18"/>
                <w:szCs w:val="18"/>
              </w:rPr>
            </w:pPr>
            <w:r>
              <w:rPr>
                <w:rFonts w:ascii="宋体" w:hAnsi="宋体" w:cs="宋体" w:eastAsia="宋体" w:hint="default"/>
                <w:sz w:val="18"/>
                <w:szCs w:val="18"/>
              </w:rPr>
              <w:t>深圳市绿膳谷农业创新发展有 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3,849,088.25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3,849,088.25</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51"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深圳市龙江生猪批发市场</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49"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1,167,045.48</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1,167,045.48</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11"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06"/>
              <w:jc w:val="left"/>
              <w:rPr>
                <w:rFonts w:ascii="宋体" w:hAnsi="宋体" w:cs="宋体" w:eastAsia="宋体" w:hint="default"/>
                <w:sz w:val="18"/>
                <w:szCs w:val="18"/>
              </w:rPr>
            </w:pPr>
            <w:r>
              <w:rPr>
                <w:rFonts w:ascii="宋体" w:hAnsi="宋体" w:cs="宋体" w:eastAsia="宋体" w:hint="default"/>
                <w:sz w:val="18"/>
                <w:szCs w:val="18"/>
              </w:rPr>
              <w:t>深圳市农产品肉类配送有限公 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621,000.00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1" w:hRule="exact"/>
        </w:trPr>
        <w:tc>
          <w:tcPr>
            <w:tcW w:w="26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232,734,905.42</w:t>
            </w:r>
          </w:p>
        </w:tc>
        <w:tc>
          <w:tcPr>
            <w:tcW w:w="15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232,734,905.42</w:t>
            </w:r>
          </w:p>
        </w:tc>
        <w:tc>
          <w:tcPr>
            <w:tcW w:w="836" w:type="dxa"/>
            <w:tcBorders>
              <w:top w:val="dotted" w:sz="4" w:space="0" w:color="000000"/>
              <w:left w:val="dotted" w:sz="4" w:space="0" w:color="000000"/>
              <w:bottom w:val="single" w:sz="12" w:space="0" w:color="000000"/>
              <w:right w:val="dotted" w:sz="4" w:space="0" w:color="000000"/>
            </w:tcBorders>
          </w:tcPr>
          <w:p>
            <w:pPr/>
          </w:p>
        </w:tc>
        <w:tc>
          <w:tcPr>
            <w:tcW w:w="133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1675"/>
        <w:jc w:val="left"/>
      </w:pPr>
      <w:r>
        <w:rPr/>
        <w:t>组合中，按账龄分析法计提坏账准备的其他应收款：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079"/>
        <w:gridCol w:w="1836"/>
        <w:gridCol w:w="1891"/>
        <w:gridCol w:w="1971"/>
      </w:tblGrid>
      <w:tr>
        <w:trPr>
          <w:trHeight w:val="461" w:hRule="exact"/>
        </w:trPr>
        <w:tc>
          <w:tcPr>
            <w:tcW w:w="207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69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2079" w:type="dxa"/>
            <w:vMerge/>
            <w:tcBorders>
              <w:left w:val="nil" w:sz="6" w:space="0" w:color="auto"/>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36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1" w:hRule="exact"/>
        </w:trPr>
        <w:tc>
          <w:tcPr>
            <w:tcW w:w="2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35,783,477.41</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178,917.39</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49" w:hRule="exact"/>
        </w:trPr>
        <w:tc>
          <w:tcPr>
            <w:tcW w:w="2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5,658,863.76</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396,120.46</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7.00</w:t>
            </w:r>
          </w:p>
        </w:tc>
      </w:tr>
      <w:tr>
        <w:trPr>
          <w:trHeight w:val="451" w:hRule="exact"/>
        </w:trPr>
        <w:tc>
          <w:tcPr>
            <w:tcW w:w="2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1,200,821.49</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120,082.16</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10.00</w:t>
            </w:r>
          </w:p>
        </w:tc>
      </w:tr>
      <w:tr>
        <w:trPr>
          <w:trHeight w:val="449" w:hRule="exact"/>
        </w:trPr>
        <w:tc>
          <w:tcPr>
            <w:tcW w:w="2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1,304,069.26</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652,034.63</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50.00</w:t>
            </w:r>
          </w:p>
        </w:tc>
      </w:tr>
      <w:tr>
        <w:trPr>
          <w:trHeight w:val="451" w:hRule="exact"/>
        </w:trPr>
        <w:tc>
          <w:tcPr>
            <w:tcW w:w="2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2,940,827.63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2,352,642.11</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80.00</w:t>
            </w:r>
          </w:p>
        </w:tc>
      </w:tr>
      <w:tr>
        <w:trPr>
          <w:trHeight w:val="449" w:hRule="exact"/>
        </w:trPr>
        <w:tc>
          <w:tcPr>
            <w:tcW w:w="20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19,863,752.09</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19,863,752.09</w:t>
            </w:r>
          </w:p>
        </w:tc>
        <w:tc>
          <w:tcPr>
            <w:tcW w:w="19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20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66,751,811.64</w:t>
            </w:r>
          </w:p>
        </w:tc>
        <w:tc>
          <w:tcPr>
            <w:tcW w:w="18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23,563,548.84</w:t>
            </w:r>
          </w:p>
        </w:tc>
        <w:tc>
          <w:tcPr>
            <w:tcW w:w="197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675"/>
        <w:jc w:val="left"/>
      </w:pPr>
      <w:r>
        <w:rPr/>
        <w:t>组合中，采用其他方法计提坏账准备的其他应收款：</w:t>
      </w:r>
    </w:p>
    <w:p>
      <w:pPr>
        <w:spacing w:line="240" w:lineRule="auto" w:before="7"/>
        <w:rPr>
          <w:rFonts w:ascii="宋体" w:hAnsi="宋体" w:cs="宋体" w:eastAsia="宋体" w:hint="default"/>
          <w:sz w:val="2"/>
          <w:szCs w:val="2"/>
        </w:rPr>
      </w:pPr>
    </w:p>
    <w:tbl>
      <w:tblPr>
        <w:tblW w:w="0" w:type="auto"/>
        <w:jc w:val="left"/>
        <w:tblInd w:w="798" w:type="dxa"/>
        <w:tblLayout w:type="fixed"/>
        <w:tblCellMar>
          <w:top w:w="0" w:type="dxa"/>
          <w:left w:w="0" w:type="dxa"/>
          <w:bottom w:w="0" w:type="dxa"/>
          <w:right w:w="0" w:type="dxa"/>
        </w:tblCellMar>
        <w:tblLook w:val="01E0"/>
      </w:tblPr>
      <w:tblGrid>
        <w:gridCol w:w="2091"/>
        <w:gridCol w:w="5672"/>
      </w:tblGrid>
      <w:tr>
        <w:trPr>
          <w:trHeight w:val="470" w:hRule="exact"/>
        </w:trPr>
        <w:tc>
          <w:tcPr>
            <w:tcW w:w="2091"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35"/>
              <w:ind w:left="68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672"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footerReference w:type="default" r:id="rId97"/>
          <w:pgSz w:w="11910" w:h="16840"/>
          <w:pgMar w:footer="996" w:header="0" w:top="1000" w:bottom="1180" w:left="1660" w:right="0"/>
          <w:pgNumType w:start="3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105"/>
        <w:gridCol w:w="1827"/>
        <w:gridCol w:w="1826"/>
        <w:gridCol w:w="2019"/>
      </w:tblGrid>
      <w:tr>
        <w:trPr>
          <w:trHeight w:val="461" w:hRule="exact"/>
        </w:trPr>
        <w:tc>
          <w:tcPr>
            <w:tcW w:w="2105" w:type="dxa"/>
            <w:tcBorders>
              <w:top w:val="single" w:sz="12" w:space="0" w:color="000000"/>
              <w:left w:val="nil" w:sz="6" w:space="0" w:color="auto"/>
              <w:bottom w:val="dotted" w:sz="4" w:space="0" w:color="000000"/>
              <w:right w:val="dotted" w:sz="4" w:space="0" w:color="000000"/>
            </w:tcBorders>
          </w:tcPr>
          <w:p>
            <w:pPr/>
          </w:p>
        </w:tc>
        <w:tc>
          <w:tcPr>
            <w:tcW w:w="18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45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3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9" w:hRule="exact"/>
        </w:trPr>
        <w:tc>
          <w:tcPr>
            <w:tcW w:w="21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18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43,093,935.18</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215,469.68</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451" w:hRule="exact"/>
        </w:trPr>
        <w:tc>
          <w:tcPr>
            <w:tcW w:w="21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18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684,378,006.26</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3,421,890.03</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449" w:hRule="exact"/>
        </w:trPr>
        <w:tc>
          <w:tcPr>
            <w:tcW w:w="21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政府机构往来款组合</w:t>
            </w:r>
          </w:p>
        </w:tc>
        <w:tc>
          <w:tcPr>
            <w:tcW w:w="18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57,509,934.51</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287,549.67</w:t>
            </w:r>
          </w:p>
        </w:tc>
        <w:tc>
          <w:tcPr>
            <w:tcW w:w="20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461" w:hRule="exact"/>
        </w:trPr>
        <w:tc>
          <w:tcPr>
            <w:tcW w:w="21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784,981,875.95</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3,924,909.38</w:t>
            </w:r>
          </w:p>
        </w:tc>
        <w:tc>
          <w:tcPr>
            <w:tcW w:w="201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675"/>
        <w:jc w:val="left"/>
      </w:pPr>
      <w:r>
        <w:rPr/>
        <w:t>（</w:t>
      </w:r>
      <w:r>
        <w:rPr>
          <w:rFonts w:ascii="Times New Roman" w:hAnsi="Times New Roman" w:cs="Times New Roman" w:eastAsia="Times New Roman" w:hint="default"/>
        </w:rPr>
        <w:t>2</w:t>
      </w:r>
      <w:r>
        <w:rPr/>
        <w:t>）其他应收款按款项性质分类情况</w:t>
      </w:r>
    </w:p>
    <w:tbl>
      <w:tblPr>
        <w:tblW w:w="0" w:type="auto"/>
        <w:jc w:val="left"/>
        <w:tblInd w:w="769" w:type="dxa"/>
        <w:tblLayout w:type="fixed"/>
        <w:tblCellMar>
          <w:top w:w="0" w:type="dxa"/>
          <w:left w:w="0" w:type="dxa"/>
          <w:bottom w:w="0" w:type="dxa"/>
          <w:right w:w="0" w:type="dxa"/>
        </w:tblCellMar>
        <w:tblLook w:val="01E0"/>
      </w:tblPr>
      <w:tblGrid>
        <w:gridCol w:w="2403"/>
        <w:gridCol w:w="2686"/>
        <w:gridCol w:w="2689"/>
      </w:tblGrid>
      <w:tr>
        <w:trPr>
          <w:trHeight w:val="461" w:hRule="exact"/>
        </w:trPr>
        <w:tc>
          <w:tcPr>
            <w:tcW w:w="24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6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7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79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49" w:hRule="exact"/>
        </w:trPr>
        <w:tc>
          <w:tcPr>
            <w:tcW w:w="24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983,840,012.58</w:t>
            </w:r>
          </w:p>
        </w:tc>
        <w:tc>
          <w:tcPr>
            <w:tcW w:w="26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866,613,835.94</w:t>
            </w:r>
          </w:p>
        </w:tc>
      </w:tr>
      <w:tr>
        <w:trPr>
          <w:trHeight w:val="451" w:hRule="exact"/>
        </w:trPr>
        <w:tc>
          <w:tcPr>
            <w:tcW w:w="24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43,093,935.18</w:t>
            </w:r>
          </w:p>
        </w:tc>
        <w:tc>
          <w:tcPr>
            <w:tcW w:w="26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62,245,745.04</w:t>
            </w:r>
          </w:p>
        </w:tc>
      </w:tr>
      <w:tr>
        <w:trPr>
          <w:trHeight w:val="449" w:hRule="exact"/>
        </w:trPr>
        <w:tc>
          <w:tcPr>
            <w:tcW w:w="24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28,354,433.30</w:t>
            </w:r>
          </w:p>
        </w:tc>
        <w:tc>
          <w:tcPr>
            <w:tcW w:w="26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26,225,867.37</w:t>
            </w:r>
          </w:p>
        </w:tc>
      </w:tr>
      <w:tr>
        <w:trPr>
          <w:trHeight w:val="451" w:hRule="exact"/>
        </w:trPr>
        <w:tc>
          <w:tcPr>
            <w:tcW w:w="24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2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861,110.53</w:t>
            </w:r>
          </w:p>
        </w:tc>
        <w:tc>
          <w:tcPr>
            <w:tcW w:w="26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1,342,115.79</w:t>
            </w:r>
          </w:p>
        </w:tc>
      </w:tr>
      <w:tr>
        <w:trPr>
          <w:trHeight w:val="449" w:hRule="exact"/>
        </w:trPr>
        <w:tc>
          <w:tcPr>
            <w:tcW w:w="24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28,319,101.42</w:t>
            </w:r>
          </w:p>
        </w:tc>
        <w:tc>
          <w:tcPr>
            <w:tcW w:w="26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48,466,799.24</w:t>
            </w:r>
          </w:p>
        </w:tc>
      </w:tr>
      <w:tr>
        <w:trPr>
          <w:trHeight w:val="461" w:hRule="exact"/>
        </w:trPr>
        <w:tc>
          <w:tcPr>
            <w:tcW w:w="24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1,084,468,593.01</w:t>
            </w:r>
          </w:p>
        </w:tc>
        <w:tc>
          <w:tcPr>
            <w:tcW w:w="26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1,004,894,363.38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675"/>
        <w:jc w:val="left"/>
      </w:pPr>
      <w:r>
        <w:rPr/>
        <w:t>（</w:t>
      </w:r>
      <w:r>
        <w:rPr>
          <w:rFonts w:ascii="Times New Roman" w:hAnsi="Times New Roman" w:cs="Times New Roman" w:eastAsia="Times New Roman" w:hint="default"/>
        </w:rPr>
        <w:t>3</w:t>
      </w:r>
      <w:r>
        <w:rPr/>
        <w:t>）本期计提、转回或收回的坏账准备情况</w:t>
      </w:r>
    </w:p>
    <w:p>
      <w:pPr>
        <w:pStyle w:val="BodyText"/>
        <w:spacing w:line="240" w:lineRule="auto" w:before="107"/>
        <w:ind w:right="1675"/>
        <w:jc w:val="left"/>
        <w:rPr>
          <w:rFonts w:ascii="Times New Roman" w:hAnsi="Times New Roman" w:cs="Times New Roman" w:eastAsia="Times New Roman" w:hint="default"/>
        </w:rPr>
      </w:pPr>
      <w:r>
        <w:rPr/>
        <w:t>本期计提坏账准备金额 </w:t>
      </w:r>
      <w:r>
        <w:rPr>
          <w:rFonts w:ascii="Times New Roman" w:hAnsi="Times New Roman" w:cs="Times New Roman" w:eastAsia="Times New Roman" w:hint="default"/>
        </w:rPr>
        <w:t>16,207,613.52  </w:t>
      </w:r>
      <w:r>
        <w:rPr/>
        <w:t>元，本期转回坏账准备金额</w:t>
      </w:r>
      <w:r>
        <w:rPr>
          <w:spacing w:val="-55"/>
        </w:rPr>
        <w:t> </w:t>
      </w:r>
      <w:r>
        <w:rPr>
          <w:rFonts w:ascii="Times New Roman" w:hAnsi="Times New Roman" w:cs="Times New Roman" w:eastAsia="Times New Roman" w:hint="default"/>
        </w:rPr>
        <w:t>180,508.56</w:t>
      </w:r>
    </w:p>
    <w:p>
      <w:pPr>
        <w:pStyle w:val="BodyText"/>
        <w:spacing w:line="240" w:lineRule="auto" w:before="110"/>
        <w:ind w:right="1675"/>
        <w:jc w:val="left"/>
      </w:pPr>
      <w:r>
        <w:rPr/>
        <w:t>元。</w:t>
      </w:r>
    </w:p>
    <w:p>
      <w:pPr>
        <w:pStyle w:val="BodyText"/>
        <w:spacing w:line="328" w:lineRule="auto" w:before="126"/>
        <w:ind w:right="2888"/>
        <w:jc w:val="left"/>
      </w:pPr>
      <w:r>
        <w:rPr>
          <w:spacing w:val="-2"/>
        </w:rPr>
        <w:t>（</w:t>
      </w:r>
      <w:r>
        <w:rPr>
          <w:rFonts w:ascii="Times New Roman" w:hAnsi="Times New Roman" w:cs="Times New Roman" w:eastAsia="Times New Roman" w:hint="default"/>
          <w:spacing w:val="-2"/>
        </w:rPr>
        <w:t>4</w:t>
      </w:r>
      <w:r>
        <w:rPr>
          <w:spacing w:val="-2"/>
        </w:rPr>
        <w:t>）本期实际核销的其他应收款情况</w:t>
      </w:r>
      <w:r>
        <w:rPr>
          <w:spacing w:val="-73"/>
        </w:rPr>
        <w:t> </w:t>
      </w:r>
      <w:r>
        <w:rPr>
          <w:spacing w:val="-73"/>
        </w:rPr>
      </w:r>
      <w:r>
        <w:rPr/>
        <w:t>本期无实际核销的其他应收款。</w:t>
      </w:r>
    </w:p>
    <w:p>
      <w:pPr>
        <w:pStyle w:val="BodyText"/>
        <w:spacing w:line="240" w:lineRule="auto" w:before="48"/>
        <w:ind w:right="1675"/>
        <w:jc w:val="left"/>
      </w:pPr>
      <w:r>
        <w:rPr/>
        <w:t>（</w:t>
      </w:r>
      <w:r>
        <w:rPr>
          <w:rFonts w:ascii="Times New Roman" w:hAnsi="Times New Roman" w:cs="Times New Roman" w:eastAsia="Times New Roman" w:hint="default"/>
        </w:rPr>
        <w:t>5</w:t>
      </w:r>
      <w:r>
        <w:rPr/>
        <w:t>）按欠款方归集的期末余额前五名的其他应收款情况</w:t>
      </w:r>
    </w:p>
    <w:tbl>
      <w:tblPr>
        <w:tblW w:w="0" w:type="auto"/>
        <w:jc w:val="left"/>
        <w:tblInd w:w="768" w:type="dxa"/>
        <w:tblLayout w:type="fixed"/>
        <w:tblCellMar>
          <w:top w:w="0" w:type="dxa"/>
          <w:left w:w="0" w:type="dxa"/>
          <w:bottom w:w="0" w:type="dxa"/>
          <w:right w:w="0" w:type="dxa"/>
        </w:tblCellMar>
        <w:tblLook w:val="01E0"/>
      </w:tblPr>
      <w:tblGrid>
        <w:gridCol w:w="2309"/>
        <w:gridCol w:w="869"/>
        <w:gridCol w:w="1256"/>
        <w:gridCol w:w="785"/>
        <w:gridCol w:w="1244"/>
        <w:gridCol w:w="1315"/>
      </w:tblGrid>
      <w:tr>
        <w:trPr>
          <w:trHeight w:val="1181" w:hRule="exact"/>
        </w:trPr>
        <w:tc>
          <w:tcPr>
            <w:tcW w:w="230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8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款项性质</w:t>
            </w:r>
          </w:p>
        </w:tc>
        <w:tc>
          <w:tcPr>
            <w:tcW w:w="12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12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占其他应收款</w:t>
            </w:r>
          </w:p>
          <w:p>
            <w:pPr>
              <w:pStyle w:val="TableParagraph"/>
              <w:spacing w:line="358" w:lineRule="exact" w:before="55"/>
              <w:ind w:left="203" w:right="164"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期末余额合计</w:t>
            </w:r>
            <w:r>
              <w:rPr>
                <w:rFonts w:ascii="宋体" w:hAnsi="宋体" w:cs="宋体" w:eastAsia="宋体" w:hint="default"/>
                <w:w w:val="100"/>
                <w:sz w:val="15"/>
                <w:szCs w:val="15"/>
              </w:rPr>
              <w:t> </w:t>
            </w:r>
            <w:r>
              <w:rPr>
                <w:rFonts w:ascii="宋体" w:hAnsi="宋体" w:cs="宋体" w:eastAsia="宋体" w:hint="default"/>
                <w:sz w:val="15"/>
                <w:szCs w:val="15"/>
              </w:rPr>
              <w:t>数的比例</w:t>
            </w:r>
            <w:r>
              <w:rPr>
                <w:rFonts w:ascii="Times New Roman" w:hAnsi="Times New Roman" w:cs="Times New Roman" w:eastAsia="Times New Roman" w:hint="default"/>
                <w:sz w:val="15"/>
                <w:szCs w:val="15"/>
              </w:rPr>
              <w:t>(%)</w:t>
            </w:r>
          </w:p>
        </w:tc>
        <w:tc>
          <w:tcPr>
            <w:tcW w:w="1315"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439" w:lineRule="auto"/>
              <w:ind w:left="575" w:right="127" w:hanging="449"/>
              <w:jc w:val="left"/>
              <w:rPr>
                <w:rFonts w:ascii="宋体" w:hAnsi="宋体" w:cs="宋体" w:eastAsia="宋体" w:hint="default"/>
                <w:sz w:val="15"/>
                <w:szCs w:val="15"/>
              </w:rPr>
            </w:pPr>
            <w:r>
              <w:rPr>
                <w:rFonts w:ascii="宋体" w:hAnsi="宋体" w:cs="宋体" w:eastAsia="宋体" w:hint="default"/>
                <w:sz w:val="15"/>
                <w:szCs w:val="15"/>
              </w:rPr>
              <w:t>坏账准备期末余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r>
      <w:tr>
        <w:trPr>
          <w:trHeight w:val="809"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226"/>
              <w:jc w:val="left"/>
              <w:rPr>
                <w:rFonts w:ascii="宋体" w:hAnsi="宋体" w:cs="宋体" w:eastAsia="宋体" w:hint="default"/>
                <w:sz w:val="15"/>
                <w:szCs w:val="15"/>
              </w:rPr>
            </w:pPr>
            <w:r>
              <w:rPr>
                <w:rFonts w:ascii="宋体" w:hAnsi="宋体" w:cs="宋体" w:eastAsia="宋体" w:hint="default"/>
                <w:spacing w:val="-2"/>
                <w:sz w:val="15"/>
                <w:szCs w:val="15"/>
              </w:rPr>
              <w:t>深圳市民润农产品配送连锁商</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业有限公司</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189,731,721.26</w:t>
            </w:r>
          </w:p>
        </w:tc>
        <w:tc>
          <w:tcPr>
            <w:tcW w:w="7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年以上</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17.50</w:t>
            </w: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189,731,721.26</w:t>
            </w:r>
          </w:p>
        </w:tc>
      </w:tr>
      <w:tr>
        <w:trPr>
          <w:trHeight w:val="451"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天津海吉星投资发展有限公司</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155,810,255.07</w:t>
            </w:r>
          </w:p>
        </w:tc>
        <w:tc>
          <w:tcPr>
            <w:tcW w:w="7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年以内</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14.37</w:t>
            </w: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779,051.28</w:t>
            </w:r>
          </w:p>
        </w:tc>
      </w:tr>
      <w:tr>
        <w:trPr>
          <w:trHeight w:val="809"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226"/>
              <w:jc w:val="left"/>
              <w:rPr>
                <w:rFonts w:ascii="宋体" w:hAnsi="宋体" w:cs="宋体" w:eastAsia="宋体" w:hint="default"/>
                <w:sz w:val="15"/>
                <w:szCs w:val="15"/>
              </w:rPr>
            </w:pPr>
            <w:r>
              <w:rPr>
                <w:rFonts w:ascii="宋体" w:hAnsi="宋体" w:cs="宋体" w:eastAsia="宋体" w:hint="default"/>
                <w:spacing w:val="-2"/>
                <w:sz w:val="15"/>
                <w:szCs w:val="15"/>
              </w:rPr>
              <w:t>合肥周谷堆农产品批发市场股</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份有限公司</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144,074,068.86</w:t>
            </w:r>
          </w:p>
        </w:tc>
        <w:tc>
          <w:tcPr>
            <w:tcW w:w="7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年以内</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13.29</w:t>
            </w: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720,370.34</w:t>
            </w:r>
          </w:p>
        </w:tc>
      </w:tr>
      <w:tr>
        <w:trPr>
          <w:trHeight w:val="811"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226"/>
              <w:jc w:val="left"/>
              <w:rPr>
                <w:rFonts w:ascii="宋体" w:hAnsi="宋体" w:cs="宋体" w:eastAsia="宋体" w:hint="default"/>
                <w:sz w:val="15"/>
                <w:szCs w:val="15"/>
              </w:rPr>
            </w:pPr>
            <w:r>
              <w:rPr>
                <w:rFonts w:ascii="宋体" w:hAnsi="宋体" w:cs="宋体" w:eastAsia="宋体" w:hint="default"/>
                <w:spacing w:val="-2"/>
                <w:sz w:val="15"/>
                <w:szCs w:val="15"/>
              </w:rPr>
              <w:t>武汉城市圈海吉星农产品物流</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有限公司</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134,106,740.89</w:t>
            </w:r>
          </w:p>
        </w:tc>
        <w:tc>
          <w:tcPr>
            <w:tcW w:w="7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年以内</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12.37</w:t>
            </w: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670,533.70</w:t>
            </w:r>
          </w:p>
        </w:tc>
      </w:tr>
      <w:tr>
        <w:trPr>
          <w:trHeight w:val="461" w:hRule="exact"/>
        </w:trPr>
        <w:tc>
          <w:tcPr>
            <w:tcW w:w="23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深圳市信祥投资发展有限公司</w:t>
            </w:r>
          </w:p>
        </w:tc>
        <w:tc>
          <w:tcPr>
            <w:tcW w:w="8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56,992,748.07</w:t>
            </w:r>
          </w:p>
        </w:tc>
        <w:tc>
          <w:tcPr>
            <w:tcW w:w="7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年以内</w:t>
            </w:r>
          </w:p>
        </w:tc>
        <w:tc>
          <w:tcPr>
            <w:tcW w:w="12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5.26</w:t>
            </w:r>
          </w:p>
        </w:tc>
        <w:tc>
          <w:tcPr>
            <w:tcW w:w="13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246,111.73</w:t>
            </w:r>
          </w:p>
        </w:tc>
      </w:tr>
    </w:tbl>
    <w:p>
      <w:pPr>
        <w:spacing w:after="0" w:line="240" w:lineRule="auto"/>
        <w:jc w:val="right"/>
        <w:rPr>
          <w:rFonts w:ascii="Times New Roman" w:hAnsi="Times New Roman" w:cs="Times New Roman" w:eastAsia="Times New Roman" w:hint="default"/>
          <w:sz w:val="15"/>
          <w:szCs w:val="15"/>
        </w:rPr>
        <w:sectPr>
          <w:pgSz w:w="11910" w:h="16840"/>
          <w:pgMar w:header="0" w:footer="996" w:top="1000" w:bottom="118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309"/>
        <w:gridCol w:w="869"/>
        <w:gridCol w:w="1256"/>
        <w:gridCol w:w="785"/>
        <w:gridCol w:w="1244"/>
        <w:gridCol w:w="1315"/>
      </w:tblGrid>
      <w:tr>
        <w:trPr>
          <w:trHeight w:val="1181" w:hRule="exact"/>
        </w:trPr>
        <w:tc>
          <w:tcPr>
            <w:tcW w:w="230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8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款项性质</w:t>
            </w:r>
          </w:p>
        </w:tc>
        <w:tc>
          <w:tcPr>
            <w:tcW w:w="12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7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账龄</w:t>
            </w:r>
          </w:p>
        </w:tc>
        <w:tc>
          <w:tcPr>
            <w:tcW w:w="12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占其他应收款</w:t>
            </w:r>
          </w:p>
          <w:p>
            <w:pPr>
              <w:pStyle w:val="TableParagraph"/>
              <w:spacing w:line="358" w:lineRule="exact" w:before="52"/>
              <w:ind w:left="203" w:right="164"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期末余额合计</w:t>
            </w:r>
            <w:r>
              <w:rPr>
                <w:rFonts w:ascii="宋体" w:hAnsi="宋体" w:cs="宋体" w:eastAsia="宋体" w:hint="default"/>
                <w:w w:val="100"/>
                <w:sz w:val="15"/>
                <w:szCs w:val="15"/>
              </w:rPr>
              <w:t> </w:t>
            </w:r>
            <w:r>
              <w:rPr>
                <w:rFonts w:ascii="宋体" w:hAnsi="宋体" w:cs="宋体" w:eastAsia="宋体" w:hint="default"/>
                <w:sz w:val="15"/>
                <w:szCs w:val="15"/>
              </w:rPr>
              <w:t>数的比例</w:t>
            </w:r>
            <w:r>
              <w:rPr>
                <w:rFonts w:ascii="Times New Roman" w:hAnsi="Times New Roman" w:cs="Times New Roman" w:eastAsia="Times New Roman" w:hint="default"/>
                <w:sz w:val="15"/>
                <w:szCs w:val="15"/>
              </w:rPr>
              <w:t>(%)</w:t>
            </w:r>
          </w:p>
        </w:tc>
        <w:tc>
          <w:tcPr>
            <w:tcW w:w="1315"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436" w:lineRule="auto"/>
              <w:ind w:left="575" w:right="127" w:hanging="449"/>
              <w:jc w:val="left"/>
              <w:rPr>
                <w:rFonts w:ascii="宋体" w:hAnsi="宋体" w:cs="宋体" w:eastAsia="宋体" w:hint="default"/>
                <w:sz w:val="15"/>
                <w:szCs w:val="15"/>
              </w:rPr>
            </w:pPr>
            <w:r>
              <w:rPr>
                <w:rFonts w:ascii="宋体" w:hAnsi="宋体" w:cs="宋体" w:eastAsia="宋体" w:hint="default"/>
                <w:sz w:val="15"/>
                <w:szCs w:val="15"/>
              </w:rPr>
              <w:t>坏账准备期末余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r>
      <w:tr>
        <w:trPr>
          <w:trHeight w:val="461" w:hRule="exact"/>
        </w:trPr>
        <w:tc>
          <w:tcPr>
            <w:tcW w:w="23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869" w:type="dxa"/>
            <w:tcBorders>
              <w:top w:val="dotted" w:sz="4" w:space="0" w:color="000000"/>
              <w:left w:val="dotted" w:sz="4" w:space="0" w:color="000000"/>
              <w:bottom w:val="single" w:sz="12" w:space="0" w:color="000000"/>
              <w:right w:val="dotted" w:sz="4" w:space="0" w:color="000000"/>
            </w:tcBorders>
          </w:tcPr>
          <w:p>
            <w:pPr/>
          </w:p>
        </w:tc>
        <w:tc>
          <w:tcPr>
            <w:tcW w:w="1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680,715,534.15</w:t>
            </w:r>
          </w:p>
        </w:tc>
        <w:tc>
          <w:tcPr>
            <w:tcW w:w="785" w:type="dxa"/>
            <w:tcBorders>
              <w:top w:val="dotted" w:sz="4" w:space="0" w:color="000000"/>
              <w:left w:val="dotted" w:sz="4" w:space="0" w:color="000000"/>
              <w:bottom w:val="single" w:sz="12" w:space="0" w:color="000000"/>
              <w:right w:val="dotted" w:sz="4" w:space="0" w:color="000000"/>
            </w:tcBorders>
          </w:tcPr>
          <w:p>
            <w:pPr/>
          </w:p>
        </w:tc>
        <w:tc>
          <w:tcPr>
            <w:tcW w:w="12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91" w:right="0"/>
              <w:jc w:val="left"/>
              <w:rPr>
                <w:rFonts w:ascii="Times New Roman" w:hAnsi="Times New Roman" w:cs="Times New Roman" w:eastAsia="Times New Roman" w:hint="default"/>
                <w:sz w:val="15"/>
                <w:szCs w:val="15"/>
              </w:rPr>
            </w:pPr>
            <w:r>
              <w:rPr>
                <w:rFonts w:ascii="Times New Roman"/>
                <w:sz w:val="15"/>
              </w:rPr>
              <w:t>62.79</w:t>
            </w:r>
          </w:p>
        </w:tc>
        <w:tc>
          <w:tcPr>
            <w:tcW w:w="13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63" w:right="0"/>
              <w:jc w:val="left"/>
              <w:rPr>
                <w:rFonts w:ascii="Times New Roman" w:hAnsi="Times New Roman" w:cs="Times New Roman" w:eastAsia="Times New Roman" w:hint="default"/>
                <w:sz w:val="15"/>
                <w:szCs w:val="15"/>
              </w:rPr>
            </w:pPr>
            <w:r>
              <w:rPr>
                <w:rFonts w:ascii="Times New Roman"/>
                <w:sz w:val="15"/>
              </w:rPr>
              <w:t>192,147,788.31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675"/>
        <w:jc w:val="left"/>
      </w:pPr>
      <w:r>
        <w:rPr/>
        <w:t>（</w:t>
      </w:r>
      <w:r>
        <w:rPr>
          <w:rFonts w:ascii="Times New Roman" w:hAnsi="Times New Roman" w:cs="Times New Roman" w:eastAsia="Times New Roman" w:hint="default"/>
        </w:rPr>
        <w:t>6</w:t>
      </w:r>
      <w:r>
        <w:rPr/>
        <w:t>）本期末无涉及政府补助的其他应收款</w:t>
      </w:r>
    </w:p>
    <w:p>
      <w:pPr>
        <w:pStyle w:val="BodyText"/>
        <w:spacing w:line="240" w:lineRule="auto" w:before="107"/>
        <w:ind w:right="1675"/>
        <w:jc w:val="left"/>
      </w:pPr>
      <w:r>
        <w:rPr/>
        <w:t>（</w:t>
      </w:r>
      <w:r>
        <w:rPr>
          <w:rFonts w:ascii="Times New Roman" w:hAnsi="Times New Roman" w:cs="Times New Roman" w:eastAsia="Times New Roman" w:hint="default"/>
        </w:rPr>
        <w:t>7</w:t>
      </w:r>
      <w:r>
        <w:rPr/>
        <w:t>）本期未发生因金融资产转移而终止确认的其他应收款</w:t>
      </w:r>
    </w:p>
    <w:p>
      <w:pPr>
        <w:pStyle w:val="BodyText"/>
        <w:spacing w:line="240" w:lineRule="auto" w:before="110"/>
        <w:ind w:right="1675"/>
        <w:jc w:val="left"/>
      </w:pPr>
      <w:r>
        <w:rPr/>
        <w:t>（</w:t>
      </w:r>
      <w:r>
        <w:rPr>
          <w:rFonts w:ascii="Times New Roman" w:hAnsi="Times New Roman" w:cs="Times New Roman" w:eastAsia="Times New Roman" w:hint="default"/>
        </w:rPr>
        <w:t>8</w:t>
      </w:r>
      <w:r>
        <w:rPr/>
        <w:t>）本期末无转移其他应收款且继续涉入形成的资产、负债的金额</w:t>
      </w:r>
    </w:p>
    <w:p>
      <w:pPr>
        <w:spacing w:line="240" w:lineRule="auto" w:before="0"/>
        <w:rPr>
          <w:rFonts w:ascii="宋体" w:hAnsi="宋体" w:cs="宋体" w:eastAsia="宋体" w:hint="default"/>
          <w:sz w:val="22"/>
          <w:szCs w:val="22"/>
        </w:rPr>
      </w:pPr>
    </w:p>
    <w:p>
      <w:pPr>
        <w:pStyle w:val="Heading6"/>
        <w:tabs>
          <w:tab w:pos="850" w:val="left" w:leader="none"/>
        </w:tabs>
        <w:spacing w:line="240" w:lineRule="auto" w:before="153"/>
        <w:ind w:left="138" w:right="1675"/>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存货</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存货分类</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1174"/>
        <w:gridCol w:w="1155"/>
        <w:gridCol w:w="989"/>
        <w:gridCol w:w="1155"/>
        <w:gridCol w:w="1152"/>
        <w:gridCol w:w="997"/>
        <w:gridCol w:w="1154"/>
      </w:tblGrid>
      <w:tr>
        <w:trPr>
          <w:trHeight w:val="458" w:hRule="exact"/>
        </w:trPr>
        <w:tc>
          <w:tcPr>
            <w:tcW w:w="117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29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30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51" w:hRule="exact"/>
        </w:trPr>
        <w:tc>
          <w:tcPr>
            <w:tcW w:w="1174" w:type="dxa"/>
            <w:vMerge/>
            <w:tcBorders>
              <w:left w:val="nil" w:sz="6" w:space="0" w:color="auto"/>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49" w:hRule="exact"/>
        </w:trPr>
        <w:tc>
          <w:tcPr>
            <w:tcW w:w="11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56,612.97</w:t>
            </w:r>
          </w:p>
        </w:tc>
        <w:tc>
          <w:tcPr>
            <w:tcW w:w="98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56,612.97</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56,612.97</w:t>
            </w:r>
          </w:p>
        </w:tc>
        <w:tc>
          <w:tcPr>
            <w:tcW w:w="99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56,612.97</w:t>
            </w:r>
          </w:p>
        </w:tc>
      </w:tr>
      <w:tr>
        <w:trPr>
          <w:trHeight w:val="452" w:hRule="exact"/>
        </w:trPr>
        <w:tc>
          <w:tcPr>
            <w:tcW w:w="11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2,399,429.06</w:t>
            </w:r>
          </w:p>
        </w:tc>
        <w:tc>
          <w:tcPr>
            <w:tcW w:w="98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2,399,429.06</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4,153,110.73</w:t>
            </w:r>
          </w:p>
        </w:tc>
        <w:tc>
          <w:tcPr>
            <w:tcW w:w="99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4,153,110.73</w:t>
            </w:r>
          </w:p>
        </w:tc>
      </w:tr>
      <w:tr>
        <w:trPr>
          <w:trHeight w:val="449" w:hRule="exact"/>
        </w:trPr>
        <w:tc>
          <w:tcPr>
            <w:tcW w:w="11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1,703,800.68</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527,315.06</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1,176,485.62</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1,587,620.35</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08" w:right="0"/>
              <w:jc w:val="left"/>
              <w:rPr>
                <w:rFonts w:ascii="Times New Roman" w:hAnsi="Times New Roman" w:cs="Times New Roman" w:eastAsia="Times New Roman" w:hint="default"/>
                <w:sz w:val="15"/>
                <w:szCs w:val="15"/>
              </w:rPr>
            </w:pPr>
            <w:r>
              <w:rPr>
                <w:rFonts w:ascii="Times New Roman"/>
                <w:sz w:val="15"/>
              </w:rPr>
              <w:t>549,798.91</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1,037,821.44</w:t>
            </w:r>
          </w:p>
        </w:tc>
      </w:tr>
      <w:tr>
        <w:trPr>
          <w:trHeight w:val="451" w:hRule="exact"/>
        </w:trPr>
        <w:tc>
          <w:tcPr>
            <w:tcW w:w="11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467,222,919.31</w:t>
            </w:r>
          </w:p>
        </w:tc>
        <w:tc>
          <w:tcPr>
            <w:tcW w:w="98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467,222,919.31</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380,943,209.36</w:t>
            </w:r>
          </w:p>
        </w:tc>
        <w:tc>
          <w:tcPr>
            <w:tcW w:w="99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380,943,209.36</w:t>
            </w:r>
          </w:p>
        </w:tc>
      </w:tr>
      <w:tr>
        <w:trPr>
          <w:trHeight w:val="449" w:hRule="exact"/>
        </w:trPr>
        <w:tc>
          <w:tcPr>
            <w:tcW w:w="11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133,644,718.19</w:t>
            </w:r>
          </w:p>
        </w:tc>
        <w:tc>
          <w:tcPr>
            <w:tcW w:w="98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133,644,718.19</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134,496,682.95</w:t>
            </w:r>
          </w:p>
        </w:tc>
        <w:tc>
          <w:tcPr>
            <w:tcW w:w="997"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134,496,682.95</w:t>
            </w:r>
          </w:p>
        </w:tc>
      </w:tr>
      <w:tr>
        <w:trPr>
          <w:trHeight w:val="461" w:hRule="exact"/>
        </w:trPr>
        <w:tc>
          <w:tcPr>
            <w:tcW w:w="11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605,027,480.21</w:t>
            </w:r>
          </w:p>
        </w:tc>
        <w:tc>
          <w:tcPr>
            <w:tcW w:w="9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527,315.06</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604,500,165.15</w:t>
            </w:r>
          </w:p>
        </w:tc>
        <w:tc>
          <w:tcPr>
            <w:tcW w:w="11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521,237,236.36</w:t>
            </w:r>
          </w:p>
        </w:tc>
        <w:tc>
          <w:tcPr>
            <w:tcW w:w="9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08" w:right="0"/>
              <w:jc w:val="left"/>
              <w:rPr>
                <w:rFonts w:ascii="Times New Roman" w:hAnsi="Times New Roman" w:cs="Times New Roman" w:eastAsia="Times New Roman" w:hint="default"/>
                <w:sz w:val="15"/>
                <w:szCs w:val="15"/>
              </w:rPr>
            </w:pPr>
            <w:r>
              <w:rPr>
                <w:rFonts w:ascii="Times New Roman"/>
                <w:sz w:val="15"/>
              </w:rPr>
              <w:t>549,798.91</w:t>
            </w:r>
          </w:p>
        </w:tc>
        <w:tc>
          <w:tcPr>
            <w:tcW w:w="11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520,687,437.45</w:t>
            </w: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存货跌价准备</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1395"/>
        <w:gridCol w:w="1277"/>
        <w:gridCol w:w="1272"/>
        <w:gridCol w:w="708"/>
        <w:gridCol w:w="1138"/>
        <w:gridCol w:w="848"/>
        <w:gridCol w:w="1138"/>
      </w:tblGrid>
      <w:tr>
        <w:trPr>
          <w:trHeight w:val="461" w:hRule="exact"/>
        </w:trPr>
        <w:tc>
          <w:tcPr>
            <w:tcW w:w="1395"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8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left="44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98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left="44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38" w:type="dxa"/>
            <w:vMerge w:val="restart"/>
            <w:tcBorders>
              <w:top w:val="single" w:sz="12" w:space="0" w:color="000000"/>
              <w:left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1395" w:type="dxa"/>
            <w:vMerge/>
            <w:tcBorders>
              <w:left w:val="nil" w:sz="6" w:space="0" w:color="auto"/>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13"/>
              <w:jc w:val="right"/>
              <w:rPr>
                <w:rFonts w:ascii="宋体" w:hAnsi="宋体" w:cs="宋体" w:eastAsia="宋体" w:hint="default"/>
                <w:sz w:val="18"/>
                <w:szCs w:val="18"/>
              </w:rPr>
            </w:pPr>
            <w:r>
              <w:rPr>
                <w:rFonts w:ascii="宋体" w:hAnsi="宋体" w:cs="宋体" w:eastAsia="宋体" w:hint="default"/>
                <w:sz w:val="18"/>
                <w:szCs w:val="18"/>
              </w:rPr>
              <w:t>转回或转销</w:t>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8" w:type="dxa"/>
            <w:vMerge/>
            <w:tcBorders>
              <w:left w:val="dotted" w:sz="4" w:space="0" w:color="000000"/>
              <w:bottom w:val="dotted" w:sz="4" w:space="0" w:color="000000"/>
              <w:right w:val="nil" w:sz="6" w:space="0" w:color="auto"/>
            </w:tcBorders>
          </w:tcPr>
          <w:p>
            <w:pPr/>
          </w:p>
        </w:tc>
      </w:tr>
      <w:tr>
        <w:trPr>
          <w:trHeight w:val="451"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549,798.91</w:t>
            </w:r>
          </w:p>
        </w:tc>
        <w:tc>
          <w:tcPr>
            <w:tcW w:w="1272"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22,483.85</w:t>
            </w:r>
          </w:p>
        </w:tc>
        <w:tc>
          <w:tcPr>
            <w:tcW w:w="848"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527,315.06</w:t>
            </w:r>
          </w:p>
        </w:tc>
      </w:tr>
      <w:tr>
        <w:trPr>
          <w:trHeight w:val="461" w:hRule="exact"/>
        </w:trPr>
        <w:tc>
          <w:tcPr>
            <w:tcW w:w="13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549,798.91</w:t>
            </w:r>
          </w:p>
        </w:tc>
        <w:tc>
          <w:tcPr>
            <w:tcW w:w="1272"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22,483.85</w:t>
            </w:r>
          </w:p>
        </w:tc>
        <w:tc>
          <w:tcPr>
            <w:tcW w:w="848" w:type="dxa"/>
            <w:tcBorders>
              <w:top w:val="dotted" w:sz="4" w:space="0" w:color="000000"/>
              <w:left w:val="dotted" w:sz="4" w:space="0" w:color="000000"/>
              <w:bottom w:val="single" w:sz="12" w:space="0" w:color="000000"/>
              <w:right w:val="dotted" w:sz="4" w:space="0" w:color="000000"/>
            </w:tcBorders>
          </w:tcPr>
          <w:p>
            <w:pPr/>
          </w:p>
        </w:tc>
        <w:tc>
          <w:tcPr>
            <w:tcW w:w="11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527,315.06</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8"/>
          <w:szCs w:val="28"/>
        </w:rPr>
      </w:pPr>
    </w:p>
    <w:p>
      <w:pPr>
        <w:pStyle w:val="Heading6"/>
        <w:tabs>
          <w:tab w:pos="1400" w:val="left" w:leader="none"/>
        </w:tabs>
        <w:spacing w:line="335" w:lineRule="exact"/>
        <w:ind w:left="848" w:right="0"/>
        <w:jc w:val="left"/>
        <w:rPr>
          <w:b w:val="0"/>
          <w:bCs w:val="0"/>
        </w:rPr>
      </w:pPr>
      <w:r>
        <w:rPr>
          <w:rFonts w:ascii="Times New Roman" w:hAnsi="Times New Roman" w:cs="Times New Roman" w:eastAsia="Times New Roman" w:hint="default"/>
        </w:rPr>
        <w:t>3</w:t>
      </w:r>
      <w:r>
        <w:rPr/>
        <w:t>、</w:t>
        <w:tab/>
        <w:t>开发成本</w:t>
      </w:r>
      <w:r>
        <w:rPr>
          <w:b w:val="0"/>
          <w:bCs w:val="0"/>
        </w:rPr>
      </w:r>
    </w:p>
    <w:tbl>
      <w:tblPr>
        <w:tblW w:w="0" w:type="auto"/>
        <w:jc w:val="left"/>
        <w:tblInd w:w="925" w:type="dxa"/>
        <w:tblLayout w:type="fixed"/>
        <w:tblCellMar>
          <w:top w:w="0" w:type="dxa"/>
          <w:left w:w="0" w:type="dxa"/>
          <w:bottom w:w="0" w:type="dxa"/>
          <w:right w:w="0" w:type="dxa"/>
        </w:tblCellMar>
        <w:tblLook w:val="01E0"/>
      </w:tblPr>
      <w:tblGrid>
        <w:gridCol w:w="1318"/>
        <w:gridCol w:w="869"/>
        <w:gridCol w:w="1481"/>
        <w:gridCol w:w="977"/>
        <w:gridCol w:w="1253"/>
        <w:gridCol w:w="1171"/>
        <w:gridCol w:w="1082"/>
        <w:gridCol w:w="1030"/>
        <w:gridCol w:w="1106"/>
        <w:gridCol w:w="974"/>
        <w:gridCol w:w="968"/>
        <w:gridCol w:w="960"/>
      </w:tblGrid>
      <w:tr>
        <w:trPr>
          <w:trHeight w:val="862" w:hRule="exact"/>
        </w:trPr>
        <w:tc>
          <w:tcPr>
            <w:tcW w:w="131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 w:right="0"/>
              <w:jc w:val="center"/>
              <w:rPr>
                <w:rFonts w:ascii="宋体" w:hAnsi="宋体" w:cs="宋体" w:eastAsia="宋体" w:hint="default"/>
                <w:sz w:val="13"/>
                <w:szCs w:val="13"/>
              </w:rPr>
            </w:pPr>
            <w:r>
              <w:rPr>
                <w:rFonts w:ascii="宋体" w:hAnsi="宋体" w:cs="宋体" w:eastAsia="宋体" w:hint="default"/>
                <w:sz w:val="13"/>
                <w:szCs w:val="13"/>
              </w:rPr>
              <w:t>项目名称</w:t>
            </w:r>
          </w:p>
        </w:tc>
        <w:tc>
          <w:tcPr>
            <w:tcW w:w="8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开工时间</w:t>
            </w:r>
          </w:p>
        </w:tc>
        <w:tc>
          <w:tcPr>
            <w:tcW w:w="1481"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41"/>
              <w:ind w:left="475" w:right="475" w:firstLine="132"/>
              <w:jc w:val="left"/>
              <w:rPr>
                <w:rFonts w:ascii="宋体" w:hAnsi="宋体" w:cs="宋体" w:eastAsia="宋体" w:hint="default"/>
                <w:sz w:val="13"/>
                <w:szCs w:val="13"/>
              </w:rPr>
            </w:pPr>
            <w:r>
              <w:rPr>
                <w:rFonts w:ascii="宋体" w:hAnsi="宋体" w:cs="宋体" w:eastAsia="宋体" w:hint="default"/>
                <w:sz w:val="13"/>
                <w:szCs w:val="13"/>
              </w:rPr>
              <w:t>预计</w:t>
            </w:r>
            <w:r>
              <w:rPr>
                <w:rFonts w:ascii="宋体" w:hAnsi="宋体" w:cs="宋体" w:eastAsia="宋体" w:hint="default"/>
                <w:w w:val="99"/>
                <w:sz w:val="13"/>
                <w:szCs w:val="13"/>
              </w:rPr>
              <w:t> </w:t>
            </w:r>
            <w:r>
              <w:rPr>
                <w:rFonts w:ascii="宋体" w:hAnsi="宋体" w:cs="宋体" w:eastAsia="宋体" w:hint="default"/>
                <w:sz w:val="13"/>
                <w:szCs w:val="13"/>
              </w:rPr>
              <w:t>竣工时间</w:t>
            </w:r>
          </w:p>
        </w:tc>
        <w:tc>
          <w:tcPr>
            <w:tcW w:w="9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预计投资总额</w:t>
            </w:r>
          </w:p>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（万元）</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11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319"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108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41"/>
              <w:ind w:left="273" w:right="278"/>
              <w:jc w:val="left"/>
              <w:rPr>
                <w:rFonts w:ascii="宋体" w:hAnsi="宋体" w:cs="宋体" w:eastAsia="宋体" w:hint="default"/>
                <w:sz w:val="13"/>
                <w:szCs w:val="13"/>
              </w:rPr>
            </w:pPr>
            <w:r>
              <w:rPr>
                <w:rFonts w:ascii="宋体" w:hAnsi="宋体" w:cs="宋体" w:eastAsia="宋体" w:hint="default"/>
                <w:sz w:val="13"/>
                <w:szCs w:val="13"/>
              </w:rPr>
              <w:t>本期转入</w:t>
            </w:r>
            <w:r>
              <w:rPr>
                <w:rFonts w:ascii="宋体" w:hAnsi="宋体" w:cs="宋体" w:eastAsia="宋体" w:hint="default"/>
                <w:w w:val="99"/>
                <w:sz w:val="13"/>
                <w:szCs w:val="13"/>
              </w:rPr>
              <w:t> </w:t>
            </w:r>
            <w:r>
              <w:rPr>
                <w:rFonts w:ascii="宋体" w:hAnsi="宋体" w:cs="宋体" w:eastAsia="宋体" w:hint="default"/>
                <w:sz w:val="13"/>
                <w:szCs w:val="13"/>
              </w:rPr>
              <w:t>开发产品</w:t>
            </w:r>
          </w:p>
        </w:tc>
        <w:tc>
          <w:tcPr>
            <w:tcW w:w="1030" w:type="dxa"/>
            <w:tcBorders>
              <w:top w:val="single" w:sz="12" w:space="0" w:color="000000"/>
              <w:left w:val="dotted" w:sz="4" w:space="0" w:color="000000"/>
              <w:bottom w:val="dotted" w:sz="4" w:space="0" w:color="000000"/>
              <w:right w:val="dotted" w:sz="4" w:space="0" w:color="000000"/>
            </w:tcBorders>
          </w:tcPr>
          <w:p>
            <w:pPr>
              <w:pStyle w:val="TableParagraph"/>
              <w:spacing w:line="360" w:lineRule="atLeast" w:before="18"/>
              <w:ind w:left="444" w:right="58" w:hanging="392"/>
              <w:jc w:val="left"/>
              <w:rPr>
                <w:rFonts w:ascii="宋体" w:hAnsi="宋体" w:cs="宋体" w:eastAsia="宋体" w:hint="default"/>
                <w:sz w:val="13"/>
                <w:szCs w:val="13"/>
              </w:rPr>
            </w:pPr>
            <w:r>
              <w:rPr>
                <w:rFonts w:ascii="宋体" w:hAnsi="宋体" w:cs="宋体" w:eastAsia="宋体" w:hint="default"/>
                <w:sz w:val="13"/>
                <w:szCs w:val="13"/>
              </w:rPr>
              <w:t>本期其他减少金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1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88"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4" w:type="dxa"/>
            <w:tcBorders>
              <w:top w:val="single" w:sz="12" w:space="0" w:color="000000"/>
              <w:left w:val="dotted" w:sz="4" w:space="0" w:color="000000"/>
              <w:bottom w:val="dotted" w:sz="4" w:space="0" w:color="000000"/>
              <w:right w:val="dotted" w:sz="4" w:space="0" w:color="000000"/>
            </w:tcBorders>
          </w:tcPr>
          <w:p>
            <w:pPr>
              <w:pStyle w:val="TableParagraph"/>
              <w:spacing w:line="360" w:lineRule="atLeast" w:before="18"/>
              <w:ind w:left="352" w:right="26" w:hanging="324"/>
              <w:jc w:val="left"/>
              <w:rPr>
                <w:rFonts w:ascii="宋体" w:hAnsi="宋体" w:cs="宋体" w:eastAsia="宋体" w:hint="default"/>
                <w:sz w:val="13"/>
                <w:szCs w:val="13"/>
              </w:rPr>
            </w:pPr>
            <w:r>
              <w:rPr>
                <w:rFonts w:ascii="宋体" w:hAnsi="宋体" w:cs="宋体" w:eastAsia="宋体" w:hint="default"/>
                <w:sz w:val="13"/>
                <w:szCs w:val="13"/>
              </w:rPr>
              <w:t>利息资本化累计</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968" w:type="dxa"/>
            <w:tcBorders>
              <w:top w:val="single" w:sz="12" w:space="0" w:color="000000"/>
              <w:left w:val="dotted" w:sz="4" w:space="0" w:color="000000"/>
              <w:bottom w:val="dotted" w:sz="4" w:space="0" w:color="000000"/>
              <w:right w:val="dotted" w:sz="4" w:space="0" w:color="000000"/>
            </w:tcBorders>
          </w:tcPr>
          <w:p>
            <w:pPr>
              <w:pStyle w:val="TableParagraph"/>
              <w:spacing w:line="360" w:lineRule="atLeast" w:before="18"/>
              <w:ind w:left="218" w:right="24" w:hanging="195"/>
              <w:jc w:val="left"/>
              <w:rPr>
                <w:rFonts w:ascii="宋体" w:hAnsi="宋体" w:cs="宋体" w:eastAsia="宋体" w:hint="default"/>
                <w:sz w:val="13"/>
                <w:szCs w:val="13"/>
              </w:rPr>
            </w:pPr>
            <w:r>
              <w:rPr>
                <w:rFonts w:ascii="宋体" w:hAnsi="宋体" w:cs="宋体" w:eastAsia="宋体" w:hint="default"/>
                <w:sz w:val="13"/>
                <w:szCs w:val="13"/>
              </w:rPr>
              <w:t>其中本期利息资</w:t>
            </w:r>
            <w:r>
              <w:rPr>
                <w:rFonts w:ascii="宋体" w:hAnsi="宋体" w:cs="宋体" w:eastAsia="宋体" w:hint="default"/>
                <w:w w:val="99"/>
                <w:sz w:val="13"/>
                <w:szCs w:val="13"/>
              </w:rPr>
              <w:t> </w:t>
            </w:r>
            <w:r>
              <w:rPr>
                <w:rFonts w:ascii="宋体" w:hAnsi="宋体" w:cs="宋体" w:eastAsia="宋体" w:hint="default"/>
                <w:sz w:val="13"/>
                <w:szCs w:val="13"/>
              </w:rPr>
              <w:t>本化金额</w:t>
            </w:r>
          </w:p>
        </w:tc>
        <w:tc>
          <w:tcPr>
            <w:tcW w:w="9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13" w:right="0"/>
              <w:jc w:val="left"/>
              <w:rPr>
                <w:rFonts w:ascii="宋体" w:hAnsi="宋体" w:cs="宋体" w:eastAsia="宋体" w:hint="default"/>
                <w:sz w:val="13"/>
                <w:szCs w:val="13"/>
              </w:rPr>
            </w:pPr>
            <w:r>
              <w:rPr>
                <w:rFonts w:ascii="宋体" w:hAnsi="宋体" w:cs="宋体" w:eastAsia="宋体" w:hint="default"/>
                <w:sz w:val="13"/>
                <w:szCs w:val="13"/>
              </w:rPr>
              <w:t>资金来源</w:t>
            </w:r>
          </w:p>
        </w:tc>
      </w:tr>
      <w:tr>
        <w:trPr>
          <w:trHeight w:val="809"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40" w:right="22" w:firstLine="67"/>
              <w:jc w:val="left"/>
              <w:rPr>
                <w:rFonts w:ascii="宋体" w:hAnsi="宋体" w:cs="宋体" w:eastAsia="宋体" w:hint="default"/>
                <w:sz w:val="13"/>
                <w:szCs w:val="13"/>
              </w:rPr>
            </w:pPr>
            <w:r>
              <w:rPr>
                <w:rFonts w:ascii="宋体" w:hAnsi="宋体" w:cs="宋体" w:eastAsia="宋体" w:hint="default"/>
                <w:sz w:val="13"/>
                <w:szCs w:val="13"/>
              </w:rPr>
              <w:t>广西海吉星自主开发</w:t>
            </w:r>
            <w:r>
              <w:rPr>
                <w:rFonts w:ascii="宋体" w:hAnsi="宋体" w:cs="宋体" w:eastAsia="宋体" w:hint="default"/>
                <w:w w:val="99"/>
                <w:sz w:val="13"/>
                <w:szCs w:val="13"/>
              </w:rPr>
              <w:t> </w:t>
            </w:r>
            <w:r>
              <w:rPr>
                <w:rFonts w:ascii="宋体" w:hAnsi="宋体" w:cs="宋体" w:eastAsia="宋体" w:hint="default"/>
                <w:sz w:val="13"/>
                <w:szCs w:val="13"/>
              </w:rPr>
              <w:t>商业项目</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9"/>
              <w:jc w:val="right"/>
              <w:rPr>
                <w:rFonts w:ascii="宋体" w:hAnsi="宋体" w:cs="宋体" w:eastAsia="宋体" w:hint="default"/>
                <w:sz w:val="13"/>
                <w:szCs w:val="13"/>
              </w:rPr>
            </w:pPr>
            <w:r>
              <w:rPr>
                <w:rFonts w:ascii="Times New Roman" w:hAnsi="Times New Roman" w:cs="Times New Roman" w:eastAsia="Times New Roman" w:hint="default"/>
                <w:sz w:val="13"/>
                <w:szCs w:val="13"/>
              </w:rPr>
              <w:t>2017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z w:val="13"/>
                <w:szCs w:val="13"/>
              </w:rPr>
              <w:t> </w:t>
            </w:r>
            <w:r>
              <w:rPr>
                <w:rFonts w:ascii="宋体" w:hAnsi="宋体" w:cs="宋体" w:eastAsia="宋体" w:hint="default"/>
                <w:sz w:val="13"/>
                <w:szCs w:val="13"/>
              </w:rPr>
              <w:t>月</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7"/>
              <w:jc w:val="right"/>
              <w:rPr>
                <w:rFonts w:ascii="宋体" w:hAnsi="宋体" w:cs="宋体" w:eastAsia="宋体" w:hint="default"/>
                <w:sz w:val="13"/>
                <w:szCs w:val="13"/>
              </w:rPr>
            </w:pPr>
            <w:r>
              <w:rPr>
                <w:rFonts w:ascii="Times New Roman" w:hAnsi="Times New Roman" w:cs="Times New Roman" w:eastAsia="Times New Roman" w:hint="default"/>
                <w:sz w:val="13"/>
                <w:szCs w:val="13"/>
              </w:rPr>
              <w:t>2020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6 </w:t>
            </w:r>
            <w:r>
              <w:rPr>
                <w:rFonts w:ascii="宋体" w:hAnsi="宋体" w:cs="宋体" w:eastAsia="宋体" w:hint="default"/>
                <w:sz w:val="13"/>
                <w:szCs w:val="13"/>
              </w:rPr>
              <w:t>月</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53,000.00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17,540,107.17</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9,584,005.98</w:t>
            </w:r>
          </w:p>
        </w:tc>
        <w:tc>
          <w:tcPr>
            <w:tcW w:w="1082"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27,124,113.15</w:t>
            </w:r>
          </w:p>
        </w:tc>
        <w:tc>
          <w:tcPr>
            <w:tcW w:w="974"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自有资金</w:t>
            </w:r>
          </w:p>
        </w:tc>
      </w:tr>
      <w:tr>
        <w:trPr>
          <w:trHeight w:val="811"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8"/>
              <w:ind w:left="40" w:right="22" w:firstLine="67"/>
              <w:jc w:val="left"/>
              <w:rPr>
                <w:rFonts w:ascii="宋体" w:hAnsi="宋体" w:cs="宋体" w:eastAsia="宋体" w:hint="default"/>
                <w:sz w:val="13"/>
                <w:szCs w:val="13"/>
              </w:rPr>
            </w:pPr>
            <w:r>
              <w:rPr>
                <w:rFonts w:ascii="宋体" w:hAnsi="宋体" w:cs="宋体" w:eastAsia="宋体" w:hint="default"/>
                <w:sz w:val="13"/>
                <w:szCs w:val="13"/>
              </w:rPr>
              <w:t>广西海吉星合作发商</w:t>
            </w:r>
            <w:r>
              <w:rPr>
                <w:rFonts w:ascii="宋体" w:hAnsi="宋体" w:cs="宋体" w:eastAsia="宋体" w:hint="default"/>
                <w:w w:val="99"/>
                <w:sz w:val="13"/>
                <w:szCs w:val="13"/>
              </w:rPr>
              <w:t> </w:t>
            </w:r>
            <w:r>
              <w:rPr>
                <w:rFonts w:ascii="宋体" w:hAnsi="宋体" w:cs="宋体" w:eastAsia="宋体" w:hint="default"/>
                <w:sz w:val="13"/>
                <w:szCs w:val="13"/>
              </w:rPr>
              <w:t>业项目</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8"/>
                <w:szCs w:val="8"/>
              </w:rPr>
            </w:pPr>
          </w:p>
          <w:p>
            <w:pPr>
              <w:pStyle w:val="TableParagraph"/>
              <w:spacing w:line="240" w:lineRule="auto"/>
              <w:ind w:right="19"/>
              <w:jc w:val="right"/>
              <w:rPr>
                <w:rFonts w:ascii="宋体" w:hAnsi="宋体" w:cs="宋体" w:eastAsia="宋体" w:hint="default"/>
                <w:sz w:val="13"/>
                <w:szCs w:val="13"/>
              </w:rPr>
            </w:pPr>
            <w:r>
              <w:rPr>
                <w:rFonts w:ascii="Times New Roman" w:hAnsi="Times New Roman" w:cs="Times New Roman" w:eastAsia="Times New Roman" w:hint="default"/>
                <w:sz w:val="13"/>
                <w:szCs w:val="13"/>
              </w:rPr>
              <w:t>2016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 </w:t>
            </w:r>
            <w:r>
              <w:rPr>
                <w:rFonts w:ascii="宋体" w:hAnsi="宋体" w:cs="宋体" w:eastAsia="宋体" w:hint="default"/>
                <w:sz w:val="13"/>
                <w:szCs w:val="13"/>
              </w:rPr>
              <w:t>月</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8"/>
                <w:szCs w:val="8"/>
              </w:rPr>
            </w:pPr>
          </w:p>
          <w:p>
            <w:pPr>
              <w:pStyle w:val="TableParagraph"/>
              <w:spacing w:line="240" w:lineRule="auto"/>
              <w:ind w:right="17"/>
              <w:jc w:val="right"/>
              <w:rPr>
                <w:rFonts w:ascii="宋体" w:hAnsi="宋体" w:cs="宋体" w:eastAsia="宋体" w:hint="default"/>
                <w:sz w:val="13"/>
                <w:szCs w:val="13"/>
              </w:rPr>
            </w:pPr>
            <w:r>
              <w:rPr>
                <w:rFonts w:ascii="Times New Roman" w:hAnsi="Times New Roman" w:cs="Times New Roman" w:eastAsia="Times New Roman" w:hint="default"/>
                <w:sz w:val="13"/>
                <w:szCs w:val="13"/>
              </w:rPr>
              <w:t>2023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6 </w:t>
            </w:r>
            <w:r>
              <w:rPr>
                <w:rFonts w:ascii="宋体" w:hAnsi="宋体" w:cs="宋体" w:eastAsia="宋体" w:hint="default"/>
                <w:sz w:val="13"/>
                <w:szCs w:val="13"/>
              </w:rPr>
              <w:t>月</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pacing w:val="-1"/>
                <w:sz w:val="13"/>
              </w:rPr>
              <w:t>119,403.55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31,528,240.52</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2,299,130.43</w:t>
            </w:r>
          </w:p>
        </w:tc>
        <w:tc>
          <w:tcPr>
            <w:tcW w:w="1082"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32,946,766.25</w:t>
            </w: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880,604.70</w:t>
            </w:r>
          </w:p>
        </w:tc>
        <w:tc>
          <w:tcPr>
            <w:tcW w:w="974"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自有资金</w:t>
            </w:r>
          </w:p>
        </w:tc>
      </w:tr>
      <w:tr>
        <w:trPr>
          <w:trHeight w:val="1889"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6"/>
                <w:szCs w:val="6"/>
              </w:rPr>
            </w:pPr>
          </w:p>
          <w:p>
            <w:pPr>
              <w:pStyle w:val="TableParagraph"/>
              <w:spacing w:line="508" w:lineRule="auto"/>
              <w:ind w:left="40" w:right="22" w:firstLine="67"/>
              <w:jc w:val="left"/>
              <w:rPr>
                <w:rFonts w:ascii="宋体" w:hAnsi="宋体" w:cs="宋体" w:eastAsia="宋体" w:hint="default"/>
                <w:sz w:val="13"/>
                <w:szCs w:val="13"/>
              </w:rPr>
            </w:pPr>
            <w:r>
              <w:rPr>
                <w:rFonts w:ascii="宋体" w:hAnsi="宋体" w:cs="宋体" w:eastAsia="宋体" w:hint="default"/>
                <w:sz w:val="13"/>
                <w:szCs w:val="13"/>
              </w:rPr>
              <w:t>广西新柳邕农产品批</w:t>
            </w:r>
            <w:r>
              <w:rPr>
                <w:rFonts w:ascii="宋体" w:hAnsi="宋体" w:cs="宋体" w:eastAsia="宋体" w:hint="default"/>
                <w:w w:val="99"/>
                <w:sz w:val="13"/>
                <w:szCs w:val="13"/>
              </w:rPr>
              <w:t> </w:t>
            </w:r>
            <w:r>
              <w:rPr>
                <w:rFonts w:ascii="宋体" w:hAnsi="宋体" w:cs="宋体" w:eastAsia="宋体" w:hint="default"/>
                <w:sz w:val="13"/>
                <w:szCs w:val="13"/>
              </w:rPr>
              <w:t>发市场一期项目</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宋体" w:hAnsi="宋体" w:cs="宋体" w:eastAsia="宋体" w:hint="default"/>
                <w:sz w:val="13"/>
                <w:szCs w:val="13"/>
              </w:rPr>
            </w:pPr>
            <w:r>
              <w:rPr>
                <w:rFonts w:ascii="Times New Roman" w:hAnsi="Times New Roman" w:cs="Times New Roman" w:eastAsia="Times New Roman" w:hint="default"/>
                <w:sz w:val="13"/>
                <w:szCs w:val="13"/>
              </w:rPr>
              <w:t>2014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 </w:t>
            </w:r>
            <w:r>
              <w:rPr>
                <w:rFonts w:ascii="宋体" w:hAnsi="宋体" w:cs="宋体" w:eastAsia="宋体" w:hint="default"/>
                <w:sz w:val="13"/>
                <w:szCs w:val="13"/>
              </w:rPr>
              <w:t>月</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496" w:lineRule="auto"/>
              <w:ind w:left="23" w:right="5"/>
              <w:jc w:val="both"/>
              <w:rPr>
                <w:rFonts w:ascii="宋体" w:hAnsi="宋体" w:cs="宋体" w:eastAsia="宋体" w:hint="default"/>
                <w:sz w:val="13"/>
                <w:szCs w:val="13"/>
              </w:rPr>
            </w:pPr>
            <w:r>
              <w:rPr>
                <w:rFonts w:ascii="宋体" w:hAnsi="宋体" w:cs="宋体" w:eastAsia="宋体" w:hint="default"/>
                <w:sz w:val="13"/>
                <w:szCs w:val="13"/>
              </w:rPr>
              <w:t>一期工程已于 </w:t>
            </w:r>
            <w:r>
              <w:rPr>
                <w:rFonts w:ascii="Times New Roman" w:hAnsi="Times New Roman" w:cs="Times New Roman" w:eastAsia="Times New Roman" w:hint="default"/>
                <w:sz w:val="13"/>
                <w:szCs w:val="13"/>
              </w:rPr>
              <w:t>2015 </w:t>
            </w:r>
            <w:r>
              <w:rPr>
                <w:rFonts w:ascii="宋体" w:hAnsi="宋体" w:cs="宋体" w:eastAsia="宋体" w:hint="default"/>
                <w:sz w:val="13"/>
                <w:szCs w:val="13"/>
              </w:rPr>
              <w:t>年</w:t>
            </w:r>
            <w:r>
              <w:rPr>
                <w:rFonts w:ascii="宋体" w:hAnsi="宋体" w:cs="宋体" w:eastAsia="宋体" w:hint="default"/>
                <w:spacing w:val="-8"/>
                <w:sz w:val="13"/>
                <w:szCs w:val="13"/>
              </w:rPr>
              <w:t> </w:t>
            </w:r>
            <w:r>
              <w:rPr>
                <w:rFonts w:ascii="Times New Roman" w:hAnsi="Times New Roman" w:cs="Times New Roman" w:eastAsia="Times New Roman" w:hint="default"/>
                <w:sz w:val="13"/>
                <w:szCs w:val="13"/>
              </w:rPr>
              <w:t>8</w:t>
            </w:r>
            <w:r>
              <w:rPr>
                <w:rFonts w:ascii="Times New Roman" w:hAnsi="Times New Roman" w:cs="Times New Roman" w:eastAsia="Times New Roman" w:hint="default"/>
                <w:w w:val="99"/>
                <w:sz w:val="13"/>
                <w:szCs w:val="13"/>
              </w:rPr>
              <w:t> </w:t>
            </w:r>
            <w:r>
              <w:rPr>
                <w:rFonts w:ascii="宋体" w:hAnsi="宋体" w:cs="宋体" w:eastAsia="宋体" w:hint="default"/>
                <w:spacing w:val="12"/>
                <w:sz w:val="13"/>
                <w:szCs w:val="13"/>
              </w:rPr>
              <w:t>月完工，二期工程已于</w:t>
            </w:r>
            <w:r>
              <w:rPr>
                <w:rFonts w:ascii="宋体" w:hAnsi="宋体" w:cs="宋体" w:eastAsia="宋体" w:hint="default"/>
                <w:spacing w:val="-51"/>
                <w:sz w:val="13"/>
                <w:szCs w:val="13"/>
              </w:rPr>
              <w:t> </w:t>
            </w:r>
            <w:r>
              <w:rPr>
                <w:rFonts w:ascii="Times New Roman" w:hAnsi="Times New Roman" w:cs="Times New Roman" w:eastAsia="Times New Roman" w:hint="default"/>
                <w:sz w:val="13"/>
                <w:szCs w:val="13"/>
              </w:rPr>
              <w:t>2017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7 </w:t>
            </w:r>
            <w:r>
              <w:rPr>
                <w:rFonts w:ascii="宋体" w:hAnsi="宋体" w:cs="宋体" w:eastAsia="宋体" w:hint="default"/>
                <w:spacing w:val="-6"/>
                <w:sz w:val="13"/>
                <w:szCs w:val="13"/>
              </w:rPr>
              <w:t>月完工，三期工</w:t>
            </w:r>
          </w:p>
          <w:p>
            <w:pPr>
              <w:pStyle w:val="TableParagraph"/>
              <w:spacing w:line="240" w:lineRule="auto" w:before="26"/>
              <w:ind w:left="23" w:right="0"/>
              <w:jc w:val="both"/>
              <w:rPr>
                <w:rFonts w:ascii="宋体" w:hAnsi="宋体" w:cs="宋体" w:eastAsia="宋体" w:hint="default"/>
                <w:sz w:val="13"/>
                <w:szCs w:val="13"/>
              </w:rPr>
            </w:pPr>
            <w:r>
              <w:rPr>
                <w:rFonts w:ascii="宋体" w:hAnsi="宋体" w:cs="宋体" w:eastAsia="宋体" w:hint="default"/>
                <w:sz w:val="13"/>
                <w:szCs w:val="13"/>
              </w:rPr>
              <w:t>程</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月竣工，四</w:t>
            </w: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both"/>
              <w:rPr>
                <w:rFonts w:ascii="宋体" w:hAnsi="宋体" w:cs="宋体" w:eastAsia="宋体" w:hint="default"/>
                <w:sz w:val="13"/>
                <w:szCs w:val="13"/>
              </w:rPr>
            </w:pPr>
            <w:r>
              <w:rPr>
                <w:rFonts w:ascii="宋体" w:hAnsi="宋体" w:cs="宋体" w:eastAsia="宋体" w:hint="default"/>
                <w:sz w:val="13"/>
                <w:szCs w:val="13"/>
              </w:rPr>
              <w:t>期工程暂未规划</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87,800.00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85,918,394.70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80,758,826.50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11,435,551.57</w:t>
            </w:r>
          </w:p>
        </w:tc>
        <w:tc>
          <w:tcPr>
            <w:tcW w:w="1030" w:type="dxa"/>
            <w:tcBorders>
              <w:top w:val="dotted" w:sz="4" w:space="0" w:color="000000"/>
              <w:left w:val="dotted" w:sz="4" w:space="0" w:color="000000"/>
              <w:bottom w:val="dotted" w:sz="4" w:space="0" w:color="000000"/>
              <w:right w:val="dotted" w:sz="4" w:space="0" w:color="000000"/>
            </w:tcBorders>
          </w:tcPr>
          <w:p>
            <w:pP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155,241,669.63</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7"/>
                <w:szCs w:val="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78,348.06</w:t>
            </w:r>
          </w:p>
        </w:tc>
        <w:tc>
          <w:tcPr>
            <w:tcW w:w="968"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6"/>
                <w:szCs w:val="6"/>
              </w:rPr>
            </w:pPr>
          </w:p>
          <w:p>
            <w:pPr>
              <w:pStyle w:val="TableParagraph"/>
              <w:spacing w:line="508" w:lineRule="auto"/>
              <w:ind w:left="23" w:right="29"/>
              <w:jc w:val="left"/>
              <w:rPr>
                <w:rFonts w:ascii="宋体" w:hAnsi="宋体" w:cs="宋体" w:eastAsia="宋体" w:hint="default"/>
                <w:sz w:val="13"/>
                <w:szCs w:val="13"/>
              </w:rPr>
            </w:pPr>
            <w:r>
              <w:rPr>
                <w:rFonts w:ascii="宋体" w:hAnsi="宋体" w:cs="宋体" w:eastAsia="宋体" w:hint="default"/>
                <w:spacing w:val="-2"/>
                <w:sz w:val="13"/>
                <w:szCs w:val="13"/>
              </w:rPr>
              <w:t>自有资金、外部</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借款</w:t>
            </w:r>
          </w:p>
        </w:tc>
      </w:tr>
      <w:tr>
        <w:trPr>
          <w:trHeight w:val="811"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8"/>
              <w:ind w:left="40" w:right="22" w:firstLine="67"/>
              <w:jc w:val="left"/>
              <w:rPr>
                <w:rFonts w:ascii="宋体" w:hAnsi="宋体" w:cs="宋体" w:eastAsia="宋体" w:hint="default"/>
                <w:sz w:val="13"/>
                <w:szCs w:val="13"/>
              </w:rPr>
            </w:pPr>
            <w:r>
              <w:rPr>
                <w:rFonts w:ascii="宋体" w:hAnsi="宋体" w:cs="宋体" w:eastAsia="宋体" w:hint="default"/>
                <w:sz w:val="13"/>
                <w:szCs w:val="13"/>
              </w:rPr>
              <w:t>广西新柳邕农产品批</w:t>
            </w:r>
            <w:r>
              <w:rPr>
                <w:rFonts w:ascii="宋体" w:hAnsi="宋体" w:cs="宋体" w:eastAsia="宋体" w:hint="default"/>
                <w:w w:val="99"/>
                <w:sz w:val="13"/>
                <w:szCs w:val="13"/>
              </w:rPr>
              <w:t> </w:t>
            </w:r>
            <w:r>
              <w:rPr>
                <w:rFonts w:ascii="宋体" w:hAnsi="宋体" w:cs="宋体" w:eastAsia="宋体" w:hint="default"/>
                <w:sz w:val="13"/>
                <w:szCs w:val="13"/>
              </w:rPr>
              <w:t>发市场二期项目</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宋体" w:hAnsi="宋体" w:cs="宋体" w:eastAsia="宋体" w:hint="default"/>
                <w:sz w:val="13"/>
                <w:szCs w:val="13"/>
              </w:rPr>
            </w:pPr>
            <w:r>
              <w:rPr>
                <w:rFonts w:ascii="宋体" w:hAnsi="宋体" w:cs="宋体" w:eastAsia="宋体" w:hint="default"/>
                <w:w w:val="95"/>
                <w:sz w:val="13"/>
                <w:szCs w:val="13"/>
              </w:rPr>
              <w:t>暂未开工</w:t>
            </w:r>
            <w:r>
              <w:rPr>
                <w:rFonts w:ascii="宋体" w:hAnsi="宋体" w:cs="宋体" w:eastAsia="宋体" w:hint="default"/>
                <w:sz w:val="13"/>
                <w:szCs w:val="13"/>
              </w:rPr>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23" w:right="0"/>
              <w:jc w:val="left"/>
              <w:rPr>
                <w:rFonts w:ascii="宋体" w:hAnsi="宋体" w:cs="宋体" w:eastAsia="宋体" w:hint="default"/>
                <w:sz w:val="13"/>
                <w:szCs w:val="13"/>
              </w:rPr>
            </w:pPr>
            <w:r>
              <w:rPr>
                <w:rFonts w:ascii="宋体" w:hAnsi="宋体" w:cs="宋体" w:eastAsia="宋体" w:hint="default"/>
                <w:sz w:val="13"/>
                <w:szCs w:val="13"/>
              </w:rPr>
              <w:t>暂未规划</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87,197,911.57</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23,971,048.78</w:t>
            </w:r>
          </w:p>
        </w:tc>
        <w:tc>
          <w:tcPr>
            <w:tcW w:w="1082"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111,168,960.35</w:t>
            </w:r>
          </w:p>
        </w:tc>
        <w:tc>
          <w:tcPr>
            <w:tcW w:w="974"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nil" w:sz="6" w:space="0" w:color="auto"/>
            </w:tcBorders>
          </w:tcPr>
          <w:p>
            <w:pPr>
              <w:pStyle w:val="TableParagraph"/>
              <w:spacing w:line="350" w:lineRule="atLeast" w:before="28"/>
              <w:ind w:left="23" w:right="29"/>
              <w:jc w:val="left"/>
              <w:rPr>
                <w:rFonts w:ascii="宋体" w:hAnsi="宋体" w:cs="宋体" w:eastAsia="宋体" w:hint="default"/>
                <w:sz w:val="13"/>
                <w:szCs w:val="13"/>
              </w:rPr>
            </w:pPr>
            <w:r>
              <w:rPr>
                <w:rFonts w:ascii="宋体" w:hAnsi="宋体" w:cs="宋体" w:eastAsia="宋体" w:hint="default"/>
                <w:spacing w:val="-2"/>
                <w:sz w:val="13"/>
                <w:szCs w:val="13"/>
              </w:rPr>
              <w:t>自有资金、外部</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借款</w:t>
            </w:r>
          </w:p>
        </w:tc>
      </w:tr>
      <w:tr>
        <w:trPr>
          <w:trHeight w:val="809"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40" w:right="24"/>
              <w:jc w:val="left"/>
              <w:rPr>
                <w:rFonts w:ascii="宋体" w:hAnsi="宋体" w:cs="宋体" w:eastAsia="宋体" w:hint="default"/>
                <w:sz w:val="13"/>
                <w:szCs w:val="13"/>
              </w:rPr>
            </w:pPr>
            <w:r>
              <w:rPr>
                <w:rFonts w:ascii="宋体" w:hAnsi="宋体" w:cs="宋体" w:eastAsia="宋体" w:hint="default"/>
                <w:spacing w:val="8"/>
                <w:sz w:val="13"/>
                <w:szCs w:val="13"/>
              </w:rPr>
              <w:t>安庆海吉星农产品物</w:t>
            </w:r>
            <w:r>
              <w:rPr>
                <w:rFonts w:ascii="宋体" w:hAnsi="宋体" w:cs="宋体" w:eastAsia="宋体" w:hint="default"/>
                <w:w w:val="99"/>
                <w:sz w:val="13"/>
                <w:szCs w:val="13"/>
              </w:rPr>
              <w:t> </w:t>
            </w:r>
            <w:r>
              <w:rPr>
                <w:rFonts w:ascii="宋体" w:hAnsi="宋体" w:cs="宋体" w:eastAsia="宋体" w:hint="default"/>
                <w:sz w:val="13"/>
                <w:szCs w:val="13"/>
              </w:rPr>
              <w:t>流园</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23"/>
              <w:jc w:val="right"/>
              <w:rPr>
                <w:rFonts w:ascii="宋体" w:hAnsi="宋体" w:cs="宋体" w:eastAsia="宋体" w:hint="default"/>
                <w:sz w:val="13"/>
                <w:szCs w:val="13"/>
              </w:rPr>
            </w:pP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7"/>
              <w:jc w:val="right"/>
              <w:rPr>
                <w:rFonts w:ascii="宋体" w:hAnsi="宋体" w:cs="宋体" w:eastAsia="宋体"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12 </w:t>
            </w:r>
            <w:r>
              <w:rPr>
                <w:rFonts w:ascii="宋体" w:hAnsi="宋体" w:cs="宋体" w:eastAsia="宋体" w:hint="default"/>
                <w:sz w:val="13"/>
                <w:szCs w:val="13"/>
              </w:rPr>
              <w:t>月</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158,758,555.40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14,049,016.08</w:t>
            </w:r>
          </w:p>
        </w:tc>
        <w:tc>
          <w:tcPr>
            <w:tcW w:w="1082"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
        </w:tc>
        <w:tc>
          <w:tcPr>
            <w:tcW w:w="11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172,807,571.48</w:t>
            </w:r>
          </w:p>
        </w:tc>
        <w:tc>
          <w:tcPr>
            <w:tcW w:w="974"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nil" w:sz="6" w:space="0" w:color="auto"/>
            </w:tcBorders>
          </w:tcPr>
          <w:p>
            <w:pPr>
              <w:pStyle w:val="TableParagraph"/>
              <w:spacing w:line="360" w:lineRule="atLeast" w:before="16"/>
              <w:ind w:left="23" w:right="29"/>
              <w:jc w:val="left"/>
              <w:rPr>
                <w:rFonts w:ascii="宋体" w:hAnsi="宋体" w:cs="宋体" w:eastAsia="宋体" w:hint="default"/>
                <w:sz w:val="13"/>
                <w:szCs w:val="13"/>
              </w:rPr>
            </w:pPr>
            <w:r>
              <w:rPr>
                <w:rFonts w:ascii="宋体" w:hAnsi="宋体" w:cs="宋体" w:eastAsia="宋体" w:hint="default"/>
                <w:spacing w:val="-2"/>
                <w:sz w:val="13"/>
                <w:szCs w:val="13"/>
              </w:rPr>
              <w:t>自有资金、外部</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借款</w:t>
            </w:r>
          </w:p>
        </w:tc>
      </w:tr>
      <w:tr>
        <w:trPr>
          <w:trHeight w:val="461" w:hRule="exact"/>
        </w:trPr>
        <w:tc>
          <w:tcPr>
            <w:tcW w:w="13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869" w:type="dxa"/>
            <w:tcBorders>
              <w:top w:val="dotted" w:sz="4" w:space="0" w:color="000000"/>
              <w:left w:val="dotted" w:sz="4" w:space="0" w:color="000000"/>
              <w:bottom w:val="single" w:sz="12" w:space="0" w:color="000000"/>
              <w:right w:val="dotted" w:sz="4" w:space="0" w:color="000000"/>
            </w:tcBorders>
          </w:tcPr>
          <w:p>
            <w:pPr/>
          </w:p>
        </w:tc>
        <w:tc>
          <w:tcPr>
            <w:tcW w:w="1481" w:type="dxa"/>
            <w:tcBorders>
              <w:top w:val="dotted" w:sz="4" w:space="0" w:color="000000"/>
              <w:left w:val="dotted" w:sz="4" w:space="0" w:color="000000"/>
              <w:bottom w:val="single" w:sz="12" w:space="0" w:color="000000"/>
              <w:right w:val="dotted" w:sz="4" w:space="0" w:color="000000"/>
            </w:tcBorders>
          </w:tcPr>
          <w:p>
            <w:pPr/>
          </w:p>
        </w:tc>
        <w:tc>
          <w:tcPr>
            <w:tcW w:w="977"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380,943,209.36</w:t>
            </w:r>
          </w:p>
        </w:tc>
        <w:tc>
          <w:tcPr>
            <w:tcW w:w="11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130,662,027.77</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11,435,551.57</w:t>
            </w:r>
          </w:p>
        </w:tc>
        <w:tc>
          <w:tcPr>
            <w:tcW w:w="10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32,946,766.25</w:t>
            </w:r>
          </w:p>
        </w:tc>
        <w:tc>
          <w:tcPr>
            <w:tcW w:w="11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467,222,919.31</w:t>
            </w:r>
          </w:p>
        </w:tc>
        <w:tc>
          <w:tcPr>
            <w:tcW w:w="9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78,348.06</w:t>
            </w:r>
          </w:p>
        </w:tc>
        <w:tc>
          <w:tcPr>
            <w:tcW w:w="968" w:type="dxa"/>
            <w:tcBorders>
              <w:top w:val="dotted" w:sz="4" w:space="0" w:color="000000"/>
              <w:left w:val="dotted" w:sz="4" w:space="0" w:color="000000"/>
              <w:bottom w:val="single" w:sz="12" w:space="0" w:color="000000"/>
              <w:right w:val="dotted" w:sz="4" w:space="0" w:color="000000"/>
            </w:tcBorders>
          </w:tcPr>
          <w:p>
            <w:pPr/>
          </w:p>
        </w:tc>
        <w:tc>
          <w:tcPr>
            <w:tcW w:w="960"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98"/>
          <w:footerReference w:type="default" r:id="rId99"/>
          <w:pgSz w:w="16840" w:h="11910" w:orient="landscape"/>
          <w:pgMar w:header="779" w:footer="997" w:top="1000" w:bottom="1180" w:left="1300" w:right="1260"/>
          <w:pgNumType w:start="34"/>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4"/>
          <w:szCs w:val="14"/>
        </w:rPr>
      </w:pPr>
    </w:p>
    <w:p>
      <w:pPr>
        <w:pStyle w:val="Heading6"/>
        <w:tabs>
          <w:tab w:pos="1400" w:val="left" w:leader="none"/>
        </w:tabs>
        <w:spacing w:line="335" w:lineRule="exact"/>
        <w:ind w:left="848" w:right="0"/>
        <w:jc w:val="left"/>
        <w:rPr>
          <w:b w:val="0"/>
          <w:bCs w:val="0"/>
        </w:rPr>
      </w:pPr>
      <w:r>
        <w:rPr>
          <w:rFonts w:ascii="Times New Roman" w:hAnsi="Times New Roman" w:cs="Times New Roman" w:eastAsia="Times New Roman" w:hint="default"/>
        </w:rPr>
        <w:t>4</w:t>
      </w:r>
      <w:r>
        <w:rPr/>
        <w:t>、</w:t>
        <w:tab/>
        <w:t>开发产品</w:t>
      </w:r>
      <w:r>
        <w:rPr>
          <w:b w:val="0"/>
          <w:bCs w:val="0"/>
        </w:rPr>
      </w:r>
    </w:p>
    <w:tbl>
      <w:tblPr>
        <w:tblW w:w="0" w:type="auto"/>
        <w:jc w:val="left"/>
        <w:tblInd w:w="925" w:type="dxa"/>
        <w:tblLayout w:type="fixed"/>
        <w:tblCellMar>
          <w:top w:w="0" w:type="dxa"/>
          <w:left w:w="0" w:type="dxa"/>
          <w:bottom w:w="0" w:type="dxa"/>
          <w:right w:w="0" w:type="dxa"/>
        </w:tblCellMar>
        <w:tblLook w:val="01E0"/>
      </w:tblPr>
      <w:tblGrid>
        <w:gridCol w:w="1889"/>
        <w:gridCol w:w="1484"/>
        <w:gridCol w:w="1898"/>
        <w:gridCol w:w="1402"/>
        <w:gridCol w:w="1500"/>
        <w:gridCol w:w="1599"/>
        <w:gridCol w:w="1863"/>
        <w:gridCol w:w="1555"/>
      </w:tblGrid>
      <w:tr>
        <w:trPr>
          <w:trHeight w:val="821" w:hRule="exact"/>
        </w:trPr>
        <w:tc>
          <w:tcPr>
            <w:tcW w:w="18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8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利息资本化累计金额</w:t>
            </w:r>
          </w:p>
        </w:tc>
        <w:tc>
          <w:tcPr>
            <w:tcW w:w="1555" w:type="dxa"/>
            <w:tcBorders>
              <w:top w:val="single" w:sz="12" w:space="0" w:color="000000"/>
              <w:left w:val="dotted" w:sz="4" w:space="0" w:color="000000"/>
              <w:bottom w:val="dotted" w:sz="4" w:space="0" w:color="000000"/>
              <w:right w:val="nil" w:sz="6" w:space="0" w:color="auto"/>
            </w:tcBorders>
          </w:tcPr>
          <w:p>
            <w:pPr>
              <w:pStyle w:val="TableParagraph"/>
              <w:spacing w:line="367" w:lineRule="auto" w:before="135"/>
              <w:ind w:left="412" w:right="55" w:hanging="360"/>
              <w:jc w:val="left"/>
              <w:rPr>
                <w:rFonts w:ascii="宋体" w:hAnsi="宋体" w:cs="宋体" w:eastAsia="宋体" w:hint="default"/>
                <w:sz w:val="18"/>
                <w:szCs w:val="18"/>
              </w:rPr>
            </w:pPr>
            <w:r>
              <w:rPr>
                <w:rFonts w:ascii="宋体" w:hAnsi="宋体" w:cs="宋体" w:eastAsia="宋体" w:hint="default"/>
                <w:sz w:val="18"/>
                <w:szCs w:val="18"/>
              </w:rPr>
              <w:t>其中：本期利息资 本化金额</w:t>
            </w:r>
          </w:p>
        </w:tc>
      </w:tr>
      <w:tr>
        <w:trPr>
          <w:trHeight w:val="1169" w:hRule="exact"/>
        </w:trPr>
        <w:tc>
          <w:tcPr>
            <w:tcW w:w="1889"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0" w:right="17" w:firstLine="91"/>
              <w:jc w:val="both"/>
              <w:rPr>
                <w:rFonts w:ascii="宋体" w:hAnsi="宋体" w:cs="宋体" w:eastAsia="宋体" w:hint="default"/>
                <w:sz w:val="18"/>
                <w:szCs w:val="18"/>
              </w:rPr>
            </w:pPr>
            <w:r>
              <w:rPr>
                <w:rFonts w:ascii="宋体" w:hAnsi="宋体" w:cs="宋体" w:eastAsia="宋体" w:hint="default"/>
                <w:spacing w:val="11"/>
                <w:sz w:val="18"/>
                <w:szCs w:val="18"/>
              </w:rPr>
              <w:t>广西新柳邕农产品批</w:t>
            </w:r>
            <w:r>
              <w:rPr>
                <w:rFonts w:ascii="宋体" w:hAnsi="宋体" w:cs="宋体" w:eastAsia="宋体" w:hint="default"/>
                <w:sz w:val="18"/>
                <w:szCs w:val="18"/>
              </w:rPr>
              <w:t> 发市场一期项目一期工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程</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10,967,146.84</w:t>
            </w:r>
          </w:p>
        </w:tc>
        <w:tc>
          <w:tcPr>
            <w:tcW w:w="1402" w:type="dxa"/>
            <w:tcBorders>
              <w:top w:val="dotted" w:sz="4" w:space="0" w:color="000000"/>
              <w:left w:val="dotted" w:sz="4" w:space="0" w:color="000000"/>
              <w:bottom w:val="dotted" w:sz="4" w:space="0" w:color="000000"/>
              <w:right w:val="dotted" w:sz="4" w:space="0" w:color="000000"/>
            </w:tcBorders>
          </w:tcPr>
          <w:p>
            <w:pP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1,717,081.66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9,250,065.18</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213,954.92</w:t>
            </w:r>
          </w:p>
        </w:tc>
        <w:tc>
          <w:tcPr>
            <w:tcW w:w="1555" w:type="dxa"/>
            <w:tcBorders>
              <w:top w:val="dotted" w:sz="4" w:space="0" w:color="000000"/>
              <w:left w:val="dotted" w:sz="4" w:space="0" w:color="000000"/>
              <w:bottom w:val="dotted" w:sz="4" w:space="0" w:color="000000"/>
              <w:right w:val="nil" w:sz="6" w:space="0" w:color="auto"/>
            </w:tcBorders>
          </w:tcPr>
          <w:p>
            <w:pPr/>
          </w:p>
        </w:tc>
      </w:tr>
      <w:tr>
        <w:trPr>
          <w:trHeight w:val="1171" w:hRule="exact"/>
        </w:trPr>
        <w:tc>
          <w:tcPr>
            <w:tcW w:w="1889"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0" w:right="17" w:firstLine="91"/>
              <w:jc w:val="both"/>
              <w:rPr>
                <w:rFonts w:ascii="宋体" w:hAnsi="宋体" w:cs="宋体" w:eastAsia="宋体" w:hint="default"/>
                <w:sz w:val="18"/>
                <w:szCs w:val="18"/>
              </w:rPr>
            </w:pPr>
            <w:r>
              <w:rPr>
                <w:rFonts w:ascii="宋体" w:hAnsi="宋体" w:cs="宋体" w:eastAsia="宋体" w:hint="default"/>
                <w:spacing w:val="11"/>
                <w:sz w:val="18"/>
                <w:szCs w:val="18"/>
              </w:rPr>
              <w:t>广西新柳邕农产品批</w:t>
            </w:r>
            <w:r>
              <w:rPr>
                <w:rFonts w:ascii="宋体" w:hAnsi="宋体" w:cs="宋体" w:eastAsia="宋体" w:hint="default"/>
                <w:sz w:val="18"/>
                <w:szCs w:val="18"/>
              </w:rPr>
              <w:t> 发市场一期项目二期工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程</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73,674,542.32</w:t>
            </w:r>
            <w:r>
              <w:rPr>
                <w:rFonts w:ascii="Times New Roman"/>
                <w:sz w:val="18"/>
              </w:rPr>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11,435,551.57</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10,570,434.67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74,539,659.22</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1,315,928.10</w:t>
            </w:r>
          </w:p>
        </w:tc>
        <w:tc>
          <w:tcPr>
            <w:tcW w:w="155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8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31" w:right="0"/>
              <w:jc w:val="left"/>
              <w:rPr>
                <w:rFonts w:ascii="宋体" w:hAnsi="宋体" w:cs="宋体" w:eastAsia="宋体" w:hint="default"/>
                <w:sz w:val="18"/>
                <w:szCs w:val="18"/>
              </w:rPr>
            </w:pPr>
            <w:r>
              <w:rPr>
                <w:rFonts w:ascii="宋体" w:hAnsi="宋体" w:cs="宋体" w:eastAsia="宋体" w:hint="default"/>
                <w:sz w:val="18"/>
                <w:szCs w:val="18"/>
              </w:rPr>
              <w:t>天津静海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型楼</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49,854,993.79</w:t>
            </w:r>
          </w:p>
        </w:tc>
        <w:tc>
          <w:tcPr>
            <w:tcW w:w="1402" w:type="dxa"/>
            <w:tcBorders>
              <w:top w:val="dotted" w:sz="4" w:space="0" w:color="000000"/>
              <w:left w:val="dotted" w:sz="4" w:space="0" w:color="000000"/>
              <w:bottom w:val="dotted" w:sz="4" w:space="0" w:color="000000"/>
              <w:right w:val="dotted" w:sz="4" w:space="0" w:color="000000"/>
            </w:tcBorders>
          </w:tcPr>
          <w:p>
            <w:pPr/>
          </w:p>
        </w:tc>
        <w:tc>
          <w:tcPr>
            <w:tcW w:w="1500"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49,854,993.79</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606,434.17</w:t>
            </w:r>
          </w:p>
        </w:tc>
        <w:tc>
          <w:tcPr>
            <w:tcW w:w="1555"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8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4" w:type="dxa"/>
            <w:tcBorders>
              <w:top w:val="dotted" w:sz="4" w:space="0" w:color="000000"/>
              <w:left w:val="dotted" w:sz="4" w:space="0" w:color="000000"/>
              <w:bottom w:val="single" w:sz="12" w:space="0" w:color="000000"/>
              <w:right w:val="dotted" w:sz="4" w:space="0" w:color="000000"/>
            </w:tcBorders>
          </w:tcPr>
          <w:p>
            <w:pPr/>
          </w:p>
        </w:tc>
        <w:tc>
          <w:tcPr>
            <w:tcW w:w="18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134,496,682.95</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11,435,551.57</w:t>
            </w:r>
          </w:p>
        </w:tc>
        <w:tc>
          <w:tcPr>
            <w:tcW w:w="15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12,287,516.33</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133,644,718.19</w:t>
            </w: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2,136,317.19</w:t>
            </w:r>
          </w:p>
        </w:tc>
        <w:tc>
          <w:tcPr>
            <w:tcW w:w="1555"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60"/>
        </w:sectPr>
      </w:pPr>
    </w:p>
    <w:p>
      <w:pPr>
        <w:spacing w:line="240" w:lineRule="auto" w:before="10"/>
        <w:rPr>
          <w:rFonts w:ascii="Microsoft JhengHei" w:hAnsi="Microsoft JhengHei" w:cs="Microsoft JhengHei" w:eastAsia="Microsoft JhengHei" w:hint="default"/>
          <w:b/>
          <w:bCs/>
          <w:sz w:val="27"/>
          <w:szCs w:val="27"/>
        </w:rPr>
      </w:pPr>
    </w:p>
    <w:p>
      <w:pPr>
        <w:pStyle w:val="Heading6"/>
        <w:tabs>
          <w:tab w:pos="850" w:val="left" w:leader="none"/>
        </w:tabs>
        <w:spacing w:line="335" w:lineRule="exact"/>
        <w:ind w:left="138" w:right="1675"/>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持有待售资产</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351"/>
        <w:gridCol w:w="2213"/>
        <w:gridCol w:w="2213"/>
      </w:tblGrid>
      <w:tr>
        <w:trPr>
          <w:trHeight w:val="461" w:hRule="exact"/>
        </w:trPr>
        <w:tc>
          <w:tcPr>
            <w:tcW w:w="33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13" w:type="dxa"/>
            <w:tcBorders>
              <w:top w:val="dotted" w:sz="4" w:space="0" w:color="000000"/>
              <w:left w:val="dotted" w:sz="4" w:space="0" w:color="000000"/>
              <w:bottom w:val="dotted" w:sz="4" w:space="0" w:color="000000"/>
              <w:right w:val="dotted" w:sz="4" w:space="0" w:color="000000"/>
            </w:tcBorders>
          </w:tcPr>
          <w:p>
            <w:pP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10,680,056.24</w:t>
            </w:r>
          </w:p>
        </w:tc>
      </w:tr>
      <w:tr>
        <w:trPr>
          <w:trHeight w:val="451"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划分为持有待售的处置组中的资产</w:t>
            </w:r>
          </w:p>
        </w:tc>
        <w:tc>
          <w:tcPr>
            <w:tcW w:w="2213" w:type="dxa"/>
            <w:tcBorders>
              <w:top w:val="dotted" w:sz="4" w:space="0" w:color="000000"/>
              <w:left w:val="dotted" w:sz="4" w:space="0" w:color="000000"/>
              <w:bottom w:val="dotted" w:sz="4" w:space="0" w:color="000000"/>
              <w:right w:val="dotted" w:sz="4" w:space="0" w:color="000000"/>
            </w:tcBorders>
          </w:tcPr>
          <w:p>
            <w:pPr/>
          </w:p>
        </w:tc>
        <w:tc>
          <w:tcPr>
            <w:tcW w:w="2213"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3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dotted" w:sz="4" w:space="0" w:color="000000"/>
              <w:left w:val="dotted" w:sz="4" w:space="0" w:color="000000"/>
              <w:bottom w:val="single" w:sz="12" w:space="0" w:color="000000"/>
              <w:right w:val="dotted" w:sz="4" w:space="0" w:color="000000"/>
            </w:tcBorders>
          </w:tcPr>
          <w:p>
            <w:pPr/>
          </w:p>
        </w:tc>
        <w:tc>
          <w:tcPr>
            <w:tcW w:w="22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10,680,056.24</w:t>
            </w: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31" w:lineRule="auto"/>
        <w:ind w:left="850" w:right="1788"/>
        <w:jc w:val="both"/>
      </w:pPr>
      <w:r>
        <w:rPr/>
        <w:t>说明：</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日，本公司之子公司深圳市果菜贸易有限公司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果</w:t>
      </w:r>
      <w:r>
        <w:rPr>
          <w:w w:val="100"/>
        </w:rPr>
        <w:t> </w:t>
      </w:r>
      <w:r>
        <w:rPr>
          <w:spacing w:val="-5"/>
          <w:w w:val="100"/>
        </w:rPr>
        <w:t>菜公司</w:t>
      </w:r>
      <w:r>
        <w:rPr>
          <w:rFonts w:ascii="Times New Roman" w:hAnsi="Times New Roman" w:cs="Times New Roman" w:eastAsia="Times New Roman" w:hint="default"/>
          <w:spacing w:val="-5"/>
          <w:w w:val="100"/>
        </w:rPr>
        <w:t>”)</w:t>
      </w:r>
      <w:r>
        <w:rPr>
          <w:spacing w:val="-5"/>
          <w:w w:val="100"/>
        </w:rPr>
        <w:t>与深圳市盈信国富资产管理有限公司签订《股权及债权转让协议书》，标的</w:t>
      </w:r>
      <w:r>
        <w:rPr>
          <w:spacing w:val="-91"/>
          <w:w w:val="100"/>
        </w:rPr>
        <w:t> </w:t>
      </w:r>
      <w:r>
        <w:rPr>
          <w:spacing w:val="-91"/>
          <w:w w:val="100"/>
        </w:rPr>
      </w:r>
      <w:r>
        <w:rPr>
          <w:spacing w:val="-5"/>
          <w:w w:val="100"/>
        </w:rPr>
        <w:t>资产为深圳市益民食品联合有限公司股权及全部债权，交易对价为</w:t>
      </w:r>
      <w:r>
        <w:rPr>
          <w:w w:val="100"/>
        </w:rPr>
        <w:t> </w:t>
      </w:r>
      <w:r>
        <w:rPr>
          <w:rFonts w:ascii="Times New Roman" w:hAnsi="Times New Roman" w:cs="Times New Roman" w:eastAsia="Times New Roman" w:hint="default"/>
          <w:spacing w:val="-1"/>
          <w:w w:val="100"/>
        </w:rPr>
        <w:t>5,260.00</w:t>
      </w:r>
      <w:r>
        <w:rPr>
          <w:rFonts w:ascii="Times New Roman" w:hAnsi="Times New Roman" w:cs="Times New Roman" w:eastAsia="Times New Roman" w:hint="default"/>
          <w:spacing w:val="-30"/>
          <w:w w:val="100"/>
        </w:rPr>
        <w:t> </w:t>
      </w:r>
      <w:r>
        <w:rPr>
          <w:spacing w:val="-23"/>
          <w:w w:val="100"/>
        </w:rPr>
        <w:t>万元（含</w:t>
      </w:r>
    </w:p>
    <w:p>
      <w:pPr>
        <w:pStyle w:val="BodyText"/>
        <w:spacing w:line="240" w:lineRule="auto" w:before="21"/>
        <w:ind w:left="850" w:right="0"/>
        <w:jc w:val="both"/>
      </w:pPr>
      <w:r>
        <w:rPr>
          <w:w w:val="100"/>
        </w:rPr>
        <w:t>标的</w:t>
      </w:r>
      <w:r>
        <w:rPr>
          <w:spacing w:val="-3"/>
          <w:w w:val="100"/>
        </w:rPr>
        <w:t>股</w:t>
      </w:r>
      <w:r>
        <w:rPr>
          <w:w w:val="100"/>
        </w:rPr>
        <w:t>权</w:t>
      </w:r>
      <w:r>
        <w:rPr>
          <w:spacing w:val="-3"/>
          <w:w w:val="100"/>
        </w:rPr>
        <w:t>及</w:t>
      </w:r>
      <w:r>
        <w:rPr>
          <w:w w:val="100"/>
        </w:rPr>
        <w:t>债</w:t>
      </w:r>
      <w:r>
        <w:rPr>
          <w:spacing w:val="-3"/>
          <w:w w:val="100"/>
        </w:rPr>
        <w:t>权</w:t>
      </w:r>
      <w:r>
        <w:rPr>
          <w:w w:val="100"/>
        </w:rPr>
        <w:t>价</w:t>
      </w:r>
      <w:r>
        <w:rPr>
          <w:spacing w:val="-3"/>
          <w:w w:val="100"/>
        </w:rPr>
        <w:t>格</w:t>
      </w:r>
      <w:r>
        <w:rPr>
          <w:spacing w:val="-106"/>
          <w:w w:val="100"/>
        </w:rPr>
        <w:t>）</w:t>
      </w:r>
      <w:r>
        <w:rPr>
          <w:spacing w:val="-3"/>
          <w:w w:val="100"/>
        </w:rPr>
        <w:t>。截</w:t>
      </w:r>
      <w:r>
        <w:rPr>
          <w:w w:val="100"/>
        </w:rPr>
        <w:t>止</w:t>
      </w:r>
      <w:r>
        <w:rPr>
          <w:spacing w:val="-45"/>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5"/>
        </w:rPr>
        <w:t> </w:t>
      </w:r>
      <w:r>
        <w:rPr>
          <w:w w:val="100"/>
        </w:rPr>
        <w:t>年</w:t>
      </w:r>
      <w:r>
        <w:rPr>
          <w:spacing w:val="-4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rPr>
        <w:t> </w:t>
      </w:r>
      <w:r>
        <w:rPr>
          <w:w w:val="100"/>
        </w:rPr>
        <w:t>月</w:t>
      </w:r>
      <w:r>
        <w:rPr>
          <w:spacing w:val="-45"/>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rPr>
        <w:t> </w:t>
      </w:r>
      <w:r>
        <w:rPr>
          <w:spacing w:val="-3"/>
          <w:w w:val="100"/>
        </w:rPr>
        <w:t>日</w:t>
      </w:r>
      <w:r>
        <w:rPr>
          <w:w w:val="100"/>
        </w:rPr>
        <w:t>，</w:t>
      </w:r>
      <w:r>
        <w:rPr>
          <w:spacing w:val="-3"/>
          <w:w w:val="100"/>
        </w:rPr>
        <w:t>深</w:t>
      </w:r>
      <w:r>
        <w:rPr>
          <w:w w:val="100"/>
        </w:rPr>
        <w:t>圳市</w:t>
      </w:r>
      <w:r>
        <w:rPr>
          <w:spacing w:val="-3"/>
          <w:w w:val="100"/>
        </w:rPr>
        <w:t>盈</w:t>
      </w:r>
      <w:r>
        <w:rPr>
          <w:w w:val="100"/>
        </w:rPr>
        <w:t>信</w:t>
      </w:r>
      <w:r>
        <w:rPr>
          <w:spacing w:val="-3"/>
          <w:w w:val="100"/>
        </w:rPr>
        <w:t>国</w:t>
      </w:r>
      <w:r>
        <w:rPr>
          <w:w w:val="100"/>
        </w:rPr>
        <w:t>富</w:t>
      </w:r>
      <w:r>
        <w:rPr>
          <w:spacing w:val="-3"/>
          <w:w w:val="100"/>
        </w:rPr>
        <w:t>资</w:t>
      </w:r>
      <w:r>
        <w:rPr>
          <w:w w:val="100"/>
        </w:rPr>
        <w:t>产</w:t>
      </w:r>
      <w:r>
        <w:rPr>
          <w:spacing w:val="-3"/>
          <w:w w:val="100"/>
        </w:rPr>
        <w:t>管</w:t>
      </w:r>
      <w:r>
        <w:rPr>
          <w:w w:val="100"/>
        </w:rPr>
        <w:t>理</w:t>
      </w:r>
      <w:r>
        <w:rPr>
          <w:spacing w:val="-3"/>
          <w:w w:val="100"/>
        </w:rPr>
        <w:t>有</w:t>
      </w:r>
      <w:r>
        <w:rPr>
          <w:w w:val="100"/>
        </w:rPr>
        <w:t>限公</w:t>
      </w:r>
    </w:p>
    <w:p>
      <w:pPr>
        <w:pStyle w:val="BodyText"/>
        <w:spacing w:line="240" w:lineRule="auto" w:before="107"/>
        <w:ind w:left="850" w:right="0"/>
        <w:jc w:val="both"/>
      </w:pPr>
      <w:r>
        <w:rPr/>
        <w:t>司已经全部支付与上述交易相关的债权转让款、股权转让款款及</w:t>
      </w:r>
      <w:r>
        <w:rPr>
          <w:spacing w:val="-56"/>
        </w:rPr>
        <w:t> </w:t>
      </w:r>
      <w:r>
        <w:rPr>
          <w:rFonts w:ascii="Times New Roman" w:hAnsi="Times New Roman" w:cs="Times New Roman" w:eastAsia="Times New Roman" w:hint="default"/>
        </w:rPr>
        <w:t>134.70</w:t>
      </w:r>
      <w:r>
        <w:rPr>
          <w:rFonts w:ascii="Times New Roman" w:hAnsi="Times New Roman" w:cs="Times New Roman" w:eastAsia="Times New Roman" w:hint="default"/>
          <w:spacing w:val="-3"/>
        </w:rPr>
        <w:t> </w:t>
      </w:r>
      <w:r>
        <w:rPr/>
        <w:t>万元利息，</w:t>
      </w:r>
    </w:p>
    <w:p>
      <w:pPr>
        <w:pStyle w:val="BodyText"/>
        <w:spacing w:line="240" w:lineRule="auto" w:before="110"/>
        <w:ind w:left="850" w:right="0"/>
        <w:jc w:val="both"/>
      </w:pPr>
      <w:r>
        <w:rPr/>
        <w:t>双方正在办理过户手续。双方于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12 </w:t>
      </w:r>
      <w:r>
        <w:rPr/>
        <w:t>日完成工商信息变更等相关手续。</w:t>
      </w:r>
    </w:p>
    <w:p>
      <w:pPr>
        <w:spacing w:line="240" w:lineRule="auto" w:before="0"/>
        <w:rPr>
          <w:rFonts w:ascii="宋体" w:hAnsi="宋体" w:cs="宋体" w:eastAsia="宋体" w:hint="default"/>
          <w:sz w:val="22"/>
          <w:szCs w:val="22"/>
        </w:rPr>
      </w:pPr>
    </w:p>
    <w:p>
      <w:pPr>
        <w:pStyle w:val="Heading6"/>
        <w:tabs>
          <w:tab w:pos="850" w:val="left" w:leader="none"/>
        </w:tabs>
        <w:spacing w:line="240" w:lineRule="auto" w:before="153"/>
        <w:ind w:left="126" w:right="1675"/>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tab/>
      </w:r>
      <w:r>
        <w:rPr/>
        <w:t>其他流动资产</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685"/>
        <w:gridCol w:w="2045"/>
        <w:gridCol w:w="2048"/>
      </w:tblGrid>
      <w:tr>
        <w:trPr>
          <w:trHeight w:val="461" w:hRule="exact"/>
        </w:trPr>
        <w:tc>
          <w:tcPr>
            <w:tcW w:w="36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649"/>
              <w:jc w:val="right"/>
              <w:rPr>
                <w:rFonts w:ascii="宋体" w:hAnsi="宋体" w:cs="宋体" w:eastAsia="宋体" w:hint="default"/>
                <w:sz w:val="18"/>
                <w:szCs w:val="18"/>
              </w:rPr>
            </w:pPr>
            <w:r>
              <w:rPr>
                <w:rFonts w:ascii="宋体" w:hAnsi="宋体" w:cs="宋体" w:eastAsia="宋体" w:hint="default"/>
                <w:sz w:val="18"/>
                <w:szCs w:val="18"/>
              </w:rPr>
              <w:t>项目</w:t>
            </w:r>
          </w:p>
        </w:tc>
        <w:tc>
          <w:tcPr>
            <w:tcW w:w="20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5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99,197,142.51</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69,822,333.30</w:t>
            </w:r>
          </w:p>
        </w:tc>
      </w:tr>
      <w:tr>
        <w:trPr>
          <w:trHeight w:val="451"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115,210.26</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211,624.32</w:t>
            </w:r>
          </w:p>
        </w:tc>
      </w:tr>
      <w:tr>
        <w:trPr>
          <w:trHeight w:val="449"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850,734.53</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210,087.81</w:t>
            </w:r>
          </w:p>
        </w:tc>
      </w:tr>
      <w:tr>
        <w:trPr>
          <w:trHeight w:val="451"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11,276,318.96</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6,215,935.83</w:t>
            </w:r>
          </w:p>
        </w:tc>
      </w:tr>
      <w:tr>
        <w:trPr>
          <w:trHeight w:val="449"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77,100,273.86</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63,568,731.77</w:t>
            </w:r>
          </w:p>
        </w:tc>
      </w:tr>
      <w:tr>
        <w:trPr>
          <w:trHeight w:val="451"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240,742,784.00</w:t>
            </w:r>
          </w:p>
        </w:tc>
      </w:tr>
      <w:tr>
        <w:trPr>
          <w:trHeight w:val="461" w:hRule="exact"/>
        </w:trPr>
        <w:tc>
          <w:tcPr>
            <w:tcW w:w="36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649"/>
              <w:jc w:val="right"/>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418,539,680.12</w:t>
            </w:r>
          </w:p>
        </w:tc>
        <w:tc>
          <w:tcPr>
            <w:tcW w:w="20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380,771,497.03</w:t>
            </w: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28" w:lineRule="auto"/>
        <w:ind w:left="850" w:right="1779"/>
        <w:jc w:val="left"/>
      </w:pPr>
      <w:r>
        <w:rPr/>
        <w:t>说明：理财产品期末余额为本公司以暂时闲置资金向银行购买的期限在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年以内保</w:t>
      </w:r>
      <w:r>
        <w:rPr>
          <w:w w:val="100"/>
        </w:rPr>
        <w:t> </w:t>
      </w:r>
      <w:r>
        <w:rPr/>
        <w:t>本收益型银行理财产品。</w:t>
      </w:r>
    </w:p>
    <w:p>
      <w:pPr>
        <w:spacing w:line="240" w:lineRule="auto" w:before="3"/>
        <w:rPr>
          <w:rFonts w:ascii="宋体" w:hAnsi="宋体" w:cs="宋体" w:eastAsia="宋体" w:hint="default"/>
          <w:sz w:val="29"/>
          <w:szCs w:val="29"/>
        </w:rPr>
      </w:pPr>
    </w:p>
    <w:p>
      <w:pPr>
        <w:pStyle w:val="Heading6"/>
        <w:tabs>
          <w:tab w:pos="850" w:val="left" w:leader="none"/>
        </w:tabs>
        <w:spacing w:line="240" w:lineRule="auto"/>
        <w:ind w:left="126" w:right="1675"/>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发放贷款及垫款</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委托贷款</w:t>
      </w:r>
      <w:r>
        <w:rPr>
          <w:b w:val="0"/>
          <w:bCs w:val="0"/>
        </w:rPr>
      </w:r>
    </w:p>
    <w:tbl>
      <w:tblPr>
        <w:tblW w:w="0" w:type="auto"/>
        <w:jc w:val="left"/>
        <w:tblInd w:w="834" w:type="dxa"/>
        <w:tblLayout w:type="fixed"/>
        <w:tblCellMar>
          <w:top w:w="0" w:type="dxa"/>
          <w:left w:w="0" w:type="dxa"/>
          <w:bottom w:w="0" w:type="dxa"/>
          <w:right w:w="0" w:type="dxa"/>
        </w:tblCellMar>
        <w:tblLook w:val="01E0"/>
      </w:tblPr>
      <w:tblGrid>
        <w:gridCol w:w="3593"/>
        <w:gridCol w:w="2021"/>
        <w:gridCol w:w="2017"/>
      </w:tblGrid>
      <w:tr>
        <w:trPr>
          <w:trHeight w:val="461" w:hRule="exact"/>
        </w:trPr>
        <w:tc>
          <w:tcPr>
            <w:tcW w:w="35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4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35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248,871,494.81</w:t>
            </w:r>
          </w:p>
        </w:tc>
        <w:tc>
          <w:tcPr>
            <w:tcW w:w="20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366,165,311.24</w:t>
            </w:r>
          </w:p>
        </w:tc>
      </w:tr>
      <w:tr>
        <w:trPr>
          <w:trHeight w:val="452" w:hRule="exact"/>
        </w:trPr>
        <w:tc>
          <w:tcPr>
            <w:tcW w:w="35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3"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18,512,720.53</w:t>
            </w:r>
          </w:p>
        </w:tc>
        <w:tc>
          <w:tcPr>
            <w:tcW w:w="20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11,301,515.84</w:t>
            </w:r>
          </w:p>
        </w:tc>
      </w:tr>
      <w:tr>
        <w:trPr>
          <w:trHeight w:val="461" w:hRule="exact"/>
        </w:trPr>
        <w:tc>
          <w:tcPr>
            <w:tcW w:w="35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发放贷款净额</w:t>
            </w:r>
          </w:p>
        </w:tc>
        <w:tc>
          <w:tcPr>
            <w:tcW w:w="20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230,358,774.28</w:t>
            </w:r>
          </w:p>
        </w:tc>
        <w:tc>
          <w:tcPr>
            <w:tcW w:w="20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354,863,795.40</w:t>
            </w: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按照五级分类法计提的坏账准备情况</w:t>
      </w:r>
      <w:r>
        <w:rPr>
          <w:b w:val="0"/>
          <w:bCs w:val="0"/>
        </w:rPr>
      </w:r>
    </w:p>
    <w:p>
      <w:pPr>
        <w:spacing w:after="0" w:line="335" w:lineRule="exact"/>
        <w:jc w:val="left"/>
        <w:sectPr>
          <w:headerReference w:type="default" r:id="rId100"/>
          <w:footerReference w:type="default" r:id="rId101"/>
          <w:pgSz w:w="11910" w:h="16840"/>
          <w:pgMar w:header="779" w:footer="996" w:top="1000" w:bottom="1180" w:left="1660" w:right="0"/>
          <w:pgNumType w:start="36"/>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1945"/>
        <w:gridCol w:w="1858"/>
        <w:gridCol w:w="2036"/>
        <w:gridCol w:w="1940"/>
      </w:tblGrid>
      <w:tr>
        <w:trPr>
          <w:trHeight w:val="461" w:hRule="exact"/>
        </w:trPr>
        <w:tc>
          <w:tcPr>
            <w:tcW w:w="19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687"/>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203" w:right="0"/>
              <w:jc w:val="left"/>
              <w:rPr>
                <w:rFonts w:ascii="宋体" w:hAnsi="宋体" w:cs="宋体" w:eastAsia="宋体" w:hint="default"/>
                <w:sz w:val="18"/>
                <w:szCs w:val="18"/>
              </w:rPr>
            </w:pPr>
            <w:r>
              <w:rPr>
                <w:rFonts w:ascii="宋体" w:hAnsi="宋体" w:cs="宋体" w:eastAsia="宋体" w:hint="default"/>
                <w:sz w:val="18"/>
                <w:szCs w:val="18"/>
              </w:rPr>
              <w:t>委托贷款期末余额</w:t>
            </w:r>
          </w:p>
        </w:tc>
        <w:tc>
          <w:tcPr>
            <w:tcW w:w="20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216" w:right="0"/>
              <w:jc w:val="left"/>
              <w:rPr>
                <w:rFonts w:ascii="宋体" w:hAnsi="宋体" w:cs="宋体" w:eastAsia="宋体" w:hint="default"/>
                <w:sz w:val="18"/>
                <w:szCs w:val="18"/>
              </w:rPr>
            </w:pPr>
            <w:r>
              <w:rPr>
                <w:rFonts w:ascii="宋体" w:hAnsi="宋体" w:cs="宋体" w:eastAsia="宋体" w:hint="default"/>
                <w:sz w:val="18"/>
                <w:szCs w:val="18"/>
              </w:rPr>
              <w:t>减值计提比例（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424"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49"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203,601,177.48</w:t>
            </w:r>
          </w:p>
        </w:tc>
        <w:tc>
          <w:tcPr>
            <w:tcW w:w="2036"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1,810,000.00</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w w:val="95"/>
                <w:sz w:val="18"/>
              </w:rPr>
              <w:t>42,718.11</w:t>
            </w:r>
          </w:p>
        </w:tc>
      </w:tr>
      <w:tr>
        <w:trPr>
          <w:trHeight w:val="449"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14,431,306.70</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3,607,826.68</w:t>
            </w:r>
          </w:p>
        </w:tc>
      </w:tr>
      <w:tr>
        <w:trPr>
          <w:trHeight w:val="451"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28,333,669.79</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14,166,834.90</w:t>
            </w:r>
          </w:p>
        </w:tc>
      </w:tr>
      <w:tr>
        <w:trPr>
          <w:trHeight w:val="449"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695,340.84</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695,340.84</w:t>
            </w:r>
          </w:p>
        </w:tc>
      </w:tr>
      <w:tr>
        <w:trPr>
          <w:trHeight w:val="461" w:hRule="exact"/>
        </w:trPr>
        <w:tc>
          <w:tcPr>
            <w:tcW w:w="19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68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248,871,494.81</w:t>
            </w:r>
          </w:p>
        </w:tc>
        <w:tc>
          <w:tcPr>
            <w:tcW w:w="2036" w:type="dxa"/>
            <w:tcBorders>
              <w:top w:val="dotted" w:sz="4" w:space="0" w:color="000000"/>
              <w:left w:val="dotted" w:sz="4" w:space="0" w:color="000000"/>
              <w:bottom w:val="single" w:sz="12" w:space="0" w:color="000000"/>
              <w:right w:val="dotted" w:sz="4" w:space="0" w:color="000000"/>
            </w:tcBorders>
          </w:tcPr>
          <w:p>
            <w:pPr/>
          </w:p>
        </w:tc>
        <w:tc>
          <w:tcPr>
            <w:tcW w:w="19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18,512,720.53</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可供出售金融资产</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可供出售金融资产情况</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1056"/>
        <w:gridCol w:w="1150"/>
        <w:gridCol w:w="1078"/>
        <w:gridCol w:w="1140"/>
        <w:gridCol w:w="1135"/>
        <w:gridCol w:w="1078"/>
        <w:gridCol w:w="1138"/>
      </w:tblGrid>
      <w:tr>
        <w:trPr>
          <w:trHeight w:val="461" w:hRule="exact"/>
        </w:trPr>
        <w:tc>
          <w:tcPr>
            <w:tcW w:w="105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368"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35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51" w:hRule="exact"/>
        </w:trPr>
        <w:tc>
          <w:tcPr>
            <w:tcW w:w="1056" w:type="dxa"/>
            <w:vMerge/>
            <w:tcBorders>
              <w:left w:val="nil" w:sz="6" w:space="0" w:color="auto"/>
              <w:bottom w:val="dotted" w:sz="4" w:space="0" w:color="000000"/>
              <w:right w:val="dotted" w:sz="4" w:space="0" w:color="000000"/>
            </w:tcBorders>
          </w:tcPr>
          <w:p>
            <w:pP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809" w:hRule="exact"/>
        </w:trPr>
        <w:tc>
          <w:tcPr>
            <w:tcW w:w="1056"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73"/>
              <w:jc w:val="left"/>
              <w:rPr>
                <w:rFonts w:ascii="宋体" w:hAnsi="宋体" w:cs="宋体" w:eastAsia="宋体" w:hint="default"/>
                <w:sz w:val="15"/>
                <w:szCs w:val="15"/>
              </w:rPr>
            </w:pPr>
            <w:r>
              <w:rPr>
                <w:rFonts w:ascii="宋体" w:hAnsi="宋体" w:cs="宋体" w:eastAsia="宋体" w:hint="default"/>
                <w:sz w:val="15"/>
                <w:szCs w:val="15"/>
              </w:rPr>
              <w:t>可供出售债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务工具</w:t>
            </w:r>
          </w:p>
        </w:tc>
        <w:tc>
          <w:tcPr>
            <w:tcW w:w="1150"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056"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73"/>
              <w:jc w:val="left"/>
              <w:rPr>
                <w:rFonts w:ascii="宋体" w:hAnsi="宋体" w:cs="宋体" w:eastAsia="宋体" w:hint="default"/>
                <w:sz w:val="15"/>
                <w:szCs w:val="15"/>
              </w:rPr>
            </w:pPr>
            <w:r>
              <w:rPr>
                <w:rFonts w:ascii="宋体" w:hAnsi="宋体" w:cs="宋体" w:eastAsia="宋体" w:hint="default"/>
                <w:sz w:val="15"/>
                <w:szCs w:val="15"/>
              </w:rPr>
              <w:t>可供出售权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益工具</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63,035,584.99</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33,031,620.30</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30,003,964.69</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65,074,620.30</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30,531,620.30</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34,543,000.00</w:t>
            </w:r>
          </w:p>
        </w:tc>
      </w:tr>
      <w:tr>
        <w:trPr>
          <w:trHeight w:val="809" w:hRule="exact"/>
        </w:trPr>
        <w:tc>
          <w:tcPr>
            <w:tcW w:w="1056"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8"/>
              <w:jc w:val="left"/>
              <w:rPr>
                <w:rFonts w:ascii="宋体" w:hAnsi="宋体" w:cs="宋体" w:eastAsia="宋体" w:hint="default"/>
                <w:sz w:val="15"/>
                <w:szCs w:val="15"/>
              </w:rPr>
            </w:pPr>
            <w:r>
              <w:rPr>
                <w:rFonts w:ascii="宋体" w:hAnsi="宋体" w:cs="宋体" w:eastAsia="宋体" w:hint="default"/>
                <w:spacing w:val="-14"/>
                <w:w w:val="100"/>
                <w:sz w:val="15"/>
                <w:szCs w:val="15"/>
              </w:rPr>
              <w:t>其中：按公允</w:t>
            </w:r>
            <w:r>
              <w:rPr>
                <w:rFonts w:ascii="宋体" w:hAnsi="宋体" w:cs="宋体" w:eastAsia="宋体" w:hint="default"/>
                <w:spacing w:val="-73"/>
                <w:w w:val="100"/>
                <w:sz w:val="15"/>
                <w:szCs w:val="15"/>
              </w:rPr>
              <w:t> </w:t>
            </w:r>
            <w:r>
              <w:rPr>
                <w:rFonts w:ascii="宋体" w:hAnsi="宋体" w:cs="宋体" w:eastAsia="宋体" w:hint="default"/>
                <w:spacing w:val="-73"/>
                <w:w w:val="100"/>
                <w:sz w:val="15"/>
                <w:szCs w:val="15"/>
              </w:rPr>
            </w:r>
            <w:r>
              <w:rPr>
                <w:rFonts w:ascii="宋体" w:hAnsi="宋体" w:cs="宋体" w:eastAsia="宋体" w:hint="default"/>
                <w:sz w:val="15"/>
                <w:szCs w:val="15"/>
              </w:rPr>
              <w:t>价值计量</w:t>
            </w:r>
          </w:p>
        </w:tc>
        <w:tc>
          <w:tcPr>
            <w:tcW w:w="1150"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0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98" w:right="0"/>
              <w:jc w:val="center"/>
              <w:rPr>
                <w:rFonts w:ascii="宋体" w:hAnsi="宋体" w:cs="宋体" w:eastAsia="宋体" w:hint="default"/>
                <w:sz w:val="15"/>
                <w:szCs w:val="15"/>
              </w:rPr>
            </w:pPr>
            <w:r>
              <w:rPr>
                <w:rFonts w:ascii="宋体" w:hAnsi="宋体" w:cs="宋体" w:eastAsia="宋体" w:hint="default"/>
                <w:sz w:val="15"/>
                <w:szCs w:val="15"/>
              </w:rPr>
              <w:t>按成本计量</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63,035,584.99</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33,031,620.30</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30,003,964.69</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65,074,620.30</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30,531,620.30</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34,543,000.00</w:t>
            </w:r>
          </w:p>
        </w:tc>
      </w:tr>
      <w:tr>
        <w:trPr>
          <w:trHeight w:val="461" w:hRule="exact"/>
        </w:trPr>
        <w:tc>
          <w:tcPr>
            <w:tcW w:w="10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63,035,584.99</w:t>
            </w:r>
          </w:p>
        </w:tc>
        <w:tc>
          <w:tcPr>
            <w:tcW w:w="10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33,031,620.30</w:t>
            </w: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30,003,964.69</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65,074,620.30</w:t>
            </w:r>
          </w:p>
        </w:tc>
        <w:tc>
          <w:tcPr>
            <w:tcW w:w="10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30,531,620.30</w:t>
            </w:r>
          </w:p>
        </w:tc>
        <w:tc>
          <w:tcPr>
            <w:tcW w:w="11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34,543,000.00</w:t>
            </w:r>
          </w:p>
        </w:tc>
      </w:tr>
    </w:tbl>
    <w:p>
      <w:pPr>
        <w:spacing w:after="0" w:line="240" w:lineRule="auto"/>
        <w:jc w:val="center"/>
        <w:rPr>
          <w:rFonts w:ascii="Times New Roman" w:hAnsi="Times New Roman" w:cs="Times New Roman" w:eastAsia="Times New Roman" w:hint="default"/>
          <w:sz w:val="15"/>
          <w:szCs w:val="15"/>
        </w:rPr>
        <w:sectPr>
          <w:pgSz w:w="11910" w:h="16840"/>
          <w:pgMar w:header="779" w:footer="996" w:top="1000" w:bottom="11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8"/>
          <w:szCs w:val="28"/>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2</w:t>
      </w:r>
      <w:r>
        <w:rPr/>
        <w:t>、</w:t>
        <w:tab/>
        <w:t>期末按成本计量的可供出售金融资产</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2782"/>
        <w:gridCol w:w="1123"/>
        <w:gridCol w:w="1010"/>
        <w:gridCol w:w="1203"/>
        <w:gridCol w:w="1219"/>
        <w:gridCol w:w="1117"/>
        <w:gridCol w:w="1027"/>
        <w:gridCol w:w="929"/>
        <w:gridCol w:w="1112"/>
        <w:gridCol w:w="720"/>
        <w:gridCol w:w="1099"/>
      </w:tblGrid>
      <w:tr>
        <w:trPr>
          <w:trHeight w:val="502" w:hRule="exact"/>
        </w:trPr>
        <w:tc>
          <w:tcPr>
            <w:tcW w:w="278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4556"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4184"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720" w:type="dxa"/>
            <w:vMerge w:val="restart"/>
            <w:tcBorders>
              <w:top w:val="single" w:sz="12"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89" w:lineRule="auto"/>
              <w:ind w:left="129" w:right="125"/>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p>
          <w:p>
            <w:pPr>
              <w:pStyle w:val="TableParagraph"/>
              <w:spacing w:line="240" w:lineRule="auto" w:before="49"/>
              <w:ind w:left="167"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09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487" w:lineRule="auto"/>
              <w:ind w:left="467" w:right="170" w:hanging="300"/>
              <w:jc w:val="left"/>
              <w:rPr>
                <w:rFonts w:ascii="宋体" w:hAnsi="宋体" w:cs="宋体" w:eastAsia="宋体" w:hint="default"/>
                <w:sz w:val="15"/>
                <w:szCs w:val="15"/>
              </w:rPr>
            </w:pPr>
            <w:r>
              <w:rPr>
                <w:rFonts w:ascii="宋体" w:hAnsi="宋体" w:cs="宋体" w:eastAsia="宋体" w:hint="default"/>
                <w:sz w:val="15"/>
                <w:szCs w:val="15"/>
              </w:rPr>
              <w:t>本期现金红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利</w:t>
            </w:r>
          </w:p>
        </w:tc>
      </w:tr>
      <w:tr>
        <w:trPr>
          <w:trHeight w:val="1201" w:hRule="exact"/>
        </w:trPr>
        <w:tc>
          <w:tcPr>
            <w:tcW w:w="2782" w:type="dxa"/>
            <w:vMerge/>
            <w:tcBorders>
              <w:left w:val="nil" w:sz="6" w:space="0" w:color="auto"/>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年初</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年初</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155"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720" w:type="dxa"/>
            <w:vMerge/>
            <w:tcBorders>
              <w:left w:val="dotted" w:sz="4" w:space="0" w:color="000000"/>
              <w:bottom w:val="dotted" w:sz="4" w:space="0" w:color="000000"/>
              <w:right w:val="dotted" w:sz="4" w:space="0" w:color="000000"/>
            </w:tcBorders>
          </w:tcPr>
          <w:p>
            <w:pPr/>
          </w:p>
        </w:tc>
        <w:tc>
          <w:tcPr>
            <w:tcW w:w="1099" w:type="dxa"/>
            <w:vMerge/>
            <w:tcBorders>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深圳市海农食品有限公司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1,601,372.50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1,601,372.50</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1,601,372.50</w:t>
            </w: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1,601,372.50</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52.00</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深圳市龙江生猪批发市场有限公司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3,120,001.00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3,120,001.00</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3,120,001.00</w:t>
            </w: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3,120,001.00</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41.00</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深圳市农产品肉类配送有限公司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4,470,538.80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4,470,538.80</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4,470,538.80</w:t>
            </w: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4,470,538.80</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80.00</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深圳市农产品坂田肉联厂有限公司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2,000,000.00</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2,000,000.00</w:t>
            </w: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2,000,000.00</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常州三井油脂有限公司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13,500,000.00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13,500,000.00</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33" w:right="0"/>
              <w:jc w:val="center"/>
              <w:rPr>
                <w:rFonts w:ascii="Times New Roman" w:hAnsi="Times New Roman" w:cs="Times New Roman" w:eastAsia="Times New Roman" w:hint="default"/>
                <w:sz w:val="15"/>
                <w:szCs w:val="15"/>
              </w:rPr>
            </w:pPr>
            <w:r>
              <w:rPr>
                <w:rFonts w:ascii="Times New Roman"/>
                <w:sz w:val="15"/>
              </w:rPr>
              <w:t>13,500,000.00</w:t>
            </w: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13,500,000.00</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广东发展银行</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6,000,000.00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6,000,000.00</w:t>
            </w:r>
          </w:p>
        </w:tc>
        <w:tc>
          <w:tcPr>
            <w:tcW w:w="1117"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黑龙江龙涤股份有限公司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5,839,708.00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5,839,708.00</w:t>
            </w:r>
          </w:p>
        </w:tc>
        <w:tc>
          <w:tcPr>
            <w:tcW w:w="1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5,839,708.00</w:t>
            </w: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5,839,708.00</w:t>
            </w:r>
          </w:p>
        </w:tc>
        <w:tc>
          <w:tcPr>
            <w:tcW w:w="72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深圳市合盈实业有限公司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20,400,000.00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20,400,000.00</w:t>
            </w:r>
          </w:p>
        </w:tc>
        <w:tc>
          <w:tcPr>
            <w:tcW w:w="1117"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51.00</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5,573,901.32</w:t>
            </w:r>
          </w:p>
        </w:tc>
      </w:tr>
      <w:tr>
        <w:trPr>
          <w:trHeight w:val="490"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深圳市绿膳谷农业创新发展有限公司</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2,500,000.00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2,500,000.00</w:t>
            </w:r>
          </w:p>
        </w:tc>
        <w:tc>
          <w:tcPr>
            <w:tcW w:w="1117"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2,500,000.00</w:t>
            </w: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2,500,000.00</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5.56</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7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w w:val="100"/>
                <w:sz w:val="15"/>
                <w:szCs w:val="15"/>
              </w:rPr>
              <w:t>青岛</w:t>
            </w:r>
            <w:r>
              <w:rPr>
                <w:rFonts w:ascii="宋体" w:hAnsi="宋体" w:cs="宋体" w:eastAsia="宋体" w:hint="default"/>
                <w:spacing w:val="-3"/>
                <w:w w:val="100"/>
                <w:sz w:val="15"/>
                <w:szCs w:val="15"/>
              </w:rPr>
              <w:t>海</w:t>
            </w:r>
            <w:r>
              <w:rPr>
                <w:rFonts w:ascii="宋体" w:hAnsi="宋体" w:cs="宋体" w:eastAsia="宋体" w:hint="default"/>
                <w:w w:val="100"/>
                <w:sz w:val="15"/>
                <w:szCs w:val="15"/>
              </w:rPr>
              <w:t>洋</w:t>
            </w:r>
            <w:r>
              <w:rPr>
                <w:rFonts w:ascii="宋体" w:hAnsi="宋体" w:cs="宋体" w:eastAsia="宋体" w:hint="default"/>
                <w:spacing w:val="-3"/>
                <w:w w:val="100"/>
                <w:sz w:val="15"/>
                <w:szCs w:val="15"/>
              </w:rPr>
              <w:t>基</w:t>
            </w:r>
            <w:r>
              <w:rPr>
                <w:rFonts w:ascii="宋体" w:hAnsi="宋体" w:cs="宋体" w:eastAsia="宋体" w:hint="default"/>
                <w:w w:val="100"/>
                <w:sz w:val="15"/>
                <w:szCs w:val="15"/>
              </w:rPr>
              <w:t>石</w:t>
            </w:r>
            <w:r>
              <w:rPr>
                <w:rFonts w:ascii="宋体" w:hAnsi="宋体" w:cs="宋体" w:eastAsia="宋体" w:hint="default"/>
                <w:spacing w:val="-3"/>
                <w:w w:val="100"/>
                <w:sz w:val="15"/>
                <w:szCs w:val="15"/>
              </w:rPr>
              <w:t>创</w:t>
            </w:r>
            <w:r>
              <w:rPr>
                <w:rFonts w:ascii="宋体" w:hAnsi="宋体" w:cs="宋体" w:eastAsia="宋体" w:hint="default"/>
                <w:w w:val="100"/>
                <w:sz w:val="15"/>
                <w:szCs w:val="15"/>
              </w:rPr>
              <w:t>业</w:t>
            </w:r>
            <w:r>
              <w:rPr>
                <w:rFonts w:ascii="宋体" w:hAnsi="宋体" w:cs="宋体" w:eastAsia="宋体" w:hint="default"/>
                <w:spacing w:val="-3"/>
                <w:w w:val="100"/>
                <w:sz w:val="15"/>
                <w:szCs w:val="15"/>
              </w:rPr>
              <w:t>投</w:t>
            </w:r>
            <w:r>
              <w:rPr>
                <w:rFonts w:ascii="宋体" w:hAnsi="宋体" w:cs="宋体" w:eastAsia="宋体" w:hint="default"/>
                <w:w w:val="100"/>
                <w:sz w:val="15"/>
                <w:szCs w:val="15"/>
              </w:rPr>
              <w:t>资</w:t>
            </w:r>
            <w:r>
              <w:rPr>
                <w:rFonts w:ascii="宋体" w:hAnsi="宋体" w:cs="宋体" w:eastAsia="宋体" w:hint="default"/>
                <w:spacing w:val="-3"/>
                <w:w w:val="100"/>
                <w:sz w:val="15"/>
                <w:szCs w:val="15"/>
              </w:rPr>
              <w:t>企</w:t>
            </w:r>
            <w:r>
              <w:rPr>
                <w:rFonts w:ascii="宋体" w:hAnsi="宋体" w:cs="宋体" w:eastAsia="宋体" w:hint="default"/>
                <w:spacing w:val="-77"/>
                <w:w w:val="100"/>
                <w:sz w:val="15"/>
                <w:szCs w:val="15"/>
              </w:rPr>
              <w:t>业</w:t>
            </w:r>
            <w:r>
              <w:rPr>
                <w:rFonts w:ascii="宋体" w:hAnsi="宋体" w:cs="宋体" w:eastAsia="宋体" w:hint="default"/>
                <w:w w:val="100"/>
                <w:sz w:val="15"/>
                <w:szCs w:val="15"/>
              </w:rPr>
              <w:t>（</w:t>
            </w:r>
            <w:r>
              <w:rPr>
                <w:rFonts w:ascii="宋体" w:hAnsi="宋体" w:cs="宋体" w:eastAsia="宋体" w:hint="default"/>
                <w:spacing w:val="-3"/>
                <w:w w:val="100"/>
                <w:sz w:val="15"/>
                <w:szCs w:val="15"/>
              </w:rPr>
              <w:t>有</w:t>
            </w:r>
            <w:r>
              <w:rPr>
                <w:rFonts w:ascii="宋体" w:hAnsi="宋体" w:cs="宋体" w:eastAsia="宋体" w:hint="default"/>
                <w:w w:val="100"/>
                <w:sz w:val="15"/>
                <w:szCs w:val="15"/>
              </w:rPr>
              <w:t>限</w:t>
            </w:r>
            <w:r>
              <w:rPr>
                <w:rFonts w:ascii="宋体" w:hAnsi="宋体" w:cs="宋体" w:eastAsia="宋体" w:hint="default"/>
                <w:spacing w:val="-3"/>
                <w:w w:val="100"/>
                <w:sz w:val="15"/>
                <w:szCs w:val="15"/>
              </w:rPr>
              <w:t>合</w:t>
            </w:r>
            <w:r>
              <w:rPr>
                <w:rFonts w:ascii="宋体" w:hAnsi="宋体" w:cs="宋体" w:eastAsia="宋体" w:hint="default"/>
                <w:w w:val="100"/>
                <w:sz w:val="15"/>
                <w:szCs w:val="15"/>
              </w:rPr>
              <w:t>伙）</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5,643,000.00</w:t>
            </w:r>
          </w:p>
        </w:tc>
        <w:tc>
          <w:tcPr>
            <w:tcW w:w="1010"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02" w:right="0"/>
              <w:jc w:val="left"/>
              <w:rPr>
                <w:rFonts w:ascii="Times New Roman" w:hAnsi="Times New Roman" w:cs="Times New Roman" w:eastAsia="Times New Roman" w:hint="default"/>
                <w:sz w:val="15"/>
                <w:szCs w:val="15"/>
              </w:rPr>
            </w:pPr>
            <w:r>
              <w:rPr>
                <w:rFonts w:ascii="Times New Roman"/>
                <w:sz w:val="15"/>
              </w:rPr>
              <w:t>2,039,035.31</w:t>
            </w:r>
          </w:p>
        </w:tc>
        <w:tc>
          <w:tcPr>
            <w:tcW w:w="12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3,603,964.69</w:t>
            </w:r>
          </w:p>
        </w:tc>
        <w:tc>
          <w:tcPr>
            <w:tcW w:w="1117"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929" w:type="dxa"/>
            <w:tcBorders>
              <w:top w:val="dotted" w:sz="4" w:space="0" w:color="000000"/>
              <w:left w:val="dotted" w:sz="4" w:space="0" w:color="000000"/>
              <w:bottom w:val="dotted" w:sz="4" w:space="0" w:color="000000"/>
              <w:right w:val="dotted" w:sz="4" w:space="0" w:color="000000"/>
            </w:tcBorders>
          </w:tcPr>
          <w:p>
            <w:pPr/>
          </w:p>
        </w:tc>
        <w:tc>
          <w:tcPr>
            <w:tcW w:w="111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3.80</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2,280,000.00</w:t>
            </w:r>
          </w:p>
        </w:tc>
      </w:tr>
      <w:tr>
        <w:trPr>
          <w:trHeight w:val="500" w:hRule="exact"/>
        </w:trPr>
        <w:tc>
          <w:tcPr>
            <w:tcW w:w="27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65,074,620.30</w:t>
            </w:r>
          </w:p>
        </w:tc>
        <w:tc>
          <w:tcPr>
            <w:tcW w:w="1010" w:type="dxa"/>
            <w:tcBorders>
              <w:top w:val="dotted" w:sz="4" w:space="0" w:color="000000"/>
              <w:left w:val="dotted" w:sz="4" w:space="0" w:color="000000"/>
              <w:bottom w:val="single" w:sz="12" w:space="0" w:color="000000"/>
              <w:right w:val="dotted" w:sz="4" w:space="0" w:color="000000"/>
            </w:tcBorders>
          </w:tcPr>
          <w:p>
            <w:pPr/>
          </w:p>
        </w:tc>
        <w:tc>
          <w:tcPr>
            <w:tcW w:w="12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302" w:right="0"/>
              <w:jc w:val="left"/>
              <w:rPr>
                <w:rFonts w:ascii="Times New Roman" w:hAnsi="Times New Roman" w:cs="Times New Roman" w:eastAsia="Times New Roman" w:hint="default"/>
                <w:sz w:val="15"/>
                <w:szCs w:val="15"/>
              </w:rPr>
            </w:pPr>
            <w:r>
              <w:rPr>
                <w:rFonts w:ascii="Times New Roman"/>
                <w:sz w:val="15"/>
              </w:rPr>
              <w:t>2,039,035.31</w:t>
            </w:r>
          </w:p>
        </w:tc>
        <w:tc>
          <w:tcPr>
            <w:tcW w:w="12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63,035,584.99</w:t>
            </w:r>
          </w:p>
        </w:tc>
        <w:tc>
          <w:tcPr>
            <w:tcW w:w="11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33" w:right="0"/>
              <w:jc w:val="center"/>
              <w:rPr>
                <w:rFonts w:ascii="Times New Roman" w:hAnsi="Times New Roman" w:cs="Times New Roman" w:eastAsia="Times New Roman" w:hint="default"/>
                <w:sz w:val="15"/>
                <w:szCs w:val="15"/>
              </w:rPr>
            </w:pPr>
            <w:r>
              <w:rPr>
                <w:rFonts w:ascii="Times New Roman"/>
                <w:sz w:val="15"/>
              </w:rPr>
              <w:t>30,531,620.30</w:t>
            </w:r>
          </w:p>
        </w:tc>
        <w:tc>
          <w:tcPr>
            <w:tcW w:w="10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2,500,000.00</w:t>
            </w:r>
          </w:p>
        </w:tc>
        <w:tc>
          <w:tcPr>
            <w:tcW w:w="929" w:type="dxa"/>
            <w:tcBorders>
              <w:top w:val="dotted" w:sz="4" w:space="0" w:color="000000"/>
              <w:left w:val="dotted" w:sz="4" w:space="0" w:color="000000"/>
              <w:bottom w:val="single" w:sz="12" w:space="0" w:color="000000"/>
              <w:right w:val="dotted" w:sz="4" w:space="0" w:color="000000"/>
            </w:tcBorders>
          </w:tcPr>
          <w:p>
            <w:pPr/>
          </w:p>
        </w:tc>
        <w:tc>
          <w:tcPr>
            <w:tcW w:w="11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33,031,620.30</w:t>
            </w:r>
          </w:p>
        </w:tc>
        <w:tc>
          <w:tcPr>
            <w:tcW w:w="720"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7,853,901.32</w:t>
            </w: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240" w:lineRule="auto"/>
        <w:ind w:left="853" w:right="230"/>
        <w:jc w:val="left"/>
      </w:pPr>
      <w:r>
        <w:rPr/>
        <w:t>说明：</w:t>
      </w:r>
      <w:r>
        <w:rPr>
          <w:rFonts w:ascii="Times New Roman" w:hAnsi="Times New Roman" w:cs="Times New Roman" w:eastAsia="Times New Roman" w:hint="default"/>
        </w:rPr>
        <w:t>1</w:t>
      </w:r>
      <w:r>
        <w:rPr/>
        <w:t>、计提减值准备的理由：</w:t>
      </w:r>
    </w:p>
    <w:p>
      <w:pPr>
        <w:spacing w:after="0" w:line="240" w:lineRule="auto"/>
        <w:jc w:val="left"/>
        <w:sectPr>
          <w:headerReference w:type="default" r:id="rId102"/>
          <w:footerReference w:type="default" r:id="rId103"/>
          <w:pgSz w:w="16840" w:h="11910" w:orient="landscape"/>
          <w:pgMar w:header="779" w:footer="997" w:top="1000" w:bottom="1180" w:left="1300" w:right="1200"/>
          <w:pgNumType w:start="3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345" w:lineRule="auto"/>
        <w:ind w:left="853" w:right="230"/>
        <w:jc w:val="left"/>
      </w:pPr>
      <w:r>
        <w:rPr/>
        <w:t>深圳市海农食品公司：该公司已于</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年被吊销营业执照，公司无可清算资产。</w:t>
      </w:r>
      <w:r>
        <w:rPr>
          <w:w w:val="100"/>
        </w:rPr>
        <w:t> </w:t>
      </w:r>
      <w:r>
        <w:rPr/>
        <w:t>深圳市龙江生猪批发市场：该公司已无实际生产经营，无实际可供分配的资产。</w:t>
      </w:r>
      <w:r>
        <w:rPr>
          <w:w w:val="100"/>
        </w:rPr>
        <w:t> </w:t>
      </w:r>
      <w:r>
        <w:rPr/>
        <w:t>深圳市农产品肉类配送有限公司：该公司已承包给他人经营，目前经营连续亏损，承包金回收困难。</w:t>
      </w:r>
      <w:r>
        <w:rPr>
          <w:w w:val="100"/>
        </w:rPr>
        <w:t> </w:t>
      </w:r>
      <w:r>
        <w:rPr/>
        <w:t>深圳市农产品坂田肉联厂有限公司：该公司已无实际生产经营，预计投资款收回的可能性较小。</w:t>
      </w:r>
      <w:r>
        <w:rPr>
          <w:w w:val="100"/>
        </w:rPr>
        <w:t> </w:t>
      </w:r>
      <w:r>
        <w:rPr/>
        <w:t>常州三井油脂有限公司：该公司已连续多年亏损，财务状况最近几年未能出现好转迹象，本公司回收其投资的可能性极小。</w:t>
      </w:r>
      <w:r>
        <w:rPr>
          <w:w w:val="100"/>
        </w:rPr>
        <w:t> </w:t>
      </w:r>
      <w:r>
        <w:rPr/>
        <w:t>黑龙江龙涤股份有限公司：公司已进入重整计划执行阶段，预计投资成本无法收回。</w:t>
      </w:r>
      <w:r>
        <w:rPr>
          <w:w w:val="100"/>
        </w:rPr>
        <w:t> </w:t>
      </w:r>
      <w:r>
        <w:rPr>
          <w:spacing w:val="-2"/>
        </w:rPr>
        <w:t>深圳市绿膳谷农业创新发展有限公司：该公司已连续多年亏损，财务状况最近几年未能出现好转迹象，持续经营存在重大不确定因素，预计投资</w:t>
      </w:r>
      <w:r>
        <w:rPr>
          <w:spacing w:val="27"/>
        </w:rPr>
        <w:t> </w:t>
      </w:r>
      <w:r>
        <w:rPr>
          <w:spacing w:val="27"/>
        </w:rPr>
      </w:r>
      <w:r>
        <w:rPr/>
        <w:t>款无法收回。</w:t>
      </w:r>
    </w:p>
    <w:p>
      <w:pPr>
        <w:pStyle w:val="BodyText"/>
        <w:spacing w:line="338" w:lineRule="auto" w:before="33"/>
        <w:ind w:left="853" w:right="230"/>
        <w:jc w:val="left"/>
      </w:pPr>
      <w:r>
        <w:rPr/>
        <w:t>本公司上述投资对被投资单位不构成控制或共同控制、重大影响，故按照金融工具进行确认和计量。</w:t>
      </w:r>
      <w:r>
        <w:rPr>
          <w:w w:val="100"/>
        </w:rPr>
        <w:t> </w:t>
      </w:r>
      <w:r>
        <w:rPr>
          <w:rFonts w:ascii="Times New Roman" w:hAnsi="Times New Roman" w:cs="Times New Roman" w:eastAsia="Times New Roman" w:hint="default"/>
        </w:rPr>
        <w:t>2</w:t>
      </w:r>
      <w:r>
        <w:rPr/>
        <w:t>、深圳市合盈实业有限公司由本公司之子公司深圳市布吉海鲜市场有限公司持有</w:t>
      </w:r>
      <w:r>
        <w:rPr>
          <w:spacing w:val="40"/>
        </w:rPr>
        <w:t> </w:t>
      </w:r>
      <w:r>
        <w:rPr>
          <w:rFonts w:ascii="Times New Roman" w:hAnsi="Times New Roman" w:cs="Times New Roman" w:eastAsia="Times New Roman" w:hint="default"/>
        </w:rPr>
        <w:t>51%</w:t>
      </w:r>
      <w:r>
        <w:rPr/>
        <w:t>股权，但该公司已由其他方承包经营，本公司在承包期内</w:t>
      </w:r>
      <w:r>
        <w:rPr>
          <w:spacing w:val="-101"/>
        </w:rPr>
        <w:t> </w:t>
      </w:r>
      <w:r>
        <w:rPr>
          <w:spacing w:val="-101"/>
        </w:rPr>
      </w:r>
      <w:r>
        <w:rPr/>
        <w:t>不能对该公司实施控制，也不对其构成重大影响，故按照金融工具进行确认和计量。</w:t>
      </w:r>
    </w:p>
    <w:p>
      <w:pPr>
        <w:spacing w:line="240" w:lineRule="auto" w:before="8"/>
        <w:rPr>
          <w:rFonts w:ascii="宋体" w:hAnsi="宋体" w:cs="宋体" w:eastAsia="宋体" w:hint="default"/>
          <w:sz w:val="28"/>
          <w:szCs w:val="28"/>
        </w:rPr>
      </w:pPr>
    </w:p>
    <w:p>
      <w:pPr>
        <w:pStyle w:val="Heading6"/>
        <w:tabs>
          <w:tab w:pos="1400" w:val="left" w:leader="none"/>
        </w:tabs>
        <w:spacing w:line="240" w:lineRule="auto"/>
        <w:ind w:left="848" w:right="230"/>
        <w:jc w:val="left"/>
        <w:rPr>
          <w:b w:val="0"/>
          <w:bCs w:val="0"/>
        </w:rPr>
      </w:pPr>
      <w:r>
        <w:rPr>
          <w:rFonts w:ascii="Times New Roman" w:hAnsi="Times New Roman" w:cs="Times New Roman" w:eastAsia="Times New Roman" w:hint="default"/>
        </w:rPr>
        <w:t>3</w:t>
      </w:r>
      <w:r>
        <w:rPr/>
        <w:t>、</w:t>
        <w:tab/>
        <w:t>本期可供出售金融资产减值的变动情况</w:t>
      </w:r>
      <w:r>
        <w:rPr>
          <w:b w:val="0"/>
          <w:bCs w:val="0"/>
        </w:rPr>
      </w:r>
    </w:p>
    <w:tbl>
      <w:tblPr>
        <w:tblW w:w="0" w:type="auto"/>
        <w:jc w:val="left"/>
        <w:tblInd w:w="1006" w:type="dxa"/>
        <w:tblLayout w:type="fixed"/>
        <w:tblCellMar>
          <w:top w:w="0" w:type="dxa"/>
          <w:left w:w="0" w:type="dxa"/>
          <w:bottom w:w="0" w:type="dxa"/>
          <w:right w:w="0" w:type="dxa"/>
        </w:tblCellMar>
        <w:tblLook w:val="01E0"/>
      </w:tblPr>
      <w:tblGrid>
        <w:gridCol w:w="5396"/>
        <w:gridCol w:w="2681"/>
        <w:gridCol w:w="2679"/>
        <w:gridCol w:w="2432"/>
      </w:tblGrid>
      <w:tr>
        <w:trPr>
          <w:trHeight w:val="461" w:hRule="exact"/>
        </w:trPr>
        <w:tc>
          <w:tcPr>
            <w:tcW w:w="53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80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6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1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1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3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51" w:hRule="exact"/>
        </w:trPr>
        <w:tc>
          <w:tcPr>
            <w:tcW w:w="53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年初已计提减值余额</w:t>
            </w:r>
          </w:p>
        </w:tc>
        <w:tc>
          <w:tcPr>
            <w:tcW w:w="2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30,531,620.30</w:t>
            </w:r>
          </w:p>
        </w:tc>
        <w:tc>
          <w:tcPr>
            <w:tcW w:w="2679"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30,531,620.30</w:t>
            </w:r>
          </w:p>
        </w:tc>
      </w:tr>
      <w:tr>
        <w:trPr>
          <w:trHeight w:val="449" w:hRule="exact"/>
        </w:trPr>
        <w:tc>
          <w:tcPr>
            <w:tcW w:w="53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6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2,500,000.00</w:t>
            </w:r>
          </w:p>
        </w:tc>
        <w:tc>
          <w:tcPr>
            <w:tcW w:w="2679"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51" w:hRule="exact"/>
        </w:trPr>
        <w:tc>
          <w:tcPr>
            <w:tcW w:w="53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2681" w:type="dxa"/>
            <w:tcBorders>
              <w:top w:val="dotted" w:sz="4" w:space="0" w:color="000000"/>
              <w:left w:val="dotted" w:sz="4" w:space="0" w:color="000000"/>
              <w:bottom w:val="dotted" w:sz="4" w:space="0" w:color="000000"/>
              <w:right w:val="dotted" w:sz="4" w:space="0" w:color="000000"/>
            </w:tcBorders>
          </w:tcPr>
          <w:p>
            <w:pPr/>
          </w:p>
        </w:tc>
        <w:tc>
          <w:tcPr>
            <w:tcW w:w="2679"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53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81" w:type="dxa"/>
            <w:tcBorders>
              <w:top w:val="dotted" w:sz="4" w:space="0" w:color="000000"/>
              <w:left w:val="dotted" w:sz="4" w:space="0" w:color="000000"/>
              <w:bottom w:val="dotted" w:sz="4" w:space="0" w:color="000000"/>
              <w:right w:val="dotted" w:sz="4" w:space="0" w:color="000000"/>
            </w:tcBorders>
          </w:tcPr>
          <w:p>
            <w:pPr/>
          </w:p>
        </w:tc>
        <w:tc>
          <w:tcPr>
            <w:tcW w:w="2679" w:type="dxa"/>
            <w:tcBorders>
              <w:top w:val="dotted" w:sz="4" w:space="0" w:color="000000"/>
              <w:left w:val="dotted" w:sz="4" w:space="0" w:color="000000"/>
              <w:bottom w:val="dotted" w:sz="4" w:space="0" w:color="000000"/>
              <w:right w:val="dotted" w:sz="4" w:space="0" w:color="000000"/>
            </w:tcBorders>
          </w:tcPr>
          <w:p>
            <w:pPr/>
          </w:p>
        </w:tc>
        <w:tc>
          <w:tcPr>
            <w:tcW w:w="243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53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2681" w:type="dxa"/>
            <w:tcBorders>
              <w:top w:val="dotted" w:sz="4" w:space="0" w:color="000000"/>
              <w:left w:val="dotted" w:sz="4" w:space="0" w:color="000000"/>
              <w:bottom w:val="single" w:sz="12" w:space="0" w:color="000000"/>
              <w:right w:val="dotted" w:sz="4" w:space="0" w:color="000000"/>
            </w:tcBorders>
          </w:tcPr>
          <w:p>
            <w:pPr/>
          </w:p>
        </w:tc>
        <w:tc>
          <w:tcPr>
            <w:tcW w:w="2679" w:type="dxa"/>
            <w:tcBorders>
              <w:top w:val="dotted" w:sz="4" w:space="0" w:color="000000"/>
              <w:left w:val="dotted" w:sz="4" w:space="0" w:color="000000"/>
              <w:bottom w:val="single" w:sz="12" w:space="0" w:color="000000"/>
              <w:right w:val="dotted" w:sz="4" w:space="0" w:color="000000"/>
            </w:tcBorders>
          </w:tcPr>
          <w:p>
            <w:pPr/>
          </w:p>
        </w:tc>
        <w:tc>
          <w:tcPr>
            <w:tcW w:w="2432"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tbl>
      <w:tblPr>
        <w:tblW w:w="0" w:type="auto"/>
        <w:jc w:val="left"/>
        <w:tblInd w:w="1006" w:type="dxa"/>
        <w:tblLayout w:type="fixed"/>
        <w:tblCellMar>
          <w:top w:w="0" w:type="dxa"/>
          <w:left w:w="0" w:type="dxa"/>
          <w:bottom w:w="0" w:type="dxa"/>
          <w:right w:w="0" w:type="dxa"/>
        </w:tblCellMar>
        <w:tblLook w:val="01E0"/>
      </w:tblPr>
      <w:tblGrid>
        <w:gridCol w:w="5396"/>
        <w:gridCol w:w="2681"/>
        <w:gridCol w:w="2679"/>
        <w:gridCol w:w="2432"/>
      </w:tblGrid>
      <w:tr>
        <w:trPr>
          <w:trHeight w:val="461" w:hRule="exact"/>
        </w:trPr>
        <w:tc>
          <w:tcPr>
            <w:tcW w:w="53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0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6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1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1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3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1" w:hRule="exact"/>
        </w:trPr>
        <w:tc>
          <w:tcPr>
            <w:tcW w:w="53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6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536" w:right="0"/>
              <w:jc w:val="left"/>
              <w:rPr>
                <w:rFonts w:ascii="Times New Roman" w:hAnsi="Times New Roman" w:cs="Times New Roman" w:eastAsia="Times New Roman" w:hint="default"/>
                <w:sz w:val="18"/>
                <w:szCs w:val="18"/>
              </w:rPr>
            </w:pPr>
            <w:r>
              <w:rPr>
                <w:rFonts w:ascii="Times New Roman"/>
                <w:sz w:val="18"/>
              </w:rPr>
              <w:t>33,031,620.30</w:t>
            </w:r>
          </w:p>
        </w:tc>
        <w:tc>
          <w:tcPr>
            <w:tcW w:w="2679" w:type="dxa"/>
            <w:tcBorders>
              <w:top w:val="dotted" w:sz="4" w:space="0" w:color="000000"/>
              <w:left w:val="dotted" w:sz="4" w:space="0" w:color="000000"/>
              <w:bottom w:val="single" w:sz="12" w:space="0" w:color="000000"/>
              <w:right w:val="dotted" w:sz="4" w:space="0" w:color="000000"/>
            </w:tcBorders>
          </w:tcPr>
          <w:p>
            <w:pPr/>
          </w:p>
        </w:tc>
        <w:tc>
          <w:tcPr>
            <w:tcW w:w="243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84" w:right="0"/>
              <w:jc w:val="left"/>
              <w:rPr>
                <w:rFonts w:ascii="Times New Roman" w:hAnsi="Times New Roman" w:cs="Times New Roman" w:eastAsia="Times New Roman" w:hint="default"/>
                <w:sz w:val="18"/>
                <w:szCs w:val="18"/>
              </w:rPr>
            </w:pPr>
            <w:r>
              <w:rPr>
                <w:rFonts w:ascii="Times New Roman"/>
                <w:sz w:val="18"/>
              </w:rPr>
              <w:t>33,031,620.30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9"/>
          <w:szCs w:val="29"/>
        </w:rPr>
      </w:pPr>
    </w:p>
    <w:p>
      <w:pPr>
        <w:pStyle w:val="Heading6"/>
        <w:tabs>
          <w:tab w:pos="853" w:val="left" w:leader="none"/>
        </w:tabs>
        <w:spacing w:line="335" w:lineRule="exact"/>
        <w:ind w:left="128" w:right="230"/>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长期股权投资</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1757"/>
        <w:gridCol w:w="1253"/>
        <w:gridCol w:w="1070"/>
        <w:gridCol w:w="766"/>
        <w:gridCol w:w="1155"/>
        <w:gridCol w:w="883"/>
        <w:gridCol w:w="1145"/>
        <w:gridCol w:w="1153"/>
        <w:gridCol w:w="1044"/>
        <w:gridCol w:w="1253"/>
        <w:gridCol w:w="828"/>
        <w:gridCol w:w="1034"/>
      </w:tblGrid>
      <w:tr>
        <w:trPr>
          <w:trHeight w:val="499"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55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7215"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2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561" w:lineRule="auto"/>
              <w:ind w:left="148" w:right="149"/>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103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561" w:lineRule="auto"/>
              <w:ind w:left="383" w:right="127"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931" w:hRule="exact"/>
        </w:trPr>
        <w:tc>
          <w:tcPr>
            <w:tcW w:w="1757" w:type="dxa"/>
            <w:vMerge/>
            <w:tcBorders>
              <w:left w:val="nil" w:sz="6" w:space="0" w:color="auto"/>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76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6"/>
              <w:ind w:left="244" w:right="251"/>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11" w:right="118"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240" w:right="113"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07" w:right="122"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253"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dotted" w:sz="4" w:space="0" w:color="000000"/>
            </w:tcBorders>
          </w:tcPr>
          <w:p>
            <w:pPr/>
          </w:p>
        </w:tc>
        <w:tc>
          <w:tcPr>
            <w:tcW w:w="1034" w:type="dxa"/>
            <w:vMerge/>
            <w:tcBorders>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．合营企业</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深圳市集贸市场有限公司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27,789,112.87</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4,449,148.84</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3,841,638.68</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28,396,623.03</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27,789,112.87</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4,449,148.84</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3,841,638.68</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28,396,623.03</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．联营企业</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蚌埠海吉星农产品物流有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93,863,961.18</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769,152.45</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pacing w:val="-1"/>
                <w:sz w:val="13"/>
              </w:rPr>
              <w:t>94,633,113.63</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合肥周谷堆农产品批发市</w:t>
            </w:r>
            <w:r>
              <w:rPr>
                <w:rFonts w:ascii="宋体" w:hAnsi="宋体" w:cs="宋体" w:eastAsia="宋体" w:hint="default"/>
                <w:w w:val="99"/>
                <w:sz w:val="13"/>
                <w:szCs w:val="13"/>
              </w:rPr>
              <w:t> </w:t>
            </w:r>
            <w:r>
              <w:rPr>
                <w:rFonts w:ascii="宋体" w:hAnsi="宋体" w:cs="宋体" w:eastAsia="宋体" w:hint="default"/>
                <w:sz w:val="13"/>
                <w:szCs w:val="13"/>
              </w:rPr>
              <w:t>场股份有限公司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470,070,132.56</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77,227,862.50</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26,805,000.00</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520,492,995.06</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900"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深圳市农产品融资担保有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72,558,512.82</w:t>
            </w:r>
          </w:p>
        </w:tc>
        <w:tc>
          <w:tcPr>
            <w:tcW w:w="1070" w:type="dxa"/>
            <w:tcBorders>
              <w:top w:val="dotted" w:sz="4" w:space="0" w:color="000000"/>
              <w:left w:val="dotted" w:sz="4" w:space="0" w:color="000000"/>
              <w:bottom w:val="single" w:sz="12" w:space="0" w:color="000000"/>
              <w:right w:val="dotted" w:sz="4" w:space="0" w:color="000000"/>
            </w:tcBorders>
          </w:tcPr>
          <w:p>
            <w:pPr/>
          </w:p>
        </w:tc>
        <w:tc>
          <w:tcPr>
            <w:tcW w:w="76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1,525,601.23</w:t>
            </w:r>
          </w:p>
        </w:tc>
        <w:tc>
          <w:tcPr>
            <w:tcW w:w="883"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dotted" w:sz="4" w:space="0" w:color="000000"/>
            </w:tcBorders>
          </w:tcPr>
          <w:p>
            <w:pPr/>
          </w:p>
        </w:tc>
        <w:tc>
          <w:tcPr>
            <w:tcW w:w="11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12,000,000.00</w:t>
            </w:r>
          </w:p>
        </w:tc>
        <w:tc>
          <w:tcPr>
            <w:tcW w:w="1044"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pacing w:val="-1"/>
                <w:sz w:val="13"/>
              </w:rPr>
              <w:t>62,084,114.05</w:t>
            </w:r>
          </w:p>
        </w:tc>
        <w:tc>
          <w:tcPr>
            <w:tcW w:w="828" w:type="dxa"/>
            <w:tcBorders>
              <w:top w:val="dotted" w:sz="4" w:space="0" w:color="000000"/>
              <w:left w:val="dotted" w:sz="4" w:space="0" w:color="000000"/>
              <w:bottom w:val="single" w:sz="12" w:space="0" w:color="000000"/>
              <w:right w:val="dotted" w:sz="4" w:space="0" w:color="000000"/>
            </w:tcBorders>
          </w:tcPr>
          <w:p>
            <w:pPr/>
          </w:p>
        </w:tc>
        <w:tc>
          <w:tcPr>
            <w:tcW w:w="103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1757"/>
        <w:gridCol w:w="1253"/>
        <w:gridCol w:w="1070"/>
        <w:gridCol w:w="766"/>
        <w:gridCol w:w="1155"/>
        <w:gridCol w:w="883"/>
        <w:gridCol w:w="1145"/>
        <w:gridCol w:w="1153"/>
        <w:gridCol w:w="1044"/>
        <w:gridCol w:w="1253"/>
        <w:gridCol w:w="828"/>
        <w:gridCol w:w="1034"/>
      </w:tblGrid>
      <w:tr>
        <w:trPr>
          <w:trHeight w:val="499"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5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7215"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2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148" w:right="149"/>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103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383" w:right="127"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931" w:hRule="exact"/>
        </w:trPr>
        <w:tc>
          <w:tcPr>
            <w:tcW w:w="1757" w:type="dxa"/>
            <w:vMerge/>
            <w:tcBorders>
              <w:left w:val="nil" w:sz="6" w:space="0" w:color="auto"/>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76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6"/>
              <w:ind w:left="244" w:right="251"/>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11" w:right="118"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240" w:right="113"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07" w:right="122"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253"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dotted" w:sz="4" w:space="0" w:color="000000"/>
            </w:tcBorders>
          </w:tcPr>
          <w:p>
            <w:pPr/>
          </w:p>
        </w:tc>
        <w:tc>
          <w:tcPr>
            <w:tcW w:w="1034" w:type="dxa"/>
            <w:vMerge/>
            <w:tcBorders>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深圳市农产品基金管理有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2,829,561.72</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305,454.82</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left="451" w:right="0"/>
              <w:jc w:val="left"/>
              <w:rPr>
                <w:rFonts w:ascii="Times New Roman" w:hAnsi="Times New Roman" w:cs="Times New Roman" w:eastAsia="Times New Roman" w:hint="default"/>
                <w:sz w:val="13"/>
                <w:szCs w:val="13"/>
              </w:rPr>
            </w:pPr>
            <w:r>
              <w:rPr>
                <w:rFonts w:ascii="Times New Roman"/>
                <w:sz w:val="13"/>
              </w:rPr>
              <w:t>250,000.00</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2,885,016.54</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88"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深圳市山河设计装饰工程</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287,150.49</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200,315.57</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4"/>
              <w:jc w:val="right"/>
              <w:rPr>
                <w:rFonts w:ascii="Times New Roman" w:hAnsi="Times New Roman" w:cs="Times New Roman" w:eastAsia="Times New Roman" w:hint="default"/>
                <w:sz w:val="13"/>
                <w:szCs w:val="13"/>
              </w:rPr>
            </w:pPr>
            <w:r>
              <w:rPr>
                <w:rFonts w:ascii="Times New Roman"/>
                <w:sz w:val="13"/>
              </w:rPr>
              <w:t>487,466.06</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9"/>
              <w:ind w:left="122" w:right="199"/>
              <w:jc w:val="left"/>
              <w:rPr>
                <w:rFonts w:ascii="宋体" w:hAnsi="宋体" w:cs="宋体" w:eastAsia="宋体" w:hint="default"/>
                <w:sz w:val="13"/>
                <w:szCs w:val="13"/>
              </w:rPr>
            </w:pPr>
            <w:r>
              <w:rPr>
                <w:rFonts w:ascii="宋体" w:hAnsi="宋体" w:cs="宋体" w:eastAsia="宋体" w:hint="default"/>
                <w:sz w:val="13"/>
                <w:szCs w:val="13"/>
              </w:rPr>
              <w:t>深圳市深粮控股股份有限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193,022,976.53</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-12,778,897.88</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left="216" w:right="0"/>
              <w:jc w:val="left"/>
              <w:rPr>
                <w:rFonts w:ascii="Times New Roman" w:hAnsi="Times New Roman" w:cs="Times New Roman" w:eastAsia="Times New Roman" w:hint="default"/>
                <w:sz w:val="13"/>
                <w:szCs w:val="13"/>
              </w:rPr>
            </w:pPr>
            <w:r>
              <w:rPr>
                <w:rFonts w:ascii="Times New Roman"/>
                <w:sz w:val="13"/>
              </w:rPr>
              <w:t>171,796,756.02</w:t>
            </w: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4"/>
              <w:jc w:val="right"/>
              <w:rPr>
                <w:rFonts w:ascii="Times New Roman" w:hAnsi="Times New Roman" w:cs="Times New Roman" w:eastAsia="Times New Roman" w:hint="default"/>
                <w:sz w:val="13"/>
                <w:szCs w:val="13"/>
              </w:rPr>
            </w:pPr>
            <w:r>
              <w:rPr>
                <w:rFonts w:ascii="Times New Roman"/>
                <w:sz w:val="13"/>
              </w:rPr>
              <w:t>352,040,834.67</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深圳市运通资本投资管理</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3,396,850.65</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7"/>
              <w:jc w:val="right"/>
              <w:rPr>
                <w:rFonts w:ascii="Times New Roman" w:hAnsi="Times New Roman" w:cs="Times New Roman" w:eastAsia="Times New Roman" w:hint="default"/>
                <w:sz w:val="13"/>
                <w:szCs w:val="13"/>
              </w:rPr>
            </w:pPr>
            <w:r>
              <w:rPr>
                <w:rFonts w:ascii="Times New Roman"/>
                <w:sz w:val="13"/>
              </w:rPr>
              <w:t>1,795,141.77</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5,191,992.42</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深圳市中农水产股份有限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18,164,985.51</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7"/>
              <w:jc w:val="right"/>
              <w:rPr>
                <w:rFonts w:ascii="Times New Roman" w:hAnsi="Times New Roman" w:cs="Times New Roman" w:eastAsia="Times New Roman" w:hint="default"/>
                <w:sz w:val="13"/>
                <w:szCs w:val="13"/>
              </w:rPr>
            </w:pPr>
            <w:r>
              <w:rPr>
                <w:rFonts w:ascii="Times New Roman"/>
                <w:sz w:val="13"/>
              </w:rPr>
              <w:t>-9,306,155.77</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8,858,829.74</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深圳市中农网有限公司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315,210,158.42</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16,704,953.34</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-276,092.89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331,639,018.87</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深圳市中央大厨房物流配</w:t>
            </w:r>
            <w:r>
              <w:rPr>
                <w:rFonts w:ascii="宋体" w:hAnsi="宋体" w:cs="宋体" w:eastAsia="宋体" w:hint="default"/>
                <w:w w:val="99"/>
                <w:sz w:val="13"/>
                <w:szCs w:val="13"/>
              </w:rPr>
              <w:t> </w:t>
            </w:r>
            <w:r>
              <w:rPr>
                <w:rFonts w:ascii="宋体" w:hAnsi="宋体" w:cs="宋体" w:eastAsia="宋体" w:hint="default"/>
                <w:sz w:val="13"/>
                <w:szCs w:val="13"/>
              </w:rPr>
              <w:t>送有限公司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9,517,761.07</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7"/>
              <w:jc w:val="right"/>
              <w:rPr>
                <w:rFonts w:ascii="Times New Roman" w:hAnsi="Times New Roman" w:cs="Times New Roman" w:eastAsia="Times New Roman" w:hint="default"/>
                <w:sz w:val="13"/>
                <w:szCs w:val="13"/>
              </w:rPr>
            </w:pPr>
            <w:r>
              <w:rPr>
                <w:rFonts w:ascii="Times New Roman"/>
                <w:sz w:val="13"/>
              </w:rPr>
              <w:t>-4,753,127.94</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4,764,633.13</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天津海吉星建设有限公司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15,935,996.34</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173,263.33</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-1,314,403.33</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14,794,856.34</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天津海吉星农产品市场管</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990,810.09</w:t>
            </w:r>
          </w:p>
        </w:tc>
        <w:tc>
          <w:tcPr>
            <w:tcW w:w="1070" w:type="dxa"/>
            <w:tcBorders>
              <w:top w:val="dotted" w:sz="4" w:space="0" w:color="000000"/>
              <w:left w:val="dotted" w:sz="4" w:space="0" w:color="000000"/>
              <w:bottom w:val="single" w:sz="12" w:space="0" w:color="000000"/>
              <w:right w:val="dotted" w:sz="4" w:space="0" w:color="000000"/>
            </w:tcBorders>
          </w:tcPr>
          <w:p>
            <w:pPr/>
          </w:p>
        </w:tc>
        <w:tc>
          <w:tcPr>
            <w:tcW w:w="76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-21,762.80</w:t>
            </w:r>
          </w:p>
        </w:tc>
        <w:tc>
          <w:tcPr>
            <w:tcW w:w="883"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dotted" w:sz="4" w:space="0" w:color="000000"/>
            </w:tcBorders>
          </w:tcPr>
          <w:p>
            <w:pPr/>
          </w:p>
        </w:tc>
        <w:tc>
          <w:tcPr>
            <w:tcW w:w="1153" w:type="dxa"/>
            <w:tcBorders>
              <w:top w:val="dotted" w:sz="4" w:space="0" w:color="000000"/>
              <w:left w:val="dotted" w:sz="4" w:space="0" w:color="000000"/>
              <w:bottom w:val="single" w:sz="12" w:space="0" w:color="000000"/>
              <w:right w:val="dotted" w:sz="4" w:space="0" w:color="000000"/>
            </w:tcBorders>
          </w:tcPr>
          <w:p>
            <w:pPr/>
          </w:p>
        </w:tc>
        <w:tc>
          <w:tcPr>
            <w:tcW w:w="1044"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969,047.29</w:t>
            </w:r>
          </w:p>
        </w:tc>
        <w:tc>
          <w:tcPr>
            <w:tcW w:w="828" w:type="dxa"/>
            <w:tcBorders>
              <w:top w:val="dotted" w:sz="4" w:space="0" w:color="000000"/>
              <w:left w:val="dotted" w:sz="4" w:space="0" w:color="000000"/>
              <w:bottom w:val="single" w:sz="12" w:space="0" w:color="000000"/>
              <w:right w:val="dotted" w:sz="4" w:space="0" w:color="000000"/>
            </w:tcBorders>
          </w:tcPr>
          <w:p>
            <w:pPr/>
          </w:p>
        </w:tc>
        <w:tc>
          <w:tcPr>
            <w:tcW w:w="103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1757"/>
        <w:gridCol w:w="1253"/>
        <w:gridCol w:w="1070"/>
        <w:gridCol w:w="766"/>
        <w:gridCol w:w="1155"/>
        <w:gridCol w:w="883"/>
        <w:gridCol w:w="1145"/>
        <w:gridCol w:w="1153"/>
        <w:gridCol w:w="1044"/>
        <w:gridCol w:w="1253"/>
        <w:gridCol w:w="828"/>
        <w:gridCol w:w="1034"/>
      </w:tblGrid>
      <w:tr>
        <w:trPr>
          <w:trHeight w:val="499"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5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7215"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2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148" w:right="149"/>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103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383" w:right="127"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931" w:hRule="exact"/>
        </w:trPr>
        <w:tc>
          <w:tcPr>
            <w:tcW w:w="1757" w:type="dxa"/>
            <w:vMerge/>
            <w:tcBorders>
              <w:left w:val="nil" w:sz="6" w:space="0" w:color="auto"/>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76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6"/>
              <w:ind w:left="244" w:right="251"/>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11" w:right="118"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240" w:right="113"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07" w:right="122"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253"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dotted" w:sz="4" w:space="0" w:color="000000"/>
            </w:tcBorders>
          </w:tcPr>
          <w:p>
            <w:pPr/>
          </w:p>
        </w:tc>
        <w:tc>
          <w:tcPr>
            <w:tcW w:w="1034" w:type="dxa"/>
            <w:vMerge/>
            <w:tcBorders>
              <w:left w:val="dotted" w:sz="4" w:space="0" w:color="000000"/>
              <w:bottom w:val="dotted" w:sz="4" w:space="0" w:color="000000"/>
              <w:right w:val="nil" w:sz="6" w:space="0" w:color="auto"/>
            </w:tcBorders>
          </w:tcPr>
          <w:p>
            <w:pPr/>
          </w:p>
        </w:tc>
      </w:tr>
      <w:tr>
        <w:trPr>
          <w:trHeight w:val="449"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理有限公司</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7"/>
              <w:ind w:left="122" w:right="199"/>
              <w:jc w:val="left"/>
              <w:rPr>
                <w:rFonts w:ascii="宋体" w:hAnsi="宋体" w:cs="宋体" w:eastAsia="宋体" w:hint="default"/>
                <w:sz w:val="13"/>
                <w:szCs w:val="13"/>
              </w:rPr>
            </w:pPr>
            <w:r>
              <w:rPr>
                <w:rFonts w:ascii="宋体" w:hAnsi="宋体" w:cs="宋体" w:eastAsia="宋体" w:hint="default"/>
                <w:sz w:val="13"/>
                <w:szCs w:val="13"/>
              </w:rPr>
              <w:t>天津海吉星投资发展有限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right="99"/>
              <w:jc w:val="right"/>
              <w:rPr>
                <w:rFonts w:ascii="Times New Roman" w:hAnsi="Times New Roman" w:cs="Times New Roman" w:eastAsia="Times New Roman" w:hint="default"/>
                <w:sz w:val="13"/>
                <w:szCs w:val="13"/>
              </w:rPr>
            </w:pPr>
            <w:r>
              <w:rPr>
                <w:rFonts w:ascii="Times New Roman"/>
                <w:sz w:val="13"/>
              </w:rPr>
              <w:t>31,595,995.51</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right="97"/>
              <w:jc w:val="right"/>
              <w:rPr>
                <w:rFonts w:ascii="Times New Roman" w:hAnsi="Times New Roman" w:cs="Times New Roman" w:eastAsia="Times New Roman" w:hint="default"/>
                <w:sz w:val="13"/>
                <w:szCs w:val="13"/>
              </w:rPr>
            </w:pPr>
            <w:r>
              <w:rPr>
                <w:rFonts w:ascii="Times New Roman"/>
                <w:sz w:val="13"/>
              </w:rPr>
              <w:t>-4,505,855.08</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left="203" w:right="0"/>
              <w:jc w:val="left"/>
              <w:rPr>
                <w:rFonts w:ascii="Times New Roman" w:hAnsi="Times New Roman" w:cs="Times New Roman" w:eastAsia="Times New Roman" w:hint="default"/>
                <w:sz w:val="13"/>
                <w:szCs w:val="13"/>
              </w:rPr>
            </w:pPr>
            <w:r>
              <w:rPr>
                <w:rFonts w:ascii="Times New Roman"/>
                <w:sz w:val="13"/>
              </w:rPr>
              <w:t>-4,129,272.45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right="102"/>
              <w:jc w:val="right"/>
              <w:rPr>
                <w:rFonts w:ascii="Times New Roman" w:hAnsi="Times New Roman" w:cs="Times New Roman" w:eastAsia="Times New Roman" w:hint="default"/>
                <w:sz w:val="13"/>
                <w:szCs w:val="13"/>
              </w:rPr>
            </w:pPr>
            <w:r>
              <w:rPr>
                <w:rFonts w:ascii="Times New Roman"/>
                <w:sz w:val="13"/>
              </w:rPr>
              <w:t>22,960,867.98</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天津津俊投资发展有限公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31,141,258.58</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303,929.27</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1"/>
              <w:jc w:val="right"/>
              <w:rPr>
                <w:rFonts w:ascii="Times New Roman" w:hAnsi="Times New Roman" w:cs="Times New Roman" w:eastAsia="Times New Roman" w:hint="default"/>
                <w:sz w:val="13"/>
                <w:szCs w:val="13"/>
              </w:rPr>
            </w:pPr>
            <w:r>
              <w:rPr>
                <w:rFonts w:ascii="Times New Roman"/>
                <w:sz w:val="13"/>
              </w:rPr>
              <w:t>31,445,187.85</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深圳市信祥投资发展有限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武汉城市圈海吉星农产品</w:t>
            </w:r>
            <w:r>
              <w:rPr>
                <w:rFonts w:ascii="宋体" w:hAnsi="宋体" w:cs="宋体" w:eastAsia="宋体" w:hint="default"/>
                <w:w w:val="99"/>
                <w:sz w:val="13"/>
                <w:szCs w:val="13"/>
              </w:rPr>
              <w:t> </w:t>
            </w:r>
            <w:r>
              <w:rPr>
                <w:rFonts w:ascii="宋体" w:hAnsi="宋体" w:cs="宋体" w:eastAsia="宋体" w:hint="default"/>
                <w:sz w:val="13"/>
                <w:szCs w:val="13"/>
              </w:rPr>
              <w:t>物流有限公司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76,724,070.77</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-40,603,422.08</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36,120,648.69</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88"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桂林海吉星农产品集团有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70,085,010.27</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left="273" w:right="0"/>
              <w:jc w:val="left"/>
              <w:rPr>
                <w:rFonts w:ascii="Times New Roman" w:hAnsi="Times New Roman" w:cs="Times New Roman" w:eastAsia="Times New Roman" w:hint="default"/>
                <w:sz w:val="13"/>
                <w:szCs w:val="13"/>
              </w:rPr>
            </w:pPr>
            <w:r>
              <w:rPr>
                <w:rFonts w:ascii="Times New Roman"/>
                <w:sz w:val="13"/>
              </w:rPr>
              <w:t>6,400,000.00</w:t>
            </w: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pacing w:val="-1"/>
                <w:sz w:val="13"/>
              </w:rPr>
              <w:t>-118,292.28</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76,366,717.99</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9"/>
              <w:ind w:left="122" w:right="199"/>
              <w:jc w:val="left"/>
              <w:rPr>
                <w:rFonts w:ascii="宋体" w:hAnsi="宋体" w:cs="宋体" w:eastAsia="宋体" w:hint="default"/>
                <w:sz w:val="13"/>
                <w:szCs w:val="13"/>
              </w:rPr>
            </w:pPr>
            <w:r>
              <w:rPr>
                <w:rFonts w:ascii="宋体" w:hAnsi="宋体" w:cs="宋体" w:eastAsia="宋体" w:hint="default"/>
                <w:sz w:val="13"/>
                <w:szCs w:val="13"/>
              </w:rPr>
              <w:t>广西北投星联国际供应链</w:t>
            </w:r>
            <w:r>
              <w:rPr>
                <w:rFonts w:ascii="宋体" w:hAnsi="宋体" w:cs="宋体" w:eastAsia="宋体" w:hint="default"/>
                <w:w w:val="99"/>
                <w:sz w:val="13"/>
                <w:szCs w:val="13"/>
              </w:rPr>
              <w:t> </w:t>
            </w:r>
            <w:r>
              <w:rPr>
                <w:rFonts w:ascii="宋体" w:hAnsi="宋体" w:cs="宋体" w:eastAsia="宋体" w:hint="default"/>
                <w:sz w:val="13"/>
                <w:szCs w:val="13"/>
              </w:rPr>
              <w:t>管理有限公司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49,674,854.35</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602,920.02</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50,277,774.37</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902"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深圳好运购来农产品股份</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180,000.00</w:t>
            </w:r>
          </w:p>
        </w:tc>
        <w:tc>
          <w:tcPr>
            <w:tcW w:w="1070" w:type="dxa"/>
            <w:tcBorders>
              <w:top w:val="dotted" w:sz="4" w:space="0" w:color="000000"/>
              <w:left w:val="dotted" w:sz="4" w:space="0" w:color="000000"/>
              <w:bottom w:val="single" w:sz="12" w:space="0" w:color="000000"/>
              <w:right w:val="dotted" w:sz="4" w:space="0" w:color="000000"/>
            </w:tcBorders>
          </w:tcPr>
          <w:p>
            <w:pPr/>
          </w:p>
        </w:tc>
        <w:tc>
          <w:tcPr>
            <w:tcW w:w="76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-150,243.49</w:t>
            </w:r>
          </w:p>
        </w:tc>
        <w:tc>
          <w:tcPr>
            <w:tcW w:w="883"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dotted" w:sz="4" w:space="0" w:color="000000"/>
            </w:tcBorders>
          </w:tcPr>
          <w:p>
            <w:pPr/>
          </w:p>
        </w:tc>
        <w:tc>
          <w:tcPr>
            <w:tcW w:w="1153" w:type="dxa"/>
            <w:tcBorders>
              <w:top w:val="dotted" w:sz="4" w:space="0" w:color="000000"/>
              <w:left w:val="dotted" w:sz="4" w:space="0" w:color="000000"/>
              <w:bottom w:val="single" w:sz="12" w:space="0" w:color="000000"/>
              <w:right w:val="dotted" w:sz="4" w:space="0" w:color="000000"/>
            </w:tcBorders>
          </w:tcPr>
          <w:p>
            <w:pPr/>
          </w:p>
        </w:tc>
        <w:tc>
          <w:tcPr>
            <w:tcW w:w="1044"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4"/>
              <w:jc w:val="right"/>
              <w:rPr>
                <w:rFonts w:ascii="Times New Roman" w:hAnsi="Times New Roman" w:cs="Times New Roman" w:eastAsia="Times New Roman" w:hint="default"/>
                <w:sz w:val="13"/>
                <w:szCs w:val="13"/>
              </w:rPr>
            </w:pPr>
            <w:r>
              <w:rPr>
                <w:rFonts w:ascii="Times New Roman"/>
                <w:sz w:val="13"/>
              </w:rPr>
              <w:t>29,756.51</w:t>
            </w:r>
          </w:p>
        </w:tc>
        <w:tc>
          <w:tcPr>
            <w:tcW w:w="828" w:type="dxa"/>
            <w:tcBorders>
              <w:top w:val="dotted" w:sz="4" w:space="0" w:color="000000"/>
              <w:left w:val="dotted" w:sz="4" w:space="0" w:color="000000"/>
              <w:bottom w:val="single" w:sz="12" w:space="0" w:color="000000"/>
              <w:right w:val="dotted" w:sz="4" w:space="0" w:color="000000"/>
            </w:tcBorders>
          </w:tcPr>
          <w:p>
            <w:pPr/>
          </w:p>
        </w:tc>
        <w:tc>
          <w:tcPr>
            <w:tcW w:w="103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1757"/>
        <w:gridCol w:w="1253"/>
        <w:gridCol w:w="1070"/>
        <w:gridCol w:w="766"/>
        <w:gridCol w:w="1155"/>
        <w:gridCol w:w="883"/>
        <w:gridCol w:w="1145"/>
        <w:gridCol w:w="1153"/>
        <w:gridCol w:w="1044"/>
        <w:gridCol w:w="1253"/>
        <w:gridCol w:w="828"/>
        <w:gridCol w:w="1034"/>
      </w:tblGrid>
      <w:tr>
        <w:trPr>
          <w:trHeight w:val="499"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5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7215"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2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148" w:right="149"/>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103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383" w:right="127"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931" w:hRule="exact"/>
        </w:trPr>
        <w:tc>
          <w:tcPr>
            <w:tcW w:w="1757" w:type="dxa"/>
            <w:vMerge/>
            <w:tcBorders>
              <w:left w:val="nil" w:sz="6" w:space="0" w:color="auto"/>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76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6"/>
              <w:ind w:left="244" w:right="251"/>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11" w:right="118"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240" w:right="113"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07" w:right="122"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253"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dotted" w:sz="4" w:space="0" w:color="000000"/>
            </w:tcBorders>
          </w:tcPr>
          <w:p>
            <w:pPr/>
          </w:p>
        </w:tc>
        <w:tc>
          <w:tcPr>
            <w:tcW w:w="1034" w:type="dxa"/>
            <w:vMerge/>
            <w:tcBorders>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北京大红门京深海鲜批发</w:t>
            </w:r>
            <w:r>
              <w:rPr>
                <w:rFonts w:ascii="宋体" w:hAnsi="宋体" w:cs="宋体" w:eastAsia="宋体" w:hint="default"/>
                <w:w w:val="99"/>
                <w:sz w:val="13"/>
                <w:szCs w:val="13"/>
              </w:rPr>
              <w:t> </w:t>
            </w:r>
            <w:r>
              <w:rPr>
                <w:rFonts w:ascii="宋体" w:hAnsi="宋体" w:cs="宋体" w:eastAsia="宋体" w:hint="default"/>
                <w:sz w:val="13"/>
                <w:szCs w:val="13"/>
              </w:rPr>
              <w:t>市场有限公司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57,706,678.32</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7"/>
              <w:jc w:val="right"/>
              <w:rPr>
                <w:rFonts w:ascii="Times New Roman" w:hAnsi="Times New Roman" w:cs="Times New Roman" w:eastAsia="Times New Roman" w:hint="default"/>
                <w:sz w:val="13"/>
                <w:szCs w:val="13"/>
              </w:rPr>
            </w:pPr>
            <w:r>
              <w:rPr>
                <w:rFonts w:ascii="Times New Roman"/>
                <w:sz w:val="13"/>
              </w:rPr>
              <w:t>5,819,703.60</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20,172,856.01</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43,353,525.91</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88"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南昌深农冷链物流有限公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5,822,101.78</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7"/>
              <w:jc w:val="right"/>
              <w:rPr>
                <w:rFonts w:ascii="Times New Roman" w:hAnsi="Times New Roman" w:cs="Times New Roman" w:eastAsia="Times New Roman" w:hint="default"/>
                <w:sz w:val="13"/>
                <w:szCs w:val="13"/>
              </w:rPr>
            </w:pPr>
            <w:r>
              <w:rPr>
                <w:rFonts w:ascii="Times New Roman"/>
                <w:spacing w:val="-1"/>
                <w:sz w:val="13"/>
              </w:rPr>
              <w:t>8,283,411.94</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14,105,513.72</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9"/>
              <w:ind w:left="122" w:right="199"/>
              <w:jc w:val="left"/>
              <w:rPr>
                <w:rFonts w:ascii="宋体" w:hAnsi="宋体" w:cs="宋体" w:eastAsia="宋体" w:hint="default"/>
                <w:sz w:val="13"/>
                <w:szCs w:val="13"/>
              </w:rPr>
            </w:pPr>
            <w:r>
              <w:rPr>
                <w:rFonts w:ascii="宋体" w:hAnsi="宋体" w:cs="宋体" w:eastAsia="宋体" w:hint="default"/>
                <w:sz w:val="13"/>
                <w:szCs w:val="13"/>
              </w:rPr>
              <w:t>深圳市泰美珠宝发展有限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3,037,147.26</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9,000.00</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3,046,147.26</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云南天露高原果蔬有限公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8,376,036.39</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146,643.32</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8,522,679.71</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云南天露包装制品有限公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3,492,730.94</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8"/>
              <w:jc w:val="right"/>
              <w:rPr>
                <w:rFonts w:ascii="Times New Roman" w:hAnsi="Times New Roman" w:cs="Times New Roman" w:eastAsia="Times New Roman" w:hint="default"/>
                <w:sz w:val="13"/>
                <w:szCs w:val="13"/>
              </w:rPr>
            </w:pPr>
            <w:r>
              <w:rPr>
                <w:rFonts w:ascii="Times New Roman"/>
                <w:sz w:val="13"/>
              </w:rPr>
              <w:t>18.52</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3,492,749.46</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深圳市嘉恒农业科技发展</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826,790.39</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-826,790.39</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7"/>
              <w:ind w:left="122" w:right="199"/>
              <w:jc w:val="left"/>
              <w:rPr>
                <w:rFonts w:ascii="宋体" w:hAnsi="宋体" w:cs="宋体" w:eastAsia="宋体" w:hint="default"/>
                <w:sz w:val="13"/>
                <w:szCs w:val="13"/>
              </w:rPr>
            </w:pPr>
            <w:r>
              <w:rPr>
                <w:rFonts w:ascii="宋体" w:hAnsi="宋体" w:cs="宋体" w:eastAsia="宋体" w:hint="default"/>
                <w:sz w:val="13"/>
                <w:szCs w:val="13"/>
              </w:rPr>
              <w:t>上海粮食交易中心批发市</w:t>
            </w:r>
            <w:r>
              <w:rPr>
                <w:rFonts w:ascii="宋体" w:hAnsi="宋体" w:cs="宋体" w:eastAsia="宋体" w:hint="default"/>
                <w:w w:val="99"/>
                <w:sz w:val="13"/>
                <w:szCs w:val="13"/>
              </w:rPr>
              <w:t> </w:t>
            </w:r>
            <w:r>
              <w:rPr>
                <w:rFonts w:ascii="宋体" w:hAnsi="宋体" w:cs="宋体" w:eastAsia="宋体" w:hint="default"/>
                <w:sz w:val="13"/>
                <w:szCs w:val="13"/>
              </w:rPr>
              <w:t>场经营管理股份有限公司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6,230,259.70</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7"/>
              <w:jc w:val="right"/>
              <w:rPr>
                <w:rFonts w:ascii="Times New Roman" w:hAnsi="Times New Roman" w:cs="Times New Roman" w:eastAsia="Times New Roman" w:hint="default"/>
                <w:sz w:val="13"/>
                <w:szCs w:val="13"/>
              </w:rPr>
            </w:pPr>
            <w:r>
              <w:rPr>
                <w:rFonts w:ascii="Times New Roman"/>
                <w:sz w:val="13"/>
              </w:rPr>
              <w:t>1,480,506.20</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3"/>
              <w:jc w:val="right"/>
              <w:rPr>
                <w:rFonts w:ascii="Times New Roman" w:hAnsi="Times New Roman" w:cs="Times New Roman" w:eastAsia="Times New Roman" w:hint="default"/>
                <w:sz w:val="13"/>
                <w:szCs w:val="13"/>
              </w:rPr>
            </w:pPr>
            <w:r>
              <w:rPr>
                <w:rFonts w:ascii="Times New Roman"/>
                <w:sz w:val="13"/>
              </w:rPr>
              <w:t>582,000.00</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7,128,765.90</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广西海吉星冻品市场管理</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20,131,111.87</w:t>
            </w:r>
          </w:p>
        </w:tc>
        <w:tc>
          <w:tcPr>
            <w:tcW w:w="1070" w:type="dxa"/>
            <w:tcBorders>
              <w:top w:val="dotted" w:sz="4" w:space="0" w:color="000000"/>
              <w:left w:val="dotted" w:sz="4" w:space="0" w:color="000000"/>
              <w:bottom w:val="single" w:sz="12" w:space="0" w:color="000000"/>
              <w:right w:val="dotted" w:sz="4" w:space="0" w:color="000000"/>
            </w:tcBorders>
          </w:tcPr>
          <w:p>
            <w:pPr/>
          </w:p>
        </w:tc>
        <w:tc>
          <w:tcPr>
            <w:tcW w:w="76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2,282,378.93</w:t>
            </w:r>
          </w:p>
        </w:tc>
        <w:tc>
          <w:tcPr>
            <w:tcW w:w="883"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43" w:right="0"/>
              <w:jc w:val="left"/>
              <w:rPr>
                <w:rFonts w:ascii="Times New Roman" w:hAnsi="Times New Roman" w:cs="Times New Roman" w:eastAsia="Times New Roman" w:hint="default"/>
                <w:sz w:val="13"/>
                <w:szCs w:val="13"/>
              </w:rPr>
            </w:pPr>
            <w:r>
              <w:rPr>
                <w:rFonts w:ascii="Times New Roman"/>
                <w:sz w:val="13"/>
              </w:rPr>
              <w:t>279,265.50</w:t>
            </w:r>
          </w:p>
        </w:tc>
        <w:tc>
          <w:tcPr>
            <w:tcW w:w="1153" w:type="dxa"/>
            <w:tcBorders>
              <w:top w:val="dotted" w:sz="4" w:space="0" w:color="000000"/>
              <w:left w:val="dotted" w:sz="4" w:space="0" w:color="000000"/>
              <w:bottom w:val="single" w:sz="12" w:space="0" w:color="000000"/>
              <w:right w:val="dotted" w:sz="4" w:space="0" w:color="000000"/>
            </w:tcBorders>
          </w:tcPr>
          <w:p>
            <w:pPr/>
          </w:p>
        </w:tc>
        <w:tc>
          <w:tcPr>
            <w:tcW w:w="1044"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22,692,756.30</w:t>
            </w:r>
          </w:p>
        </w:tc>
        <w:tc>
          <w:tcPr>
            <w:tcW w:w="828" w:type="dxa"/>
            <w:tcBorders>
              <w:top w:val="dotted" w:sz="4" w:space="0" w:color="000000"/>
              <w:left w:val="dotted" w:sz="4" w:space="0" w:color="000000"/>
              <w:bottom w:val="single" w:sz="12" w:space="0" w:color="000000"/>
              <w:right w:val="dotted" w:sz="4" w:space="0" w:color="000000"/>
            </w:tcBorders>
          </w:tcPr>
          <w:p>
            <w:pPr/>
          </w:p>
        </w:tc>
        <w:tc>
          <w:tcPr>
            <w:tcW w:w="103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1757"/>
        <w:gridCol w:w="1253"/>
        <w:gridCol w:w="1070"/>
        <w:gridCol w:w="766"/>
        <w:gridCol w:w="1155"/>
        <w:gridCol w:w="883"/>
        <w:gridCol w:w="1145"/>
        <w:gridCol w:w="1153"/>
        <w:gridCol w:w="1044"/>
        <w:gridCol w:w="1253"/>
        <w:gridCol w:w="828"/>
        <w:gridCol w:w="1034"/>
      </w:tblGrid>
      <w:tr>
        <w:trPr>
          <w:trHeight w:val="499"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5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7215"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2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148" w:right="149"/>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103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383" w:right="127"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931" w:hRule="exact"/>
        </w:trPr>
        <w:tc>
          <w:tcPr>
            <w:tcW w:w="1757" w:type="dxa"/>
            <w:vMerge/>
            <w:tcBorders>
              <w:left w:val="nil" w:sz="6" w:space="0" w:color="auto"/>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76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6"/>
              <w:ind w:left="244" w:right="251"/>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11" w:right="118"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240" w:right="113"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07" w:right="122"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253"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dotted" w:sz="4" w:space="0" w:color="000000"/>
            </w:tcBorders>
          </w:tcPr>
          <w:p>
            <w:pPr/>
          </w:p>
        </w:tc>
        <w:tc>
          <w:tcPr>
            <w:tcW w:w="1034" w:type="dxa"/>
            <w:vMerge/>
            <w:tcBorders>
              <w:left w:val="dotted" w:sz="4" w:space="0" w:color="000000"/>
              <w:bottom w:val="dotted" w:sz="4" w:space="0" w:color="000000"/>
              <w:right w:val="nil" w:sz="6" w:space="0" w:color="auto"/>
            </w:tcBorders>
          </w:tcPr>
          <w:p>
            <w:pPr/>
          </w:p>
        </w:tc>
      </w:tr>
      <w:tr>
        <w:trPr>
          <w:trHeight w:val="449"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7"/>
              <w:ind w:left="122" w:right="199"/>
              <w:jc w:val="left"/>
              <w:rPr>
                <w:rFonts w:ascii="宋体" w:hAnsi="宋体" w:cs="宋体" w:eastAsia="宋体" w:hint="default"/>
                <w:sz w:val="13"/>
                <w:szCs w:val="13"/>
              </w:rPr>
            </w:pPr>
            <w:r>
              <w:rPr>
                <w:rFonts w:ascii="宋体" w:hAnsi="宋体" w:cs="宋体" w:eastAsia="宋体" w:hint="default"/>
                <w:sz w:val="13"/>
                <w:szCs w:val="13"/>
              </w:rPr>
              <w:t>深圳市海吉星环保有限责</w:t>
            </w:r>
            <w:r>
              <w:rPr>
                <w:rFonts w:ascii="宋体" w:hAnsi="宋体" w:cs="宋体" w:eastAsia="宋体" w:hint="default"/>
                <w:w w:val="99"/>
                <w:sz w:val="13"/>
                <w:szCs w:val="13"/>
              </w:rPr>
              <w:t> </w:t>
            </w:r>
            <w:r>
              <w:rPr>
                <w:rFonts w:ascii="宋体" w:hAnsi="宋体" w:cs="宋体" w:eastAsia="宋体" w:hint="default"/>
                <w:sz w:val="13"/>
                <w:szCs w:val="13"/>
              </w:rPr>
              <w:t>任公司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right="99"/>
              <w:jc w:val="right"/>
              <w:rPr>
                <w:rFonts w:ascii="Times New Roman" w:hAnsi="Times New Roman" w:cs="Times New Roman" w:eastAsia="Times New Roman" w:hint="default"/>
                <w:sz w:val="13"/>
                <w:szCs w:val="13"/>
              </w:rPr>
            </w:pPr>
            <w:r>
              <w:rPr>
                <w:rFonts w:ascii="Times New Roman"/>
                <w:sz w:val="13"/>
              </w:rPr>
              <w:t>13,047,765.23</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right="97"/>
              <w:jc w:val="right"/>
              <w:rPr>
                <w:rFonts w:ascii="Times New Roman" w:hAnsi="Times New Roman" w:cs="Times New Roman" w:eastAsia="Times New Roman" w:hint="default"/>
                <w:sz w:val="13"/>
                <w:szCs w:val="13"/>
              </w:rPr>
            </w:pPr>
            <w:r>
              <w:rPr>
                <w:rFonts w:ascii="Times New Roman"/>
                <w:sz w:val="13"/>
              </w:rPr>
              <w:t>2,489,536.01</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left="448" w:right="0"/>
              <w:jc w:val="left"/>
              <w:rPr>
                <w:rFonts w:ascii="Times New Roman" w:hAnsi="Times New Roman" w:cs="Times New Roman" w:eastAsia="Times New Roman" w:hint="default"/>
                <w:sz w:val="13"/>
                <w:szCs w:val="13"/>
              </w:rPr>
            </w:pPr>
            <w:r>
              <w:rPr>
                <w:rFonts w:ascii="Times New Roman"/>
                <w:sz w:val="13"/>
              </w:rPr>
              <w:t>136,211.32</w:t>
            </w: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5"/>
              <w:ind w:right="102"/>
              <w:jc w:val="right"/>
              <w:rPr>
                <w:rFonts w:ascii="Times New Roman" w:hAnsi="Times New Roman" w:cs="Times New Roman" w:eastAsia="Times New Roman" w:hint="default"/>
                <w:sz w:val="13"/>
                <w:szCs w:val="13"/>
              </w:rPr>
            </w:pPr>
            <w:r>
              <w:rPr>
                <w:rFonts w:ascii="Times New Roman"/>
                <w:sz w:val="13"/>
              </w:rPr>
              <w:t>15,673,512.56</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上海星丰泰果业有限公司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6,827,830.83</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-2,847,691.32</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3,980,139.51</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深圳市中农数据有限公司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4,583,580.22</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-607,128.86</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3,976,451.36</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9"/>
              <w:ind w:left="122" w:right="199"/>
              <w:jc w:val="left"/>
              <w:rPr>
                <w:rFonts w:ascii="宋体" w:hAnsi="宋体" w:cs="宋体" w:eastAsia="宋体" w:hint="default"/>
                <w:sz w:val="13"/>
                <w:szCs w:val="13"/>
              </w:rPr>
            </w:pPr>
            <w:r>
              <w:rPr>
                <w:rFonts w:ascii="宋体" w:hAnsi="宋体" w:cs="宋体" w:eastAsia="宋体" w:hint="default"/>
                <w:sz w:val="13"/>
                <w:szCs w:val="13"/>
              </w:rPr>
              <w:t>云南普洱茶交易中心股份</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pacing w:val="-1"/>
                <w:sz w:val="13"/>
              </w:rPr>
              <w:t>11,026,409.67</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7"/>
              <w:jc w:val="right"/>
              <w:rPr>
                <w:rFonts w:ascii="Times New Roman" w:hAnsi="Times New Roman" w:cs="Times New Roman" w:eastAsia="Times New Roman" w:hint="default"/>
                <w:sz w:val="13"/>
                <w:szCs w:val="13"/>
              </w:rPr>
            </w:pPr>
            <w:r>
              <w:rPr>
                <w:rFonts w:ascii="Times New Roman"/>
                <w:sz w:val="13"/>
              </w:rPr>
              <w:t>-1,131,474.80</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9,894,934.87</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深圳凯吉星农产品检测认</w:t>
            </w:r>
            <w:r>
              <w:rPr>
                <w:rFonts w:ascii="宋体" w:hAnsi="宋体" w:cs="宋体" w:eastAsia="宋体" w:hint="default"/>
                <w:w w:val="99"/>
                <w:sz w:val="13"/>
                <w:szCs w:val="13"/>
              </w:rPr>
              <w:t> </w:t>
            </w:r>
            <w:r>
              <w:rPr>
                <w:rFonts w:ascii="宋体" w:hAnsi="宋体" w:cs="宋体" w:eastAsia="宋体" w:hint="default"/>
                <w:sz w:val="13"/>
                <w:szCs w:val="13"/>
              </w:rPr>
              <w:t>证有限公司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15,395,702.10</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7"/>
              <w:jc w:val="right"/>
              <w:rPr>
                <w:rFonts w:ascii="Times New Roman" w:hAnsi="Times New Roman" w:cs="Times New Roman" w:eastAsia="Times New Roman" w:hint="default"/>
                <w:sz w:val="13"/>
                <w:szCs w:val="13"/>
              </w:rPr>
            </w:pPr>
            <w:r>
              <w:rPr>
                <w:rFonts w:ascii="Times New Roman"/>
                <w:sz w:val="13"/>
              </w:rPr>
              <w:t>2,194,465.95</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left="451" w:right="0"/>
              <w:jc w:val="left"/>
              <w:rPr>
                <w:rFonts w:ascii="Times New Roman" w:hAnsi="Times New Roman" w:cs="Times New Roman" w:eastAsia="Times New Roman" w:hint="default"/>
                <w:sz w:val="13"/>
                <w:szCs w:val="13"/>
              </w:rPr>
            </w:pPr>
            <w:r>
              <w:rPr>
                <w:rFonts w:ascii="Times New Roman"/>
                <w:sz w:val="13"/>
              </w:rPr>
              <w:t>763,984.81</w:t>
            </w: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16,826,183.24</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深圳市海吉星现代物流有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2,002,825.95</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99"/>
              <w:jc w:val="right"/>
              <w:rPr>
                <w:rFonts w:ascii="Times New Roman" w:hAnsi="Times New Roman" w:cs="Times New Roman" w:eastAsia="Times New Roman" w:hint="default"/>
                <w:sz w:val="13"/>
                <w:szCs w:val="13"/>
              </w:rPr>
            </w:pPr>
            <w:r>
              <w:rPr>
                <w:rFonts w:ascii="Times New Roman"/>
                <w:sz w:val="13"/>
              </w:rPr>
              <w:t>-77,970.42</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102"/>
              <w:jc w:val="right"/>
              <w:rPr>
                <w:rFonts w:ascii="Times New Roman" w:hAnsi="Times New Roman" w:cs="Times New Roman" w:eastAsia="Times New Roman" w:hint="default"/>
                <w:sz w:val="13"/>
                <w:szCs w:val="13"/>
              </w:rPr>
            </w:pPr>
            <w:r>
              <w:rPr>
                <w:rFonts w:ascii="Times New Roman"/>
                <w:sz w:val="13"/>
              </w:rPr>
              <w:t>1,924,855.53</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深圳市大铲湾海吉星港口</w:t>
            </w:r>
            <w:r>
              <w:rPr>
                <w:rFonts w:ascii="宋体" w:hAnsi="宋体" w:cs="宋体" w:eastAsia="宋体" w:hint="default"/>
                <w:w w:val="99"/>
                <w:sz w:val="13"/>
                <w:szCs w:val="13"/>
              </w:rPr>
              <w:t> </w:t>
            </w:r>
            <w:r>
              <w:rPr>
                <w:rFonts w:ascii="宋体" w:hAnsi="宋体" w:cs="宋体" w:eastAsia="宋体" w:hint="default"/>
                <w:sz w:val="13"/>
                <w:szCs w:val="13"/>
              </w:rPr>
              <w:t>产业发展有限公司</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1,803,214.57</w:t>
            </w:r>
          </w:p>
        </w:tc>
        <w:tc>
          <w:tcPr>
            <w:tcW w:w="1070" w:type="dxa"/>
            <w:tcBorders>
              <w:top w:val="dotted" w:sz="4" w:space="0" w:color="000000"/>
              <w:left w:val="dotted" w:sz="4" w:space="0" w:color="000000"/>
              <w:bottom w:val="dotted" w:sz="4" w:space="0" w:color="000000"/>
              <w:right w:val="dotted" w:sz="4" w:space="0" w:color="000000"/>
            </w:tcBorders>
          </w:tcPr>
          <w:p>
            <w:pP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3,580.80</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1"/>
              <w:jc w:val="right"/>
              <w:rPr>
                <w:rFonts w:ascii="Times New Roman" w:hAnsi="Times New Roman" w:cs="Times New Roman" w:eastAsia="Times New Roman" w:hint="default"/>
                <w:sz w:val="13"/>
                <w:szCs w:val="13"/>
              </w:rPr>
            </w:pPr>
            <w:r>
              <w:rPr>
                <w:rFonts w:ascii="Times New Roman"/>
                <w:sz w:val="13"/>
              </w:rPr>
              <w:t>1,806,795.37</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900"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深圳市农产品流通产业发</w:t>
            </w:r>
            <w:r>
              <w:rPr>
                <w:rFonts w:ascii="宋体" w:hAnsi="宋体" w:cs="宋体" w:eastAsia="宋体" w:hint="default"/>
                <w:w w:val="99"/>
                <w:sz w:val="13"/>
                <w:szCs w:val="13"/>
              </w:rPr>
              <w:t> </w:t>
            </w:r>
            <w:r>
              <w:rPr>
                <w:rFonts w:ascii="宋体" w:hAnsi="宋体" w:cs="宋体" w:eastAsia="宋体" w:hint="default"/>
                <w:sz w:val="13"/>
                <w:szCs w:val="13"/>
              </w:rPr>
              <w:t>展投资企业（有限合伙）</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z w:val="13"/>
              </w:rPr>
              <w:t>554,731,396.45</w:t>
            </w:r>
          </w:p>
        </w:tc>
        <w:tc>
          <w:tcPr>
            <w:tcW w:w="1070" w:type="dxa"/>
            <w:tcBorders>
              <w:top w:val="dotted" w:sz="4" w:space="0" w:color="000000"/>
              <w:left w:val="dotted" w:sz="4" w:space="0" w:color="000000"/>
              <w:bottom w:val="single" w:sz="12" w:space="0" w:color="000000"/>
              <w:right w:val="dotted" w:sz="4" w:space="0" w:color="000000"/>
            </w:tcBorders>
          </w:tcPr>
          <w:p>
            <w:pPr/>
          </w:p>
        </w:tc>
        <w:tc>
          <w:tcPr>
            <w:tcW w:w="76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-961,668.69</w:t>
            </w:r>
          </w:p>
        </w:tc>
        <w:tc>
          <w:tcPr>
            <w:tcW w:w="883"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dotted" w:sz="4" w:space="0" w:color="000000"/>
            </w:tcBorders>
          </w:tcPr>
          <w:p>
            <w:pPr/>
          </w:p>
        </w:tc>
        <w:tc>
          <w:tcPr>
            <w:tcW w:w="1153" w:type="dxa"/>
            <w:tcBorders>
              <w:top w:val="dotted" w:sz="4" w:space="0" w:color="000000"/>
              <w:left w:val="dotted" w:sz="4" w:space="0" w:color="000000"/>
              <w:bottom w:val="single" w:sz="12" w:space="0" w:color="000000"/>
              <w:right w:val="dotted" w:sz="4" w:space="0" w:color="000000"/>
            </w:tcBorders>
          </w:tcPr>
          <w:p>
            <w:pPr/>
          </w:p>
        </w:tc>
        <w:tc>
          <w:tcPr>
            <w:tcW w:w="1044"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4"/>
              <w:jc w:val="right"/>
              <w:rPr>
                <w:rFonts w:ascii="Times New Roman" w:hAnsi="Times New Roman" w:cs="Times New Roman" w:eastAsia="Times New Roman" w:hint="default"/>
                <w:sz w:val="13"/>
                <w:szCs w:val="13"/>
              </w:rPr>
            </w:pPr>
            <w:r>
              <w:rPr>
                <w:rFonts w:ascii="Times New Roman"/>
                <w:sz w:val="13"/>
              </w:rPr>
              <w:t>553,769,727.76</w:t>
            </w:r>
          </w:p>
        </w:tc>
        <w:tc>
          <w:tcPr>
            <w:tcW w:w="828" w:type="dxa"/>
            <w:tcBorders>
              <w:top w:val="dotted" w:sz="4" w:space="0" w:color="000000"/>
              <w:left w:val="dotted" w:sz="4" w:space="0" w:color="000000"/>
              <w:bottom w:val="single" w:sz="12" w:space="0" w:color="000000"/>
              <w:right w:val="dotted" w:sz="4" w:space="0" w:color="000000"/>
            </w:tcBorders>
          </w:tcPr>
          <w:p>
            <w:pPr/>
          </w:p>
        </w:tc>
        <w:tc>
          <w:tcPr>
            <w:tcW w:w="103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1757"/>
        <w:gridCol w:w="1253"/>
        <w:gridCol w:w="1070"/>
        <w:gridCol w:w="766"/>
        <w:gridCol w:w="1155"/>
        <w:gridCol w:w="883"/>
        <w:gridCol w:w="1145"/>
        <w:gridCol w:w="1153"/>
        <w:gridCol w:w="1044"/>
        <w:gridCol w:w="1253"/>
        <w:gridCol w:w="828"/>
        <w:gridCol w:w="1034"/>
      </w:tblGrid>
      <w:tr>
        <w:trPr>
          <w:trHeight w:val="499" w:hRule="exact"/>
        </w:trPr>
        <w:tc>
          <w:tcPr>
            <w:tcW w:w="175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59"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7215"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2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148" w:right="149"/>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103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1" w:lineRule="auto" w:before="99"/>
              <w:ind w:left="383" w:right="127"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931" w:hRule="exact"/>
        </w:trPr>
        <w:tc>
          <w:tcPr>
            <w:tcW w:w="1757" w:type="dxa"/>
            <w:vMerge/>
            <w:tcBorders>
              <w:left w:val="nil" w:sz="6" w:space="0" w:color="auto"/>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追加投资</w:t>
            </w:r>
          </w:p>
        </w:tc>
        <w:tc>
          <w:tcPr>
            <w:tcW w:w="76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6"/>
              <w:ind w:left="244" w:right="251"/>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11" w:right="118"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240" w:right="113" w:hanging="13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益调整</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其他权益变动</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8"/>
              <w:ind w:left="307" w:right="122" w:hanging="195"/>
              <w:jc w:val="left"/>
              <w:rPr>
                <w:rFonts w:ascii="宋体" w:hAnsi="宋体" w:cs="宋体" w:eastAsia="宋体" w:hint="default"/>
                <w:sz w:val="13"/>
                <w:szCs w:val="13"/>
              </w:rPr>
            </w:pPr>
            <w:r>
              <w:rPr>
                <w:rFonts w:ascii="宋体" w:hAnsi="宋体" w:cs="宋体" w:eastAsia="宋体" w:hint="default"/>
                <w:sz w:val="13"/>
                <w:szCs w:val="13"/>
              </w:rPr>
              <w:t>宣告发放现金股</w:t>
            </w:r>
            <w:r>
              <w:rPr>
                <w:rFonts w:ascii="宋体" w:hAnsi="宋体" w:cs="宋体" w:eastAsia="宋体" w:hint="default"/>
                <w:w w:val="99"/>
                <w:sz w:val="13"/>
                <w:szCs w:val="13"/>
              </w:rPr>
              <w:t> </w:t>
            </w:r>
            <w:r>
              <w:rPr>
                <w:rFonts w:ascii="宋体" w:hAnsi="宋体" w:cs="宋体" w:eastAsia="宋体" w:hint="default"/>
                <w:sz w:val="13"/>
                <w:szCs w:val="13"/>
              </w:rPr>
              <w:t>利或利润</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253" w:type="dxa"/>
            <w:vMerge/>
            <w:tcBorders>
              <w:left w:val="dotted" w:sz="4" w:space="0" w:color="000000"/>
              <w:bottom w:val="dotted" w:sz="4" w:space="0" w:color="000000"/>
              <w:right w:val="dotted" w:sz="4" w:space="0" w:color="000000"/>
            </w:tcBorders>
          </w:tcPr>
          <w:p>
            <w:pPr/>
          </w:p>
        </w:tc>
        <w:tc>
          <w:tcPr>
            <w:tcW w:w="828" w:type="dxa"/>
            <w:vMerge/>
            <w:tcBorders>
              <w:left w:val="dotted" w:sz="4" w:space="0" w:color="000000"/>
              <w:bottom w:val="dotted" w:sz="4" w:space="0" w:color="000000"/>
              <w:right w:val="dotted" w:sz="4" w:space="0" w:color="000000"/>
            </w:tcBorders>
          </w:tcPr>
          <w:p>
            <w:pPr/>
          </w:p>
        </w:tc>
        <w:tc>
          <w:tcPr>
            <w:tcW w:w="1034" w:type="dxa"/>
            <w:vMerge/>
            <w:tcBorders>
              <w:left w:val="dotted" w:sz="4" w:space="0" w:color="000000"/>
              <w:bottom w:val="dotted" w:sz="4" w:space="0" w:color="000000"/>
              <w:right w:val="nil" w:sz="6" w:space="0" w:color="auto"/>
            </w:tcBorders>
          </w:tcPr>
          <w:p>
            <w:pPr/>
          </w:p>
        </w:tc>
      </w:tr>
      <w:tr>
        <w:trPr>
          <w:trHeight w:val="891"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6"/>
              <w:ind w:left="122" w:right="199"/>
              <w:jc w:val="left"/>
              <w:rPr>
                <w:rFonts w:ascii="宋体" w:hAnsi="宋体" w:cs="宋体" w:eastAsia="宋体" w:hint="default"/>
                <w:sz w:val="13"/>
                <w:szCs w:val="13"/>
              </w:rPr>
            </w:pPr>
            <w:r>
              <w:rPr>
                <w:rFonts w:ascii="宋体" w:hAnsi="宋体" w:cs="宋体" w:eastAsia="宋体" w:hint="default"/>
                <w:sz w:val="13"/>
                <w:szCs w:val="13"/>
              </w:rPr>
              <w:t>天津中检海吉星食品检测</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1"/>
              <w:jc w:val="right"/>
              <w:rPr>
                <w:rFonts w:ascii="Times New Roman" w:hAnsi="Times New Roman" w:cs="Times New Roman" w:eastAsia="Times New Roman" w:hint="default"/>
                <w:sz w:val="13"/>
                <w:szCs w:val="13"/>
              </w:rPr>
            </w:pPr>
            <w:r>
              <w:rPr>
                <w:rFonts w:ascii="Times New Roman"/>
                <w:sz w:val="13"/>
              </w:rPr>
              <w:t>6,000,000.00</w:t>
            </w: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-88,255.53</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044"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2"/>
              <w:jc w:val="right"/>
              <w:rPr>
                <w:rFonts w:ascii="Times New Roman" w:hAnsi="Times New Roman" w:cs="Times New Roman" w:eastAsia="Times New Roman" w:hint="default"/>
                <w:sz w:val="13"/>
                <w:szCs w:val="13"/>
              </w:rPr>
            </w:pPr>
            <w:r>
              <w:rPr>
                <w:rFonts w:ascii="Times New Roman"/>
                <w:spacing w:val="-1"/>
                <w:sz w:val="13"/>
              </w:rPr>
              <w:t>5,911,744.47</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z w:val="13"/>
              </w:rPr>
              <w:t>2,170,291,628.53</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12,400,000.00</w:t>
            </w:r>
          </w:p>
        </w:tc>
        <w:tc>
          <w:tcPr>
            <w:tcW w:w="766"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43,539,102.24</w:t>
            </w:r>
          </w:p>
        </w:tc>
        <w:tc>
          <w:tcPr>
            <w:tcW w:w="883"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16" w:right="0"/>
              <w:jc w:val="left"/>
              <w:rPr>
                <w:rFonts w:ascii="Times New Roman" w:hAnsi="Times New Roman" w:cs="Times New Roman" w:eastAsia="Times New Roman" w:hint="default"/>
                <w:sz w:val="13"/>
                <w:szCs w:val="13"/>
              </w:rPr>
            </w:pPr>
            <w:r>
              <w:rPr>
                <w:rFonts w:ascii="Times New Roman"/>
                <w:sz w:val="13"/>
              </w:rPr>
              <w:t>172,212,232.84</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60,573,840.82</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-5,719,768.67</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2,332,149,354.12</w:t>
            </w:r>
          </w:p>
        </w:tc>
        <w:tc>
          <w:tcPr>
            <w:tcW w:w="828" w:type="dxa"/>
            <w:tcBorders>
              <w:top w:val="dotted" w:sz="4" w:space="0" w:color="000000"/>
              <w:left w:val="dotted" w:sz="4" w:space="0" w:color="000000"/>
              <w:bottom w:val="dotted" w:sz="4" w:space="0" w:color="000000"/>
              <w:right w:val="dotted" w:sz="4" w:space="0" w:color="000000"/>
            </w:tcBorders>
          </w:tcPr>
          <w:p>
            <w:pPr/>
          </w:p>
        </w:tc>
        <w:tc>
          <w:tcPr>
            <w:tcW w:w="1034"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1757"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left="14"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z w:val="13"/>
              </w:rPr>
              <w:t>2,198,080,741.40</w:t>
            </w:r>
          </w:p>
        </w:tc>
        <w:tc>
          <w:tcPr>
            <w:tcW w:w="10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12,400,000.00</w:t>
            </w:r>
          </w:p>
        </w:tc>
        <w:tc>
          <w:tcPr>
            <w:tcW w:w="766"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z w:val="13"/>
              </w:rPr>
              <w:t>47,988,251.08</w:t>
            </w:r>
          </w:p>
        </w:tc>
        <w:tc>
          <w:tcPr>
            <w:tcW w:w="883" w:type="dxa"/>
            <w:tcBorders>
              <w:top w:val="dotted" w:sz="4" w:space="0" w:color="000000"/>
              <w:left w:val="dotted" w:sz="4" w:space="0" w:color="000000"/>
              <w:bottom w:val="single" w:sz="12" w:space="0" w:color="000000"/>
              <w:right w:val="dotted" w:sz="4" w:space="0" w:color="000000"/>
            </w:tcBorders>
          </w:tcPr>
          <w:p>
            <w:pPr/>
          </w:p>
        </w:tc>
        <w:tc>
          <w:tcPr>
            <w:tcW w:w="11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16" w:right="0"/>
              <w:jc w:val="left"/>
              <w:rPr>
                <w:rFonts w:ascii="Times New Roman" w:hAnsi="Times New Roman" w:cs="Times New Roman" w:eastAsia="Times New Roman" w:hint="default"/>
                <w:sz w:val="13"/>
                <w:szCs w:val="13"/>
              </w:rPr>
            </w:pPr>
            <w:r>
              <w:rPr>
                <w:rFonts w:ascii="Times New Roman"/>
                <w:sz w:val="13"/>
              </w:rPr>
              <w:t>172,212,232.84</w:t>
            </w:r>
          </w:p>
        </w:tc>
        <w:tc>
          <w:tcPr>
            <w:tcW w:w="11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64,415,479.50</w:t>
            </w:r>
          </w:p>
        </w:tc>
        <w:tc>
          <w:tcPr>
            <w:tcW w:w="10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-5,719,768.67</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2,360,545,977.15</w:t>
            </w:r>
          </w:p>
        </w:tc>
        <w:tc>
          <w:tcPr>
            <w:tcW w:w="828" w:type="dxa"/>
            <w:tcBorders>
              <w:top w:val="dotted" w:sz="4" w:space="0" w:color="000000"/>
              <w:left w:val="dotted" w:sz="4" w:space="0" w:color="000000"/>
              <w:bottom w:val="single" w:sz="12" w:space="0" w:color="000000"/>
              <w:right w:val="dotted" w:sz="4" w:space="0" w:color="000000"/>
            </w:tcBorders>
          </w:tcPr>
          <w:p>
            <w:pPr/>
          </w:p>
        </w:tc>
        <w:tc>
          <w:tcPr>
            <w:tcW w:w="103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投资性房地产</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采用成本计量模式的投资性房地产</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2528"/>
        <w:gridCol w:w="1702"/>
        <w:gridCol w:w="1702"/>
        <w:gridCol w:w="1844"/>
      </w:tblGrid>
      <w:tr>
        <w:trPr>
          <w:trHeight w:val="461" w:hRule="exact"/>
        </w:trPr>
        <w:tc>
          <w:tcPr>
            <w:tcW w:w="252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9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6,558,488,078.78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1,584,388,871.38</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8,142,876,950.16</w:t>
            </w: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301,529,285.67</w:t>
            </w: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301,529,285.67</w:t>
            </w: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外购</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65,003,636.45</w:t>
            </w: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65,003,636.45</w:t>
            </w:r>
          </w:p>
        </w:tc>
      </w:tr>
      <w:tr>
        <w:trPr>
          <w:trHeight w:val="452"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236,525,649.22</w:t>
            </w: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236,525,649.22</w:t>
            </w: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28,793,771.51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762,723.71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29,556,495.22</w:t>
            </w: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28,793,771.51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762,723.71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29,556,495.22</w:t>
            </w: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6,831,223,592.94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1,583,626,147.67</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8,414,849,740.61</w:t>
            </w: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．累计折旧和累计摊销</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826,183,933.25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283,199,509.00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1,109,383,442.25</w:t>
            </w:r>
          </w:p>
        </w:tc>
      </w:tr>
      <w:tr>
        <w:trPr>
          <w:trHeight w:val="452"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177,571,633.11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39,556,631.81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217,128,264.92</w:t>
            </w: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计提或摊销</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177,571,633.11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39,556,631.81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217,128,264.92</w:t>
            </w: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8,248,973.58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225,983.98</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8,474,957.56</w:t>
            </w: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8,248,973.58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225,983.98</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8,474,957.56</w:t>
            </w: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995,506,592.78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322,530,156.83</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1,318,036,749.61</w:t>
            </w: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5,835,717,000.16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1,261,095,990.84</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7,096,812,991.00</w:t>
            </w:r>
          </w:p>
        </w:tc>
      </w:tr>
      <w:tr>
        <w:trPr>
          <w:trHeight w:val="461" w:hRule="exact"/>
        </w:trPr>
        <w:tc>
          <w:tcPr>
            <w:tcW w:w="25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5,732,304,145.53</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1,301,189,362.38</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7,033,493,507.91</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未办妥产权证书的投资性房地产情况</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517"/>
        <w:gridCol w:w="1678"/>
        <w:gridCol w:w="2583"/>
      </w:tblGrid>
      <w:tr>
        <w:trPr>
          <w:trHeight w:val="458" w:hRule="exact"/>
        </w:trPr>
        <w:tc>
          <w:tcPr>
            <w:tcW w:w="35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472"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平湖物流园一期工程</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856,986,857.32</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1" w:hRule="exact"/>
        </w:trPr>
        <w:tc>
          <w:tcPr>
            <w:tcW w:w="35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天津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A3-A6</w:t>
            </w:r>
            <w:r>
              <w:rPr>
                <w:rFonts w:ascii="宋体" w:hAnsi="宋体" w:cs="宋体" w:eastAsia="宋体" w:hint="default"/>
                <w:sz w:val="18"/>
                <w:szCs w:val="18"/>
              </w:rPr>
              <w:t>、</w:t>
            </w:r>
            <w:r>
              <w:rPr>
                <w:rFonts w:ascii="Times New Roman" w:hAnsi="Times New Roman" w:cs="Times New Roman" w:eastAsia="Times New Roman" w:hint="default"/>
                <w:sz w:val="18"/>
                <w:szCs w:val="18"/>
              </w:rPr>
              <w:t>B3-B6</w:t>
            </w:r>
            <w:r>
              <w:rPr>
                <w:rFonts w:ascii="宋体" w:hAnsi="宋体" w:cs="宋体" w:eastAsia="宋体" w:hint="default"/>
                <w:sz w:val="18"/>
                <w:szCs w:val="18"/>
              </w:rPr>
              <w:t>，</w:t>
            </w:r>
            <w:r>
              <w:rPr>
                <w:rFonts w:ascii="Times New Roman" w:hAnsi="Times New Roman" w:cs="Times New Roman" w:eastAsia="Times New Roman" w:hint="default"/>
                <w:sz w:val="18"/>
                <w:szCs w:val="18"/>
              </w:rPr>
              <w:t>A9</w:t>
            </w:r>
            <w:r>
              <w:rPr>
                <w:rFonts w:ascii="宋体" w:hAnsi="宋体" w:cs="宋体" w:eastAsia="宋体" w:hint="default"/>
                <w:sz w:val="18"/>
                <w:szCs w:val="18"/>
              </w:rPr>
              <w:t>、</w:t>
            </w:r>
            <w:r>
              <w:rPr>
                <w:rFonts w:ascii="Times New Roman" w:hAnsi="Times New Roman" w:cs="Times New Roman" w:eastAsia="Times New Roman" w:hint="default"/>
                <w:sz w:val="18"/>
                <w:szCs w:val="18"/>
              </w:rPr>
              <w:t>B9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市场交易大</w:t>
            </w:r>
          </w:p>
        </w:tc>
        <w:tc>
          <w:tcPr>
            <w:tcW w:w="16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327,541,301.06</w:t>
            </w:r>
          </w:p>
        </w:tc>
        <w:tc>
          <w:tcPr>
            <w:tcW w:w="25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bl>
    <w:p>
      <w:pPr>
        <w:spacing w:after="0" w:line="240" w:lineRule="auto"/>
        <w:jc w:val="left"/>
        <w:rPr>
          <w:rFonts w:ascii="宋体" w:hAnsi="宋体" w:cs="宋体" w:eastAsia="宋体" w:hint="default"/>
          <w:sz w:val="18"/>
          <w:szCs w:val="18"/>
        </w:rPr>
        <w:sectPr>
          <w:headerReference w:type="default" r:id="rId104"/>
          <w:footerReference w:type="default" r:id="rId105"/>
          <w:pgSz w:w="11910" w:h="16840"/>
          <w:pgMar w:header="779" w:footer="996" w:top="1000" w:bottom="1180" w:left="1660" w:right="0"/>
          <w:pgNumType w:start="46"/>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517"/>
        <w:gridCol w:w="1678"/>
        <w:gridCol w:w="2583"/>
      </w:tblGrid>
      <w:tr>
        <w:trPr>
          <w:trHeight w:val="461" w:hRule="exact"/>
        </w:trPr>
        <w:tc>
          <w:tcPr>
            <w:tcW w:w="35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4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472"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10"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厅</w:t>
            </w:r>
          </w:p>
        </w:tc>
        <w:tc>
          <w:tcPr>
            <w:tcW w:w="1678" w:type="dxa"/>
            <w:tcBorders>
              <w:top w:val="dotted" w:sz="4" w:space="0" w:color="000000"/>
              <w:left w:val="dotted" w:sz="4" w:space="0" w:color="000000"/>
              <w:bottom w:val="dotted" w:sz="4" w:space="0" w:color="000000"/>
              <w:right w:val="dotted" w:sz="4" w:space="0" w:color="000000"/>
            </w:tcBorders>
          </w:tcPr>
          <w:p>
            <w:pPr/>
          </w:p>
        </w:tc>
        <w:tc>
          <w:tcPr>
            <w:tcW w:w="258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广西海吉星交易市场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313,378,983.69</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平湖物流园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259,360,633.28</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南昌批发市场二期商铺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258,238,144.02</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长春一期物业及土地使用权</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210,485,918.61</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沈阳标准化厂房，冷库及公寓等</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223,169,993.87</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83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电商大厦</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184,848,417.82</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成都农批一期交易区、二期市场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178,837,012.70</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深圳福田批发市场交易区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156,927,241.23</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832" w:right="0"/>
              <w:jc w:val="left"/>
              <w:rPr>
                <w:rFonts w:ascii="宋体" w:hAnsi="宋体" w:cs="宋体" w:eastAsia="宋体" w:hint="default"/>
                <w:sz w:val="18"/>
                <w:szCs w:val="18"/>
              </w:rPr>
            </w:pPr>
            <w:r>
              <w:rPr>
                <w:rFonts w:ascii="宋体" w:hAnsi="宋体" w:cs="宋体" w:eastAsia="宋体" w:hint="default"/>
                <w:sz w:val="18"/>
                <w:szCs w:val="18"/>
              </w:rPr>
              <w:t>手续未完成</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广西新柳邕一期项目一期工程</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150,154,701.95</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宁夏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大棚</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101,275,592.38</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西安批发市场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59,846,706.69</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52"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平湖物流园土地使用权</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47,187,844.28</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12" w:right="0"/>
              <w:jc w:val="left"/>
              <w:rPr>
                <w:rFonts w:ascii="宋体" w:hAnsi="宋体" w:cs="宋体" w:eastAsia="宋体" w:hint="default"/>
                <w:sz w:val="18"/>
                <w:szCs w:val="18"/>
              </w:rPr>
            </w:pPr>
            <w:r>
              <w:rPr>
                <w:rFonts w:ascii="宋体" w:hAnsi="宋体" w:cs="宋体" w:eastAsia="宋体" w:hint="default"/>
                <w:sz w:val="18"/>
                <w:szCs w:val="18"/>
              </w:rPr>
              <w:t>相关部门要求直接办理房产证</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九江蔬菜交易楼</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42,371,512.21</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九江水果交易楼</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35,031,602.43</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南昌批发市场一期房产</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31,896,309.98</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九江水产区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海鲜冷藏楼及附属建筑</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20,345,055.89</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广西新柳邕临建蔬菜、干货交易区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15,336,327.30</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宁夏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D5D6 </w:t>
            </w:r>
            <w:r>
              <w:rPr>
                <w:rFonts w:ascii="宋体" w:hAnsi="宋体" w:cs="宋体" w:eastAsia="宋体" w:hint="default"/>
                <w:sz w:val="18"/>
                <w:szCs w:val="18"/>
              </w:rPr>
              <w:t>厅更新改造</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8,442,411.19</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长沙蔬菜海鲜市场</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5763171.92</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832" w:right="0"/>
              <w:jc w:val="left"/>
              <w:rPr>
                <w:rFonts w:ascii="宋体" w:hAnsi="宋体" w:cs="宋体" w:eastAsia="宋体" w:hint="default"/>
                <w:sz w:val="18"/>
                <w:szCs w:val="18"/>
              </w:rPr>
            </w:pPr>
            <w:r>
              <w:rPr>
                <w:rFonts w:ascii="宋体" w:hAnsi="宋体" w:cs="宋体" w:eastAsia="宋体" w:hint="default"/>
                <w:sz w:val="18"/>
                <w:szCs w:val="18"/>
              </w:rPr>
              <w:t>手续未完成</w:t>
            </w:r>
          </w:p>
        </w:tc>
      </w:tr>
      <w:tr>
        <w:trPr>
          <w:trHeight w:val="451"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成都客服中心大楼</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5,160,870.96</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2"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4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长沙马王堆综合楼及交易大厅</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5,135,149.16</w:t>
            </w:r>
          </w:p>
        </w:tc>
        <w:tc>
          <w:tcPr>
            <w:tcW w:w="25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83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61" w:hRule="exact"/>
        </w:trPr>
        <w:tc>
          <w:tcPr>
            <w:tcW w:w="35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3,497,721,759.94</w:t>
            </w:r>
          </w:p>
        </w:tc>
        <w:tc>
          <w:tcPr>
            <w:tcW w:w="258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期末投资性房地产所有权受限情况见本附注</w:t>
      </w:r>
      <w:r>
        <w:rPr>
          <w:rFonts w:ascii="Times New Roman" w:hAnsi="Times New Roman" w:cs="Times New Roman" w:eastAsia="Times New Roman" w:hint="default"/>
        </w:rPr>
        <w:t>“</w:t>
      </w:r>
      <w:r>
        <w:rPr/>
        <w:t>五（五十）</w:t>
      </w:r>
      <w:r>
        <w:rPr>
          <w:rFonts w:ascii="Times New Roman" w:hAnsi="Times New Roman" w:cs="Times New Roman" w:eastAsia="Times New Roman" w:hint="default"/>
        </w:rPr>
        <w:t>”</w:t>
      </w:r>
      <w:r>
        <w:rPr/>
        <w:t>说明</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固定资产</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固定资产及固定资产清理</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29"/>
        <w:gridCol w:w="2273"/>
        <w:gridCol w:w="2276"/>
      </w:tblGrid>
      <w:tr>
        <w:trPr>
          <w:trHeight w:val="458"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1"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897" w:right="0"/>
              <w:jc w:val="left"/>
              <w:rPr>
                <w:rFonts w:ascii="Times New Roman" w:hAnsi="Times New Roman" w:cs="Times New Roman" w:eastAsia="Times New Roman" w:hint="default"/>
                <w:sz w:val="18"/>
                <w:szCs w:val="18"/>
              </w:rPr>
            </w:pPr>
            <w:r>
              <w:rPr>
                <w:rFonts w:ascii="Times New Roman"/>
                <w:sz w:val="18"/>
              </w:rPr>
              <w:t>1,569,688,459.08</w:t>
            </w:r>
          </w:p>
        </w:tc>
        <w:tc>
          <w:tcPr>
            <w:tcW w:w="22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900" w:right="0"/>
              <w:jc w:val="left"/>
              <w:rPr>
                <w:rFonts w:ascii="Times New Roman" w:hAnsi="Times New Roman" w:cs="Times New Roman" w:eastAsia="Times New Roman" w:hint="default"/>
                <w:sz w:val="18"/>
                <w:szCs w:val="18"/>
              </w:rPr>
            </w:pPr>
            <w:r>
              <w:rPr>
                <w:rFonts w:ascii="Times New Roman"/>
                <w:sz w:val="18"/>
              </w:rPr>
              <w:t>1,633,014,244.18</w:t>
            </w:r>
          </w:p>
        </w:tc>
      </w:tr>
    </w:tbl>
    <w:p>
      <w:pPr>
        <w:spacing w:after="0" w:line="240" w:lineRule="auto"/>
        <w:jc w:val="lef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3229"/>
        <w:gridCol w:w="2273"/>
        <w:gridCol w:w="2276"/>
      </w:tblGrid>
      <w:tr>
        <w:trPr>
          <w:trHeight w:val="461"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2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355,691,941.27</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310,536,624.70</w:t>
            </w:r>
          </w:p>
        </w:tc>
      </w:tr>
      <w:tr>
        <w:trPr>
          <w:trHeight w:val="461"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1,925,380,400.35</w:t>
            </w:r>
          </w:p>
        </w:tc>
        <w:tc>
          <w:tcPr>
            <w:tcW w:w="22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1,943,550,868.88</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6"/>
        <w:tabs>
          <w:tab w:pos="1400" w:val="left" w:leader="none"/>
        </w:tabs>
        <w:spacing w:line="240" w:lineRule="auto" w:before="116"/>
        <w:ind w:left="848" w:right="230"/>
        <w:jc w:val="left"/>
        <w:rPr>
          <w:b w:val="0"/>
          <w:bCs w:val="0"/>
        </w:rPr>
      </w:pPr>
      <w:r>
        <w:rPr>
          <w:rFonts w:ascii="Times New Roman" w:hAnsi="Times New Roman" w:cs="Times New Roman" w:eastAsia="Times New Roman" w:hint="default"/>
        </w:rPr>
        <w:t>2</w:t>
      </w:r>
      <w:r>
        <w:rPr/>
        <w:t>、</w:t>
        <w:tab/>
        <w:t>固定资产情况</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2021"/>
        <w:gridCol w:w="1537"/>
        <w:gridCol w:w="1397"/>
        <w:gridCol w:w="1304"/>
        <w:gridCol w:w="1399"/>
        <w:gridCol w:w="1397"/>
        <w:gridCol w:w="1351"/>
        <w:gridCol w:w="1397"/>
        <w:gridCol w:w="1538"/>
      </w:tblGrid>
      <w:tr>
        <w:trPr>
          <w:trHeight w:val="461" w:hRule="exact"/>
        </w:trPr>
        <w:tc>
          <w:tcPr>
            <w:tcW w:w="20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1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8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31"/>
              <w:jc w:val="right"/>
              <w:rPr>
                <w:rFonts w:ascii="宋体" w:hAnsi="宋体" w:cs="宋体" w:eastAsia="宋体" w:hint="default"/>
                <w:sz w:val="18"/>
                <w:szCs w:val="18"/>
              </w:rPr>
            </w:pPr>
            <w:r>
              <w:rPr>
                <w:rFonts w:ascii="宋体" w:hAnsi="宋体" w:cs="宋体" w:eastAsia="宋体" w:hint="default"/>
                <w:sz w:val="18"/>
                <w:szCs w:val="18"/>
              </w:rPr>
              <w:t>自有房屋装修</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44"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5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1,244,918,458.55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173,177,285.24</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56,929,671.71</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275,510,614.08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106,628,729.69</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60,111,748.38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581,190,669.88</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2,498,467,177.53</w:t>
            </w:r>
          </w:p>
        </w:tc>
      </w:tr>
      <w:tr>
        <w:trPr>
          <w:trHeight w:val="452"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41,849,966.90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15,071,997.81</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1,062,055.13</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21,256,306.92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7,062,907.54</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1,183,206.75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21,055,507.91</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108,541,948.96</w:t>
            </w: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购置</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21,377,953.88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5,355,414.81</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902,520.80</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5,530,292.22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6,057,006.37</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15,634.82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1,690,154.71</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40,928,977.61</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20,472,013.02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9,716,583.00</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159,534.33</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15,726,014.70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1,005,901.17</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1,167,571.93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19,365,353.20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67,612,971.35</w:t>
            </w: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29,374,235.81</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3,559,871.73</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905,587.86</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5,905,263.73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1,514,632.32</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1,950,900.35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6,784,255.36</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49,994,747.16</w:t>
            </w: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29,374,235.81</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3,559,871.73</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905,587.86</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5,905,263.73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1,514,632.32</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1,950,900.35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6,784,255.36</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49,994,747.16</w:t>
            </w:r>
          </w:p>
        </w:tc>
      </w:tr>
      <w:tr>
        <w:trPr>
          <w:trHeight w:val="452"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1,257,394,189.64</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184,689,411.32</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57,086,138.98</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290,861,657.27</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112,177,004.91</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59,344,054.78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595,461,922.43</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2,557,014,379.33</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354,108,496.31</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79,409,711.90</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33,160,919.09</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142,212,799.01</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78,205,212.71</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34,102,625.15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130,595,636.18</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851,795,400.35</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42,676,261.96</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17,344,768.27</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5,958,090.74</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33,246,340.63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6,274,918.31</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426,451.75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33,125,925.79</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139,052,757.45</w:t>
            </w: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42,676,261.96</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17,344,768.27</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5,958,090.74</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33,246,340.63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6,274,918.31</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426,451.75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33,125,925.79</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139,052,757.45</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0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7,460,620.12</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452,974.70</w:t>
            </w:r>
          </w:p>
        </w:tc>
        <w:tc>
          <w:tcPr>
            <w:tcW w:w="13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825,580.10</w:t>
            </w:r>
          </w:p>
        </w:tc>
        <w:tc>
          <w:tcPr>
            <w:tcW w:w="13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3,608,664.37</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1,292,047.58</w:t>
            </w:r>
          </w:p>
        </w:tc>
        <w:tc>
          <w:tcPr>
            <w:tcW w:w="13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570,771.65</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2,969,112.03</w:t>
            </w:r>
          </w:p>
        </w:tc>
        <w:tc>
          <w:tcPr>
            <w:tcW w:w="15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17,179,770.55</w:t>
            </w:r>
          </w:p>
        </w:tc>
      </w:tr>
    </w:tbl>
    <w:p>
      <w:pPr>
        <w:spacing w:after="0" w:line="240" w:lineRule="auto"/>
        <w:jc w:val="right"/>
        <w:rPr>
          <w:rFonts w:ascii="Times New Roman" w:hAnsi="Times New Roman" w:cs="Times New Roman" w:eastAsia="Times New Roman" w:hint="default"/>
          <w:sz w:val="18"/>
          <w:szCs w:val="18"/>
        </w:rPr>
        <w:sectPr>
          <w:headerReference w:type="default" r:id="rId106"/>
          <w:footerReference w:type="default" r:id="rId107"/>
          <w:pgSz w:w="16840" w:h="11910" w:orient="landscape"/>
          <w:pgMar w:header="779" w:footer="997" w:top="1000" w:bottom="1180" w:left="1300" w:right="1200"/>
          <w:pgNumType w:start="4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021"/>
        <w:gridCol w:w="1537"/>
        <w:gridCol w:w="1397"/>
        <w:gridCol w:w="1304"/>
        <w:gridCol w:w="1399"/>
        <w:gridCol w:w="1397"/>
        <w:gridCol w:w="1351"/>
        <w:gridCol w:w="1397"/>
        <w:gridCol w:w="1538"/>
      </w:tblGrid>
      <w:tr>
        <w:trPr>
          <w:trHeight w:val="461" w:hRule="exact"/>
        </w:trPr>
        <w:tc>
          <w:tcPr>
            <w:tcW w:w="20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1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8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131"/>
              <w:jc w:val="right"/>
              <w:rPr>
                <w:rFonts w:ascii="宋体" w:hAnsi="宋体" w:cs="宋体" w:eastAsia="宋体" w:hint="default"/>
                <w:sz w:val="18"/>
                <w:szCs w:val="18"/>
              </w:rPr>
            </w:pPr>
            <w:r>
              <w:rPr>
                <w:rFonts w:ascii="宋体" w:hAnsi="宋体" w:cs="宋体" w:eastAsia="宋体" w:hint="default"/>
                <w:sz w:val="18"/>
                <w:szCs w:val="18"/>
              </w:rPr>
              <w:t>自有房屋装修</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44"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5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7,460,620.12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452,974.70</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825,580.10</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3,608,664.37</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1,292,047.58</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570,771.65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2,969,112.03</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17,179,770.55</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389,324,138.15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96,301,505.47</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38,293,429.73</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171,850,475.27</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83,188,083.44</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33,958,305.25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160,752,449.94</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973,668,387.25</w:t>
            </w:r>
          </w:p>
        </w:tc>
      </w:tr>
      <w:tr>
        <w:trPr>
          <w:trHeight w:val="452"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9,276,054.38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2,168,569.40</w:t>
            </w: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2,212,909.22</w:t>
            </w: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13,657,533.00</w:t>
            </w: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9,276,054.38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2,168,569.40</w:t>
            </w: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2,212,909.22</w:t>
            </w: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13,657,533.00</w:t>
            </w:r>
          </w:p>
        </w:tc>
      </w:tr>
      <w:tr>
        <w:trPr>
          <w:trHeight w:val="449"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537"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858,793,997.11</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86,219,336.45</w:t>
            </w:r>
          </w:p>
        </w:tc>
        <w:tc>
          <w:tcPr>
            <w:tcW w:w="1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18,792,709.25</w:t>
            </w:r>
          </w:p>
        </w:tc>
        <w:tc>
          <w:tcPr>
            <w:tcW w:w="1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119,011,182.00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26,776,012.25</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25,385,749.53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434,709,472.49</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1,569,688,459.08</w:t>
            </w:r>
          </w:p>
        </w:tc>
      </w:tr>
      <w:tr>
        <w:trPr>
          <w:trHeight w:val="461" w:hRule="exact"/>
        </w:trPr>
        <w:tc>
          <w:tcPr>
            <w:tcW w:w="20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881,533,907.86</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91,599,003.94</w:t>
            </w:r>
          </w:p>
        </w:tc>
        <w:tc>
          <w:tcPr>
            <w:tcW w:w="13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23,768,752.62</w:t>
            </w:r>
          </w:p>
        </w:tc>
        <w:tc>
          <w:tcPr>
            <w:tcW w:w="13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133,297,815.07</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26,210,607.76</w:t>
            </w:r>
          </w:p>
        </w:tc>
        <w:tc>
          <w:tcPr>
            <w:tcW w:w="13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26,009,123.23</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450,595,033.70</w:t>
            </w:r>
          </w:p>
        </w:tc>
        <w:tc>
          <w:tcPr>
            <w:tcW w:w="15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1,633,014,244.18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未办妥产权证书的固定资产情况</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351"/>
        <w:gridCol w:w="1416"/>
        <w:gridCol w:w="3010"/>
      </w:tblGrid>
      <w:tr>
        <w:trPr>
          <w:trHeight w:val="439" w:hRule="exact"/>
        </w:trPr>
        <w:tc>
          <w:tcPr>
            <w:tcW w:w="33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0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益田等物业</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47,382,714.50</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32"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广西海吉星办公楼及冷库</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37,717,246.12</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广西新柳邕</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冷库</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37,052,304.03</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77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南山农批新市场、新市场交易大棚</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35,490,038.09</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345" w:lineRule="auto" w:before="116"/>
              <w:ind w:left="1137" w:right="108" w:hanging="1035"/>
              <w:jc w:val="left"/>
              <w:rPr>
                <w:rFonts w:ascii="宋体" w:hAnsi="宋体" w:cs="宋体" w:eastAsia="宋体" w:hint="default"/>
                <w:sz w:val="18"/>
                <w:szCs w:val="18"/>
              </w:rPr>
            </w:pPr>
            <w:r>
              <w:rPr>
                <w:rFonts w:ascii="宋体" w:hAnsi="宋体" w:cs="宋体" w:eastAsia="宋体" w:hint="default"/>
                <w:spacing w:val="-6"/>
                <w:sz w:val="18"/>
                <w:szCs w:val="18"/>
              </w:rPr>
              <w:t>部分建筑为临时建筑，暂时未能整体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办理产权</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成都农批办公楼及地下车库</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35,524,394.50</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长春办公楼</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30,791,227.20</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宁夏办公楼、蔬菜大棚</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27,803,854.12</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天津海吉星展厅</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27,160,225.07</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果菜物业（含宿舍、仓库、广场等）</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23,657,764.25</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32"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长春一期物业</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18,395,549.40</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南昌农批办公楼及结算中心大楼</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11,866,405.01</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准备挂牌出售，暂未办理</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九江琵琶湖市场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号楼（配套设施）</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8,955,354.97</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九江综合办公楼</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7,135,441.34</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沈阳公司办公楼及公寓</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7,070,342.27</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置地公司坪山物业</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3,905,066.88</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分立而来，尚未办妥变更登记</w:t>
            </w:r>
          </w:p>
        </w:tc>
      </w:tr>
      <w:tr>
        <w:trPr>
          <w:trHeight w:val="432"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广西新柳邕招商大厅</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3,504,169.19</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南昌农批商务酒店大楼</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1,617,764.72</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sz w:val="18"/>
                <w:szCs w:val="18"/>
              </w:rPr>
              <w:t>预计无法办妥</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果菜南头商住楼</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1,380,073.69</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海吉星置地公司南头大楼（丽纺大厦）</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974,121.72</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南昌农批汽配市场办公楼</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668,193.00</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sz w:val="18"/>
                <w:szCs w:val="18"/>
              </w:rPr>
              <w:t>预计无法办妥</w:t>
            </w:r>
          </w:p>
        </w:tc>
      </w:tr>
      <w:tr>
        <w:trPr>
          <w:trHeight w:val="430" w:hRule="exact"/>
        </w:trPr>
        <w:tc>
          <w:tcPr>
            <w:tcW w:w="33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深圳福田市场办公区</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425,318.08</w:t>
            </w:r>
          </w:p>
        </w:tc>
        <w:tc>
          <w:tcPr>
            <w:tcW w:w="30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sz w:val="18"/>
                <w:szCs w:val="18"/>
              </w:rPr>
              <w:t>历史遗留，尚未办理产权证</w:t>
            </w:r>
          </w:p>
        </w:tc>
      </w:tr>
      <w:tr>
        <w:trPr>
          <w:trHeight w:val="442" w:hRule="exact"/>
        </w:trPr>
        <w:tc>
          <w:tcPr>
            <w:tcW w:w="33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8"/>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368,477,568.15</w:t>
            </w:r>
          </w:p>
        </w:tc>
        <w:tc>
          <w:tcPr>
            <w:tcW w:w="301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4</w:t>
      </w:r>
      <w:r>
        <w:rPr/>
        <w:t>、</w:t>
        <w:tab/>
        <w:t>固定资产清理</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866"/>
        <w:gridCol w:w="2393"/>
        <w:gridCol w:w="2518"/>
      </w:tblGrid>
      <w:tr>
        <w:trPr>
          <w:trHeight w:val="461" w:hRule="exact"/>
        </w:trPr>
        <w:tc>
          <w:tcPr>
            <w:tcW w:w="28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2" w:hRule="exact"/>
        </w:trPr>
        <w:tc>
          <w:tcPr>
            <w:tcW w:w="28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布吉市场搬迁</w:t>
            </w:r>
          </w:p>
        </w:tc>
        <w:tc>
          <w:tcPr>
            <w:tcW w:w="23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355,691,941.27</w:t>
            </w:r>
          </w:p>
        </w:tc>
        <w:tc>
          <w:tcPr>
            <w:tcW w:w="25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309,470,239.05</w:t>
            </w:r>
          </w:p>
        </w:tc>
      </w:tr>
      <w:tr>
        <w:trPr>
          <w:trHeight w:val="449" w:hRule="exact"/>
        </w:trPr>
        <w:tc>
          <w:tcPr>
            <w:tcW w:w="28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南昌农批固定资产清理</w:t>
            </w:r>
          </w:p>
        </w:tc>
        <w:tc>
          <w:tcPr>
            <w:tcW w:w="2393" w:type="dxa"/>
            <w:tcBorders>
              <w:top w:val="dotted" w:sz="4" w:space="0" w:color="000000"/>
              <w:left w:val="dotted" w:sz="4" w:space="0" w:color="000000"/>
              <w:bottom w:val="dotted" w:sz="4" w:space="0" w:color="000000"/>
              <w:right w:val="dotted" w:sz="4" w:space="0" w:color="000000"/>
            </w:tcBorders>
          </w:tcPr>
          <w:p>
            <w:pPr/>
          </w:p>
        </w:tc>
        <w:tc>
          <w:tcPr>
            <w:tcW w:w="25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1,066,385.65</w:t>
            </w:r>
          </w:p>
        </w:tc>
      </w:tr>
      <w:tr>
        <w:trPr>
          <w:trHeight w:val="461" w:hRule="exact"/>
        </w:trPr>
        <w:tc>
          <w:tcPr>
            <w:tcW w:w="28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355,691,941.27</w:t>
            </w:r>
          </w:p>
        </w:tc>
        <w:tc>
          <w:tcPr>
            <w:tcW w:w="25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310,536,624.70</w:t>
            </w: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240" w:lineRule="auto"/>
        <w:ind w:left="850" w:right="1675"/>
        <w:jc w:val="left"/>
      </w:pPr>
      <w:r>
        <w:rPr/>
        <w:t>固定资产清理的说明：</w:t>
      </w:r>
    </w:p>
    <w:p>
      <w:pPr>
        <w:spacing w:after="0" w:line="240" w:lineRule="auto"/>
        <w:jc w:val="left"/>
        <w:sectPr>
          <w:headerReference w:type="default" r:id="rId108"/>
          <w:footerReference w:type="default" r:id="rId109"/>
          <w:pgSz w:w="11910" w:h="16840"/>
          <w:pgMar w:header="779" w:footer="996" w:top="1000" w:bottom="1180" w:left="1660" w:right="0"/>
          <w:pgNumType w:start="5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45" w:lineRule="auto"/>
        <w:ind w:left="850" w:right="1675"/>
        <w:jc w:val="left"/>
      </w:pPr>
      <w:r>
        <w:rPr/>
        <w:t>根据深圳市旧城改造及城市更新规划，本公司布吉农产品批发市场已整体搬迁至深</w:t>
      </w:r>
      <w:r>
        <w:rPr>
          <w:spacing w:val="-62"/>
        </w:rPr>
        <w:t> </w:t>
      </w:r>
      <w:r>
        <w:rPr/>
        <w:t>圳市平湖国际农产品物流园，处于处置状态的固定资产不再用于生产商品、提供劳</w:t>
      </w:r>
      <w:r>
        <w:rPr>
          <w:spacing w:val="-62"/>
        </w:rPr>
        <w:t> </w:t>
      </w:r>
      <w:r>
        <w:rPr/>
        <w:t>务、出租或经营管理，不再符合固定资产的定义，应予终止确认。公司根据已解除</w:t>
      </w:r>
      <w:r>
        <w:rPr>
          <w:spacing w:val="-62"/>
        </w:rPr>
        <w:t> </w:t>
      </w:r>
      <w:r>
        <w:rPr/>
        <w:t>租赁协议商铺面积比例结转相应的固定资产净值至固定资产清理列示。</w:t>
      </w:r>
      <w:r>
        <w:rPr>
          <w:w w:val="100"/>
        </w:rPr>
        <w:t> </w:t>
      </w:r>
      <w:r>
        <w:rPr/>
        <w:t>布吉市场搬迁固定资产清理本期增加</w:t>
      </w:r>
      <w:r>
        <w:rPr>
          <w:spacing w:val="-43"/>
        </w:rPr>
        <w:t> </w:t>
      </w:r>
      <w:r>
        <w:rPr>
          <w:rFonts w:ascii="Times New Roman" w:hAnsi="Times New Roman" w:cs="Times New Roman" w:eastAsia="Times New Roman" w:hint="default"/>
        </w:rPr>
        <w:t>46,221,702.22</w:t>
      </w:r>
      <w:r>
        <w:rPr>
          <w:rFonts w:ascii="Times New Roman" w:hAnsi="Times New Roman" w:cs="Times New Roman" w:eastAsia="Times New Roman" w:hint="default"/>
          <w:spacing w:val="7"/>
        </w:rPr>
        <w:t> </w:t>
      </w:r>
      <w:r>
        <w:rPr>
          <w:spacing w:val="-3"/>
        </w:rPr>
        <w:t>元，主要为达到处置状态的固定</w:t>
      </w:r>
      <w:r>
        <w:rPr>
          <w:spacing w:val="-102"/>
        </w:rPr>
        <w:t> </w:t>
      </w:r>
      <w:r>
        <w:rPr>
          <w:spacing w:val="-102"/>
        </w:rPr>
      </w:r>
      <w:r>
        <w:rPr/>
        <w:t>资产净值结转至本项目及清理过程发生的拆迁置换补偿费及其他清理费用。</w:t>
      </w:r>
      <w:r>
        <w:rPr>
          <w:w w:val="100"/>
        </w:rPr>
        <w:t> </w:t>
      </w:r>
      <w:r>
        <w:rPr/>
        <w:t>截至资产负债表日，尚有少量租户未与公司达成一致意向，整个市场的清理工作尚</w:t>
      </w:r>
      <w:r>
        <w:rPr>
          <w:spacing w:val="-62"/>
        </w:rPr>
        <w:t> </w:t>
      </w:r>
      <w:r>
        <w:rPr/>
        <w:t>未完成。</w:t>
      </w:r>
    </w:p>
    <w:p>
      <w:pPr>
        <w:spacing w:line="240" w:lineRule="auto" w:before="12"/>
        <w:rPr>
          <w:rFonts w:ascii="宋体" w:hAnsi="宋体" w:cs="宋体" w:eastAsia="宋体" w:hint="default"/>
          <w:sz w:val="27"/>
          <w:szCs w:val="27"/>
        </w:rPr>
      </w:pPr>
    </w:p>
    <w:p>
      <w:pPr>
        <w:pStyle w:val="Heading6"/>
        <w:spacing w:line="240" w:lineRule="auto"/>
        <w:ind w:left="138" w:right="1675"/>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51"/>
        </w:rPr>
        <w:t> </w:t>
      </w:r>
      <w:r>
        <w:rPr/>
        <w:t>在建工程</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在建工程及工程物资</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67"/>
        <w:gridCol w:w="2271"/>
        <w:gridCol w:w="2240"/>
      </w:tblGrid>
      <w:tr>
        <w:trPr>
          <w:trHeight w:val="461" w:hRule="exact"/>
        </w:trPr>
        <w:tc>
          <w:tcPr>
            <w:tcW w:w="32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40"/>
              <w:jc w:val="right"/>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1,034,631,533.28</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999,551,080.26</w:t>
            </w:r>
          </w:p>
        </w:tc>
      </w:tr>
      <w:tr>
        <w:trPr>
          <w:trHeight w:val="449" w:hRule="exact"/>
        </w:trPr>
        <w:tc>
          <w:tcPr>
            <w:tcW w:w="32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71" w:type="dxa"/>
            <w:tcBorders>
              <w:top w:val="dotted" w:sz="4" w:space="0" w:color="000000"/>
              <w:left w:val="dotted" w:sz="4" w:space="0" w:color="000000"/>
              <w:bottom w:val="dotted" w:sz="4" w:space="0" w:color="000000"/>
              <w:right w:val="dotted" w:sz="4" w:space="0" w:color="000000"/>
            </w:tcBorders>
          </w:tcPr>
          <w:p>
            <w:pPr/>
          </w:p>
        </w:tc>
        <w:tc>
          <w:tcPr>
            <w:tcW w:w="224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2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40"/>
              <w:jc w:val="right"/>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1,034,631,533.28</w:t>
            </w:r>
          </w:p>
        </w:tc>
        <w:tc>
          <w:tcPr>
            <w:tcW w:w="22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999,551,080.26</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在建工程情况</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721"/>
        <w:gridCol w:w="1133"/>
        <w:gridCol w:w="924"/>
        <w:gridCol w:w="1092"/>
        <w:gridCol w:w="1003"/>
        <w:gridCol w:w="898"/>
        <w:gridCol w:w="1006"/>
      </w:tblGrid>
      <w:tr>
        <w:trPr>
          <w:trHeight w:val="439" w:hRule="exact"/>
        </w:trPr>
        <w:tc>
          <w:tcPr>
            <w:tcW w:w="17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0"/>
                <w:szCs w:val="10"/>
              </w:rPr>
            </w:pP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1"/>
                <w:szCs w:val="11"/>
              </w:rPr>
            </w:pPr>
            <w:r>
              <w:rPr>
                <w:rFonts w:ascii="宋体" w:hAnsi="宋体" w:cs="宋体" w:eastAsia="宋体" w:hint="default"/>
                <w:sz w:val="11"/>
                <w:szCs w:val="11"/>
              </w:rPr>
              <w:t>项目</w:t>
            </w:r>
          </w:p>
        </w:tc>
        <w:tc>
          <w:tcPr>
            <w:tcW w:w="314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期末余额</w:t>
            </w:r>
          </w:p>
        </w:tc>
        <w:tc>
          <w:tcPr>
            <w:tcW w:w="290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1"/>
                <w:szCs w:val="11"/>
              </w:rPr>
            </w:pPr>
            <w:r>
              <w:rPr>
                <w:rFonts w:ascii="宋体" w:hAnsi="宋体" w:cs="宋体" w:eastAsia="宋体" w:hint="default"/>
                <w:sz w:val="11"/>
                <w:szCs w:val="11"/>
              </w:rPr>
              <w:t>年初余额</w:t>
            </w:r>
          </w:p>
        </w:tc>
      </w:tr>
      <w:tr>
        <w:trPr>
          <w:trHeight w:val="430" w:hRule="exact"/>
        </w:trPr>
        <w:tc>
          <w:tcPr>
            <w:tcW w:w="1721" w:type="dxa"/>
            <w:vMerge/>
            <w:tcBorders>
              <w:left w:val="nil" w:sz="6" w:space="0" w:color="auto"/>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40" w:right="0"/>
              <w:jc w:val="left"/>
              <w:rPr>
                <w:rFonts w:ascii="宋体" w:hAnsi="宋体" w:cs="宋体" w:eastAsia="宋体" w:hint="default"/>
                <w:sz w:val="11"/>
                <w:szCs w:val="11"/>
              </w:rPr>
            </w:pPr>
            <w:r>
              <w:rPr>
                <w:rFonts w:ascii="宋体" w:hAnsi="宋体" w:cs="宋体" w:eastAsia="宋体" w:hint="default"/>
                <w:sz w:val="11"/>
                <w:szCs w:val="11"/>
              </w:rPr>
              <w:t>账面余额</w:t>
            </w:r>
          </w:p>
        </w:tc>
        <w:tc>
          <w:tcPr>
            <w:tcW w:w="9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37" w:right="0"/>
              <w:jc w:val="left"/>
              <w:rPr>
                <w:rFonts w:ascii="宋体" w:hAnsi="宋体" w:cs="宋体" w:eastAsia="宋体" w:hint="default"/>
                <w:sz w:val="11"/>
                <w:szCs w:val="11"/>
              </w:rPr>
            </w:pPr>
            <w:r>
              <w:rPr>
                <w:rFonts w:ascii="宋体" w:hAnsi="宋体" w:cs="宋体" w:eastAsia="宋体" w:hint="default"/>
                <w:sz w:val="11"/>
                <w:szCs w:val="11"/>
              </w:rPr>
              <w:t>减值准备</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22" w:right="0"/>
              <w:jc w:val="left"/>
              <w:rPr>
                <w:rFonts w:ascii="宋体" w:hAnsi="宋体" w:cs="宋体" w:eastAsia="宋体" w:hint="default"/>
                <w:sz w:val="11"/>
                <w:szCs w:val="11"/>
              </w:rPr>
            </w:pPr>
            <w:r>
              <w:rPr>
                <w:rFonts w:ascii="宋体" w:hAnsi="宋体" w:cs="宋体" w:eastAsia="宋体" w:hint="default"/>
                <w:sz w:val="11"/>
                <w:szCs w:val="11"/>
              </w:rPr>
              <w:t>账面价值</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76" w:right="0"/>
              <w:jc w:val="left"/>
              <w:rPr>
                <w:rFonts w:ascii="宋体" w:hAnsi="宋体" w:cs="宋体" w:eastAsia="宋体" w:hint="default"/>
                <w:sz w:val="11"/>
                <w:szCs w:val="11"/>
              </w:rPr>
            </w:pPr>
            <w:r>
              <w:rPr>
                <w:rFonts w:ascii="宋体" w:hAnsi="宋体" w:cs="宋体" w:eastAsia="宋体" w:hint="default"/>
                <w:sz w:val="11"/>
                <w:szCs w:val="11"/>
              </w:rPr>
              <w:t>账面余额</w:t>
            </w:r>
          </w:p>
        </w:tc>
        <w:tc>
          <w:tcPr>
            <w:tcW w:w="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25" w:right="0"/>
              <w:jc w:val="left"/>
              <w:rPr>
                <w:rFonts w:ascii="宋体" w:hAnsi="宋体" w:cs="宋体" w:eastAsia="宋体" w:hint="default"/>
                <w:sz w:val="11"/>
                <w:szCs w:val="11"/>
              </w:rPr>
            </w:pPr>
            <w:r>
              <w:rPr>
                <w:rFonts w:ascii="宋体" w:hAnsi="宋体" w:cs="宋体" w:eastAsia="宋体" w:hint="default"/>
                <w:sz w:val="11"/>
                <w:szCs w:val="11"/>
              </w:rPr>
              <w:t>减值准备</w:t>
            </w: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76" w:right="0"/>
              <w:jc w:val="left"/>
              <w:rPr>
                <w:rFonts w:ascii="宋体" w:hAnsi="宋体" w:cs="宋体" w:eastAsia="宋体" w:hint="default"/>
                <w:sz w:val="11"/>
                <w:szCs w:val="11"/>
              </w:rPr>
            </w:pPr>
            <w:r>
              <w:rPr>
                <w:rFonts w:ascii="宋体" w:hAnsi="宋体" w:cs="宋体" w:eastAsia="宋体" w:hint="default"/>
                <w:sz w:val="11"/>
                <w:szCs w:val="11"/>
              </w:rPr>
              <w:t>账面价值</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天津静海市场建设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77,480,938.02</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77,480,938.02</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111,360,135.26</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111,360,135.26</w:t>
            </w:r>
          </w:p>
        </w:tc>
      </w:tr>
      <w:tr>
        <w:trPr>
          <w:trHeight w:val="771"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340" w:lineRule="atLeast" w:before="16"/>
              <w:ind w:left="122" w:right="94"/>
              <w:jc w:val="left"/>
              <w:rPr>
                <w:rFonts w:ascii="宋体" w:hAnsi="宋体" w:cs="宋体" w:eastAsia="宋体" w:hint="default"/>
                <w:sz w:val="11"/>
                <w:szCs w:val="11"/>
              </w:rPr>
            </w:pPr>
            <w:r>
              <w:rPr>
                <w:rFonts w:ascii="宋体" w:hAnsi="宋体" w:cs="宋体" w:eastAsia="宋体" w:hint="default"/>
                <w:spacing w:val="3"/>
                <w:sz w:val="11"/>
                <w:szCs w:val="11"/>
              </w:rPr>
              <w:t>武汉东海吉星农产品物流园工</w:t>
            </w:r>
            <w:r>
              <w:rPr>
                <w:rFonts w:ascii="宋体" w:hAnsi="宋体" w:cs="宋体" w:eastAsia="宋体" w:hint="default"/>
                <w:spacing w:val="-37"/>
                <w:sz w:val="11"/>
                <w:szCs w:val="11"/>
              </w:rPr>
              <w:t> </w:t>
            </w:r>
            <w:r>
              <w:rPr>
                <w:rFonts w:ascii="宋体" w:hAnsi="宋体" w:cs="宋体" w:eastAsia="宋体" w:hint="default"/>
                <w:sz w:val="11"/>
                <w:szCs w:val="11"/>
              </w:rPr>
              <w:t>程</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0"/>
                <w:szCs w:val="10"/>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40,752,503.56</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0"/>
                <w:szCs w:val="10"/>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40,752,503.56</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0"/>
                <w:szCs w:val="10"/>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36,992,721.17</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0"/>
                <w:szCs w:val="10"/>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36,992,721.17</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岳阳海吉星市场建设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115,647,208.91</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115,647,208.91</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198,079,582.54</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198,079,582.54</w:t>
            </w:r>
          </w:p>
        </w:tc>
      </w:tr>
      <w:tr>
        <w:trPr>
          <w:trHeight w:val="432"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平湖物流园</w:t>
            </w:r>
            <w:r>
              <w:rPr>
                <w:rFonts w:ascii="宋体" w:hAnsi="宋体" w:cs="宋体" w:eastAsia="宋体" w:hint="default"/>
                <w:spacing w:val="-27"/>
                <w:sz w:val="11"/>
                <w:szCs w:val="11"/>
              </w:rPr>
              <w:t> </w:t>
            </w:r>
            <w:r>
              <w:rPr>
                <w:rFonts w:ascii="Times New Roman" w:hAnsi="Times New Roman" w:cs="Times New Roman" w:eastAsia="Times New Roman" w:hint="default"/>
                <w:sz w:val="11"/>
                <w:szCs w:val="11"/>
              </w:rPr>
              <w:t>3#</w:t>
            </w:r>
            <w:r>
              <w:rPr>
                <w:rFonts w:ascii="宋体" w:hAnsi="宋体" w:cs="宋体" w:eastAsia="宋体" w:hint="default"/>
                <w:sz w:val="11"/>
                <w:szCs w:val="11"/>
              </w:rPr>
              <w:t>楼</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pacing w:val="-1"/>
                <w:sz w:val="11"/>
              </w:rPr>
              <w:t>70,787.00</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pacing w:val="-1"/>
                <w:sz w:val="11"/>
              </w:rPr>
              <w:t>70,787.00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pacing w:val="-1"/>
                <w:sz w:val="11"/>
              </w:rPr>
              <w:t>70,787.00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70,787.00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平湖物流园工程</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44,588,599.10</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44,588,599.10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10,010,707.33</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10,010,707.33</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南方物流市场建设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305,078,584.86</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305,078,584.86</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204,971,119.63</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204,971,119.63</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南山新家禽市场项目</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3,738,486.13</w:t>
            </w:r>
          </w:p>
        </w:tc>
        <w:tc>
          <w:tcPr>
            <w:tcW w:w="9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2" w:right="0"/>
              <w:jc w:val="left"/>
              <w:rPr>
                <w:rFonts w:ascii="Times New Roman" w:hAnsi="Times New Roman" w:cs="Times New Roman" w:eastAsia="Times New Roman" w:hint="default"/>
                <w:sz w:val="11"/>
                <w:szCs w:val="11"/>
              </w:rPr>
            </w:pPr>
            <w:r>
              <w:rPr>
                <w:rFonts w:ascii="Times New Roman"/>
                <w:sz w:val="11"/>
              </w:rPr>
              <w:t>1,862,374.13</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1,876,112.00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5,276,825.64</w:t>
            </w:r>
          </w:p>
        </w:tc>
        <w:tc>
          <w:tcPr>
            <w:tcW w:w="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08" w:right="0"/>
              <w:jc w:val="left"/>
              <w:rPr>
                <w:rFonts w:ascii="Times New Roman" w:hAnsi="Times New Roman" w:cs="Times New Roman" w:eastAsia="Times New Roman" w:hint="default"/>
                <w:sz w:val="11"/>
                <w:szCs w:val="11"/>
              </w:rPr>
            </w:pPr>
            <w:r>
              <w:rPr>
                <w:rFonts w:ascii="Times New Roman"/>
                <w:sz w:val="11"/>
              </w:rPr>
              <w:t>1,862,374.13</w:t>
            </w: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3,414,451.51</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云南东盟国际物流园</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58,661,042.08</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58,661,042.08</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55,974,546.50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55,974,546.50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长春市场工程</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195,698,927.94</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195,698,927.94</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176,357,688.67</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176,357,688.67</w:t>
            </w:r>
          </w:p>
        </w:tc>
      </w:tr>
      <w:tr>
        <w:trPr>
          <w:trHeight w:val="432"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长沙市场工程</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11,946,613.31</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11,946,613.31</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10,362,474.22</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10,362,474.22</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南昌市场建设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154,653.56</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154,653.56</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183,850.20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183,850.20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九江市场工程</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3,393,001.10</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3,393,001.10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2,824,374.50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2,824,374.50</w:t>
            </w:r>
          </w:p>
        </w:tc>
      </w:tr>
      <w:tr>
        <w:trPr>
          <w:trHeight w:val="442" w:hRule="exact"/>
        </w:trPr>
        <w:tc>
          <w:tcPr>
            <w:tcW w:w="17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上海农批市场建设</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144,477,594.72</w:t>
            </w:r>
          </w:p>
        </w:tc>
        <w:tc>
          <w:tcPr>
            <w:tcW w:w="924" w:type="dxa"/>
            <w:tcBorders>
              <w:top w:val="dotted" w:sz="4" w:space="0" w:color="000000"/>
              <w:left w:val="dotted" w:sz="4" w:space="0" w:color="000000"/>
              <w:bottom w:val="single" w:sz="12" w:space="0" w:color="000000"/>
              <w:right w:val="dotted" w:sz="4" w:space="0" w:color="000000"/>
            </w:tcBorders>
          </w:tcPr>
          <w:p>
            <w:pPr/>
          </w:p>
        </w:tc>
        <w:tc>
          <w:tcPr>
            <w:tcW w:w="10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144,477,594.72</w:t>
            </w:r>
          </w:p>
        </w:tc>
        <w:tc>
          <w:tcPr>
            <w:tcW w:w="10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139,658,283.44</w:t>
            </w:r>
          </w:p>
        </w:tc>
        <w:tc>
          <w:tcPr>
            <w:tcW w:w="898" w:type="dxa"/>
            <w:tcBorders>
              <w:top w:val="dotted" w:sz="4" w:space="0" w:color="000000"/>
              <w:left w:val="dotted" w:sz="4" w:space="0" w:color="000000"/>
              <w:bottom w:val="single" w:sz="12" w:space="0" w:color="000000"/>
              <w:right w:val="dotted" w:sz="4" w:space="0" w:color="000000"/>
            </w:tcBorders>
          </w:tcPr>
          <w:p>
            <w:pPr/>
          </w:p>
        </w:tc>
        <w:tc>
          <w:tcPr>
            <w:tcW w:w="10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139,658,283.44</w:t>
            </w:r>
          </w:p>
        </w:tc>
      </w:tr>
    </w:tbl>
    <w:p>
      <w:pPr>
        <w:spacing w:after="0" w:line="240" w:lineRule="auto"/>
        <w:jc w:val="right"/>
        <w:rPr>
          <w:rFonts w:ascii="Times New Roman" w:hAnsi="Times New Roman" w:cs="Times New Roman" w:eastAsia="Times New Roman" w:hint="default"/>
          <w:sz w:val="11"/>
          <w:szCs w:val="11"/>
        </w:rPr>
        <w:sectPr>
          <w:pgSz w:w="11910" w:h="16840"/>
          <w:pgMar w:header="779"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1721"/>
        <w:gridCol w:w="1133"/>
        <w:gridCol w:w="924"/>
        <w:gridCol w:w="1092"/>
        <w:gridCol w:w="1003"/>
        <w:gridCol w:w="898"/>
        <w:gridCol w:w="1006"/>
      </w:tblGrid>
      <w:tr>
        <w:trPr>
          <w:trHeight w:val="442" w:hRule="exact"/>
        </w:trPr>
        <w:tc>
          <w:tcPr>
            <w:tcW w:w="17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81"/>
              <w:ind w:left="16" w:right="0"/>
              <w:jc w:val="center"/>
              <w:rPr>
                <w:rFonts w:ascii="宋体" w:hAnsi="宋体" w:cs="宋体" w:eastAsia="宋体" w:hint="default"/>
                <w:sz w:val="11"/>
                <w:szCs w:val="11"/>
              </w:rPr>
            </w:pPr>
            <w:r>
              <w:rPr>
                <w:rFonts w:ascii="宋体" w:hAnsi="宋体" w:cs="宋体" w:eastAsia="宋体" w:hint="default"/>
                <w:sz w:val="11"/>
                <w:szCs w:val="11"/>
              </w:rPr>
              <w:t>项目</w:t>
            </w:r>
          </w:p>
        </w:tc>
        <w:tc>
          <w:tcPr>
            <w:tcW w:w="314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期末余额</w:t>
            </w:r>
          </w:p>
        </w:tc>
        <w:tc>
          <w:tcPr>
            <w:tcW w:w="290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240" w:lineRule="auto"/>
              <w:ind w:right="2"/>
              <w:jc w:val="center"/>
              <w:rPr>
                <w:rFonts w:ascii="宋体" w:hAnsi="宋体" w:cs="宋体" w:eastAsia="宋体" w:hint="default"/>
                <w:sz w:val="11"/>
                <w:szCs w:val="11"/>
              </w:rPr>
            </w:pPr>
            <w:r>
              <w:rPr>
                <w:rFonts w:ascii="宋体" w:hAnsi="宋体" w:cs="宋体" w:eastAsia="宋体" w:hint="default"/>
                <w:sz w:val="11"/>
                <w:szCs w:val="11"/>
              </w:rPr>
              <w:t>年初余额</w:t>
            </w:r>
          </w:p>
        </w:tc>
      </w:tr>
      <w:tr>
        <w:trPr>
          <w:trHeight w:val="430" w:hRule="exact"/>
        </w:trPr>
        <w:tc>
          <w:tcPr>
            <w:tcW w:w="1721" w:type="dxa"/>
            <w:vMerge/>
            <w:tcBorders>
              <w:left w:val="nil" w:sz="6" w:space="0" w:color="auto"/>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340" w:right="0"/>
              <w:jc w:val="left"/>
              <w:rPr>
                <w:rFonts w:ascii="宋体" w:hAnsi="宋体" w:cs="宋体" w:eastAsia="宋体" w:hint="default"/>
                <w:sz w:val="11"/>
                <w:szCs w:val="11"/>
              </w:rPr>
            </w:pPr>
            <w:r>
              <w:rPr>
                <w:rFonts w:ascii="宋体" w:hAnsi="宋体" w:cs="宋体" w:eastAsia="宋体" w:hint="default"/>
                <w:sz w:val="11"/>
                <w:szCs w:val="11"/>
              </w:rPr>
              <w:t>账面余额</w:t>
            </w:r>
          </w:p>
        </w:tc>
        <w:tc>
          <w:tcPr>
            <w:tcW w:w="9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237" w:right="0"/>
              <w:jc w:val="left"/>
              <w:rPr>
                <w:rFonts w:ascii="宋体" w:hAnsi="宋体" w:cs="宋体" w:eastAsia="宋体" w:hint="default"/>
                <w:sz w:val="11"/>
                <w:szCs w:val="11"/>
              </w:rPr>
            </w:pPr>
            <w:r>
              <w:rPr>
                <w:rFonts w:ascii="宋体" w:hAnsi="宋体" w:cs="宋体" w:eastAsia="宋体" w:hint="default"/>
                <w:sz w:val="11"/>
                <w:szCs w:val="11"/>
              </w:rPr>
              <w:t>减值准备</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322" w:right="0"/>
              <w:jc w:val="left"/>
              <w:rPr>
                <w:rFonts w:ascii="宋体" w:hAnsi="宋体" w:cs="宋体" w:eastAsia="宋体" w:hint="default"/>
                <w:sz w:val="11"/>
                <w:szCs w:val="11"/>
              </w:rPr>
            </w:pPr>
            <w:r>
              <w:rPr>
                <w:rFonts w:ascii="宋体" w:hAnsi="宋体" w:cs="宋体" w:eastAsia="宋体" w:hint="default"/>
                <w:sz w:val="11"/>
                <w:szCs w:val="11"/>
              </w:rPr>
              <w:t>账面价值</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276" w:right="0"/>
              <w:jc w:val="left"/>
              <w:rPr>
                <w:rFonts w:ascii="宋体" w:hAnsi="宋体" w:cs="宋体" w:eastAsia="宋体" w:hint="default"/>
                <w:sz w:val="11"/>
                <w:szCs w:val="11"/>
              </w:rPr>
            </w:pPr>
            <w:r>
              <w:rPr>
                <w:rFonts w:ascii="宋体" w:hAnsi="宋体" w:cs="宋体" w:eastAsia="宋体" w:hint="default"/>
                <w:sz w:val="11"/>
                <w:szCs w:val="11"/>
              </w:rPr>
              <w:t>账面余额</w:t>
            </w:r>
          </w:p>
        </w:tc>
        <w:tc>
          <w:tcPr>
            <w:tcW w:w="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225" w:right="0"/>
              <w:jc w:val="left"/>
              <w:rPr>
                <w:rFonts w:ascii="宋体" w:hAnsi="宋体" w:cs="宋体" w:eastAsia="宋体" w:hint="default"/>
                <w:sz w:val="11"/>
                <w:szCs w:val="11"/>
              </w:rPr>
            </w:pPr>
            <w:r>
              <w:rPr>
                <w:rFonts w:ascii="宋体" w:hAnsi="宋体" w:cs="宋体" w:eastAsia="宋体" w:hint="default"/>
                <w:sz w:val="11"/>
                <w:szCs w:val="11"/>
              </w:rPr>
              <w:t>减值准备</w:t>
            </w: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276" w:right="0"/>
              <w:jc w:val="left"/>
              <w:rPr>
                <w:rFonts w:ascii="宋体" w:hAnsi="宋体" w:cs="宋体" w:eastAsia="宋体" w:hint="default"/>
                <w:sz w:val="11"/>
                <w:szCs w:val="11"/>
              </w:rPr>
            </w:pPr>
            <w:r>
              <w:rPr>
                <w:rFonts w:ascii="宋体" w:hAnsi="宋体" w:cs="宋体" w:eastAsia="宋体" w:hint="default"/>
                <w:sz w:val="11"/>
                <w:szCs w:val="11"/>
              </w:rPr>
              <w:t>账面价值</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成都海吉星市场建设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2,370,749.16</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z w:val="11"/>
              </w:rPr>
              <w:t>2,370,749.16</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978,893.60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978,893.60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新柳邕农产品设备安装项目</w:t>
            </w:r>
          </w:p>
        </w:tc>
        <w:tc>
          <w:tcPr>
            <w:tcW w:w="1133" w:type="dxa"/>
            <w:tcBorders>
              <w:top w:val="dotted" w:sz="4" w:space="0" w:color="000000"/>
              <w:left w:val="dotted" w:sz="4" w:space="0" w:color="000000"/>
              <w:bottom w:val="dotted" w:sz="4" w:space="0" w:color="000000"/>
              <w:right w:val="dotted" w:sz="4" w:space="0" w:color="000000"/>
            </w:tcBorders>
          </w:tcPr>
          <w:p>
            <w:pP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1,260,000.00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1,260,000.00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广西海吉星市场建设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18,496,092.79</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18,496,092.79</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30,163,346.50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30,163,346.50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天津韩家墅市场改造工程</w:t>
            </w:r>
          </w:p>
        </w:tc>
        <w:tc>
          <w:tcPr>
            <w:tcW w:w="1133" w:type="dxa"/>
            <w:tcBorders>
              <w:top w:val="dotted" w:sz="4" w:space="0" w:color="000000"/>
              <w:left w:val="dotted" w:sz="4" w:space="0" w:color="000000"/>
              <w:bottom w:val="dotted" w:sz="4" w:space="0" w:color="000000"/>
              <w:right w:val="dotted" w:sz="4" w:space="0" w:color="000000"/>
            </w:tcBorders>
          </w:tcPr>
          <w:p>
            <w:pP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2,080,178.73</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2,080,178.73</w:t>
            </w:r>
          </w:p>
        </w:tc>
      </w:tr>
      <w:tr>
        <w:trPr>
          <w:trHeight w:val="432"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平湖海吉星市场安装工程</w:t>
            </w:r>
          </w:p>
        </w:tc>
        <w:tc>
          <w:tcPr>
            <w:tcW w:w="1133" w:type="dxa"/>
            <w:tcBorders>
              <w:top w:val="dotted" w:sz="4" w:space="0" w:color="000000"/>
              <w:left w:val="dotted" w:sz="4" w:space="0" w:color="000000"/>
              <w:bottom w:val="dotted" w:sz="4" w:space="0" w:color="000000"/>
              <w:right w:val="dotted" w:sz="4" w:space="0" w:color="000000"/>
            </w:tcBorders>
          </w:tcPr>
          <w:p>
            <w:pP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1,448,932.24</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1,448,932.24</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4"/>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惠州海吉星市场建设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6,690,079.10</w:t>
            </w:r>
          </w:p>
        </w:tc>
        <w:tc>
          <w:tcPr>
            <w:tcW w:w="92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6,690,079.10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6,040,225.10</w:t>
            </w:r>
          </w:p>
        </w:tc>
        <w:tc>
          <w:tcPr>
            <w:tcW w:w="898"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6,040,225.10</w:t>
            </w:r>
          </w:p>
        </w:tc>
      </w:tr>
      <w:tr>
        <w:trPr>
          <w:trHeight w:val="43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122"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7,622,040.45</w:t>
            </w:r>
          </w:p>
        </w:tc>
        <w:tc>
          <w:tcPr>
            <w:tcW w:w="9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373,994.38</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7,248,046.07</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7,692,776.50</w:t>
            </w:r>
          </w:p>
        </w:tc>
        <w:tc>
          <w:tcPr>
            <w:tcW w:w="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7"/>
              <w:jc w:val="right"/>
              <w:rPr>
                <w:rFonts w:ascii="Times New Roman" w:hAnsi="Times New Roman" w:cs="Times New Roman" w:eastAsia="Times New Roman" w:hint="default"/>
                <w:sz w:val="11"/>
                <w:szCs w:val="11"/>
              </w:rPr>
            </w:pPr>
            <w:r>
              <w:rPr>
                <w:rFonts w:ascii="Times New Roman"/>
                <w:spacing w:val="-1"/>
                <w:sz w:val="11"/>
              </w:rPr>
              <w:t>373,994.38</w:t>
            </w:r>
          </w:p>
        </w:tc>
        <w:tc>
          <w:tcPr>
            <w:tcW w:w="10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z w:val="11"/>
              </w:rPr>
              <w:t>7,318,782.12</w:t>
            </w:r>
          </w:p>
        </w:tc>
      </w:tr>
      <w:tr>
        <w:trPr>
          <w:trHeight w:val="442" w:hRule="exact"/>
        </w:trPr>
        <w:tc>
          <w:tcPr>
            <w:tcW w:w="172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16" w:right="0"/>
              <w:jc w:val="center"/>
              <w:rPr>
                <w:rFonts w:ascii="宋体" w:hAnsi="宋体" w:cs="宋体" w:eastAsia="宋体" w:hint="default"/>
                <w:sz w:val="11"/>
                <w:szCs w:val="11"/>
              </w:rPr>
            </w:pPr>
            <w:r>
              <w:rPr>
                <w:rFonts w:ascii="宋体" w:hAnsi="宋体" w:cs="宋体" w:eastAsia="宋体" w:hint="default"/>
                <w:sz w:val="11"/>
                <w:szCs w:val="11"/>
              </w:rPr>
              <w:t>合计</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1,036,867,901.79</w:t>
            </w:r>
          </w:p>
        </w:tc>
        <w:tc>
          <w:tcPr>
            <w:tcW w:w="9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z w:val="11"/>
              </w:rPr>
              <w:t>2,236,368.51</w:t>
            </w:r>
          </w:p>
        </w:tc>
        <w:tc>
          <w:tcPr>
            <w:tcW w:w="10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1,034,631,533.28</w:t>
            </w:r>
          </w:p>
        </w:tc>
        <w:tc>
          <w:tcPr>
            <w:tcW w:w="10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9"/>
              <w:jc w:val="right"/>
              <w:rPr>
                <w:rFonts w:ascii="Times New Roman" w:hAnsi="Times New Roman" w:cs="Times New Roman" w:eastAsia="Times New Roman" w:hint="default"/>
                <w:sz w:val="11"/>
                <w:szCs w:val="11"/>
              </w:rPr>
            </w:pPr>
            <w:r>
              <w:rPr>
                <w:rFonts w:ascii="Times New Roman"/>
                <w:spacing w:val="-1"/>
                <w:sz w:val="11"/>
              </w:rPr>
              <w:t>1,001,787,448.77</w:t>
            </w:r>
          </w:p>
        </w:tc>
        <w:tc>
          <w:tcPr>
            <w:tcW w:w="8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97"/>
              <w:jc w:val="right"/>
              <w:rPr>
                <w:rFonts w:ascii="Times New Roman" w:hAnsi="Times New Roman" w:cs="Times New Roman" w:eastAsia="Times New Roman" w:hint="default"/>
                <w:sz w:val="11"/>
                <w:szCs w:val="11"/>
              </w:rPr>
            </w:pPr>
            <w:r>
              <w:rPr>
                <w:rFonts w:ascii="Times New Roman"/>
                <w:sz w:val="11"/>
              </w:rPr>
              <w:t>2,236,368.51</w:t>
            </w:r>
          </w:p>
        </w:tc>
        <w:tc>
          <w:tcPr>
            <w:tcW w:w="100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1"/>
                <w:szCs w:val="11"/>
              </w:rPr>
            </w:pPr>
            <w:r>
              <w:rPr>
                <w:rFonts w:ascii="Times New Roman"/>
                <w:spacing w:val="-1"/>
                <w:sz w:val="11"/>
              </w:rPr>
              <w:t>999,551,080.26</w:t>
            </w:r>
          </w:p>
        </w:tc>
      </w:tr>
    </w:tbl>
    <w:p>
      <w:pPr>
        <w:spacing w:after="0" w:line="240" w:lineRule="auto"/>
        <w:jc w:val="right"/>
        <w:rPr>
          <w:rFonts w:ascii="Times New Roman" w:hAnsi="Times New Roman" w:cs="Times New Roman" w:eastAsia="Times New Roman" w:hint="default"/>
          <w:sz w:val="11"/>
          <w:szCs w:val="11"/>
        </w:rPr>
        <w:sectPr>
          <w:pgSz w:w="11910" w:h="16840"/>
          <w:pgMar w:header="779"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3</w:t>
      </w:r>
      <w:r>
        <w:rPr/>
        <w:t>、</w:t>
        <w:tab/>
        <w:t>重要的在建工程项目本期变动情况</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1212"/>
        <w:gridCol w:w="960"/>
        <w:gridCol w:w="1064"/>
        <w:gridCol w:w="1231"/>
        <w:gridCol w:w="1150"/>
        <w:gridCol w:w="1231"/>
        <w:gridCol w:w="1231"/>
        <w:gridCol w:w="831"/>
        <w:gridCol w:w="694"/>
        <w:gridCol w:w="1121"/>
        <w:gridCol w:w="1092"/>
        <w:gridCol w:w="821"/>
        <w:gridCol w:w="703"/>
      </w:tblGrid>
      <w:tr>
        <w:trPr>
          <w:trHeight w:val="1181" w:hRule="exact"/>
        </w:trPr>
        <w:tc>
          <w:tcPr>
            <w:tcW w:w="121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项目名称</w:t>
            </w:r>
          </w:p>
        </w:tc>
        <w:tc>
          <w:tcPr>
            <w:tcW w:w="9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9"/>
                <w:szCs w:val="9"/>
              </w:rPr>
            </w:pPr>
          </w:p>
          <w:p>
            <w:pPr>
              <w:pStyle w:val="TableParagraph"/>
              <w:spacing w:line="240" w:lineRule="auto"/>
              <w:ind w:left="278" w:right="0"/>
              <w:jc w:val="left"/>
              <w:rPr>
                <w:rFonts w:ascii="宋体" w:hAnsi="宋体" w:cs="宋体" w:eastAsia="宋体" w:hint="default"/>
                <w:sz w:val="13"/>
                <w:szCs w:val="13"/>
              </w:rPr>
            </w:pPr>
            <w:r>
              <w:rPr>
                <w:rFonts w:ascii="宋体" w:hAnsi="宋体" w:cs="宋体" w:eastAsia="宋体" w:hint="default"/>
                <w:sz w:val="13"/>
                <w:szCs w:val="13"/>
              </w:rPr>
              <w:t>预算数</w:t>
            </w: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3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0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264"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220" w:right="0"/>
              <w:jc w:val="left"/>
              <w:rPr>
                <w:rFonts w:ascii="宋体" w:hAnsi="宋体" w:cs="宋体" w:eastAsia="宋体" w:hint="default"/>
                <w:sz w:val="13"/>
                <w:szCs w:val="13"/>
              </w:rPr>
            </w:pPr>
            <w:r>
              <w:rPr>
                <w:rFonts w:ascii="宋体" w:hAnsi="宋体" w:cs="宋体" w:eastAsia="宋体" w:hint="default"/>
                <w:sz w:val="13"/>
                <w:szCs w:val="13"/>
              </w:rPr>
              <w:t>本期增加金额</w:t>
            </w:r>
          </w:p>
        </w:tc>
        <w:tc>
          <w:tcPr>
            <w:tcW w:w="11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508" w:lineRule="auto"/>
              <w:ind w:left="374" w:right="117" w:hanging="260"/>
              <w:jc w:val="left"/>
              <w:rPr>
                <w:rFonts w:ascii="宋体" w:hAnsi="宋体" w:cs="宋体" w:eastAsia="宋体" w:hint="default"/>
                <w:sz w:val="13"/>
                <w:szCs w:val="13"/>
              </w:rPr>
            </w:pPr>
            <w:r>
              <w:rPr>
                <w:rFonts w:ascii="宋体" w:hAnsi="宋体" w:cs="宋体" w:eastAsia="宋体" w:hint="default"/>
                <w:sz w:val="13"/>
                <w:szCs w:val="13"/>
              </w:rPr>
              <w:t>本期转入固定资</w:t>
            </w:r>
            <w:r>
              <w:rPr>
                <w:rFonts w:ascii="宋体" w:hAnsi="宋体" w:cs="宋体" w:eastAsia="宋体" w:hint="default"/>
                <w:w w:val="99"/>
                <w:sz w:val="13"/>
                <w:szCs w:val="13"/>
              </w:rPr>
              <w:t> </w:t>
            </w:r>
            <w:r>
              <w:rPr>
                <w:rFonts w:ascii="宋体" w:hAnsi="宋体" w:cs="宋体" w:eastAsia="宋体" w:hint="default"/>
                <w:sz w:val="13"/>
                <w:szCs w:val="13"/>
              </w:rPr>
              <w:t>产金额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508" w:lineRule="auto"/>
              <w:ind w:left="544" w:right="156" w:hanging="389"/>
              <w:jc w:val="left"/>
              <w:rPr>
                <w:rFonts w:ascii="宋体" w:hAnsi="宋体" w:cs="宋体" w:eastAsia="宋体" w:hint="default"/>
                <w:sz w:val="13"/>
                <w:szCs w:val="13"/>
              </w:rPr>
            </w:pPr>
            <w:r>
              <w:rPr>
                <w:rFonts w:ascii="宋体" w:hAnsi="宋体" w:cs="宋体" w:eastAsia="宋体" w:hint="default"/>
                <w:sz w:val="13"/>
                <w:szCs w:val="13"/>
              </w:rPr>
              <w:t>本期其他减少金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350"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firstLine="31"/>
              <w:jc w:val="left"/>
              <w:rPr>
                <w:rFonts w:ascii="宋体" w:hAnsi="宋体" w:cs="宋体" w:eastAsia="宋体" w:hint="default"/>
                <w:sz w:val="13"/>
                <w:szCs w:val="13"/>
              </w:rPr>
            </w:pPr>
            <w:r>
              <w:rPr>
                <w:rFonts w:ascii="宋体" w:hAnsi="宋体" w:cs="宋体" w:eastAsia="宋体" w:hint="default"/>
                <w:sz w:val="13"/>
                <w:szCs w:val="13"/>
              </w:rPr>
              <w:t>工程累计</w:t>
            </w:r>
          </w:p>
          <w:p>
            <w:pPr>
              <w:pStyle w:val="TableParagraph"/>
              <w:spacing w:line="358" w:lineRule="exact" w:before="57"/>
              <w:ind w:left="117" w:right="119" w:firstLine="31"/>
              <w:jc w:val="left"/>
              <w:rPr>
                <w:rFonts w:ascii="Times New Roman" w:hAnsi="Times New Roman" w:cs="Times New Roman" w:eastAsia="Times New Roman" w:hint="default"/>
                <w:sz w:val="13"/>
                <w:szCs w:val="13"/>
              </w:rPr>
            </w:pPr>
            <w:r>
              <w:rPr>
                <w:rFonts w:ascii="宋体" w:hAnsi="宋体" w:cs="宋体" w:eastAsia="宋体" w:hint="default"/>
                <w:sz w:val="13"/>
                <w:szCs w:val="13"/>
              </w:rPr>
              <w:t>投入占预</w:t>
            </w:r>
            <w:r>
              <w:rPr>
                <w:rFonts w:ascii="宋体" w:hAnsi="宋体" w:cs="宋体" w:eastAsia="宋体" w:hint="default"/>
                <w:w w:val="99"/>
                <w:sz w:val="13"/>
                <w:szCs w:val="13"/>
              </w:rPr>
              <w:t> </w:t>
            </w:r>
            <w:r>
              <w:rPr>
                <w:rFonts w:ascii="宋体" w:hAnsi="宋体" w:cs="宋体" w:eastAsia="宋体" w:hint="default"/>
                <w:sz w:val="13"/>
                <w:szCs w:val="13"/>
              </w:rPr>
              <w:t>算比例</w:t>
            </w:r>
            <w:r>
              <w:rPr>
                <w:rFonts w:ascii="Times New Roman" w:hAnsi="Times New Roman" w:cs="Times New Roman" w:eastAsia="Times New Roman" w:hint="default"/>
                <w:sz w:val="13"/>
                <w:szCs w:val="13"/>
              </w:rPr>
              <w:t>(%)</w:t>
            </w:r>
          </w:p>
        </w:tc>
        <w:tc>
          <w:tcPr>
            <w:tcW w:w="6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8"/>
                <w:szCs w:val="8"/>
              </w:rPr>
            </w:pPr>
          </w:p>
          <w:p>
            <w:pPr>
              <w:pStyle w:val="TableParagraph"/>
              <w:spacing w:line="508" w:lineRule="auto"/>
              <w:ind w:left="103" w:right="83" w:firstLine="43"/>
              <w:jc w:val="left"/>
              <w:rPr>
                <w:rFonts w:ascii="宋体" w:hAnsi="宋体" w:cs="宋体" w:eastAsia="宋体" w:hint="default"/>
                <w:sz w:val="13"/>
                <w:szCs w:val="13"/>
              </w:rPr>
            </w:pPr>
            <w:r>
              <w:rPr>
                <w:rFonts w:ascii="宋体" w:hAnsi="宋体" w:cs="宋体" w:eastAsia="宋体" w:hint="default"/>
                <w:sz w:val="13"/>
                <w:szCs w:val="13"/>
              </w:rPr>
              <w:t>工程进</w:t>
            </w:r>
            <w:r>
              <w:rPr>
                <w:rFonts w:ascii="宋体" w:hAnsi="宋体" w:cs="宋体" w:eastAsia="宋体" w:hint="default"/>
                <w:w w:val="99"/>
                <w:sz w:val="13"/>
                <w:szCs w:val="13"/>
              </w:rPr>
              <w:t> </w:t>
            </w:r>
            <w:r>
              <w:rPr>
                <w:rFonts w:ascii="宋体" w:hAnsi="宋体" w:cs="宋体" w:eastAsia="宋体" w:hint="default"/>
                <w:sz w:val="13"/>
                <w:szCs w:val="13"/>
              </w:rPr>
              <w:t>度（</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1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508" w:lineRule="auto"/>
              <w:ind w:left="360" w:right="167" w:hanging="195"/>
              <w:jc w:val="left"/>
              <w:rPr>
                <w:rFonts w:ascii="宋体" w:hAnsi="宋体" w:cs="宋体" w:eastAsia="宋体" w:hint="default"/>
                <w:sz w:val="13"/>
                <w:szCs w:val="13"/>
              </w:rPr>
            </w:pPr>
            <w:r>
              <w:rPr>
                <w:rFonts w:ascii="宋体" w:hAnsi="宋体" w:cs="宋体" w:eastAsia="宋体" w:hint="default"/>
                <w:sz w:val="13"/>
                <w:szCs w:val="13"/>
              </w:rPr>
              <w:t>利息资本化累</w:t>
            </w:r>
            <w:r>
              <w:rPr>
                <w:rFonts w:ascii="宋体" w:hAnsi="宋体" w:cs="宋体" w:eastAsia="宋体" w:hint="default"/>
                <w:w w:val="99"/>
                <w:sz w:val="13"/>
                <w:szCs w:val="13"/>
              </w:rPr>
              <w:t> </w:t>
            </w:r>
            <w:r>
              <w:rPr>
                <w:rFonts w:ascii="宋体" w:hAnsi="宋体" w:cs="宋体" w:eastAsia="宋体" w:hint="default"/>
                <w:sz w:val="13"/>
                <w:szCs w:val="13"/>
              </w:rPr>
              <w:t>计金额</w:t>
            </w:r>
          </w:p>
        </w:tc>
        <w:tc>
          <w:tcPr>
            <w:tcW w:w="10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508" w:lineRule="auto"/>
              <w:ind w:left="215" w:right="103" w:hanging="113"/>
              <w:jc w:val="left"/>
              <w:rPr>
                <w:rFonts w:ascii="宋体" w:hAnsi="宋体" w:cs="宋体" w:eastAsia="宋体" w:hint="default"/>
                <w:sz w:val="13"/>
                <w:szCs w:val="13"/>
              </w:rPr>
            </w:pPr>
            <w:r>
              <w:rPr>
                <w:rFonts w:ascii="宋体" w:hAnsi="宋体" w:cs="宋体" w:eastAsia="宋体" w:hint="default"/>
                <w:spacing w:val="-5"/>
                <w:sz w:val="13"/>
                <w:szCs w:val="13"/>
              </w:rPr>
              <w:t>其中：本期利息</w:t>
            </w:r>
            <w:r>
              <w:rPr>
                <w:rFonts w:ascii="宋体" w:hAnsi="宋体" w:cs="宋体" w:eastAsia="宋体" w:hint="default"/>
                <w:w w:val="99"/>
                <w:sz w:val="13"/>
                <w:szCs w:val="13"/>
              </w:rPr>
              <w:t> </w:t>
            </w:r>
            <w:r>
              <w:rPr>
                <w:rFonts w:ascii="宋体" w:hAnsi="宋体" w:cs="宋体" w:eastAsia="宋体" w:hint="default"/>
                <w:sz w:val="13"/>
                <w:szCs w:val="13"/>
              </w:rPr>
              <w:t>资本化金额</w:t>
            </w:r>
          </w:p>
        </w:tc>
        <w:tc>
          <w:tcPr>
            <w:tcW w:w="8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511" w:lineRule="auto"/>
              <w:ind w:left="143" w:right="146"/>
              <w:jc w:val="center"/>
              <w:rPr>
                <w:rFonts w:ascii="宋体" w:hAnsi="宋体" w:cs="宋体" w:eastAsia="宋体" w:hint="default"/>
                <w:sz w:val="13"/>
                <w:szCs w:val="13"/>
              </w:rPr>
            </w:pPr>
            <w:r>
              <w:rPr>
                <w:rFonts w:ascii="宋体" w:hAnsi="宋体" w:cs="宋体" w:eastAsia="宋体" w:hint="default"/>
                <w:sz w:val="13"/>
                <w:szCs w:val="13"/>
              </w:rPr>
              <w:t>本期利息</w:t>
            </w:r>
            <w:r>
              <w:rPr>
                <w:rFonts w:ascii="宋体" w:hAnsi="宋体" w:cs="宋体" w:eastAsia="宋体" w:hint="default"/>
                <w:w w:val="99"/>
                <w:sz w:val="13"/>
                <w:szCs w:val="13"/>
              </w:rPr>
              <w:t> </w:t>
            </w:r>
            <w:r>
              <w:rPr>
                <w:rFonts w:ascii="宋体" w:hAnsi="宋体" w:cs="宋体" w:eastAsia="宋体" w:hint="default"/>
                <w:sz w:val="13"/>
                <w:szCs w:val="13"/>
              </w:rPr>
              <w:t>资本化率</w:t>
            </w:r>
          </w:p>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sz w:val="13"/>
              </w:rPr>
              <w:t>(%)</w:t>
            </w:r>
          </w:p>
        </w:tc>
        <w:tc>
          <w:tcPr>
            <w:tcW w:w="703"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508" w:lineRule="auto"/>
              <w:ind w:left="283" w:right="156" w:hanging="132"/>
              <w:jc w:val="left"/>
              <w:rPr>
                <w:rFonts w:ascii="宋体" w:hAnsi="宋体" w:cs="宋体" w:eastAsia="宋体" w:hint="default"/>
                <w:sz w:val="13"/>
                <w:szCs w:val="13"/>
              </w:rPr>
            </w:pPr>
            <w:r>
              <w:rPr>
                <w:rFonts w:ascii="宋体" w:hAnsi="宋体" w:cs="宋体" w:eastAsia="宋体" w:hint="default"/>
                <w:sz w:val="13"/>
                <w:szCs w:val="13"/>
              </w:rPr>
              <w:t>资金来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1172"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508" w:lineRule="auto"/>
              <w:ind w:left="122" w:right="91"/>
              <w:jc w:val="left"/>
              <w:rPr>
                <w:rFonts w:ascii="宋体" w:hAnsi="宋体" w:cs="宋体" w:eastAsia="宋体" w:hint="default"/>
                <w:sz w:val="13"/>
                <w:szCs w:val="13"/>
              </w:rPr>
            </w:pPr>
            <w:r>
              <w:rPr>
                <w:rFonts w:ascii="宋体" w:hAnsi="宋体" w:cs="宋体" w:eastAsia="宋体" w:hint="default"/>
                <w:spacing w:val="10"/>
                <w:sz w:val="13"/>
                <w:szCs w:val="13"/>
              </w:rPr>
              <w:t>天津静海市场建</w:t>
            </w:r>
            <w:r>
              <w:rPr>
                <w:rFonts w:ascii="宋体" w:hAnsi="宋体" w:cs="宋体" w:eastAsia="宋体" w:hint="default"/>
                <w:spacing w:val="-53"/>
                <w:sz w:val="13"/>
                <w:szCs w:val="13"/>
              </w:rPr>
              <w:t> </w:t>
            </w:r>
            <w:r>
              <w:rPr>
                <w:rFonts w:ascii="宋体" w:hAnsi="宋体" w:cs="宋体" w:eastAsia="宋体" w:hint="default"/>
                <w:sz w:val="13"/>
                <w:szCs w:val="13"/>
              </w:rPr>
              <w:t>设</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221,145.00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111,360,135.26</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74,635,684.63</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108,514,881.87</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77,480,938.02</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83,808,060.57</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565,139.84</w:t>
            </w:r>
          </w:p>
        </w:tc>
        <w:tc>
          <w:tcPr>
            <w:tcW w:w="8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4.48</w:t>
            </w: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350" w:lineRule="atLeast" w:before="13"/>
              <w:ind w:left="103" w:right="106"/>
              <w:jc w:val="left"/>
              <w:rPr>
                <w:rFonts w:ascii="宋体" w:hAnsi="宋体" w:cs="宋体" w:eastAsia="宋体" w:hint="default"/>
                <w:sz w:val="13"/>
                <w:szCs w:val="13"/>
              </w:rPr>
            </w:pPr>
            <w:r>
              <w:rPr>
                <w:rFonts w:ascii="宋体" w:hAnsi="宋体" w:cs="宋体" w:eastAsia="宋体" w:hint="default"/>
                <w:spacing w:val="-9"/>
                <w:sz w:val="13"/>
                <w:szCs w:val="13"/>
              </w:rPr>
              <w:t>金、外部</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借款</w:t>
            </w:r>
          </w:p>
        </w:tc>
      </w:tr>
      <w:tr>
        <w:trPr>
          <w:trHeight w:val="116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508" w:lineRule="auto"/>
              <w:ind w:left="122" w:right="91"/>
              <w:jc w:val="left"/>
              <w:rPr>
                <w:rFonts w:ascii="宋体" w:hAnsi="宋体" w:cs="宋体" w:eastAsia="宋体" w:hint="default"/>
                <w:sz w:val="13"/>
                <w:szCs w:val="13"/>
              </w:rPr>
            </w:pPr>
            <w:r>
              <w:rPr>
                <w:rFonts w:ascii="宋体" w:hAnsi="宋体" w:cs="宋体" w:eastAsia="宋体" w:hint="default"/>
                <w:spacing w:val="10"/>
                <w:sz w:val="13"/>
                <w:szCs w:val="13"/>
              </w:rPr>
              <w:t>武汉东海吉星农</w:t>
            </w:r>
            <w:r>
              <w:rPr>
                <w:rFonts w:ascii="宋体" w:hAnsi="宋体" w:cs="宋体" w:eastAsia="宋体" w:hint="default"/>
                <w:spacing w:val="-53"/>
                <w:sz w:val="13"/>
                <w:szCs w:val="13"/>
              </w:rPr>
              <w:t> </w:t>
            </w:r>
            <w:r>
              <w:rPr>
                <w:rFonts w:ascii="宋体" w:hAnsi="宋体" w:cs="宋体" w:eastAsia="宋体" w:hint="default"/>
                <w:sz w:val="13"/>
                <w:szCs w:val="13"/>
              </w:rPr>
              <w:t>产品物流园工程</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7,072.10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36,992,721.17</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3,759,782.39</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40,752,503.56</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71.21</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95.00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1,082,123.08</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605,656.83</w:t>
            </w:r>
          </w:p>
        </w:tc>
        <w:tc>
          <w:tcPr>
            <w:tcW w:w="8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4.90</w:t>
            </w: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350" w:lineRule="atLeast" w:before="12"/>
              <w:ind w:left="103" w:right="106"/>
              <w:jc w:val="left"/>
              <w:rPr>
                <w:rFonts w:ascii="宋体" w:hAnsi="宋体" w:cs="宋体" w:eastAsia="宋体" w:hint="default"/>
                <w:sz w:val="13"/>
                <w:szCs w:val="13"/>
              </w:rPr>
            </w:pPr>
            <w:r>
              <w:rPr>
                <w:rFonts w:ascii="宋体" w:hAnsi="宋体" w:cs="宋体" w:eastAsia="宋体" w:hint="default"/>
                <w:spacing w:val="-9"/>
                <w:sz w:val="13"/>
                <w:szCs w:val="13"/>
              </w:rPr>
              <w:t>金、外部</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借款</w:t>
            </w:r>
          </w:p>
        </w:tc>
      </w:tr>
      <w:tr>
        <w:trPr>
          <w:trHeight w:val="1172"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508" w:lineRule="auto"/>
              <w:ind w:left="122" w:right="91"/>
              <w:jc w:val="left"/>
              <w:rPr>
                <w:rFonts w:ascii="宋体" w:hAnsi="宋体" w:cs="宋体" w:eastAsia="宋体" w:hint="default"/>
                <w:sz w:val="13"/>
                <w:szCs w:val="13"/>
              </w:rPr>
            </w:pPr>
            <w:r>
              <w:rPr>
                <w:rFonts w:ascii="宋体" w:hAnsi="宋体" w:cs="宋体" w:eastAsia="宋体" w:hint="default"/>
                <w:spacing w:val="10"/>
                <w:sz w:val="13"/>
                <w:szCs w:val="13"/>
              </w:rPr>
              <w:t>岳阳海吉星市场</w:t>
            </w:r>
            <w:r>
              <w:rPr>
                <w:rFonts w:ascii="宋体" w:hAnsi="宋体" w:cs="宋体" w:eastAsia="宋体" w:hint="default"/>
                <w:spacing w:val="-53"/>
                <w:sz w:val="13"/>
                <w:szCs w:val="13"/>
              </w:rPr>
              <w:t> </w:t>
            </w:r>
            <w:r>
              <w:rPr>
                <w:rFonts w:ascii="宋体" w:hAnsi="宋体" w:cs="宋体" w:eastAsia="宋体" w:hint="default"/>
                <w:sz w:val="13"/>
                <w:szCs w:val="13"/>
              </w:rPr>
              <w:t>建设</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104,000.00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198,079,582.54</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111,268,091.45</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17,038,203.14</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176,662,261.94</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115,647,208.91</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46.00</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90.00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1,468,328.07</w:t>
            </w: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350" w:lineRule="atLeast" w:before="12"/>
              <w:ind w:left="103" w:right="106"/>
              <w:jc w:val="left"/>
              <w:rPr>
                <w:rFonts w:ascii="宋体" w:hAnsi="宋体" w:cs="宋体" w:eastAsia="宋体" w:hint="default"/>
                <w:sz w:val="13"/>
                <w:szCs w:val="13"/>
              </w:rPr>
            </w:pPr>
            <w:r>
              <w:rPr>
                <w:rFonts w:ascii="宋体" w:hAnsi="宋体" w:cs="宋体" w:eastAsia="宋体" w:hint="default"/>
                <w:spacing w:val="-9"/>
                <w:sz w:val="13"/>
                <w:szCs w:val="13"/>
              </w:rPr>
              <w:t>金、外部</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借款</w:t>
            </w:r>
          </w:p>
        </w:tc>
      </w:tr>
      <w:tr>
        <w:trPr>
          <w:trHeight w:val="80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9"/>
              <w:jc w:val="center"/>
              <w:rPr>
                <w:rFonts w:ascii="宋体" w:hAnsi="宋体" w:cs="宋体" w:eastAsia="宋体" w:hint="default"/>
                <w:sz w:val="13"/>
                <w:szCs w:val="13"/>
              </w:rPr>
            </w:pPr>
            <w:r>
              <w:rPr>
                <w:rFonts w:ascii="宋体" w:hAnsi="宋体" w:cs="宋体" w:eastAsia="宋体" w:hint="default"/>
                <w:sz w:val="13"/>
                <w:szCs w:val="13"/>
              </w:rPr>
              <w:t>平湖物流园</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w:t>
            </w:r>
            <w:r>
              <w:rPr>
                <w:rFonts w:ascii="宋体" w:hAnsi="宋体" w:cs="宋体" w:eastAsia="宋体" w:hint="default"/>
                <w:sz w:val="13"/>
                <w:szCs w:val="13"/>
              </w:rPr>
              <w:t>楼</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26,681.35</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70,787.00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2,063,985.19</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2,063,985.19</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70,787.00</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85.45</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11"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53"/>
              <w:jc w:val="center"/>
              <w:rPr>
                <w:rFonts w:ascii="宋体" w:hAnsi="宋体" w:cs="宋体" w:eastAsia="宋体" w:hint="default"/>
                <w:sz w:val="13"/>
                <w:szCs w:val="13"/>
              </w:rPr>
            </w:pPr>
            <w:r>
              <w:rPr>
                <w:rFonts w:ascii="宋体" w:hAnsi="宋体" w:cs="宋体" w:eastAsia="宋体" w:hint="default"/>
                <w:sz w:val="13"/>
                <w:szCs w:val="13"/>
              </w:rPr>
              <w:t>平湖物流园工程</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36,506.51</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10,010,707.33</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46,704,933.97</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12,127,042.20</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44,588,599.10</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116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508" w:lineRule="auto"/>
              <w:ind w:left="122" w:right="91"/>
              <w:jc w:val="left"/>
              <w:rPr>
                <w:rFonts w:ascii="宋体" w:hAnsi="宋体" w:cs="宋体" w:eastAsia="宋体" w:hint="default"/>
                <w:sz w:val="13"/>
                <w:szCs w:val="13"/>
              </w:rPr>
            </w:pPr>
            <w:r>
              <w:rPr>
                <w:rFonts w:ascii="宋体" w:hAnsi="宋体" w:cs="宋体" w:eastAsia="宋体" w:hint="default"/>
                <w:spacing w:val="10"/>
                <w:sz w:val="13"/>
                <w:szCs w:val="13"/>
              </w:rPr>
              <w:t>南方物流市场建</w:t>
            </w:r>
            <w:r>
              <w:rPr>
                <w:rFonts w:ascii="宋体" w:hAnsi="宋体" w:cs="宋体" w:eastAsia="宋体" w:hint="default"/>
                <w:spacing w:val="-53"/>
                <w:sz w:val="13"/>
                <w:szCs w:val="13"/>
              </w:rPr>
              <w:t> </w:t>
            </w:r>
            <w:r>
              <w:rPr>
                <w:rFonts w:ascii="宋体" w:hAnsi="宋体" w:cs="宋体" w:eastAsia="宋体" w:hint="default"/>
                <w:sz w:val="13"/>
                <w:szCs w:val="13"/>
              </w:rPr>
              <w:t>设</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155,429.05</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204,971,119.63</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100,107,465.23</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305,078,584.86</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14.89</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15.00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12,260,738.25</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10,959,890.92</w:t>
            </w:r>
          </w:p>
        </w:tc>
        <w:tc>
          <w:tcPr>
            <w:tcW w:w="8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5.04</w:t>
            </w: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350" w:lineRule="atLeast" w:before="12"/>
              <w:ind w:left="103" w:right="106"/>
              <w:jc w:val="left"/>
              <w:rPr>
                <w:rFonts w:ascii="宋体" w:hAnsi="宋体" w:cs="宋体" w:eastAsia="宋体" w:hint="default"/>
                <w:sz w:val="13"/>
                <w:szCs w:val="13"/>
              </w:rPr>
            </w:pPr>
            <w:r>
              <w:rPr>
                <w:rFonts w:ascii="宋体" w:hAnsi="宋体" w:cs="宋体" w:eastAsia="宋体" w:hint="default"/>
                <w:spacing w:val="-9"/>
                <w:sz w:val="13"/>
                <w:szCs w:val="13"/>
              </w:rPr>
              <w:t>金、外部</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借款</w:t>
            </w:r>
          </w:p>
        </w:tc>
      </w:tr>
      <w:tr>
        <w:trPr>
          <w:trHeight w:val="821" w:hRule="exact"/>
        </w:trPr>
        <w:tc>
          <w:tcPr>
            <w:tcW w:w="1212"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91"/>
              <w:jc w:val="left"/>
              <w:rPr>
                <w:rFonts w:ascii="宋体" w:hAnsi="宋体" w:cs="宋体" w:eastAsia="宋体" w:hint="default"/>
                <w:sz w:val="13"/>
                <w:szCs w:val="13"/>
              </w:rPr>
            </w:pPr>
            <w:r>
              <w:rPr>
                <w:rFonts w:ascii="宋体" w:hAnsi="宋体" w:cs="宋体" w:eastAsia="宋体" w:hint="default"/>
                <w:spacing w:val="10"/>
                <w:sz w:val="13"/>
                <w:szCs w:val="13"/>
              </w:rPr>
              <w:t>南山新家禽市场</w:t>
            </w:r>
            <w:r>
              <w:rPr>
                <w:rFonts w:ascii="宋体" w:hAnsi="宋体" w:cs="宋体" w:eastAsia="宋体" w:hint="default"/>
                <w:spacing w:val="-53"/>
                <w:sz w:val="13"/>
                <w:szCs w:val="13"/>
              </w:rPr>
              <w:t> </w:t>
            </w:r>
            <w:r>
              <w:rPr>
                <w:rFonts w:ascii="宋体" w:hAnsi="宋体" w:cs="宋体" w:eastAsia="宋体" w:hint="default"/>
                <w:sz w:val="13"/>
                <w:szCs w:val="13"/>
              </w:rPr>
              <w:t>项目</w:t>
            </w:r>
          </w:p>
        </w:tc>
        <w:tc>
          <w:tcPr>
            <w:tcW w:w="9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850.00</w:t>
            </w:r>
            <w:r>
              <w:rPr>
                <w:rFonts w:ascii="Times New Roman"/>
                <w:sz w:val="13"/>
              </w:rPr>
            </w:r>
          </w:p>
        </w:tc>
        <w:tc>
          <w:tcPr>
            <w:tcW w:w="10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5,276,825.64</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1,487,440.60</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1,487,440.60</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1,538,339.51</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3,738,486.13</w:t>
            </w:r>
          </w:p>
        </w:tc>
        <w:tc>
          <w:tcPr>
            <w:tcW w:w="831"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121" w:type="dxa"/>
            <w:tcBorders>
              <w:top w:val="dotted" w:sz="4" w:space="0" w:color="000000"/>
              <w:left w:val="dotted" w:sz="4" w:space="0" w:color="000000"/>
              <w:bottom w:val="single" w:sz="12" w:space="0" w:color="000000"/>
              <w:right w:val="dotted" w:sz="4" w:space="0" w:color="000000"/>
            </w:tcBorders>
          </w:tcPr>
          <w:p>
            <w:pPr/>
          </w:p>
        </w:tc>
        <w:tc>
          <w:tcPr>
            <w:tcW w:w="1092" w:type="dxa"/>
            <w:tcBorders>
              <w:top w:val="dotted" w:sz="4" w:space="0" w:color="000000"/>
              <w:left w:val="dotted" w:sz="4" w:space="0" w:color="000000"/>
              <w:bottom w:val="single" w:sz="12" w:space="0" w:color="000000"/>
              <w:right w:val="dotted" w:sz="4" w:space="0" w:color="000000"/>
            </w:tcBorders>
          </w:tcPr>
          <w:p>
            <w:pPr/>
          </w:p>
        </w:tc>
        <w:tc>
          <w:tcPr>
            <w:tcW w:w="821" w:type="dxa"/>
            <w:tcBorders>
              <w:top w:val="dotted" w:sz="4" w:space="0" w:color="000000"/>
              <w:left w:val="dotted" w:sz="4" w:space="0" w:color="000000"/>
              <w:bottom w:val="single" w:sz="12" w:space="0" w:color="000000"/>
              <w:right w:val="dotted" w:sz="4" w:space="0" w:color="000000"/>
            </w:tcBorders>
          </w:tcPr>
          <w:p>
            <w:pPr/>
          </w:p>
        </w:tc>
        <w:tc>
          <w:tcPr>
            <w:tcW w:w="703" w:type="dxa"/>
            <w:tcBorders>
              <w:top w:val="dotted" w:sz="4" w:space="0" w:color="000000"/>
              <w:left w:val="dotted" w:sz="4" w:space="0" w:color="000000"/>
              <w:bottom w:val="single" w:sz="12"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bl>
    <w:p>
      <w:pPr>
        <w:spacing w:after="0" w:line="360" w:lineRule="atLeast"/>
        <w:jc w:val="left"/>
        <w:rPr>
          <w:rFonts w:ascii="宋体" w:hAnsi="宋体" w:cs="宋体" w:eastAsia="宋体" w:hint="default"/>
          <w:sz w:val="13"/>
          <w:szCs w:val="13"/>
        </w:rPr>
        <w:sectPr>
          <w:headerReference w:type="default" r:id="rId110"/>
          <w:footerReference w:type="default" r:id="rId111"/>
          <w:pgSz w:w="16840" w:h="11910" w:orient="landscape"/>
          <w:pgMar w:header="923" w:footer="997" w:top="1140" w:bottom="1180" w:left="1300" w:right="120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853" w:type="dxa"/>
        <w:tblLayout w:type="fixed"/>
        <w:tblCellMar>
          <w:top w:w="0" w:type="dxa"/>
          <w:left w:w="0" w:type="dxa"/>
          <w:bottom w:w="0" w:type="dxa"/>
          <w:right w:w="0" w:type="dxa"/>
        </w:tblCellMar>
        <w:tblLook w:val="01E0"/>
      </w:tblPr>
      <w:tblGrid>
        <w:gridCol w:w="1212"/>
        <w:gridCol w:w="960"/>
        <w:gridCol w:w="1064"/>
        <w:gridCol w:w="1231"/>
        <w:gridCol w:w="1150"/>
        <w:gridCol w:w="1231"/>
        <w:gridCol w:w="1231"/>
        <w:gridCol w:w="831"/>
        <w:gridCol w:w="694"/>
        <w:gridCol w:w="1121"/>
        <w:gridCol w:w="1092"/>
        <w:gridCol w:w="821"/>
        <w:gridCol w:w="703"/>
      </w:tblGrid>
      <w:tr>
        <w:trPr>
          <w:trHeight w:val="1181" w:hRule="exact"/>
        </w:trPr>
        <w:tc>
          <w:tcPr>
            <w:tcW w:w="121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335"/>
              <w:jc w:val="right"/>
              <w:rPr>
                <w:rFonts w:ascii="宋体" w:hAnsi="宋体" w:cs="宋体" w:eastAsia="宋体" w:hint="default"/>
                <w:sz w:val="13"/>
                <w:szCs w:val="13"/>
              </w:rPr>
            </w:pPr>
            <w:r>
              <w:rPr>
                <w:rFonts w:ascii="宋体" w:hAnsi="宋体" w:cs="宋体" w:eastAsia="宋体" w:hint="default"/>
                <w:w w:val="95"/>
                <w:sz w:val="13"/>
                <w:szCs w:val="13"/>
              </w:rPr>
              <w:t>项目名称</w:t>
            </w:r>
            <w:r>
              <w:rPr>
                <w:rFonts w:ascii="宋体" w:hAnsi="宋体" w:cs="宋体" w:eastAsia="宋体" w:hint="default"/>
                <w:sz w:val="13"/>
                <w:szCs w:val="13"/>
              </w:rPr>
            </w:r>
          </w:p>
        </w:tc>
        <w:tc>
          <w:tcPr>
            <w:tcW w:w="9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0"/>
              <w:ind w:left="278" w:right="0"/>
              <w:jc w:val="left"/>
              <w:rPr>
                <w:rFonts w:ascii="宋体" w:hAnsi="宋体" w:cs="宋体" w:eastAsia="宋体" w:hint="default"/>
                <w:sz w:val="13"/>
                <w:szCs w:val="13"/>
              </w:rPr>
            </w:pPr>
            <w:r>
              <w:rPr>
                <w:rFonts w:ascii="宋体" w:hAnsi="宋体" w:cs="宋体" w:eastAsia="宋体" w:hint="default"/>
                <w:sz w:val="13"/>
                <w:szCs w:val="13"/>
              </w:rPr>
              <w:t>预算数</w:t>
            </w: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0"/>
              <w:ind w:left="3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0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64"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20" w:right="0"/>
              <w:jc w:val="left"/>
              <w:rPr>
                <w:rFonts w:ascii="宋体" w:hAnsi="宋体" w:cs="宋体" w:eastAsia="宋体" w:hint="default"/>
                <w:sz w:val="13"/>
                <w:szCs w:val="13"/>
              </w:rPr>
            </w:pPr>
            <w:r>
              <w:rPr>
                <w:rFonts w:ascii="宋体" w:hAnsi="宋体" w:cs="宋体" w:eastAsia="宋体" w:hint="default"/>
                <w:sz w:val="13"/>
                <w:szCs w:val="13"/>
              </w:rPr>
              <w:t>本期增加金额</w:t>
            </w:r>
          </w:p>
        </w:tc>
        <w:tc>
          <w:tcPr>
            <w:tcW w:w="11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374" w:right="117" w:hanging="260"/>
              <w:jc w:val="left"/>
              <w:rPr>
                <w:rFonts w:ascii="宋体" w:hAnsi="宋体" w:cs="宋体" w:eastAsia="宋体" w:hint="default"/>
                <w:sz w:val="13"/>
                <w:szCs w:val="13"/>
              </w:rPr>
            </w:pPr>
            <w:r>
              <w:rPr>
                <w:rFonts w:ascii="宋体" w:hAnsi="宋体" w:cs="宋体" w:eastAsia="宋体" w:hint="default"/>
                <w:sz w:val="13"/>
                <w:szCs w:val="13"/>
              </w:rPr>
              <w:t>本期转入固定资</w:t>
            </w:r>
            <w:r>
              <w:rPr>
                <w:rFonts w:ascii="宋体" w:hAnsi="宋体" w:cs="宋体" w:eastAsia="宋体" w:hint="default"/>
                <w:w w:val="99"/>
                <w:sz w:val="13"/>
                <w:szCs w:val="13"/>
              </w:rPr>
              <w:t> </w:t>
            </w:r>
            <w:r>
              <w:rPr>
                <w:rFonts w:ascii="宋体" w:hAnsi="宋体" w:cs="宋体" w:eastAsia="宋体" w:hint="default"/>
                <w:sz w:val="13"/>
                <w:szCs w:val="13"/>
              </w:rPr>
              <w:t>产金额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544" w:right="156" w:hanging="389"/>
              <w:jc w:val="left"/>
              <w:rPr>
                <w:rFonts w:ascii="宋体" w:hAnsi="宋体" w:cs="宋体" w:eastAsia="宋体" w:hint="default"/>
                <w:sz w:val="13"/>
                <w:szCs w:val="13"/>
              </w:rPr>
            </w:pPr>
            <w:r>
              <w:rPr>
                <w:rFonts w:ascii="宋体" w:hAnsi="宋体" w:cs="宋体" w:eastAsia="宋体" w:hint="default"/>
                <w:sz w:val="13"/>
                <w:szCs w:val="13"/>
              </w:rPr>
              <w:t>本期其他减少金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50"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7" w:right="0" w:firstLine="31"/>
              <w:jc w:val="left"/>
              <w:rPr>
                <w:rFonts w:ascii="宋体" w:hAnsi="宋体" w:cs="宋体" w:eastAsia="宋体" w:hint="default"/>
                <w:sz w:val="13"/>
                <w:szCs w:val="13"/>
              </w:rPr>
            </w:pPr>
            <w:r>
              <w:rPr>
                <w:rFonts w:ascii="宋体" w:hAnsi="宋体" w:cs="宋体" w:eastAsia="宋体" w:hint="default"/>
                <w:sz w:val="13"/>
                <w:szCs w:val="13"/>
              </w:rPr>
              <w:t>工程累计</w:t>
            </w:r>
          </w:p>
          <w:p>
            <w:pPr>
              <w:pStyle w:val="TableParagraph"/>
              <w:spacing w:line="358" w:lineRule="exact" w:before="57"/>
              <w:ind w:left="117" w:right="119" w:firstLine="31"/>
              <w:jc w:val="left"/>
              <w:rPr>
                <w:rFonts w:ascii="Times New Roman" w:hAnsi="Times New Roman" w:cs="Times New Roman" w:eastAsia="Times New Roman" w:hint="default"/>
                <w:sz w:val="13"/>
                <w:szCs w:val="13"/>
              </w:rPr>
            </w:pPr>
            <w:r>
              <w:rPr>
                <w:rFonts w:ascii="宋体" w:hAnsi="宋体" w:cs="宋体" w:eastAsia="宋体" w:hint="default"/>
                <w:sz w:val="13"/>
                <w:szCs w:val="13"/>
              </w:rPr>
              <w:t>投入占预</w:t>
            </w:r>
            <w:r>
              <w:rPr>
                <w:rFonts w:ascii="宋体" w:hAnsi="宋体" w:cs="宋体" w:eastAsia="宋体" w:hint="default"/>
                <w:w w:val="99"/>
                <w:sz w:val="13"/>
                <w:szCs w:val="13"/>
              </w:rPr>
              <w:t> </w:t>
            </w:r>
            <w:r>
              <w:rPr>
                <w:rFonts w:ascii="宋体" w:hAnsi="宋体" w:cs="宋体" w:eastAsia="宋体" w:hint="default"/>
                <w:sz w:val="13"/>
                <w:szCs w:val="13"/>
              </w:rPr>
              <w:t>算比例</w:t>
            </w:r>
            <w:r>
              <w:rPr>
                <w:rFonts w:ascii="Times New Roman" w:hAnsi="Times New Roman" w:cs="Times New Roman" w:eastAsia="Times New Roman" w:hint="default"/>
                <w:sz w:val="13"/>
                <w:szCs w:val="13"/>
              </w:rPr>
              <w:t>(%)</w:t>
            </w:r>
          </w:p>
        </w:tc>
        <w:tc>
          <w:tcPr>
            <w:tcW w:w="6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508" w:lineRule="auto"/>
              <w:ind w:left="103" w:right="83" w:firstLine="43"/>
              <w:jc w:val="left"/>
              <w:rPr>
                <w:rFonts w:ascii="宋体" w:hAnsi="宋体" w:cs="宋体" w:eastAsia="宋体" w:hint="default"/>
                <w:sz w:val="13"/>
                <w:szCs w:val="13"/>
              </w:rPr>
            </w:pPr>
            <w:r>
              <w:rPr>
                <w:rFonts w:ascii="宋体" w:hAnsi="宋体" w:cs="宋体" w:eastAsia="宋体" w:hint="default"/>
                <w:sz w:val="13"/>
                <w:szCs w:val="13"/>
              </w:rPr>
              <w:t>工程进</w:t>
            </w:r>
            <w:r>
              <w:rPr>
                <w:rFonts w:ascii="宋体" w:hAnsi="宋体" w:cs="宋体" w:eastAsia="宋体" w:hint="default"/>
                <w:w w:val="99"/>
                <w:sz w:val="13"/>
                <w:szCs w:val="13"/>
              </w:rPr>
              <w:t> </w:t>
            </w:r>
            <w:r>
              <w:rPr>
                <w:rFonts w:ascii="宋体" w:hAnsi="宋体" w:cs="宋体" w:eastAsia="宋体" w:hint="default"/>
                <w:sz w:val="13"/>
                <w:szCs w:val="13"/>
              </w:rPr>
              <w:t>度（</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1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360" w:right="167" w:hanging="195"/>
              <w:jc w:val="left"/>
              <w:rPr>
                <w:rFonts w:ascii="宋体" w:hAnsi="宋体" w:cs="宋体" w:eastAsia="宋体" w:hint="default"/>
                <w:sz w:val="13"/>
                <w:szCs w:val="13"/>
              </w:rPr>
            </w:pPr>
            <w:r>
              <w:rPr>
                <w:rFonts w:ascii="宋体" w:hAnsi="宋体" w:cs="宋体" w:eastAsia="宋体" w:hint="default"/>
                <w:sz w:val="13"/>
                <w:szCs w:val="13"/>
              </w:rPr>
              <w:t>利息资本化累</w:t>
            </w:r>
            <w:r>
              <w:rPr>
                <w:rFonts w:ascii="宋体" w:hAnsi="宋体" w:cs="宋体" w:eastAsia="宋体" w:hint="default"/>
                <w:w w:val="99"/>
                <w:sz w:val="13"/>
                <w:szCs w:val="13"/>
              </w:rPr>
              <w:t> </w:t>
            </w:r>
            <w:r>
              <w:rPr>
                <w:rFonts w:ascii="宋体" w:hAnsi="宋体" w:cs="宋体" w:eastAsia="宋体" w:hint="default"/>
                <w:sz w:val="13"/>
                <w:szCs w:val="13"/>
              </w:rPr>
              <w:t>计金额</w:t>
            </w:r>
          </w:p>
        </w:tc>
        <w:tc>
          <w:tcPr>
            <w:tcW w:w="10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215" w:right="103" w:hanging="113"/>
              <w:jc w:val="left"/>
              <w:rPr>
                <w:rFonts w:ascii="宋体" w:hAnsi="宋体" w:cs="宋体" w:eastAsia="宋体" w:hint="default"/>
                <w:sz w:val="13"/>
                <w:szCs w:val="13"/>
              </w:rPr>
            </w:pPr>
            <w:r>
              <w:rPr>
                <w:rFonts w:ascii="宋体" w:hAnsi="宋体" w:cs="宋体" w:eastAsia="宋体" w:hint="default"/>
                <w:spacing w:val="-5"/>
                <w:sz w:val="13"/>
                <w:szCs w:val="13"/>
              </w:rPr>
              <w:t>其中：本期利息</w:t>
            </w:r>
            <w:r>
              <w:rPr>
                <w:rFonts w:ascii="宋体" w:hAnsi="宋体" w:cs="宋体" w:eastAsia="宋体" w:hint="default"/>
                <w:w w:val="99"/>
                <w:sz w:val="13"/>
                <w:szCs w:val="13"/>
              </w:rPr>
              <w:t> </w:t>
            </w:r>
            <w:r>
              <w:rPr>
                <w:rFonts w:ascii="宋体" w:hAnsi="宋体" w:cs="宋体" w:eastAsia="宋体" w:hint="default"/>
                <w:sz w:val="13"/>
                <w:szCs w:val="13"/>
              </w:rPr>
              <w:t>资本化金额</w:t>
            </w:r>
          </w:p>
        </w:tc>
        <w:tc>
          <w:tcPr>
            <w:tcW w:w="8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511" w:lineRule="auto"/>
              <w:ind w:left="143" w:right="146"/>
              <w:jc w:val="center"/>
              <w:rPr>
                <w:rFonts w:ascii="宋体" w:hAnsi="宋体" w:cs="宋体" w:eastAsia="宋体" w:hint="default"/>
                <w:sz w:val="13"/>
                <w:szCs w:val="13"/>
              </w:rPr>
            </w:pPr>
            <w:r>
              <w:rPr>
                <w:rFonts w:ascii="宋体" w:hAnsi="宋体" w:cs="宋体" w:eastAsia="宋体" w:hint="default"/>
                <w:sz w:val="13"/>
                <w:szCs w:val="13"/>
              </w:rPr>
              <w:t>本期利息</w:t>
            </w:r>
            <w:r>
              <w:rPr>
                <w:rFonts w:ascii="宋体" w:hAnsi="宋体" w:cs="宋体" w:eastAsia="宋体" w:hint="default"/>
                <w:w w:val="99"/>
                <w:sz w:val="13"/>
                <w:szCs w:val="13"/>
              </w:rPr>
              <w:t> </w:t>
            </w:r>
            <w:r>
              <w:rPr>
                <w:rFonts w:ascii="宋体" w:hAnsi="宋体" w:cs="宋体" w:eastAsia="宋体" w:hint="default"/>
                <w:sz w:val="13"/>
                <w:szCs w:val="13"/>
              </w:rPr>
              <w:t>资本化率</w:t>
            </w:r>
          </w:p>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sz w:val="13"/>
              </w:rPr>
              <w:t>(%)</w:t>
            </w:r>
          </w:p>
        </w:tc>
        <w:tc>
          <w:tcPr>
            <w:tcW w:w="703"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283" w:right="156" w:hanging="132"/>
              <w:jc w:val="left"/>
              <w:rPr>
                <w:rFonts w:ascii="宋体" w:hAnsi="宋体" w:cs="宋体" w:eastAsia="宋体" w:hint="default"/>
                <w:sz w:val="13"/>
                <w:szCs w:val="13"/>
              </w:rPr>
            </w:pPr>
            <w:r>
              <w:rPr>
                <w:rFonts w:ascii="宋体" w:hAnsi="宋体" w:cs="宋体" w:eastAsia="宋体" w:hint="default"/>
                <w:sz w:val="13"/>
                <w:szCs w:val="13"/>
              </w:rPr>
              <w:t>资金来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80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91"/>
              <w:jc w:val="left"/>
              <w:rPr>
                <w:rFonts w:ascii="宋体" w:hAnsi="宋体" w:cs="宋体" w:eastAsia="宋体" w:hint="default"/>
                <w:sz w:val="13"/>
                <w:szCs w:val="13"/>
              </w:rPr>
            </w:pPr>
            <w:r>
              <w:rPr>
                <w:rFonts w:ascii="宋体" w:hAnsi="宋体" w:cs="宋体" w:eastAsia="宋体" w:hint="default"/>
                <w:spacing w:val="10"/>
                <w:sz w:val="13"/>
                <w:szCs w:val="13"/>
              </w:rPr>
              <w:t>云南东盟国际物</w:t>
            </w:r>
            <w:r>
              <w:rPr>
                <w:rFonts w:ascii="宋体" w:hAnsi="宋体" w:cs="宋体" w:eastAsia="宋体" w:hint="default"/>
                <w:spacing w:val="-53"/>
                <w:sz w:val="13"/>
                <w:szCs w:val="13"/>
              </w:rPr>
              <w:t> </w:t>
            </w:r>
            <w:r>
              <w:rPr>
                <w:rFonts w:ascii="宋体" w:hAnsi="宋体" w:cs="宋体" w:eastAsia="宋体" w:hint="default"/>
                <w:sz w:val="13"/>
                <w:szCs w:val="13"/>
              </w:rPr>
              <w:t>流园</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10,000.00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55,974,546.50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2,686,495.58</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z w:val="13"/>
              </w:rPr>
              <w:t>58,661,042.08</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5.87</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0.85</w:t>
            </w: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50" w:lineRule="atLeast" w:before="2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1172"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305"/>
              <w:jc w:val="right"/>
              <w:rPr>
                <w:rFonts w:ascii="宋体" w:hAnsi="宋体" w:cs="宋体" w:eastAsia="宋体" w:hint="default"/>
                <w:sz w:val="13"/>
                <w:szCs w:val="13"/>
              </w:rPr>
            </w:pPr>
            <w:r>
              <w:rPr>
                <w:rFonts w:ascii="宋体" w:hAnsi="宋体" w:cs="宋体" w:eastAsia="宋体" w:hint="default"/>
                <w:w w:val="95"/>
                <w:sz w:val="13"/>
                <w:szCs w:val="13"/>
              </w:rPr>
              <w:t>长春市场工程</w:t>
            </w:r>
            <w:r>
              <w:rPr>
                <w:rFonts w:ascii="宋体" w:hAnsi="宋体" w:cs="宋体" w:eastAsia="宋体" w:hint="default"/>
                <w:sz w:val="13"/>
                <w:szCs w:val="13"/>
              </w:rPr>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67,762.00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176,357,688.67</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19,341,239.27</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195,698,927.94</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4,205,396.71</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97" w:right="0"/>
              <w:jc w:val="left"/>
              <w:rPr>
                <w:rFonts w:ascii="Times New Roman" w:hAnsi="Times New Roman" w:cs="Times New Roman" w:eastAsia="Times New Roman" w:hint="default"/>
                <w:sz w:val="13"/>
                <w:szCs w:val="13"/>
              </w:rPr>
            </w:pPr>
            <w:r>
              <w:rPr>
                <w:rFonts w:ascii="Times New Roman"/>
                <w:sz w:val="13"/>
              </w:rPr>
              <w:t>1,975,819.23</w:t>
            </w:r>
          </w:p>
        </w:tc>
        <w:tc>
          <w:tcPr>
            <w:tcW w:w="8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80" w:right="0"/>
              <w:jc w:val="left"/>
              <w:rPr>
                <w:rFonts w:ascii="Times New Roman" w:hAnsi="Times New Roman" w:cs="Times New Roman" w:eastAsia="Times New Roman" w:hint="default"/>
                <w:sz w:val="13"/>
                <w:szCs w:val="13"/>
              </w:rPr>
            </w:pPr>
            <w:r>
              <w:rPr>
                <w:rFonts w:ascii="Times New Roman"/>
                <w:sz w:val="13"/>
              </w:rPr>
              <w:t>4.90</w:t>
            </w: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350" w:lineRule="atLeast" w:before="12"/>
              <w:ind w:left="103" w:right="106"/>
              <w:jc w:val="left"/>
              <w:rPr>
                <w:rFonts w:ascii="宋体" w:hAnsi="宋体" w:cs="宋体" w:eastAsia="宋体" w:hint="default"/>
                <w:sz w:val="13"/>
                <w:szCs w:val="13"/>
              </w:rPr>
            </w:pPr>
            <w:r>
              <w:rPr>
                <w:rFonts w:ascii="宋体" w:hAnsi="宋体" w:cs="宋体" w:eastAsia="宋体" w:hint="default"/>
                <w:spacing w:val="-9"/>
                <w:sz w:val="13"/>
                <w:szCs w:val="13"/>
              </w:rPr>
              <w:t>金、外部</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借款</w:t>
            </w:r>
          </w:p>
        </w:tc>
      </w:tr>
      <w:tr>
        <w:trPr>
          <w:trHeight w:val="116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305"/>
              <w:jc w:val="right"/>
              <w:rPr>
                <w:rFonts w:ascii="宋体" w:hAnsi="宋体" w:cs="宋体" w:eastAsia="宋体" w:hint="default"/>
                <w:sz w:val="13"/>
                <w:szCs w:val="13"/>
              </w:rPr>
            </w:pPr>
            <w:r>
              <w:rPr>
                <w:rFonts w:ascii="宋体" w:hAnsi="宋体" w:cs="宋体" w:eastAsia="宋体" w:hint="default"/>
                <w:w w:val="95"/>
                <w:sz w:val="13"/>
                <w:szCs w:val="13"/>
              </w:rPr>
              <w:t>长沙市场工程</w:t>
            </w:r>
            <w:r>
              <w:rPr>
                <w:rFonts w:ascii="宋体" w:hAnsi="宋体" w:cs="宋体" w:eastAsia="宋体" w:hint="default"/>
                <w:sz w:val="13"/>
                <w:szCs w:val="13"/>
              </w:rPr>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69,733.00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10,362,474.22</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13,455,479.93</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10,245,641.24</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1,625,699.60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11,946,613.31</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72.96</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93.00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10,968,180.59</w:t>
            </w: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350" w:lineRule="atLeast" w:before="10"/>
              <w:ind w:left="103" w:right="106"/>
              <w:jc w:val="left"/>
              <w:rPr>
                <w:rFonts w:ascii="宋体" w:hAnsi="宋体" w:cs="宋体" w:eastAsia="宋体" w:hint="default"/>
                <w:sz w:val="13"/>
                <w:szCs w:val="13"/>
              </w:rPr>
            </w:pPr>
            <w:r>
              <w:rPr>
                <w:rFonts w:ascii="宋体" w:hAnsi="宋体" w:cs="宋体" w:eastAsia="宋体" w:hint="default"/>
                <w:spacing w:val="-9"/>
                <w:sz w:val="13"/>
                <w:szCs w:val="13"/>
              </w:rPr>
              <w:t>金、外部</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借款</w:t>
            </w:r>
          </w:p>
        </w:tc>
      </w:tr>
      <w:tr>
        <w:trPr>
          <w:trHeight w:val="812"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305"/>
              <w:jc w:val="right"/>
              <w:rPr>
                <w:rFonts w:ascii="宋体" w:hAnsi="宋体" w:cs="宋体" w:eastAsia="宋体" w:hint="default"/>
                <w:sz w:val="13"/>
                <w:szCs w:val="13"/>
              </w:rPr>
            </w:pPr>
            <w:r>
              <w:rPr>
                <w:rFonts w:ascii="宋体" w:hAnsi="宋体" w:cs="宋体" w:eastAsia="宋体" w:hint="default"/>
                <w:w w:val="95"/>
                <w:sz w:val="13"/>
                <w:szCs w:val="13"/>
              </w:rPr>
              <w:t>南昌市场建设</w:t>
            </w:r>
            <w:r>
              <w:rPr>
                <w:rFonts w:ascii="宋体" w:hAnsi="宋体" w:cs="宋体" w:eastAsia="宋体" w:hint="default"/>
                <w:sz w:val="13"/>
                <w:szCs w:val="13"/>
              </w:rPr>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46,498.46</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183,850.70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8,496,671.04</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8,525,868.18</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154,653.56</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0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305"/>
              <w:jc w:val="right"/>
              <w:rPr>
                <w:rFonts w:ascii="宋体" w:hAnsi="宋体" w:cs="宋体" w:eastAsia="宋体" w:hint="default"/>
                <w:sz w:val="13"/>
                <w:szCs w:val="13"/>
              </w:rPr>
            </w:pPr>
            <w:r>
              <w:rPr>
                <w:rFonts w:ascii="宋体" w:hAnsi="宋体" w:cs="宋体" w:eastAsia="宋体" w:hint="default"/>
                <w:w w:val="95"/>
                <w:sz w:val="13"/>
                <w:szCs w:val="13"/>
              </w:rPr>
              <w:t>九江市场工程</w:t>
            </w:r>
            <w:r>
              <w:rPr>
                <w:rFonts w:ascii="宋体" w:hAnsi="宋体" w:cs="宋体" w:eastAsia="宋体" w:hint="default"/>
                <w:sz w:val="13"/>
                <w:szCs w:val="13"/>
              </w:rPr>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8,000.00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2,824,374.50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1,254,085.30</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0.00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685,458.70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3,393,001.10</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98.00</w:t>
            </w: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50" w:lineRule="atLeast" w:before="2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11"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1"/>
              <w:jc w:val="left"/>
              <w:rPr>
                <w:rFonts w:ascii="宋体" w:hAnsi="宋体" w:cs="宋体" w:eastAsia="宋体" w:hint="default"/>
                <w:sz w:val="13"/>
                <w:szCs w:val="13"/>
              </w:rPr>
            </w:pPr>
            <w:r>
              <w:rPr>
                <w:rFonts w:ascii="宋体" w:hAnsi="宋体" w:cs="宋体" w:eastAsia="宋体" w:hint="default"/>
                <w:spacing w:val="10"/>
                <w:sz w:val="13"/>
                <w:szCs w:val="13"/>
              </w:rPr>
              <w:t>上海农批市场建</w:t>
            </w:r>
            <w:r>
              <w:rPr>
                <w:rFonts w:ascii="宋体" w:hAnsi="宋体" w:cs="宋体" w:eastAsia="宋体" w:hint="default"/>
                <w:spacing w:val="-53"/>
                <w:sz w:val="13"/>
                <w:szCs w:val="13"/>
              </w:rPr>
              <w:t> </w:t>
            </w:r>
            <w:r>
              <w:rPr>
                <w:rFonts w:ascii="宋体" w:hAnsi="宋体" w:cs="宋体" w:eastAsia="宋体" w:hint="default"/>
                <w:sz w:val="13"/>
                <w:szCs w:val="13"/>
              </w:rPr>
              <w:t>设</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56,480.40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139,658,283.44</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9,519,555.17</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4,700,243.89</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144,477,594.72</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0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91"/>
              <w:jc w:val="left"/>
              <w:rPr>
                <w:rFonts w:ascii="宋体" w:hAnsi="宋体" w:cs="宋体" w:eastAsia="宋体" w:hint="default"/>
                <w:sz w:val="13"/>
                <w:szCs w:val="13"/>
              </w:rPr>
            </w:pPr>
            <w:r>
              <w:rPr>
                <w:rFonts w:ascii="宋体" w:hAnsi="宋体" w:cs="宋体" w:eastAsia="宋体" w:hint="default"/>
                <w:spacing w:val="10"/>
                <w:sz w:val="13"/>
                <w:szCs w:val="13"/>
              </w:rPr>
              <w:t>成都海吉星市场</w:t>
            </w:r>
            <w:r>
              <w:rPr>
                <w:rFonts w:ascii="宋体" w:hAnsi="宋体" w:cs="宋体" w:eastAsia="宋体" w:hint="default"/>
                <w:spacing w:val="-53"/>
                <w:sz w:val="13"/>
                <w:szCs w:val="13"/>
              </w:rPr>
              <w:t> </w:t>
            </w:r>
            <w:r>
              <w:rPr>
                <w:rFonts w:ascii="宋体" w:hAnsi="宋体" w:cs="宋体" w:eastAsia="宋体" w:hint="default"/>
                <w:sz w:val="13"/>
                <w:szCs w:val="13"/>
              </w:rPr>
              <w:t>建设</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3,194.00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978,893.60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2,276,539.91</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884,684.35</w:t>
            </w:r>
          </w:p>
        </w:tc>
        <w:tc>
          <w:tcPr>
            <w:tcW w:w="1231"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2,370,749.16</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50" w:lineRule="atLeast" w:before="2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21" w:hRule="exact"/>
        </w:trPr>
        <w:tc>
          <w:tcPr>
            <w:tcW w:w="1212"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91"/>
              <w:jc w:val="left"/>
              <w:rPr>
                <w:rFonts w:ascii="宋体" w:hAnsi="宋体" w:cs="宋体" w:eastAsia="宋体" w:hint="default"/>
                <w:sz w:val="13"/>
                <w:szCs w:val="13"/>
              </w:rPr>
            </w:pPr>
            <w:r>
              <w:rPr>
                <w:rFonts w:ascii="宋体" w:hAnsi="宋体" w:cs="宋体" w:eastAsia="宋体" w:hint="default"/>
                <w:spacing w:val="10"/>
                <w:sz w:val="13"/>
                <w:szCs w:val="13"/>
              </w:rPr>
              <w:t>广西海吉星市场</w:t>
            </w:r>
            <w:r>
              <w:rPr>
                <w:rFonts w:ascii="宋体" w:hAnsi="宋体" w:cs="宋体" w:eastAsia="宋体" w:hint="default"/>
                <w:spacing w:val="-53"/>
                <w:sz w:val="13"/>
                <w:szCs w:val="13"/>
              </w:rPr>
              <w:t> </w:t>
            </w:r>
            <w:r>
              <w:rPr>
                <w:rFonts w:ascii="宋体" w:hAnsi="宋体" w:cs="宋体" w:eastAsia="宋体" w:hint="default"/>
                <w:sz w:val="13"/>
                <w:szCs w:val="13"/>
              </w:rPr>
              <w:t>建设</w:t>
            </w:r>
          </w:p>
        </w:tc>
        <w:tc>
          <w:tcPr>
            <w:tcW w:w="9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97,276.19</w:t>
            </w:r>
          </w:p>
        </w:tc>
        <w:tc>
          <w:tcPr>
            <w:tcW w:w="10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30,163,346.50</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8,429,141.14</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19,065,730.74</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1,030,664.11</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18,496,092.79</w:t>
            </w:r>
          </w:p>
        </w:tc>
        <w:tc>
          <w:tcPr>
            <w:tcW w:w="831"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121" w:type="dxa"/>
            <w:tcBorders>
              <w:top w:val="dotted" w:sz="4" w:space="0" w:color="000000"/>
              <w:left w:val="dotted" w:sz="4" w:space="0" w:color="000000"/>
              <w:bottom w:val="single" w:sz="12" w:space="0" w:color="000000"/>
              <w:right w:val="dotted" w:sz="4" w:space="0" w:color="000000"/>
            </w:tcBorders>
          </w:tcPr>
          <w:p>
            <w:pPr/>
          </w:p>
        </w:tc>
        <w:tc>
          <w:tcPr>
            <w:tcW w:w="1092" w:type="dxa"/>
            <w:tcBorders>
              <w:top w:val="dotted" w:sz="4" w:space="0" w:color="000000"/>
              <w:left w:val="dotted" w:sz="4" w:space="0" w:color="000000"/>
              <w:bottom w:val="single" w:sz="12" w:space="0" w:color="000000"/>
              <w:right w:val="dotted" w:sz="4" w:space="0" w:color="000000"/>
            </w:tcBorders>
          </w:tcPr>
          <w:p>
            <w:pPr/>
          </w:p>
        </w:tc>
        <w:tc>
          <w:tcPr>
            <w:tcW w:w="821" w:type="dxa"/>
            <w:tcBorders>
              <w:top w:val="dotted" w:sz="4" w:space="0" w:color="000000"/>
              <w:left w:val="dotted" w:sz="4" w:space="0" w:color="000000"/>
              <w:bottom w:val="single" w:sz="12" w:space="0" w:color="000000"/>
              <w:right w:val="dotted" w:sz="4" w:space="0" w:color="000000"/>
            </w:tcBorders>
          </w:tcPr>
          <w:p>
            <w:pPr/>
          </w:p>
        </w:tc>
        <w:tc>
          <w:tcPr>
            <w:tcW w:w="703" w:type="dxa"/>
            <w:tcBorders>
              <w:top w:val="dotted" w:sz="4" w:space="0" w:color="000000"/>
              <w:left w:val="dotted" w:sz="4" w:space="0" w:color="000000"/>
              <w:bottom w:val="single" w:sz="12"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bl>
    <w:p>
      <w:pPr>
        <w:spacing w:after="0" w:line="360" w:lineRule="atLeast"/>
        <w:jc w:val="left"/>
        <w:rPr>
          <w:rFonts w:ascii="宋体" w:hAnsi="宋体" w:cs="宋体" w:eastAsia="宋体" w:hint="default"/>
          <w:sz w:val="13"/>
          <w:szCs w:val="13"/>
        </w:rPr>
        <w:sectPr>
          <w:pgSz w:w="16840" w:h="11910" w:orient="landscape"/>
          <w:pgMar w:header="923" w:footer="997" w:top="114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853" w:type="dxa"/>
        <w:tblLayout w:type="fixed"/>
        <w:tblCellMar>
          <w:top w:w="0" w:type="dxa"/>
          <w:left w:w="0" w:type="dxa"/>
          <w:bottom w:w="0" w:type="dxa"/>
          <w:right w:w="0" w:type="dxa"/>
        </w:tblCellMar>
        <w:tblLook w:val="01E0"/>
      </w:tblPr>
      <w:tblGrid>
        <w:gridCol w:w="1212"/>
        <w:gridCol w:w="960"/>
        <w:gridCol w:w="1064"/>
        <w:gridCol w:w="1231"/>
        <w:gridCol w:w="1150"/>
        <w:gridCol w:w="1231"/>
        <w:gridCol w:w="1231"/>
        <w:gridCol w:w="831"/>
        <w:gridCol w:w="694"/>
        <w:gridCol w:w="1121"/>
        <w:gridCol w:w="1092"/>
        <w:gridCol w:w="821"/>
        <w:gridCol w:w="703"/>
      </w:tblGrid>
      <w:tr>
        <w:trPr>
          <w:trHeight w:val="1181" w:hRule="exact"/>
        </w:trPr>
        <w:tc>
          <w:tcPr>
            <w:tcW w:w="121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项目名称</w:t>
            </w:r>
          </w:p>
        </w:tc>
        <w:tc>
          <w:tcPr>
            <w:tcW w:w="9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0"/>
              <w:ind w:left="278" w:right="0"/>
              <w:jc w:val="left"/>
              <w:rPr>
                <w:rFonts w:ascii="宋体" w:hAnsi="宋体" w:cs="宋体" w:eastAsia="宋体" w:hint="default"/>
                <w:sz w:val="13"/>
                <w:szCs w:val="13"/>
              </w:rPr>
            </w:pPr>
            <w:r>
              <w:rPr>
                <w:rFonts w:ascii="宋体" w:hAnsi="宋体" w:cs="宋体" w:eastAsia="宋体" w:hint="default"/>
                <w:sz w:val="13"/>
                <w:szCs w:val="13"/>
              </w:rPr>
              <w:t>预算数</w:t>
            </w: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0"/>
              <w:ind w:left="3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0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年初余额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20" w:right="0"/>
              <w:jc w:val="left"/>
              <w:rPr>
                <w:rFonts w:ascii="宋体" w:hAnsi="宋体" w:cs="宋体" w:eastAsia="宋体" w:hint="default"/>
                <w:sz w:val="13"/>
                <w:szCs w:val="13"/>
              </w:rPr>
            </w:pPr>
            <w:r>
              <w:rPr>
                <w:rFonts w:ascii="宋体" w:hAnsi="宋体" w:cs="宋体" w:eastAsia="宋体" w:hint="default"/>
                <w:sz w:val="13"/>
                <w:szCs w:val="13"/>
              </w:rPr>
              <w:t>本期增加金额</w:t>
            </w:r>
          </w:p>
        </w:tc>
        <w:tc>
          <w:tcPr>
            <w:tcW w:w="11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374" w:right="117" w:hanging="260"/>
              <w:jc w:val="left"/>
              <w:rPr>
                <w:rFonts w:ascii="宋体" w:hAnsi="宋体" w:cs="宋体" w:eastAsia="宋体" w:hint="default"/>
                <w:sz w:val="13"/>
                <w:szCs w:val="13"/>
              </w:rPr>
            </w:pPr>
            <w:r>
              <w:rPr>
                <w:rFonts w:ascii="宋体" w:hAnsi="宋体" w:cs="宋体" w:eastAsia="宋体" w:hint="default"/>
                <w:sz w:val="13"/>
                <w:szCs w:val="13"/>
              </w:rPr>
              <w:t>本期转入固定资</w:t>
            </w:r>
            <w:r>
              <w:rPr>
                <w:rFonts w:ascii="宋体" w:hAnsi="宋体" w:cs="宋体" w:eastAsia="宋体" w:hint="default"/>
                <w:w w:val="99"/>
                <w:sz w:val="13"/>
                <w:szCs w:val="13"/>
              </w:rPr>
              <w:t> </w:t>
            </w:r>
            <w:r>
              <w:rPr>
                <w:rFonts w:ascii="宋体" w:hAnsi="宋体" w:cs="宋体" w:eastAsia="宋体" w:hint="default"/>
                <w:sz w:val="13"/>
                <w:szCs w:val="13"/>
              </w:rPr>
              <w:t>产金额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544" w:right="156" w:hanging="389"/>
              <w:jc w:val="left"/>
              <w:rPr>
                <w:rFonts w:ascii="宋体" w:hAnsi="宋体" w:cs="宋体" w:eastAsia="宋体" w:hint="default"/>
                <w:sz w:val="13"/>
                <w:szCs w:val="13"/>
              </w:rPr>
            </w:pPr>
            <w:r>
              <w:rPr>
                <w:rFonts w:ascii="宋体" w:hAnsi="宋体" w:cs="宋体" w:eastAsia="宋体" w:hint="default"/>
                <w:sz w:val="13"/>
                <w:szCs w:val="13"/>
              </w:rPr>
              <w:t>本期其他减少金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50"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8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7" w:right="0" w:firstLine="31"/>
              <w:jc w:val="left"/>
              <w:rPr>
                <w:rFonts w:ascii="宋体" w:hAnsi="宋体" w:cs="宋体" w:eastAsia="宋体" w:hint="default"/>
                <w:sz w:val="13"/>
                <w:szCs w:val="13"/>
              </w:rPr>
            </w:pPr>
            <w:r>
              <w:rPr>
                <w:rFonts w:ascii="宋体" w:hAnsi="宋体" w:cs="宋体" w:eastAsia="宋体" w:hint="default"/>
                <w:sz w:val="13"/>
                <w:szCs w:val="13"/>
              </w:rPr>
              <w:t>工程累计</w:t>
            </w:r>
          </w:p>
          <w:p>
            <w:pPr>
              <w:pStyle w:val="TableParagraph"/>
              <w:spacing w:line="358" w:lineRule="exact" w:before="57"/>
              <w:ind w:left="117" w:right="119" w:firstLine="31"/>
              <w:jc w:val="left"/>
              <w:rPr>
                <w:rFonts w:ascii="Times New Roman" w:hAnsi="Times New Roman" w:cs="Times New Roman" w:eastAsia="Times New Roman" w:hint="default"/>
                <w:sz w:val="13"/>
                <w:szCs w:val="13"/>
              </w:rPr>
            </w:pPr>
            <w:r>
              <w:rPr>
                <w:rFonts w:ascii="宋体" w:hAnsi="宋体" w:cs="宋体" w:eastAsia="宋体" w:hint="default"/>
                <w:sz w:val="13"/>
                <w:szCs w:val="13"/>
              </w:rPr>
              <w:t>投入占预</w:t>
            </w:r>
            <w:r>
              <w:rPr>
                <w:rFonts w:ascii="宋体" w:hAnsi="宋体" w:cs="宋体" w:eastAsia="宋体" w:hint="default"/>
                <w:w w:val="99"/>
                <w:sz w:val="13"/>
                <w:szCs w:val="13"/>
              </w:rPr>
              <w:t> </w:t>
            </w:r>
            <w:r>
              <w:rPr>
                <w:rFonts w:ascii="宋体" w:hAnsi="宋体" w:cs="宋体" w:eastAsia="宋体" w:hint="default"/>
                <w:sz w:val="13"/>
                <w:szCs w:val="13"/>
              </w:rPr>
              <w:t>算比例</w:t>
            </w:r>
            <w:r>
              <w:rPr>
                <w:rFonts w:ascii="Times New Roman" w:hAnsi="Times New Roman" w:cs="Times New Roman" w:eastAsia="Times New Roman" w:hint="default"/>
                <w:sz w:val="13"/>
                <w:szCs w:val="13"/>
              </w:rPr>
              <w:t>(%)</w:t>
            </w:r>
          </w:p>
        </w:tc>
        <w:tc>
          <w:tcPr>
            <w:tcW w:w="6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508" w:lineRule="auto"/>
              <w:ind w:left="103" w:right="83" w:firstLine="43"/>
              <w:jc w:val="left"/>
              <w:rPr>
                <w:rFonts w:ascii="宋体" w:hAnsi="宋体" w:cs="宋体" w:eastAsia="宋体" w:hint="default"/>
                <w:sz w:val="13"/>
                <w:szCs w:val="13"/>
              </w:rPr>
            </w:pPr>
            <w:r>
              <w:rPr>
                <w:rFonts w:ascii="宋体" w:hAnsi="宋体" w:cs="宋体" w:eastAsia="宋体" w:hint="default"/>
                <w:sz w:val="13"/>
                <w:szCs w:val="13"/>
              </w:rPr>
              <w:t>工程进</w:t>
            </w:r>
            <w:r>
              <w:rPr>
                <w:rFonts w:ascii="宋体" w:hAnsi="宋体" w:cs="宋体" w:eastAsia="宋体" w:hint="default"/>
                <w:w w:val="99"/>
                <w:sz w:val="13"/>
                <w:szCs w:val="13"/>
              </w:rPr>
              <w:t> </w:t>
            </w:r>
            <w:r>
              <w:rPr>
                <w:rFonts w:ascii="宋体" w:hAnsi="宋体" w:cs="宋体" w:eastAsia="宋体" w:hint="default"/>
                <w:sz w:val="13"/>
                <w:szCs w:val="13"/>
              </w:rPr>
              <w:t>度（</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1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360" w:right="167" w:hanging="195"/>
              <w:jc w:val="left"/>
              <w:rPr>
                <w:rFonts w:ascii="宋体" w:hAnsi="宋体" w:cs="宋体" w:eastAsia="宋体" w:hint="default"/>
                <w:sz w:val="13"/>
                <w:szCs w:val="13"/>
              </w:rPr>
            </w:pPr>
            <w:r>
              <w:rPr>
                <w:rFonts w:ascii="宋体" w:hAnsi="宋体" w:cs="宋体" w:eastAsia="宋体" w:hint="default"/>
                <w:sz w:val="13"/>
                <w:szCs w:val="13"/>
              </w:rPr>
              <w:t>利息资本化累</w:t>
            </w:r>
            <w:r>
              <w:rPr>
                <w:rFonts w:ascii="宋体" w:hAnsi="宋体" w:cs="宋体" w:eastAsia="宋体" w:hint="default"/>
                <w:w w:val="99"/>
                <w:sz w:val="13"/>
                <w:szCs w:val="13"/>
              </w:rPr>
              <w:t> </w:t>
            </w:r>
            <w:r>
              <w:rPr>
                <w:rFonts w:ascii="宋体" w:hAnsi="宋体" w:cs="宋体" w:eastAsia="宋体" w:hint="default"/>
                <w:sz w:val="13"/>
                <w:szCs w:val="13"/>
              </w:rPr>
              <w:t>计金额</w:t>
            </w:r>
          </w:p>
        </w:tc>
        <w:tc>
          <w:tcPr>
            <w:tcW w:w="10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215" w:right="103" w:hanging="113"/>
              <w:jc w:val="left"/>
              <w:rPr>
                <w:rFonts w:ascii="宋体" w:hAnsi="宋体" w:cs="宋体" w:eastAsia="宋体" w:hint="default"/>
                <w:sz w:val="13"/>
                <w:szCs w:val="13"/>
              </w:rPr>
            </w:pPr>
            <w:r>
              <w:rPr>
                <w:rFonts w:ascii="宋体" w:hAnsi="宋体" w:cs="宋体" w:eastAsia="宋体" w:hint="default"/>
                <w:spacing w:val="-5"/>
                <w:sz w:val="13"/>
                <w:szCs w:val="13"/>
              </w:rPr>
              <w:t>其中：本期利息</w:t>
            </w:r>
            <w:r>
              <w:rPr>
                <w:rFonts w:ascii="宋体" w:hAnsi="宋体" w:cs="宋体" w:eastAsia="宋体" w:hint="default"/>
                <w:w w:val="99"/>
                <w:sz w:val="13"/>
                <w:szCs w:val="13"/>
              </w:rPr>
              <w:t> </w:t>
            </w:r>
            <w:r>
              <w:rPr>
                <w:rFonts w:ascii="宋体" w:hAnsi="宋体" w:cs="宋体" w:eastAsia="宋体" w:hint="default"/>
                <w:sz w:val="13"/>
                <w:szCs w:val="13"/>
              </w:rPr>
              <w:t>资本化金额</w:t>
            </w:r>
          </w:p>
        </w:tc>
        <w:tc>
          <w:tcPr>
            <w:tcW w:w="8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511" w:lineRule="auto"/>
              <w:ind w:left="143" w:right="146"/>
              <w:jc w:val="center"/>
              <w:rPr>
                <w:rFonts w:ascii="宋体" w:hAnsi="宋体" w:cs="宋体" w:eastAsia="宋体" w:hint="default"/>
                <w:sz w:val="13"/>
                <w:szCs w:val="13"/>
              </w:rPr>
            </w:pPr>
            <w:r>
              <w:rPr>
                <w:rFonts w:ascii="宋体" w:hAnsi="宋体" w:cs="宋体" w:eastAsia="宋体" w:hint="default"/>
                <w:sz w:val="13"/>
                <w:szCs w:val="13"/>
              </w:rPr>
              <w:t>本期利息</w:t>
            </w:r>
            <w:r>
              <w:rPr>
                <w:rFonts w:ascii="宋体" w:hAnsi="宋体" w:cs="宋体" w:eastAsia="宋体" w:hint="default"/>
                <w:w w:val="99"/>
                <w:sz w:val="13"/>
                <w:szCs w:val="13"/>
              </w:rPr>
              <w:t> </w:t>
            </w:r>
            <w:r>
              <w:rPr>
                <w:rFonts w:ascii="宋体" w:hAnsi="宋体" w:cs="宋体" w:eastAsia="宋体" w:hint="default"/>
                <w:sz w:val="13"/>
                <w:szCs w:val="13"/>
              </w:rPr>
              <w:t>资本化率</w:t>
            </w:r>
          </w:p>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sz w:val="13"/>
              </w:rPr>
              <w:t>(%)</w:t>
            </w:r>
          </w:p>
        </w:tc>
        <w:tc>
          <w:tcPr>
            <w:tcW w:w="703"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508" w:lineRule="auto"/>
              <w:ind w:left="283" w:right="156" w:hanging="132"/>
              <w:jc w:val="left"/>
              <w:rPr>
                <w:rFonts w:ascii="宋体" w:hAnsi="宋体" w:cs="宋体" w:eastAsia="宋体" w:hint="default"/>
                <w:sz w:val="13"/>
                <w:szCs w:val="13"/>
              </w:rPr>
            </w:pPr>
            <w:r>
              <w:rPr>
                <w:rFonts w:ascii="宋体" w:hAnsi="宋体" w:cs="宋体" w:eastAsia="宋体" w:hint="default"/>
                <w:sz w:val="13"/>
                <w:szCs w:val="13"/>
              </w:rPr>
              <w:t>资金来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80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91"/>
              <w:jc w:val="left"/>
              <w:rPr>
                <w:rFonts w:ascii="宋体" w:hAnsi="宋体" w:cs="宋体" w:eastAsia="宋体" w:hint="default"/>
                <w:sz w:val="13"/>
                <w:szCs w:val="13"/>
              </w:rPr>
            </w:pPr>
            <w:r>
              <w:rPr>
                <w:rFonts w:ascii="宋体" w:hAnsi="宋体" w:cs="宋体" w:eastAsia="宋体" w:hint="default"/>
                <w:spacing w:val="10"/>
                <w:sz w:val="13"/>
                <w:szCs w:val="13"/>
              </w:rPr>
              <w:t>天津韩家墅市场</w:t>
            </w:r>
            <w:r>
              <w:rPr>
                <w:rFonts w:ascii="宋体" w:hAnsi="宋体" w:cs="宋体" w:eastAsia="宋体" w:hint="default"/>
                <w:spacing w:val="-53"/>
                <w:sz w:val="13"/>
                <w:szCs w:val="13"/>
              </w:rPr>
              <w:t> </w:t>
            </w:r>
            <w:r>
              <w:rPr>
                <w:rFonts w:ascii="宋体" w:hAnsi="宋体" w:cs="宋体" w:eastAsia="宋体" w:hint="default"/>
                <w:sz w:val="13"/>
                <w:szCs w:val="13"/>
              </w:rPr>
              <w:t>改造工程</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542.18</w:t>
            </w:r>
            <w:r>
              <w:rPr>
                <w:rFonts w:ascii="Times New Roman"/>
                <w:sz w:val="13"/>
              </w:rPr>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63" w:right="0"/>
              <w:jc w:val="center"/>
              <w:rPr>
                <w:rFonts w:ascii="Times New Roman" w:hAnsi="Times New Roman" w:cs="Times New Roman" w:eastAsia="Times New Roman" w:hint="default"/>
                <w:sz w:val="13"/>
                <w:szCs w:val="13"/>
              </w:rPr>
            </w:pPr>
            <w:r>
              <w:rPr>
                <w:rFonts w:ascii="Times New Roman"/>
                <w:sz w:val="13"/>
              </w:rPr>
              <w:t>2,080,178.73</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1,761,888.04</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1,479,620.39</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2,362,446.38</w:t>
            </w:r>
          </w:p>
        </w:tc>
        <w:tc>
          <w:tcPr>
            <w:tcW w:w="1231" w:type="dxa"/>
            <w:tcBorders>
              <w:top w:val="dotted" w:sz="4" w:space="0" w:color="000000"/>
              <w:left w:val="dotted" w:sz="4" w:space="0" w:color="000000"/>
              <w:bottom w:val="dotted" w:sz="4" w:space="0" w:color="000000"/>
              <w:right w:val="dotted" w:sz="4" w:space="0" w:color="000000"/>
            </w:tcBorders>
          </w:tcPr>
          <w:p>
            <w:pP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50" w:lineRule="atLeast" w:before="2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12"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1"/>
              <w:jc w:val="left"/>
              <w:rPr>
                <w:rFonts w:ascii="宋体" w:hAnsi="宋体" w:cs="宋体" w:eastAsia="宋体" w:hint="default"/>
                <w:sz w:val="13"/>
                <w:szCs w:val="13"/>
              </w:rPr>
            </w:pPr>
            <w:r>
              <w:rPr>
                <w:rFonts w:ascii="宋体" w:hAnsi="宋体" w:cs="宋体" w:eastAsia="宋体" w:hint="default"/>
                <w:spacing w:val="10"/>
                <w:sz w:val="13"/>
                <w:szCs w:val="13"/>
              </w:rPr>
              <w:t>平湖海吉星市场</w:t>
            </w:r>
            <w:r>
              <w:rPr>
                <w:rFonts w:ascii="宋体" w:hAnsi="宋体" w:cs="宋体" w:eastAsia="宋体" w:hint="default"/>
                <w:spacing w:val="-53"/>
                <w:sz w:val="13"/>
                <w:szCs w:val="13"/>
              </w:rPr>
              <w:t> </w:t>
            </w:r>
            <w:r>
              <w:rPr>
                <w:rFonts w:ascii="宋体" w:hAnsi="宋体" w:cs="宋体" w:eastAsia="宋体" w:hint="default"/>
                <w:sz w:val="13"/>
                <w:szCs w:val="13"/>
              </w:rPr>
              <w:t>安装工程</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620.14</w:t>
            </w:r>
            <w:r>
              <w:rPr>
                <w:rFonts w:ascii="Times New Roman"/>
                <w:sz w:val="13"/>
              </w:rPr>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163" w:right="0"/>
              <w:jc w:val="center"/>
              <w:rPr>
                <w:rFonts w:ascii="Times New Roman" w:hAnsi="Times New Roman" w:cs="Times New Roman" w:eastAsia="Times New Roman" w:hint="default"/>
                <w:sz w:val="13"/>
                <w:szCs w:val="13"/>
              </w:rPr>
            </w:pPr>
            <w:r>
              <w:rPr>
                <w:rFonts w:ascii="Times New Roman"/>
                <w:sz w:val="13"/>
              </w:rPr>
              <w:t>1,448,932.24</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28,736.50</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491,049.20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986,619.54</w:t>
            </w:r>
          </w:p>
        </w:tc>
        <w:tc>
          <w:tcPr>
            <w:tcW w:w="1231" w:type="dxa"/>
            <w:tcBorders>
              <w:top w:val="dotted" w:sz="4" w:space="0" w:color="000000"/>
              <w:left w:val="dotted" w:sz="4" w:space="0" w:color="000000"/>
              <w:bottom w:val="dotted" w:sz="4" w:space="0" w:color="000000"/>
              <w:right w:val="dotted" w:sz="4" w:space="0" w:color="000000"/>
            </w:tcBorders>
          </w:tcPr>
          <w:p>
            <w:pP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60" w:lineRule="atLeast" w:before="1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809"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91"/>
              <w:jc w:val="left"/>
              <w:rPr>
                <w:rFonts w:ascii="宋体" w:hAnsi="宋体" w:cs="宋体" w:eastAsia="宋体" w:hint="default"/>
                <w:sz w:val="13"/>
                <w:szCs w:val="13"/>
              </w:rPr>
            </w:pPr>
            <w:r>
              <w:rPr>
                <w:rFonts w:ascii="宋体" w:hAnsi="宋体" w:cs="宋体" w:eastAsia="宋体" w:hint="default"/>
                <w:spacing w:val="10"/>
                <w:sz w:val="13"/>
                <w:szCs w:val="13"/>
              </w:rPr>
              <w:t>惠州海吉星市场</w:t>
            </w:r>
            <w:r>
              <w:rPr>
                <w:rFonts w:ascii="宋体" w:hAnsi="宋体" w:cs="宋体" w:eastAsia="宋体" w:hint="default"/>
                <w:spacing w:val="-53"/>
                <w:sz w:val="13"/>
                <w:szCs w:val="13"/>
              </w:rPr>
              <w:t> </w:t>
            </w:r>
            <w:r>
              <w:rPr>
                <w:rFonts w:ascii="宋体" w:hAnsi="宋体" w:cs="宋体" w:eastAsia="宋体" w:hint="default"/>
                <w:sz w:val="13"/>
                <w:szCs w:val="13"/>
              </w:rPr>
              <w:t>建设</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250,214.73</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63" w:right="0"/>
              <w:jc w:val="center"/>
              <w:rPr>
                <w:rFonts w:ascii="Times New Roman" w:hAnsi="Times New Roman" w:cs="Times New Roman" w:eastAsia="Times New Roman" w:hint="default"/>
                <w:sz w:val="13"/>
                <w:szCs w:val="13"/>
              </w:rPr>
            </w:pPr>
            <w:r>
              <w:rPr>
                <w:rFonts w:ascii="Times New Roman"/>
                <w:sz w:val="13"/>
              </w:rPr>
              <w:t>6,040,225.10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2,615,088.83</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1,965,234.83</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6,690,079.10</w:t>
            </w:r>
          </w:p>
        </w:tc>
        <w:tc>
          <w:tcPr>
            <w:tcW w:w="831"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
        </w:tc>
        <w:tc>
          <w:tcPr>
            <w:tcW w:w="821"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nil" w:sz="6" w:space="0" w:color="auto"/>
            </w:tcBorders>
          </w:tcPr>
          <w:p>
            <w:pPr>
              <w:pStyle w:val="TableParagraph"/>
              <w:spacing w:line="350" w:lineRule="atLeast" w:before="26"/>
              <w:ind w:left="103" w:right="53"/>
              <w:jc w:val="left"/>
              <w:rPr>
                <w:rFonts w:ascii="宋体" w:hAnsi="宋体" w:cs="宋体" w:eastAsia="宋体" w:hint="default"/>
                <w:sz w:val="13"/>
                <w:szCs w:val="13"/>
              </w:rPr>
            </w:pPr>
            <w:r>
              <w:rPr>
                <w:rFonts w:ascii="宋体" w:hAnsi="宋体" w:cs="宋体" w:eastAsia="宋体" w:hint="default"/>
                <w:spacing w:val="33"/>
                <w:sz w:val="13"/>
                <w:szCs w:val="13"/>
              </w:rPr>
              <w:t>自有资</w:t>
            </w:r>
            <w:r>
              <w:rPr>
                <w:rFonts w:ascii="宋体" w:hAnsi="宋体" w:cs="宋体" w:eastAsia="宋体" w:hint="default"/>
                <w:spacing w:val="-15"/>
                <w:sz w:val="13"/>
                <w:szCs w:val="13"/>
              </w:rPr>
              <w:t> </w:t>
            </w:r>
            <w:r>
              <w:rPr>
                <w:rFonts w:ascii="宋体" w:hAnsi="宋体" w:cs="宋体" w:eastAsia="宋体" w:hint="default"/>
                <w:sz w:val="13"/>
                <w:szCs w:val="13"/>
              </w:rPr>
              <w:t>金</w:t>
            </w:r>
          </w:p>
        </w:tc>
      </w:tr>
      <w:tr>
        <w:trPr>
          <w:trHeight w:val="461" w:hRule="exact"/>
        </w:trPr>
        <w:tc>
          <w:tcPr>
            <w:tcW w:w="12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9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99"/>
              <w:jc w:val="right"/>
              <w:rPr>
                <w:rFonts w:ascii="Times New Roman" w:hAnsi="Times New Roman" w:cs="Times New Roman" w:eastAsia="Times New Roman" w:hint="default"/>
                <w:sz w:val="13"/>
                <w:szCs w:val="13"/>
              </w:rPr>
            </w:pPr>
            <w:r>
              <w:rPr>
                <w:rFonts w:ascii="Times New Roman"/>
                <w:spacing w:val="-1"/>
                <w:sz w:val="13"/>
              </w:rPr>
              <w:t>1,162,005.11</w:t>
            </w:r>
          </w:p>
        </w:tc>
        <w:tc>
          <w:tcPr>
            <w:tcW w:w="10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left="27" w:right="0"/>
              <w:jc w:val="center"/>
              <w:rPr>
                <w:rFonts w:ascii="Times New Roman" w:hAnsi="Times New Roman" w:cs="Times New Roman" w:eastAsia="Times New Roman" w:hint="default"/>
                <w:sz w:val="13"/>
                <w:szCs w:val="13"/>
              </w:rPr>
            </w:pPr>
            <w:r>
              <w:rPr>
                <w:rFonts w:ascii="Times New Roman"/>
                <w:sz w:val="13"/>
              </w:rPr>
              <w:t>992,834,672.77</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101"/>
              <w:jc w:val="right"/>
              <w:rPr>
                <w:rFonts w:ascii="Times New Roman" w:hAnsi="Times New Roman" w:cs="Times New Roman" w:eastAsia="Times New Roman" w:hint="default"/>
                <w:sz w:val="13"/>
                <w:szCs w:val="13"/>
              </w:rPr>
            </w:pPr>
            <w:r>
              <w:rPr>
                <w:rFonts w:ascii="Times New Roman"/>
                <w:sz w:val="13"/>
              </w:rPr>
              <w:t>409,892,304.17</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99"/>
              <w:jc w:val="right"/>
              <w:rPr>
                <w:rFonts w:ascii="Times New Roman" w:hAnsi="Times New Roman" w:cs="Times New Roman" w:eastAsia="Times New Roman" w:hint="default"/>
                <w:sz w:val="13"/>
                <w:szCs w:val="13"/>
              </w:rPr>
            </w:pPr>
            <w:r>
              <w:rPr>
                <w:rFonts w:ascii="Times New Roman"/>
                <w:sz w:val="13"/>
              </w:rPr>
              <w:t>78,109,509.12</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101"/>
              <w:jc w:val="right"/>
              <w:rPr>
                <w:rFonts w:ascii="Times New Roman" w:hAnsi="Times New Roman" w:cs="Times New Roman" w:eastAsia="Times New Roman" w:hint="default"/>
                <w:sz w:val="13"/>
                <w:szCs w:val="13"/>
              </w:rPr>
            </w:pPr>
            <w:r>
              <w:rPr>
                <w:rFonts w:ascii="Times New Roman"/>
                <w:sz w:val="13"/>
              </w:rPr>
              <w:t>295,371,606.48</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99"/>
              <w:jc w:val="right"/>
              <w:rPr>
                <w:rFonts w:ascii="Times New Roman" w:hAnsi="Times New Roman" w:cs="Times New Roman" w:eastAsia="Times New Roman" w:hint="default"/>
                <w:sz w:val="13"/>
                <w:szCs w:val="13"/>
              </w:rPr>
            </w:pPr>
            <w:r>
              <w:rPr>
                <w:rFonts w:ascii="Times New Roman"/>
                <w:sz w:val="13"/>
              </w:rPr>
              <w:t>1,029,245,861.34</w:t>
            </w:r>
          </w:p>
        </w:tc>
        <w:tc>
          <w:tcPr>
            <w:tcW w:w="831"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1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left="199" w:right="0"/>
              <w:jc w:val="left"/>
              <w:rPr>
                <w:rFonts w:ascii="Times New Roman" w:hAnsi="Times New Roman" w:cs="Times New Roman" w:eastAsia="Times New Roman" w:hint="default"/>
                <w:sz w:val="13"/>
                <w:szCs w:val="13"/>
              </w:rPr>
            </w:pPr>
            <w:r>
              <w:rPr>
                <w:rFonts w:ascii="Times New Roman"/>
                <w:sz w:val="13"/>
              </w:rPr>
              <w:t>113,792,827.27</w:t>
            </w:r>
          </w:p>
        </w:tc>
        <w:tc>
          <w:tcPr>
            <w:tcW w:w="10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left="232" w:right="0"/>
              <w:jc w:val="left"/>
              <w:rPr>
                <w:rFonts w:ascii="Times New Roman" w:hAnsi="Times New Roman" w:cs="Times New Roman" w:eastAsia="Times New Roman" w:hint="default"/>
                <w:sz w:val="13"/>
                <w:szCs w:val="13"/>
              </w:rPr>
            </w:pPr>
            <w:r>
              <w:rPr>
                <w:rFonts w:ascii="Times New Roman"/>
                <w:sz w:val="13"/>
              </w:rPr>
              <w:t>14,106,506.82</w:t>
            </w:r>
          </w:p>
        </w:tc>
        <w:tc>
          <w:tcPr>
            <w:tcW w:w="821" w:type="dxa"/>
            <w:tcBorders>
              <w:top w:val="dotted" w:sz="4" w:space="0" w:color="000000"/>
              <w:left w:val="dotted" w:sz="4" w:space="0" w:color="000000"/>
              <w:bottom w:val="single" w:sz="12" w:space="0" w:color="000000"/>
              <w:right w:val="dotted" w:sz="4" w:space="0" w:color="000000"/>
            </w:tcBorders>
          </w:tcPr>
          <w:p>
            <w:pPr/>
          </w:p>
        </w:tc>
        <w:tc>
          <w:tcPr>
            <w:tcW w:w="703"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3"/>
        <w:ind w:left="853" w:right="0"/>
        <w:jc w:val="left"/>
      </w:pPr>
      <w:r>
        <w:rPr/>
        <w:t>说明</w:t>
      </w:r>
      <w:r>
        <w:rPr>
          <w:rFonts w:ascii="Times New Roman" w:hAnsi="Times New Roman" w:cs="Times New Roman" w:eastAsia="Times New Roman" w:hint="default"/>
        </w:rPr>
        <w:t>:</w:t>
      </w:r>
      <w:r>
        <w:rPr/>
        <w:t>天津进出口贸易中心市场建设项目本期其他减少</w:t>
      </w:r>
      <w:r>
        <w:rPr>
          <w:spacing w:val="-39"/>
        </w:rPr>
        <w:t> </w:t>
      </w:r>
      <w:r>
        <w:rPr>
          <w:rFonts w:ascii="Times New Roman" w:hAnsi="Times New Roman" w:cs="Times New Roman" w:eastAsia="Times New Roman" w:hint="default"/>
        </w:rPr>
        <w:t>108,514,881.87</w:t>
      </w:r>
      <w:r>
        <w:rPr>
          <w:rFonts w:ascii="Times New Roman" w:hAnsi="Times New Roman" w:cs="Times New Roman" w:eastAsia="Times New Roman" w:hint="default"/>
          <w:spacing w:val="13"/>
        </w:rPr>
        <w:t> </w:t>
      </w:r>
      <w:r>
        <w:rPr/>
        <w:t>元为转入投资性房地产；岳阳物流园一期本期其他减少</w:t>
      </w:r>
      <w:r>
        <w:rPr>
          <w:spacing w:val="-39"/>
        </w:rPr>
        <w:t> </w:t>
      </w:r>
      <w:r>
        <w:rPr>
          <w:rFonts w:ascii="Times New Roman" w:hAnsi="Times New Roman" w:cs="Times New Roman" w:eastAsia="Times New Roman" w:hint="default"/>
        </w:rPr>
        <w:t>176,662,261.94</w:t>
      </w:r>
      <w:r>
        <w:rPr>
          <w:rFonts w:ascii="Times New Roman" w:hAnsi="Times New Roman" w:cs="Times New Roman" w:eastAsia="Times New Roman" w:hint="default"/>
          <w:spacing w:val="11"/>
        </w:rPr>
        <w:t> </w:t>
      </w:r>
      <w:r>
        <w:rPr>
          <w:spacing w:val="-3"/>
        </w:rPr>
        <w:t>元，</w:t>
      </w:r>
      <w:r>
        <w:rPr/>
      </w:r>
    </w:p>
    <w:p>
      <w:pPr>
        <w:pStyle w:val="BodyText"/>
        <w:spacing w:line="240" w:lineRule="auto" w:before="110"/>
        <w:ind w:left="853" w:right="230"/>
        <w:jc w:val="left"/>
      </w:pPr>
      <w:r>
        <w:rPr/>
        <w:t>其中</w:t>
      </w:r>
      <w:r>
        <w:rPr>
          <w:spacing w:val="-54"/>
        </w:rPr>
        <w:t> </w:t>
      </w:r>
      <w:r>
        <w:rPr>
          <w:rFonts w:ascii="Times New Roman" w:hAnsi="Times New Roman" w:cs="Times New Roman" w:eastAsia="Times New Roman" w:hint="default"/>
        </w:rPr>
        <w:t>125,860,273.57</w:t>
      </w:r>
      <w:r>
        <w:rPr>
          <w:rFonts w:ascii="Times New Roman" w:hAnsi="Times New Roman" w:cs="Times New Roman" w:eastAsia="Times New Roman" w:hint="default"/>
          <w:spacing w:val="-4"/>
        </w:rPr>
        <w:t> </w:t>
      </w:r>
      <w:r>
        <w:rPr/>
        <w:t>元转入投资性房地产，其余主要转至销售成本。</w:t>
      </w:r>
    </w:p>
    <w:p>
      <w:pPr>
        <w:spacing w:after="0" w:line="240" w:lineRule="auto"/>
        <w:jc w:val="left"/>
        <w:sectPr>
          <w:pgSz w:w="16840" w:h="11910" w:orient="landscape"/>
          <w:pgMar w:header="923" w:footer="997" w:top="1140" w:bottom="1180" w:left="1300" w:right="12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无形资产</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无形资产情况</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525"/>
        <w:gridCol w:w="948"/>
        <w:gridCol w:w="1193"/>
        <w:gridCol w:w="1020"/>
        <w:gridCol w:w="948"/>
        <w:gridCol w:w="951"/>
        <w:gridCol w:w="1193"/>
      </w:tblGrid>
      <w:tr>
        <w:trPr>
          <w:trHeight w:val="461" w:hRule="exact"/>
        </w:trPr>
        <w:tc>
          <w:tcPr>
            <w:tcW w:w="15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sz w:val="13"/>
                <w:szCs w:val="13"/>
              </w:rPr>
              <w:t>商标权</w:t>
            </w:r>
          </w:p>
        </w:tc>
        <w:tc>
          <w:tcPr>
            <w:tcW w:w="11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3"/>
                <w:szCs w:val="13"/>
              </w:rPr>
            </w:pPr>
            <w:r>
              <w:rPr>
                <w:rFonts w:ascii="宋体" w:hAnsi="宋体" w:cs="宋体" w:eastAsia="宋体" w:hint="default"/>
                <w:sz w:val="13"/>
                <w:szCs w:val="13"/>
              </w:rPr>
              <w:t>土地使用权</w:t>
            </w:r>
          </w:p>
        </w:tc>
        <w:tc>
          <w:tcPr>
            <w:tcW w:w="10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软件</w:t>
            </w:r>
          </w:p>
        </w:tc>
        <w:tc>
          <w:tcPr>
            <w:tcW w:w="9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市场经营权</w:t>
            </w:r>
          </w:p>
        </w:tc>
        <w:tc>
          <w:tcPr>
            <w:tcW w:w="9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其他</w:t>
            </w:r>
          </w:p>
        </w:tc>
        <w:tc>
          <w:tcPr>
            <w:tcW w:w="11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1"/>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．账面原值</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）年初余额</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3,070,651.03</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2,476,228,563.54</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19,657,066.21</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center"/>
              <w:rPr>
                <w:rFonts w:ascii="Times New Roman" w:hAnsi="Times New Roman" w:cs="Times New Roman" w:eastAsia="Times New Roman" w:hint="default"/>
                <w:sz w:val="13"/>
                <w:szCs w:val="13"/>
              </w:rPr>
            </w:pPr>
            <w:r>
              <w:rPr>
                <w:rFonts w:ascii="Times New Roman"/>
                <w:sz w:val="13"/>
              </w:rPr>
              <w:t>7,324,657.56</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3,888,530.56</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2,510,169,468.90</w:t>
            </w: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）本期增加金额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1,167,140.53</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6,361,387.74</w:t>
            </w: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7,528,528.27</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购置</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1,167,140.53</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6,361,387.74</w:t>
            </w: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7,528,528.27</w:t>
            </w:r>
          </w:p>
        </w:tc>
      </w:tr>
      <w:tr>
        <w:trPr>
          <w:trHeight w:val="452"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3</w:t>
            </w:r>
            <w:r>
              <w:rPr>
                <w:rFonts w:ascii="宋体" w:hAnsi="宋体" w:cs="宋体" w:eastAsia="宋体" w:hint="default"/>
                <w:sz w:val="13"/>
                <w:szCs w:val="13"/>
              </w:rPr>
              <w:t>）本期减少金额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114,442,103.86</w:t>
            </w: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pacing w:val="-1"/>
                <w:sz w:val="13"/>
              </w:rPr>
              <w:t>114,442,103.86</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处置</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114,442,103.86</w:t>
            </w: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pacing w:val="-1"/>
                <w:sz w:val="13"/>
              </w:rPr>
              <w:t>114,442,103.86</w:t>
            </w: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4</w:t>
            </w:r>
            <w:r>
              <w:rPr>
                <w:rFonts w:ascii="宋体" w:hAnsi="宋体" w:cs="宋体" w:eastAsia="宋体" w:hint="default"/>
                <w:sz w:val="13"/>
                <w:szCs w:val="13"/>
              </w:rPr>
              <w:t>）期末余额</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3,070,651.03</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2,362,953,600.21</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26,018,453.95</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center"/>
              <w:rPr>
                <w:rFonts w:ascii="Times New Roman" w:hAnsi="Times New Roman" w:cs="Times New Roman" w:eastAsia="Times New Roman" w:hint="default"/>
                <w:sz w:val="13"/>
                <w:szCs w:val="13"/>
              </w:rPr>
            </w:pPr>
            <w:r>
              <w:rPr>
                <w:rFonts w:ascii="Times New Roman"/>
                <w:sz w:val="13"/>
              </w:rPr>
              <w:t>7,324,657.56</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3,888,530.56</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2,403,255,893.31</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．累计摊销</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）年初余额</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2,204,748.65</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289,134,725.53</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14,189,415.49</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center"/>
              <w:rPr>
                <w:rFonts w:ascii="Times New Roman" w:hAnsi="Times New Roman" w:cs="Times New Roman" w:eastAsia="Times New Roman" w:hint="default"/>
                <w:sz w:val="13"/>
                <w:szCs w:val="13"/>
              </w:rPr>
            </w:pPr>
            <w:r>
              <w:rPr>
                <w:rFonts w:ascii="Times New Roman"/>
                <w:sz w:val="13"/>
              </w:rPr>
              <w:t>1,880,365.62</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2,397,281.67</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309,806,536.96</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）本期增加金额</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182,202.24</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61,768,514.31</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1,589,943.74</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46" w:right="0"/>
              <w:jc w:val="center"/>
              <w:rPr>
                <w:rFonts w:ascii="Times New Roman" w:hAnsi="Times New Roman" w:cs="Times New Roman" w:eastAsia="Times New Roman" w:hint="default"/>
                <w:sz w:val="13"/>
                <w:szCs w:val="13"/>
              </w:rPr>
            </w:pPr>
            <w:r>
              <w:rPr>
                <w:rFonts w:ascii="Times New Roman"/>
                <w:sz w:val="13"/>
              </w:rPr>
              <w:t>181,066.73</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center"/>
              <w:rPr>
                <w:rFonts w:ascii="Times New Roman" w:hAnsi="Times New Roman" w:cs="Times New Roman" w:eastAsia="Times New Roman" w:hint="default"/>
                <w:sz w:val="13"/>
                <w:szCs w:val="13"/>
              </w:rPr>
            </w:pPr>
            <w:r>
              <w:rPr>
                <w:rFonts w:ascii="Times New Roman"/>
                <w:sz w:val="13"/>
              </w:rPr>
              <w:t>710,062.36</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64,431,789.38</w:t>
            </w:r>
          </w:p>
        </w:tc>
      </w:tr>
      <w:tr>
        <w:trPr>
          <w:trHeight w:val="452"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4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计提</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182,202.24</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61,768,514.31</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1,589,943.74</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46" w:right="0"/>
              <w:jc w:val="center"/>
              <w:rPr>
                <w:rFonts w:ascii="Times New Roman" w:hAnsi="Times New Roman" w:cs="Times New Roman" w:eastAsia="Times New Roman" w:hint="default"/>
                <w:sz w:val="13"/>
                <w:szCs w:val="13"/>
              </w:rPr>
            </w:pPr>
            <w:r>
              <w:rPr>
                <w:rFonts w:ascii="Times New Roman"/>
                <w:sz w:val="13"/>
              </w:rPr>
              <w:t>181,066.73</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center"/>
              <w:rPr>
                <w:rFonts w:ascii="Times New Roman" w:hAnsi="Times New Roman" w:cs="Times New Roman" w:eastAsia="Times New Roman" w:hint="default"/>
                <w:sz w:val="13"/>
                <w:szCs w:val="13"/>
              </w:rPr>
            </w:pPr>
            <w:r>
              <w:rPr>
                <w:rFonts w:ascii="Times New Roman"/>
                <w:sz w:val="13"/>
              </w:rPr>
              <w:t>710,062.36</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64,431,789.38</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3</w:t>
            </w:r>
            <w:r>
              <w:rPr>
                <w:rFonts w:ascii="宋体" w:hAnsi="宋体" w:cs="宋体" w:eastAsia="宋体" w:hint="default"/>
                <w:sz w:val="13"/>
                <w:szCs w:val="13"/>
              </w:rPr>
              <w:t>）本期减少金额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6,438,225.31</w:t>
            </w: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6,438,225.31</w:t>
            </w: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其他</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6,438,225.31</w:t>
            </w: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6,438,225.31</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4</w:t>
            </w:r>
            <w:r>
              <w:rPr>
                <w:rFonts w:ascii="宋体" w:hAnsi="宋体" w:cs="宋体" w:eastAsia="宋体" w:hint="default"/>
                <w:sz w:val="13"/>
                <w:szCs w:val="13"/>
              </w:rPr>
              <w:t>）期末余额</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2,386,950.89</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344,465,014.53</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15,779,359.23</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center"/>
              <w:rPr>
                <w:rFonts w:ascii="Times New Roman" w:hAnsi="Times New Roman" w:cs="Times New Roman" w:eastAsia="Times New Roman" w:hint="default"/>
                <w:sz w:val="13"/>
                <w:szCs w:val="13"/>
              </w:rPr>
            </w:pPr>
            <w:r>
              <w:rPr>
                <w:rFonts w:ascii="Times New Roman"/>
                <w:sz w:val="13"/>
              </w:rPr>
              <w:t>2,061,432.35</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3,107,344.03</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367,800,101.03</w:t>
            </w: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．减值准备</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）年初余额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769,066.52</w:t>
            </w: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769,066.52</w:t>
            </w: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）本期增加金额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3</w:t>
            </w:r>
            <w:r>
              <w:rPr>
                <w:rFonts w:ascii="宋体" w:hAnsi="宋体" w:cs="宋体" w:eastAsia="宋体" w:hint="default"/>
                <w:sz w:val="13"/>
                <w:szCs w:val="13"/>
              </w:rPr>
              <w:t>）本期减少金额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4</w:t>
            </w:r>
            <w:r>
              <w:rPr>
                <w:rFonts w:ascii="宋体" w:hAnsi="宋体" w:cs="宋体" w:eastAsia="宋体" w:hint="default"/>
                <w:sz w:val="13"/>
                <w:szCs w:val="13"/>
              </w:rPr>
              <w:t>）期末余额</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769,066.52</w:t>
            </w: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769,066.52</w:t>
            </w:r>
          </w:p>
        </w:tc>
      </w:tr>
      <w:tr>
        <w:trPr>
          <w:trHeight w:val="449"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．账面价值</w:t>
            </w:r>
          </w:p>
        </w:tc>
        <w:tc>
          <w:tcPr>
            <w:tcW w:w="948"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948" w:type="dxa"/>
            <w:tcBorders>
              <w:top w:val="dotted" w:sz="4" w:space="0" w:color="000000"/>
              <w:left w:val="dotted" w:sz="4" w:space="0" w:color="000000"/>
              <w:bottom w:val="dotted" w:sz="4" w:space="0" w:color="000000"/>
              <w:right w:val="dotted" w:sz="4" w:space="0" w:color="000000"/>
            </w:tcBorders>
          </w:tcPr>
          <w:p>
            <w:pPr/>
          </w:p>
        </w:tc>
        <w:tc>
          <w:tcPr>
            <w:tcW w:w="9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）期末账面价值</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683,700.14</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2,018,488,585.68</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9,470,028.20</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center"/>
              <w:rPr>
                <w:rFonts w:ascii="Times New Roman" w:hAnsi="Times New Roman" w:cs="Times New Roman" w:eastAsia="Times New Roman" w:hint="default"/>
                <w:sz w:val="13"/>
                <w:szCs w:val="13"/>
              </w:rPr>
            </w:pPr>
            <w:r>
              <w:rPr>
                <w:rFonts w:ascii="Times New Roman"/>
                <w:sz w:val="13"/>
              </w:rPr>
              <w:t>5,263,225.21</w:t>
            </w:r>
          </w:p>
        </w:tc>
        <w:tc>
          <w:tcPr>
            <w:tcW w:w="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center"/>
              <w:rPr>
                <w:rFonts w:ascii="Times New Roman" w:hAnsi="Times New Roman" w:cs="Times New Roman" w:eastAsia="Times New Roman" w:hint="default"/>
                <w:sz w:val="13"/>
                <w:szCs w:val="13"/>
              </w:rPr>
            </w:pPr>
            <w:r>
              <w:rPr>
                <w:rFonts w:ascii="Times New Roman"/>
                <w:sz w:val="13"/>
              </w:rPr>
              <w:t>781,186.53</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2,034,686,725.76</w:t>
            </w:r>
          </w:p>
        </w:tc>
      </w:tr>
      <w:tr>
        <w:trPr>
          <w:trHeight w:val="461" w:hRule="exact"/>
        </w:trPr>
        <w:tc>
          <w:tcPr>
            <w:tcW w:w="15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）年初账面价值</w:t>
            </w:r>
          </w:p>
        </w:tc>
        <w:tc>
          <w:tcPr>
            <w:tcW w:w="9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865,902.38</w:t>
            </w:r>
          </w:p>
        </w:tc>
        <w:tc>
          <w:tcPr>
            <w:tcW w:w="11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2,187,093,838.01</w:t>
            </w:r>
          </w:p>
        </w:tc>
        <w:tc>
          <w:tcPr>
            <w:tcW w:w="10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4,698,584.20</w:t>
            </w:r>
          </w:p>
        </w:tc>
        <w:tc>
          <w:tcPr>
            <w:tcW w:w="9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center"/>
              <w:rPr>
                <w:rFonts w:ascii="Times New Roman" w:hAnsi="Times New Roman" w:cs="Times New Roman" w:eastAsia="Times New Roman" w:hint="default"/>
                <w:sz w:val="13"/>
                <w:szCs w:val="13"/>
              </w:rPr>
            </w:pPr>
            <w:r>
              <w:rPr>
                <w:rFonts w:ascii="Times New Roman"/>
                <w:sz w:val="13"/>
              </w:rPr>
              <w:t>5,444,291.94</w:t>
            </w:r>
          </w:p>
        </w:tc>
        <w:tc>
          <w:tcPr>
            <w:tcW w:w="9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1,491,248.89</w:t>
            </w:r>
          </w:p>
        </w:tc>
        <w:tc>
          <w:tcPr>
            <w:tcW w:w="11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2,199,593,865.42</w:t>
            </w: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240" w:lineRule="auto"/>
        <w:ind w:left="850" w:right="1675"/>
        <w:jc w:val="left"/>
      </w:pPr>
      <w:r>
        <w:rPr/>
        <w:t>说明：公司本期土地使用权减少 </w:t>
      </w:r>
      <w:r>
        <w:rPr>
          <w:rFonts w:ascii="Times New Roman" w:hAnsi="Times New Roman" w:cs="Times New Roman" w:eastAsia="Times New Roman" w:hint="default"/>
        </w:rPr>
        <w:t>114,442,103.86</w:t>
      </w:r>
      <w:r>
        <w:rPr>
          <w:rFonts w:ascii="Times New Roman" w:hAnsi="Times New Roman" w:cs="Times New Roman" w:eastAsia="Times New Roman" w:hint="default"/>
          <w:spacing w:val="36"/>
        </w:rPr>
        <w:t> </w:t>
      </w:r>
      <w:r>
        <w:rPr/>
        <w:t>元，主要系天津公司处置下属三个</w:t>
      </w:r>
    </w:p>
    <w:p>
      <w:pPr>
        <w:pStyle w:val="BodyText"/>
        <w:spacing w:line="240" w:lineRule="auto" w:before="107"/>
        <w:ind w:left="850" w:right="1675"/>
        <w:jc w:val="left"/>
      </w:pPr>
      <w:r>
        <w:rPr>
          <w:spacing w:val="30"/>
        </w:rPr>
        <w:t>子公司减少土地原 </w:t>
      </w:r>
      <w:r>
        <w:rPr/>
        <w:t>值 </w:t>
      </w:r>
      <w:r>
        <w:rPr>
          <w:rFonts w:ascii="Times New Roman" w:hAnsi="Times New Roman" w:cs="Times New Roman" w:eastAsia="Times New Roman" w:hint="default"/>
        </w:rPr>
        <w:t>88,163,991.60   </w:t>
      </w:r>
      <w:r>
        <w:rPr>
          <w:spacing w:val="32"/>
        </w:rPr>
        <w:t>元；岳阳公司销售商铺结转土地原</w:t>
      </w:r>
      <w:r>
        <w:rPr>
          <w:spacing w:val="-80"/>
        </w:rPr>
        <w:t> </w:t>
      </w:r>
      <w:r>
        <w:rPr/>
        <w:t>值</w:t>
      </w:r>
    </w:p>
    <w:p>
      <w:pPr>
        <w:pStyle w:val="BodyText"/>
        <w:spacing w:line="240" w:lineRule="auto" w:before="110"/>
        <w:ind w:left="850" w:right="1675"/>
        <w:jc w:val="left"/>
      </w:pPr>
      <w:r>
        <w:rPr>
          <w:rFonts w:ascii="Times New Roman" w:hAnsi="Times New Roman" w:cs="Times New Roman" w:eastAsia="Times New Roman" w:hint="default"/>
        </w:rPr>
        <w:t>26,278,112.26</w:t>
      </w:r>
      <w:r>
        <w:rPr>
          <w:rFonts w:ascii="Times New Roman" w:hAnsi="Times New Roman" w:cs="Times New Roman" w:eastAsia="Times New Roman" w:hint="default"/>
          <w:spacing w:val="-8"/>
        </w:rPr>
        <w:t> </w:t>
      </w:r>
      <w:r>
        <w:rPr/>
        <w:t>元。</w:t>
      </w:r>
    </w:p>
    <w:p>
      <w:pPr>
        <w:spacing w:line="240" w:lineRule="auto" w:before="0"/>
        <w:rPr>
          <w:rFonts w:ascii="宋体" w:hAnsi="宋体" w:cs="宋体" w:eastAsia="宋体" w:hint="default"/>
          <w:sz w:val="22"/>
          <w:szCs w:val="22"/>
        </w:rPr>
      </w:pPr>
    </w:p>
    <w:p>
      <w:pPr>
        <w:pStyle w:val="Heading6"/>
        <w:tabs>
          <w:tab w:pos="1397" w:val="left" w:leader="none"/>
        </w:tabs>
        <w:spacing w:line="240" w:lineRule="auto" w:before="153"/>
        <w:ind w:right="1675"/>
        <w:jc w:val="left"/>
        <w:rPr>
          <w:b w:val="0"/>
          <w:bCs w:val="0"/>
        </w:rPr>
      </w:pPr>
      <w:r>
        <w:rPr>
          <w:rFonts w:ascii="Times New Roman" w:hAnsi="Times New Roman" w:cs="Times New Roman" w:eastAsia="Times New Roman" w:hint="default"/>
        </w:rPr>
        <w:t>2</w:t>
      </w:r>
      <w:r>
        <w:rPr/>
        <w:t>、</w:t>
        <w:tab/>
        <w:t>未办妥产权证书的土地使用权情况</w:t>
      </w:r>
      <w:r>
        <w:rPr>
          <w:b w:val="0"/>
          <w:bCs w:val="0"/>
        </w:rPr>
      </w:r>
    </w:p>
    <w:tbl>
      <w:tblPr>
        <w:tblW w:w="0" w:type="auto"/>
        <w:jc w:val="left"/>
        <w:tblInd w:w="783" w:type="dxa"/>
        <w:tblLayout w:type="fixed"/>
        <w:tblCellMar>
          <w:top w:w="0" w:type="dxa"/>
          <w:left w:w="0" w:type="dxa"/>
          <w:bottom w:w="0" w:type="dxa"/>
          <w:right w:w="0" w:type="dxa"/>
        </w:tblCellMar>
        <w:tblLook w:val="01E0"/>
      </w:tblPr>
      <w:tblGrid>
        <w:gridCol w:w="3094"/>
        <w:gridCol w:w="1791"/>
        <w:gridCol w:w="2892"/>
      </w:tblGrid>
      <w:tr>
        <w:trPr>
          <w:trHeight w:val="470" w:hRule="exact"/>
        </w:trPr>
        <w:tc>
          <w:tcPr>
            <w:tcW w:w="3094"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37"/>
              <w:ind w:left="5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892"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37"/>
              <w:ind w:left="54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headerReference w:type="default" r:id="rId112"/>
          <w:footerReference w:type="default" r:id="rId113"/>
          <w:pgSz w:w="11910" w:h="16840"/>
          <w:pgMar w:header="779" w:footer="996" w:top="1000" w:bottom="1180" w:left="1660" w:right="0"/>
          <w:pgNumType w:start="57"/>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094"/>
        <w:gridCol w:w="1791"/>
        <w:gridCol w:w="2893"/>
      </w:tblGrid>
      <w:tr>
        <w:trPr>
          <w:trHeight w:val="461" w:hRule="exact"/>
        </w:trPr>
        <w:tc>
          <w:tcPr>
            <w:tcW w:w="30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平湖物流园土地使用权</w:t>
            </w:r>
          </w:p>
        </w:tc>
        <w:tc>
          <w:tcPr>
            <w:tcW w:w="17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117,805,184.26</w:t>
            </w:r>
          </w:p>
        </w:tc>
        <w:tc>
          <w:tcPr>
            <w:tcW w:w="28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3"/>
              <w:jc w:val="center"/>
              <w:rPr>
                <w:rFonts w:ascii="宋体" w:hAnsi="宋体" w:cs="宋体" w:eastAsia="宋体" w:hint="default"/>
                <w:sz w:val="18"/>
                <w:szCs w:val="18"/>
              </w:rPr>
            </w:pPr>
            <w:r>
              <w:rPr>
                <w:rFonts w:ascii="宋体" w:hAnsi="宋体" w:cs="宋体" w:eastAsia="宋体" w:hint="default"/>
                <w:sz w:val="18"/>
                <w:szCs w:val="18"/>
              </w:rPr>
              <w:t>相关部门要求直接办理房产证</w:t>
            </w:r>
          </w:p>
        </w:tc>
      </w:tr>
      <w:tr>
        <w:trPr>
          <w:trHeight w:val="449" w:hRule="exact"/>
        </w:trPr>
        <w:tc>
          <w:tcPr>
            <w:tcW w:w="30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福田农批市场土地使用权</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50,031,973.42</w:t>
            </w:r>
          </w:p>
        </w:tc>
        <w:tc>
          <w:tcPr>
            <w:tcW w:w="28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历史遗留，办证难度大</w:t>
            </w:r>
          </w:p>
        </w:tc>
      </w:tr>
      <w:tr>
        <w:trPr>
          <w:trHeight w:val="451" w:hRule="exact"/>
        </w:trPr>
        <w:tc>
          <w:tcPr>
            <w:tcW w:w="30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海吉星置地坪山部分土地使用权</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4,792,107.47</w:t>
            </w:r>
          </w:p>
        </w:tc>
        <w:tc>
          <w:tcPr>
            <w:tcW w:w="28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分立而来，尚未办妥变更登记</w:t>
            </w:r>
          </w:p>
        </w:tc>
      </w:tr>
      <w:tr>
        <w:trPr>
          <w:trHeight w:val="461" w:hRule="exact"/>
        </w:trPr>
        <w:tc>
          <w:tcPr>
            <w:tcW w:w="30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172,629,265.15</w:t>
            </w:r>
          </w:p>
        </w:tc>
        <w:tc>
          <w:tcPr>
            <w:tcW w:w="289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商誉</w:t>
      </w:r>
      <w:r>
        <w:rPr>
          <w:b w:val="0"/>
          <w:bCs w:val="0"/>
        </w:rPr>
      </w:r>
    </w:p>
    <w:tbl>
      <w:tblPr>
        <w:tblW w:w="0" w:type="auto"/>
        <w:jc w:val="left"/>
        <w:tblInd w:w="771" w:type="dxa"/>
        <w:tblLayout w:type="fixed"/>
        <w:tblCellMar>
          <w:top w:w="0" w:type="dxa"/>
          <w:left w:w="0" w:type="dxa"/>
          <w:bottom w:w="0" w:type="dxa"/>
          <w:right w:w="0" w:type="dxa"/>
        </w:tblCellMar>
        <w:tblLook w:val="01E0"/>
      </w:tblPr>
      <w:tblGrid>
        <w:gridCol w:w="3238"/>
        <w:gridCol w:w="1275"/>
        <w:gridCol w:w="994"/>
        <w:gridCol w:w="992"/>
        <w:gridCol w:w="1277"/>
      </w:tblGrid>
      <w:tr>
        <w:trPr>
          <w:trHeight w:val="853" w:hRule="exact"/>
        </w:trPr>
        <w:tc>
          <w:tcPr>
            <w:tcW w:w="32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32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南宁市银通典当有限公司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920,439.95</w:t>
            </w: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920,439.95</w:t>
            </w:r>
          </w:p>
        </w:tc>
      </w:tr>
      <w:tr>
        <w:trPr>
          <w:trHeight w:val="451" w:hRule="exact"/>
        </w:trPr>
        <w:tc>
          <w:tcPr>
            <w:tcW w:w="32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4,938,560.00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4,938,560.00</w:t>
            </w:r>
          </w:p>
        </w:tc>
      </w:tr>
      <w:tr>
        <w:trPr>
          <w:trHeight w:val="449" w:hRule="exact"/>
        </w:trPr>
        <w:tc>
          <w:tcPr>
            <w:tcW w:w="32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2,249,483.57</w:t>
            </w: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2,249,483.57</w:t>
            </w:r>
          </w:p>
        </w:tc>
      </w:tr>
      <w:tr>
        <w:trPr>
          <w:trHeight w:val="451" w:hRule="exact"/>
        </w:trPr>
        <w:tc>
          <w:tcPr>
            <w:tcW w:w="32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679,344.97</w:t>
            </w: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679,344.97</w:t>
            </w:r>
          </w:p>
        </w:tc>
      </w:tr>
      <w:tr>
        <w:trPr>
          <w:trHeight w:val="449" w:hRule="exact"/>
        </w:trPr>
        <w:tc>
          <w:tcPr>
            <w:tcW w:w="32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上海海吉星马克市场管理有限公司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311,589.42</w:t>
            </w: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311,589.42</w:t>
            </w:r>
          </w:p>
        </w:tc>
      </w:tr>
      <w:tr>
        <w:trPr>
          <w:trHeight w:val="461" w:hRule="exact"/>
        </w:trPr>
        <w:tc>
          <w:tcPr>
            <w:tcW w:w="32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9,099,417.91</w:t>
            </w:r>
          </w:p>
        </w:tc>
        <w:tc>
          <w:tcPr>
            <w:tcW w:w="994" w:type="dxa"/>
            <w:tcBorders>
              <w:top w:val="dotted" w:sz="4" w:space="0" w:color="000000"/>
              <w:left w:val="dotted" w:sz="4" w:space="0" w:color="000000"/>
              <w:bottom w:val="single" w:sz="12" w:space="0" w:color="000000"/>
              <w:right w:val="dotted" w:sz="4" w:space="0" w:color="000000"/>
            </w:tcBorders>
          </w:tcPr>
          <w:p>
            <w:pPr/>
          </w:p>
        </w:tc>
        <w:tc>
          <w:tcPr>
            <w:tcW w:w="992"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9,099,417.91</w:t>
            </w: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345" w:lineRule="auto"/>
        <w:ind w:left="754" w:right="1786"/>
        <w:jc w:val="both"/>
      </w:pPr>
      <w:r>
        <w:rPr/>
        <w:t>说明：</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t>日，本公司对商誉进行减值测试并将其账面价值分摊至预期</w:t>
      </w:r>
      <w:r>
        <w:rPr>
          <w:w w:val="100"/>
        </w:rPr>
        <w:t> </w:t>
      </w:r>
      <w:r>
        <w:rPr>
          <w:spacing w:val="-4"/>
        </w:rPr>
        <w:t>从企业合并的协同效益中受益的资产组，预计资产组未来的现金流量，利用市场借款</w:t>
      </w:r>
      <w:r>
        <w:rPr>
          <w:spacing w:val="-39"/>
        </w:rPr>
        <w:t> </w:t>
      </w:r>
      <w:r>
        <w:rPr>
          <w:spacing w:val="-39"/>
        </w:rPr>
      </w:r>
      <w:r>
        <w:rPr>
          <w:spacing w:val="-4"/>
        </w:rPr>
        <w:t>利率作适当调整后的折现率，对资产组未来现金流量在合理预计期限内加以折现。测</w:t>
      </w:r>
      <w:r>
        <w:rPr>
          <w:spacing w:val="-36"/>
        </w:rPr>
        <w:t> </w:t>
      </w:r>
      <w:r>
        <w:rPr>
          <w:spacing w:val="-36"/>
        </w:rPr>
      </w:r>
      <w:r>
        <w:rPr>
          <w:spacing w:val="-4"/>
        </w:rPr>
        <w:t>试结果表明，包含商誉的资产组的可收回金额高于其账面净值，故未对其计提减值准</w:t>
      </w:r>
      <w:r>
        <w:rPr>
          <w:spacing w:val="-39"/>
        </w:rPr>
        <w:t> </w:t>
      </w:r>
      <w:r>
        <w:rPr>
          <w:spacing w:val="-39"/>
        </w:rPr>
      </w:r>
      <w:r>
        <w:rPr/>
        <w:t>备。</w:t>
      </w:r>
    </w:p>
    <w:p>
      <w:pPr>
        <w:spacing w:line="240" w:lineRule="auto" w:before="12"/>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长期待摊费用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570"/>
        <w:gridCol w:w="1258"/>
        <w:gridCol w:w="1258"/>
        <w:gridCol w:w="1217"/>
        <w:gridCol w:w="1217"/>
        <w:gridCol w:w="1258"/>
      </w:tblGrid>
      <w:tr>
        <w:trPr>
          <w:trHeight w:val="461" w:hRule="exact"/>
        </w:trPr>
        <w:tc>
          <w:tcPr>
            <w:tcW w:w="15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02"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40"/>
              <w:jc w:val="right"/>
              <w:rPr>
                <w:rFonts w:ascii="宋体" w:hAnsi="宋体" w:cs="宋体" w:eastAsia="宋体" w:hint="default"/>
                <w:sz w:val="16"/>
                <w:szCs w:val="16"/>
              </w:rPr>
            </w:pPr>
            <w:r>
              <w:rPr>
                <w:rFonts w:ascii="宋体" w:hAnsi="宋体" w:cs="宋体" w:eastAsia="宋体" w:hint="default"/>
                <w:spacing w:val="-1"/>
                <w:sz w:val="16"/>
                <w:szCs w:val="16"/>
              </w:rPr>
              <w:t>本期增加金额</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20"/>
              <w:jc w:val="right"/>
              <w:rPr>
                <w:rFonts w:ascii="宋体" w:hAnsi="宋体" w:cs="宋体" w:eastAsia="宋体" w:hint="default"/>
                <w:sz w:val="16"/>
                <w:szCs w:val="16"/>
              </w:rPr>
            </w:pPr>
            <w:r>
              <w:rPr>
                <w:rFonts w:ascii="宋体" w:hAnsi="宋体" w:cs="宋体" w:eastAsia="宋体" w:hint="default"/>
                <w:spacing w:val="-1"/>
                <w:sz w:val="16"/>
                <w:szCs w:val="16"/>
              </w:rPr>
              <w:t>本期摊销金额</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21"/>
              <w:jc w:val="right"/>
              <w:rPr>
                <w:rFonts w:ascii="宋体" w:hAnsi="宋体" w:cs="宋体" w:eastAsia="宋体" w:hint="default"/>
                <w:sz w:val="16"/>
                <w:szCs w:val="16"/>
              </w:rPr>
            </w:pPr>
            <w:r>
              <w:rPr>
                <w:rFonts w:ascii="宋体" w:hAnsi="宋体" w:cs="宋体" w:eastAsia="宋体" w:hint="default"/>
                <w:spacing w:val="-1"/>
                <w:sz w:val="16"/>
                <w:szCs w:val="16"/>
              </w:rPr>
              <w:t>其他减少金额</w:t>
            </w:r>
          </w:p>
        </w:tc>
        <w:tc>
          <w:tcPr>
            <w:tcW w:w="12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7"/>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449" w:hRule="exact"/>
        </w:trPr>
        <w:tc>
          <w:tcPr>
            <w:tcW w:w="15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固定资产改良支出</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61,433,826.09</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35,720,537.21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23,029,526.79</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3" w:right="0"/>
              <w:jc w:val="center"/>
              <w:rPr>
                <w:rFonts w:ascii="Times New Roman" w:hAnsi="Times New Roman" w:cs="Times New Roman" w:eastAsia="Times New Roman" w:hint="default"/>
                <w:sz w:val="16"/>
                <w:szCs w:val="16"/>
              </w:rPr>
            </w:pPr>
            <w:r>
              <w:rPr>
                <w:rFonts w:ascii="Times New Roman"/>
                <w:sz w:val="16"/>
              </w:rPr>
              <w:t>74,124,836.51</w:t>
            </w:r>
          </w:p>
        </w:tc>
      </w:tr>
      <w:tr>
        <w:trPr>
          <w:trHeight w:val="451" w:hRule="exact"/>
        </w:trPr>
        <w:tc>
          <w:tcPr>
            <w:tcW w:w="15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办公室装修费</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15,203,232.55</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74,903.01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3,182,981.41</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3" w:right="0"/>
              <w:jc w:val="center"/>
              <w:rPr>
                <w:rFonts w:ascii="Times New Roman" w:hAnsi="Times New Roman" w:cs="Times New Roman" w:eastAsia="Times New Roman" w:hint="default"/>
                <w:sz w:val="16"/>
                <w:szCs w:val="16"/>
              </w:rPr>
            </w:pPr>
            <w:r>
              <w:rPr>
                <w:rFonts w:ascii="Times New Roman"/>
                <w:sz w:val="16"/>
              </w:rPr>
              <w:t>12,095,154.15</w:t>
            </w:r>
          </w:p>
        </w:tc>
      </w:tr>
      <w:tr>
        <w:trPr>
          <w:trHeight w:val="449" w:hRule="exact"/>
        </w:trPr>
        <w:tc>
          <w:tcPr>
            <w:tcW w:w="15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摊位租赁费</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79,950,775.34</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178,370,827.76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7,372,348.07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14,719,433.20</w:t>
            </w: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31" w:right="0"/>
              <w:jc w:val="center"/>
              <w:rPr>
                <w:rFonts w:ascii="Times New Roman" w:hAnsi="Times New Roman" w:cs="Times New Roman" w:eastAsia="Times New Roman" w:hint="default"/>
                <w:sz w:val="16"/>
                <w:szCs w:val="16"/>
              </w:rPr>
            </w:pPr>
            <w:r>
              <w:rPr>
                <w:rFonts w:ascii="Times New Roman"/>
                <w:sz w:val="16"/>
              </w:rPr>
              <w:t>236,229,821.83</w:t>
            </w:r>
          </w:p>
        </w:tc>
      </w:tr>
      <w:tr>
        <w:trPr>
          <w:trHeight w:val="451" w:hRule="exact"/>
        </w:trPr>
        <w:tc>
          <w:tcPr>
            <w:tcW w:w="15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58,556,758.99</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918,221.20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8,072,903.07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15,086,400.46</w:t>
            </w: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3" w:right="0"/>
              <w:jc w:val="center"/>
              <w:rPr>
                <w:rFonts w:ascii="Times New Roman" w:hAnsi="Times New Roman" w:cs="Times New Roman" w:eastAsia="Times New Roman" w:hint="default"/>
                <w:sz w:val="16"/>
                <w:szCs w:val="16"/>
              </w:rPr>
            </w:pPr>
            <w:r>
              <w:rPr>
                <w:rFonts w:ascii="Times New Roman"/>
                <w:sz w:val="16"/>
              </w:rPr>
              <w:t>36,315,676.66</w:t>
            </w:r>
          </w:p>
        </w:tc>
      </w:tr>
      <w:tr>
        <w:trPr>
          <w:trHeight w:val="461" w:hRule="exact"/>
        </w:trPr>
        <w:tc>
          <w:tcPr>
            <w:tcW w:w="15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215,144,592.97</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215,084,489.18</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41,657,759.34</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29,805,833.66</w:t>
            </w:r>
          </w:p>
        </w:tc>
        <w:tc>
          <w:tcPr>
            <w:tcW w:w="12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31" w:right="0"/>
              <w:jc w:val="center"/>
              <w:rPr>
                <w:rFonts w:ascii="Times New Roman" w:hAnsi="Times New Roman" w:cs="Times New Roman" w:eastAsia="Times New Roman" w:hint="default"/>
                <w:sz w:val="16"/>
                <w:szCs w:val="16"/>
              </w:rPr>
            </w:pPr>
            <w:r>
              <w:rPr>
                <w:rFonts w:ascii="Times New Roman"/>
                <w:sz w:val="16"/>
              </w:rPr>
              <w:t>358,765,489.15</w:t>
            </w: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38" w:lineRule="auto"/>
        <w:ind w:left="850" w:right="1788"/>
        <w:jc w:val="both"/>
      </w:pPr>
      <w:r>
        <w:rPr/>
        <w:t>说明：</w:t>
      </w:r>
      <w:r>
        <w:rPr>
          <w:rFonts w:ascii="Times New Roman" w:hAnsi="Times New Roman" w:cs="Times New Roman" w:eastAsia="Times New Roman" w:hint="default"/>
        </w:rPr>
        <w:t>1</w:t>
      </w:r>
      <w:r>
        <w:rPr/>
        <w:t>、摊位租赁费</w:t>
      </w:r>
      <w:r>
        <w:rPr>
          <w:rFonts w:ascii="Times New Roman" w:hAnsi="Times New Roman" w:cs="Times New Roman" w:eastAsia="Times New Roman" w:hint="default"/>
        </w:rPr>
        <w:t>-</w:t>
      </w:r>
      <w:r>
        <w:rPr/>
        <w:t>其他减少</w:t>
      </w:r>
      <w:r>
        <w:rPr>
          <w:spacing w:val="-45"/>
        </w:rPr>
        <w:t> </w:t>
      </w:r>
      <w:r>
        <w:rPr>
          <w:rFonts w:ascii="Times New Roman" w:hAnsi="Times New Roman" w:cs="Times New Roman" w:eastAsia="Times New Roman" w:hint="default"/>
        </w:rPr>
        <w:t>14,719,433.20</w:t>
      </w:r>
      <w:r>
        <w:rPr>
          <w:rFonts w:ascii="Times New Roman" w:hAnsi="Times New Roman" w:cs="Times New Roman" w:eastAsia="Times New Roman" w:hint="default"/>
          <w:spacing w:val="8"/>
        </w:rPr>
        <w:t> </w:t>
      </w:r>
      <w:r>
        <w:rPr/>
        <w:t>元系子公司果菜贸易公司因出租方无</w:t>
      </w:r>
      <w:r>
        <w:rPr>
          <w:w w:val="100"/>
        </w:rPr>
        <w:t> </w:t>
      </w:r>
      <w:r>
        <w:rPr/>
        <w:t>法按照合同要求交付标的物，已支付的摊位租赁费不满足确认为长期待摊费用的条</w:t>
      </w:r>
      <w:r>
        <w:rPr>
          <w:spacing w:val="-62"/>
        </w:rPr>
        <w:t> </w:t>
      </w:r>
      <w:r>
        <w:rPr/>
        <w:t>件，故将其余额重分类至其他应收款；</w:t>
      </w:r>
    </w:p>
    <w:p>
      <w:pPr>
        <w:pStyle w:val="BodyText"/>
        <w:spacing w:line="328" w:lineRule="auto" w:before="40"/>
        <w:ind w:left="850" w:right="1789"/>
        <w:jc w:val="both"/>
      </w:pPr>
      <w:r>
        <w:rPr>
          <w:rFonts w:ascii="Times New Roman" w:hAnsi="Times New Roman" w:cs="Times New Roman" w:eastAsia="Times New Roman" w:hint="default"/>
        </w:rPr>
        <w:t>2</w:t>
      </w:r>
      <w:r>
        <w:rPr/>
        <w:t>、其他</w:t>
      </w:r>
      <w:r>
        <w:rPr>
          <w:rFonts w:ascii="Times New Roman" w:hAnsi="Times New Roman" w:cs="Times New Roman" w:eastAsia="Times New Roman" w:hint="default"/>
        </w:rPr>
        <w:t>-</w:t>
      </w:r>
      <w:r>
        <w:rPr/>
        <w:t>其他减少</w:t>
      </w:r>
      <w:r>
        <w:rPr>
          <w:spacing w:val="-44"/>
        </w:rPr>
        <w:t> </w:t>
      </w:r>
      <w:r>
        <w:rPr>
          <w:rFonts w:ascii="Times New Roman" w:hAnsi="Times New Roman" w:cs="Times New Roman" w:eastAsia="Times New Roman" w:hint="default"/>
        </w:rPr>
        <w:t>15,086,400.46</w:t>
      </w:r>
      <w:r>
        <w:rPr>
          <w:rFonts w:ascii="Times New Roman" w:hAnsi="Times New Roman" w:cs="Times New Roman" w:eastAsia="Times New Roman" w:hint="default"/>
          <w:spacing w:val="7"/>
        </w:rPr>
        <w:t> </w:t>
      </w:r>
      <w:r>
        <w:rPr/>
        <w:t>元系子公司广西新柳邕公司临建区构筑物拆除将其</w:t>
      </w:r>
      <w:r>
        <w:rPr>
          <w:w w:val="100"/>
        </w:rPr>
        <w:t> </w:t>
      </w:r>
      <w:r>
        <w:rPr/>
        <w:t>余额转销至当期损益。</w:t>
      </w:r>
    </w:p>
    <w:p>
      <w:pPr>
        <w:spacing w:after="0" w:line="328" w:lineRule="auto"/>
        <w:jc w:val="both"/>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6"/>
        <w:spacing w:line="335" w:lineRule="exact"/>
        <w:ind w:right="1675" w:hanging="720"/>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递延所得税资产和递延所得税负债</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未经抵销的递延所得税资产</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947"/>
        <w:gridCol w:w="1529"/>
        <w:gridCol w:w="1388"/>
        <w:gridCol w:w="1526"/>
        <w:gridCol w:w="1388"/>
      </w:tblGrid>
      <w:tr>
        <w:trPr>
          <w:trHeight w:val="461" w:hRule="exact"/>
        </w:trPr>
        <w:tc>
          <w:tcPr>
            <w:tcW w:w="194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1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850" w:hRule="exact"/>
        </w:trPr>
        <w:tc>
          <w:tcPr>
            <w:tcW w:w="1947" w:type="dxa"/>
            <w:vMerge/>
            <w:tcBorders>
              <w:left w:val="nil" w:sz="6" w:space="0" w:color="auto"/>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27"/>
              <w:ind w:left="309" w:right="307"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27"/>
              <w:ind w:left="506" w:right="240" w:hanging="272"/>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27"/>
              <w:ind w:left="307" w:right="307"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398" w:lineRule="exact" w:before="27"/>
              <w:ind w:left="509" w:right="242" w:hanging="272"/>
              <w:jc w:val="left"/>
              <w:rPr>
                <w:rFonts w:ascii="宋体" w:hAnsi="宋体" w:cs="宋体" w:eastAsia="宋体" w:hint="default"/>
                <w:sz w:val="18"/>
                <w:szCs w:val="18"/>
              </w:rPr>
            </w:pPr>
            <w:r>
              <w:rPr>
                <w:rFonts w:ascii="宋体" w:hAnsi="宋体" w:cs="宋体" w:eastAsia="宋体" w:hint="default"/>
                <w:sz w:val="18"/>
                <w:szCs w:val="18"/>
              </w:rPr>
              <w:t>递延所得税 资产</w:t>
            </w:r>
          </w:p>
        </w:tc>
      </w:tr>
      <w:tr>
        <w:trPr>
          <w:trHeight w:val="451"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73,105,252.32</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18,276,313.08</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61,313,369.77</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15,328,342.46</w:t>
            </w:r>
          </w:p>
        </w:tc>
      </w:tr>
      <w:tr>
        <w:trPr>
          <w:trHeight w:val="449"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14,307,947.25</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3,576,985.43</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74,516,723.84</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18,629,180.96</w:t>
            </w:r>
          </w:p>
        </w:tc>
      </w:tr>
      <w:tr>
        <w:trPr>
          <w:trHeight w:val="451"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已付购地滞纳金</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7,705,787.20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1,926,446.80</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8,020,309.12</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2,005,077.28</w:t>
            </w:r>
          </w:p>
        </w:tc>
      </w:tr>
      <w:tr>
        <w:trPr>
          <w:trHeight w:val="449"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18,875,568.22</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4,718,892.06</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15,120,480.90</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3,780,120.23</w:t>
            </w:r>
          </w:p>
        </w:tc>
      </w:tr>
      <w:tr>
        <w:trPr>
          <w:trHeight w:val="451"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2,799,414.68</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699,853.67</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15,422,817.98</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3,855,704.50</w:t>
            </w:r>
          </w:p>
        </w:tc>
      </w:tr>
      <w:tr>
        <w:trPr>
          <w:trHeight w:val="449"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可抵扣资产价值</w:t>
            </w:r>
          </w:p>
        </w:tc>
        <w:tc>
          <w:tcPr>
            <w:tcW w:w="1529" w:type="dxa"/>
            <w:tcBorders>
              <w:top w:val="dotted" w:sz="4" w:space="0" w:color="000000"/>
              <w:left w:val="dotted" w:sz="4" w:space="0" w:color="000000"/>
              <w:bottom w:val="dotted" w:sz="4" w:space="0" w:color="000000"/>
              <w:right w:val="dotted" w:sz="4" w:space="0" w:color="000000"/>
            </w:tcBorders>
          </w:tcPr>
          <w:p>
            <w:pPr/>
          </w:p>
        </w:tc>
        <w:tc>
          <w:tcPr>
            <w:tcW w:w="1388" w:type="dxa"/>
            <w:tcBorders>
              <w:top w:val="dotted" w:sz="4" w:space="0" w:color="000000"/>
              <w:left w:val="dotted" w:sz="4" w:space="0" w:color="000000"/>
              <w:bottom w:val="dotted" w:sz="4" w:space="0" w:color="000000"/>
              <w:right w:val="dotted" w:sz="4" w:space="0" w:color="000000"/>
            </w:tcBorders>
          </w:tcPr>
          <w:p>
            <w:pP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13,098,537.72</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3,271,626.94</w:t>
            </w:r>
          </w:p>
        </w:tc>
      </w:tr>
      <w:tr>
        <w:trPr>
          <w:trHeight w:val="451"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尚未发放的薪酬</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32,177,202.50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8,044,300.62</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15,242,372.42</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3,810,593.11</w:t>
            </w:r>
          </w:p>
        </w:tc>
      </w:tr>
      <w:tr>
        <w:trPr>
          <w:trHeight w:val="449"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313,404.28</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78,351.07</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313,404.32</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78,351.08</w:t>
            </w:r>
          </w:p>
        </w:tc>
      </w:tr>
      <w:tr>
        <w:trPr>
          <w:trHeight w:val="461" w:hRule="exact"/>
        </w:trPr>
        <w:tc>
          <w:tcPr>
            <w:tcW w:w="19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149,284,576.45</w:t>
            </w:r>
          </w:p>
        </w:tc>
        <w:tc>
          <w:tcPr>
            <w:tcW w:w="1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37,321,142.73</w:t>
            </w:r>
          </w:p>
        </w:tc>
        <w:tc>
          <w:tcPr>
            <w:tcW w:w="15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203,048,016.07</w:t>
            </w:r>
          </w:p>
        </w:tc>
        <w:tc>
          <w:tcPr>
            <w:tcW w:w="138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50,758,996.56</w:t>
            </w: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50" w:lineRule="auto"/>
        <w:ind w:left="850" w:right="1675"/>
        <w:jc w:val="left"/>
      </w:pPr>
      <w:r>
        <w:rPr/>
        <w:t>说明：已付购地滞纳金系主管税务局不允许公司一次性税前扣除，同意按土地使用</w:t>
      </w:r>
      <w:r>
        <w:rPr>
          <w:spacing w:val="-62"/>
        </w:rPr>
        <w:t> </w:t>
      </w:r>
      <w:r>
        <w:rPr/>
        <w:t>年限</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年内摊销进行税前扣除。</w:t>
      </w:r>
    </w:p>
    <w:p>
      <w:pPr>
        <w:spacing w:line="240" w:lineRule="auto" w:before="8"/>
        <w:rPr>
          <w:rFonts w:ascii="宋体" w:hAnsi="宋体" w:cs="宋体" w:eastAsia="宋体" w:hint="default"/>
          <w:sz w:val="25"/>
          <w:szCs w:val="25"/>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未经抵销的递延所得税负债</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947"/>
        <w:gridCol w:w="1529"/>
        <w:gridCol w:w="1433"/>
        <w:gridCol w:w="1481"/>
        <w:gridCol w:w="1388"/>
      </w:tblGrid>
      <w:tr>
        <w:trPr>
          <w:trHeight w:val="461" w:hRule="exact"/>
        </w:trPr>
        <w:tc>
          <w:tcPr>
            <w:tcW w:w="194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850" w:hRule="exact"/>
        </w:trPr>
        <w:tc>
          <w:tcPr>
            <w:tcW w:w="1947" w:type="dxa"/>
            <w:vMerge/>
            <w:tcBorders>
              <w:left w:val="nil" w:sz="6" w:space="0" w:color="auto"/>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5"/>
              <w:ind w:left="309" w:right="307"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5"/>
              <w:ind w:left="530" w:right="261" w:hanging="270"/>
              <w:jc w:val="left"/>
              <w:rPr>
                <w:rFonts w:ascii="宋体" w:hAnsi="宋体" w:cs="宋体" w:eastAsia="宋体" w:hint="default"/>
                <w:sz w:val="18"/>
                <w:szCs w:val="18"/>
              </w:rPr>
            </w:pPr>
            <w:r>
              <w:rPr>
                <w:rFonts w:ascii="宋体" w:hAnsi="宋体" w:cs="宋体" w:eastAsia="宋体" w:hint="default"/>
                <w:sz w:val="18"/>
                <w:szCs w:val="18"/>
              </w:rPr>
              <w:t>递延所得税 负债</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5"/>
              <w:ind w:left="283" w:right="287"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25"/>
              <w:ind w:left="509" w:right="242" w:hanging="272"/>
              <w:jc w:val="left"/>
              <w:rPr>
                <w:rFonts w:ascii="宋体" w:hAnsi="宋体" w:cs="宋体" w:eastAsia="宋体" w:hint="default"/>
                <w:sz w:val="18"/>
                <w:szCs w:val="18"/>
              </w:rPr>
            </w:pPr>
            <w:r>
              <w:rPr>
                <w:rFonts w:ascii="宋体" w:hAnsi="宋体" w:cs="宋体" w:eastAsia="宋体" w:hint="default"/>
                <w:sz w:val="18"/>
                <w:szCs w:val="18"/>
              </w:rPr>
              <w:t>递延所得税 负债</w:t>
            </w:r>
          </w:p>
        </w:tc>
      </w:tr>
      <w:tr>
        <w:trPr>
          <w:trHeight w:val="809"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97"/>
              <w:jc w:val="left"/>
              <w:rPr>
                <w:rFonts w:ascii="宋体" w:hAnsi="宋体" w:cs="宋体" w:eastAsia="宋体" w:hint="default"/>
                <w:sz w:val="18"/>
                <w:szCs w:val="18"/>
              </w:rPr>
            </w:pPr>
            <w:r>
              <w:rPr>
                <w:rFonts w:ascii="宋体" w:hAnsi="宋体" w:cs="宋体" w:eastAsia="宋体" w:hint="default"/>
                <w:sz w:val="18"/>
                <w:szCs w:val="18"/>
              </w:rPr>
              <w:t>内部出售停车场暂时 性差异</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38,722,686.32</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9,680,671.58</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39,623,792.48</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9,905,948.12</w:t>
            </w:r>
          </w:p>
        </w:tc>
      </w:tr>
      <w:tr>
        <w:trPr>
          <w:trHeight w:val="451"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737"/>
              <w:jc w:val="right"/>
              <w:rPr>
                <w:rFonts w:ascii="宋体" w:hAnsi="宋体" w:cs="宋体" w:eastAsia="宋体" w:hint="default"/>
                <w:sz w:val="18"/>
                <w:szCs w:val="18"/>
              </w:rPr>
            </w:pPr>
            <w:r>
              <w:rPr>
                <w:rFonts w:ascii="宋体" w:hAnsi="宋体" w:cs="宋体" w:eastAsia="宋体" w:hint="default"/>
                <w:sz w:val="18"/>
                <w:szCs w:val="18"/>
              </w:rPr>
              <w:t>固定资产折旧</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403,418.86</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100,854.72</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363,618.68</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90,904.67</w:t>
            </w:r>
          </w:p>
        </w:tc>
      </w:tr>
      <w:tr>
        <w:trPr>
          <w:trHeight w:val="449" w:hRule="exact"/>
        </w:trPr>
        <w:tc>
          <w:tcPr>
            <w:tcW w:w="19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737"/>
              <w:jc w:val="right"/>
              <w:rPr>
                <w:rFonts w:ascii="宋体" w:hAnsi="宋体" w:cs="宋体" w:eastAsia="宋体" w:hint="default"/>
                <w:sz w:val="18"/>
                <w:szCs w:val="18"/>
              </w:rPr>
            </w:pPr>
            <w:r>
              <w:rPr>
                <w:rFonts w:ascii="宋体" w:hAnsi="宋体" w:cs="宋体" w:eastAsia="宋体" w:hint="default"/>
                <w:sz w:val="18"/>
                <w:szCs w:val="18"/>
              </w:rPr>
              <w:t>股权投资收益</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34,122,572.08</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8,530,643.02</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34,122,572.08</w:t>
            </w:r>
          </w:p>
        </w:tc>
        <w:tc>
          <w:tcPr>
            <w:tcW w:w="13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8,530,643.02</w:t>
            </w:r>
          </w:p>
        </w:tc>
      </w:tr>
      <w:tr>
        <w:trPr>
          <w:trHeight w:val="461" w:hRule="exact"/>
        </w:trPr>
        <w:tc>
          <w:tcPr>
            <w:tcW w:w="19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782"/>
              <w:jc w:val="righ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73,248,677.26</w:t>
            </w:r>
          </w:p>
        </w:tc>
        <w:tc>
          <w:tcPr>
            <w:tcW w:w="14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18,312,169.32</w:t>
            </w:r>
          </w:p>
        </w:tc>
        <w:tc>
          <w:tcPr>
            <w:tcW w:w="14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74,109,983.24</w:t>
            </w:r>
          </w:p>
        </w:tc>
        <w:tc>
          <w:tcPr>
            <w:tcW w:w="138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18,527,495.81</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未确认递延所得税资产明细</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939"/>
        <w:gridCol w:w="1956"/>
        <w:gridCol w:w="1882"/>
      </w:tblGrid>
      <w:tr>
        <w:trPr>
          <w:trHeight w:val="458" w:hRule="exact"/>
        </w:trPr>
        <w:tc>
          <w:tcPr>
            <w:tcW w:w="39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8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7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9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217,177,015.35</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188,091,238.04</w:t>
            </w:r>
          </w:p>
        </w:tc>
      </w:tr>
      <w:tr>
        <w:trPr>
          <w:trHeight w:val="461" w:hRule="exact"/>
        </w:trPr>
        <w:tc>
          <w:tcPr>
            <w:tcW w:w="39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1,538,459,934.34</w:t>
            </w:r>
          </w:p>
        </w:tc>
        <w:tc>
          <w:tcPr>
            <w:tcW w:w="18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1,280,002,317.62</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939"/>
        <w:gridCol w:w="1956"/>
        <w:gridCol w:w="1882"/>
      </w:tblGrid>
      <w:tr>
        <w:trPr>
          <w:trHeight w:val="461" w:hRule="exact"/>
        </w:trPr>
        <w:tc>
          <w:tcPr>
            <w:tcW w:w="39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7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8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7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1" w:hRule="exact"/>
        </w:trPr>
        <w:tc>
          <w:tcPr>
            <w:tcW w:w="39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1,755,636,949.69</w:t>
            </w:r>
          </w:p>
        </w:tc>
        <w:tc>
          <w:tcPr>
            <w:tcW w:w="18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1,468,093,555.66</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4</w:t>
      </w:r>
      <w:r>
        <w:rPr/>
        <w:t>、</w:t>
        <w:tab/>
        <w:t>未确认递延所得税资产的可抵扣亏损将于以下年度到期：</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959"/>
        <w:gridCol w:w="1940"/>
        <w:gridCol w:w="1939"/>
        <w:gridCol w:w="1940"/>
      </w:tblGrid>
      <w:tr>
        <w:trPr>
          <w:trHeight w:val="461" w:hRule="exact"/>
        </w:trPr>
        <w:tc>
          <w:tcPr>
            <w:tcW w:w="19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785"/>
              <w:jc w:val="right"/>
              <w:rPr>
                <w:rFonts w:ascii="宋体" w:hAnsi="宋体" w:cs="宋体" w:eastAsia="宋体" w:hint="default"/>
                <w:sz w:val="18"/>
                <w:szCs w:val="18"/>
              </w:rPr>
            </w:pPr>
            <w:r>
              <w:rPr>
                <w:rFonts w:ascii="宋体" w:hAnsi="宋体" w:cs="宋体" w:eastAsia="宋体" w:hint="default"/>
                <w:sz w:val="18"/>
                <w:szCs w:val="18"/>
              </w:rPr>
              <w:t>年份</w:t>
            </w:r>
          </w:p>
        </w:tc>
        <w:tc>
          <w:tcPr>
            <w:tcW w:w="19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0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51" w:hRule="exact"/>
        </w:trPr>
        <w:tc>
          <w:tcPr>
            <w:tcW w:w="1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2018</w:t>
            </w:r>
          </w:p>
        </w:tc>
        <w:tc>
          <w:tcPr>
            <w:tcW w:w="1940"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33,849,902.97</w:t>
            </w: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2019</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246,379,049.63</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246,379,049.63</w:t>
            </w: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2020</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264,050,641.68</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264,050,641.68</w:t>
            </w: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2021</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356,261,641.50</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356,261,641.50</w:t>
            </w: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2022</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379,461,081.84</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379,461,081.84</w:t>
            </w: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2023</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292,307,519.69</w:t>
            </w:r>
          </w:p>
        </w:tc>
        <w:tc>
          <w:tcPr>
            <w:tcW w:w="1939"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9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785"/>
              <w:jc w:val="righ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1,538,459,934.34</w:t>
            </w:r>
          </w:p>
        </w:tc>
        <w:tc>
          <w:tcPr>
            <w:tcW w:w="19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1,280,002,317.62</w:t>
            </w:r>
          </w:p>
        </w:tc>
        <w:tc>
          <w:tcPr>
            <w:tcW w:w="19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350" w:lineRule="auto"/>
        <w:ind w:left="850" w:right="1675"/>
        <w:jc w:val="left"/>
      </w:pPr>
      <w:r>
        <w:rPr/>
        <w:t>说明：主要系子公司天津海吉星农产品物流有限公司、长春海吉星农产品物流有限</w:t>
      </w:r>
      <w:r>
        <w:rPr>
          <w:spacing w:val="-62"/>
        </w:rPr>
        <w:t> </w:t>
      </w:r>
      <w:r>
        <w:rPr/>
        <w:t>公司及深圳市南方农产品物流有限公司本期亏损较大所致。</w:t>
      </w:r>
    </w:p>
    <w:p>
      <w:pPr>
        <w:spacing w:line="240" w:lineRule="auto" w:before="8"/>
        <w:rPr>
          <w:rFonts w:ascii="宋体" w:hAnsi="宋体" w:cs="宋体" w:eastAsia="宋体" w:hint="default"/>
          <w:sz w:val="27"/>
          <w:szCs w:val="27"/>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其他非流动资产</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495"/>
        <w:gridCol w:w="2112"/>
        <w:gridCol w:w="2170"/>
      </w:tblGrid>
      <w:tr>
        <w:trPr>
          <w:trHeight w:val="461" w:hRule="exact"/>
        </w:trPr>
        <w:tc>
          <w:tcPr>
            <w:tcW w:w="34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71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预付购地款</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10,654,754.92</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8,267,162.14</w:t>
            </w:r>
          </w:p>
        </w:tc>
      </w:tr>
      <w:tr>
        <w:trPr>
          <w:trHeight w:val="451"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其中：长春海吉星二期用地</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2,301,105.00</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2,301,105.00</w:t>
            </w:r>
          </w:p>
        </w:tc>
      </w:tr>
      <w:tr>
        <w:trPr>
          <w:trHeight w:val="449"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天津韩家墅用地</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5,966,057.14</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5,966,057.14</w:t>
            </w:r>
          </w:p>
        </w:tc>
      </w:tr>
      <w:tr>
        <w:trPr>
          <w:trHeight w:val="452"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662" w:right="0"/>
              <w:jc w:val="left"/>
              <w:rPr>
                <w:rFonts w:ascii="宋体" w:hAnsi="宋体" w:cs="宋体" w:eastAsia="宋体" w:hint="default"/>
                <w:sz w:val="18"/>
                <w:szCs w:val="18"/>
              </w:rPr>
            </w:pPr>
            <w:r>
              <w:rPr>
                <w:rFonts w:ascii="宋体" w:hAnsi="宋体" w:cs="宋体" w:eastAsia="宋体" w:hint="default"/>
                <w:sz w:val="18"/>
                <w:szCs w:val="18"/>
              </w:rPr>
              <w:t>天津交易市场主体工程</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2,387,592.78</w:t>
            </w:r>
          </w:p>
        </w:tc>
        <w:tc>
          <w:tcPr>
            <w:tcW w:w="217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22,102,539.42</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24,729,021.82</w:t>
            </w:r>
          </w:p>
        </w:tc>
      </w:tr>
      <w:tr>
        <w:trPr>
          <w:trHeight w:val="451"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其中：长沙马王堆黄兴市场项目</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17,912,500.00</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449"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天津物流园工程项目</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2,674,205.05</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2,273,859.24</w:t>
            </w:r>
          </w:p>
        </w:tc>
      </w:tr>
      <w:tr>
        <w:trPr>
          <w:trHeight w:val="451"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112" w:type="dxa"/>
            <w:tcBorders>
              <w:top w:val="dotted" w:sz="4" w:space="0" w:color="000000"/>
              <w:left w:val="dotted" w:sz="4" w:space="0" w:color="000000"/>
              <w:bottom w:val="dotted" w:sz="4" w:space="0" w:color="000000"/>
              <w:right w:val="dotted" w:sz="4" w:space="0" w:color="000000"/>
            </w:tcBorders>
          </w:tcPr>
          <w:p>
            <w:pP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3,345,813.00</w:t>
            </w:r>
          </w:p>
        </w:tc>
      </w:tr>
      <w:tr>
        <w:trPr>
          <w:trHeight w:val="449"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其中：福田区企业人才住房</w:t>
            </w:r>
          </w:p>
        </w:tc>
        <w:tc>
          <w:tcPr>
            <w:tcW w:w="2112" w:type="dxa"/>
            <w:tcBorders>
              <w:top w:val="dotted" w:sz="4" w:space="0" w:color="000000"/>
              <w:left w:val="dotted" w:sz="4" w:space="0" w:color="000000"/>
              <w:bottom w:val="dotted" w:sz="4" w:space="0" w:color="000000"/>
              <w:right w:val="dotted" w:sz="4" w:space="0" w:color="000000"/>
            </w:tcBorders>
          </w:tcPr>
          <w:p>
            <w:pP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3,345,813.00</w:t>
            </w:r>
          </w:p>
        </w:tc>
      </w:tr>
      <w:tr>
        <w:trPr>
          <w:trHeight w:val="451"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预付委托经营款</w:t>
            </w:r>
          </w:p>
        </w:tc>
        <w:tc>
          <w:tcPr>
            <w:tcW w:w="2112" w:type="dxa"/>
            <w:tcBorders>
              <w:top w:val="dotted" w:sz="4" w:space="0" w:color="000000"/>
              <w:left w:val="dotted" w:sz="4" w:space="0" w:color="000000"/>
              <w:bottom w:val="dotted" w:sz="4" w:space="0" w:color="000000"/>
              <w:right w:val="dotted" w:sz="4" w:space="0" w:color="000000"/>
            </w:tcBorders>
          </w:tcPr>
          <w:p>
            <w:pP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144,216,914.90</w:t>
            </w:r>
          </w:p>
        </w:tc>
      </w:tr>
      <w:tr>
        <w:trPr>
          <w:trHeight w:val="809"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102"/>
              <w:jc w:val="left"/>
              <w:rPr>
                <w:rFonts w:ascii="宋体" w:hAnsi="宋体" w:cs="宋体" w:eastAsia="宋体" w:hint="default"/>
                <w:sz w:val="18"/>
                <w:szCs w:val="18"/>
              </w:rPr>
            </w:pPr>
            <w:r>
              <w:rPr>
                <w:rFonts w:ascii="宋体" w:hAnsi="宋体" w:cs="宋体" w:eastAsia="宋体" w:hint="default"/>
                <w:sz w:val="18"/>
                <w:szCs w:val="18"/>
              </w:rPr>
              <w:t>其中：预付给天津市北辰区青光镇韩家墅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村农工商联合公司委托经营款</w:t>
            </w:r>
          </w:p>
        </w:tc>
        <w:tc>
          <w:tcPr>
            <w:tcW w:w="2112" w:type="dxa"/>
            <w:tcBorders>
              <w:top w:val="dotted" w:sz="4" w:space="0" w:color="000000"/>
              <w:left w:val="dotted" w:sz="4" w:space="0" w:color="000000"/>
              <w:bottom w:val="dotted" w:sz="4" w:space="0" w:color="000000"/>
              <w:right w:val="dotted" w:sz="4" w:space="0" w:color="000000"/>
            </w:tcBorders>
          </w:tcPr>
          <w:p>
            <w:pP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144,216,914.90</w:t>
            </w:r>
          </w:p>
        </w:tc>
      </w:tr>
      <w:tr>
        <w:trPr>
          <w:trHeight w:val="451" w:hRule="exact"/>
        </w:trPr>
        <w:tc>
          <w:tcPr>
            <w:tcW w:w="34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预付拆迁安置租金的补偿款</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254,736.43</w:t>
            </w:r>
          </w:p>
        </w:tc>
        <w:tc>
          <w:tcPr>
            <w:tcW w:w="21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1,620,407.45</w:t>
            </w:r>
          </w:p>
        </w:tc>
      </w:tr>
      <w:tr>
        <w:trPr>
          <w:trHeight w:val="461" w:hRule="exact"/>
        </w:trPr>
        <w:tc>
          <w:tcPr>
            <w:tcW w:w="34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33,012,030.77</w:t>
            </w:r>
          </w:p>
        </w:tc>
        <w:tc>
          <w:tcPr>
            <w:tcW w:w="21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182,179,319.31</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0"/>
          <w:szCs w:val="10"/>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短期借款</w:t>
      </w:r>
      <w:r>
        <w:rPr>
          <w:b w:val="0"/>
          <w:bCs w:val="0"/>
        </w:rPr>
      </w:r>
    </w:p>
    <w:tbl>
      <w:tblPr>
        <w:tblW w:w="0" w:type="auto"/>
        <w:jc w:val="left"/>
        <w:tblInd w:w="768" w:type="dxa"/>
        <w:tblLayout w:type="fixed"/>
        <w:tblCellMar>
          <w:top w:w="0" w:type="dxa"/>
          <w:left w:w="0" w:type="dxa"/>
          <w:bottom w:w="0" w:type="dxa"/>
          <w:right w:w="0" w:type="dxa"/>
        </w:tblCellMar>
        <w:tblLook w:val="01E0"/>
      </w:tblPr>
      <w:tblGrid>
        <w:gridCol w:w="3485"/>
        <w:gridCol w:w="2146"/>
        <w:gridCol w:w="2146"/>
      </w:tblGrid>
      <w:tr>
        <w:trPr>
          <w:trHeight w:val="461" w:hRule="exact"/>
        </w:trPr>
        <w:tc>
          <w:tcPr>
            <w:tcW w:w="34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548"/>
              <w:jc w:val="right"/>
              <w:rPr>
                <w:rFonts w:ascii="宋体" w:hAnsi="宋体" w:cs="宋体" w:eastAsia="宋体" w:hint="default"/>
                <w:sz w:val="18"/>
                <w:szCs w:val="18"/>
              </w:rPr>
            </w:pPr>
            <w:r>
              <w:rPr>
                <w:rFonts w:ascii="宋体" w:hAnsi="宋体" w:cs="宋体" w:eastAsia="宋体" w:hint="default"/>
                <w:sz w:val="18"/>
                <w:szCs w:val="18"/>
              </w:rPr>
              <w:t>项目</w:t>
            </w:r>
          </w:p>
        </w:tc>
        <w:tc>
          <w:tcPr>
            <w:tcW w:w="21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7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70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4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214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4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146"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51" w:hRule="exact"/>
        </w:trPr>
        <w:tc>
          <w:tcPr>
            <w:tcW w:w="34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4,705,000,000.00</w:t>
            </w: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4,500,258,000.00</w:t>
            </w:r>
          </w:p>
        </w:tc>
      </w:tr>
      <w:tr>
        <w:trPr>
          <w:trHeight w:val="461" w:hRule="exact"/>
        </w:trPr>
        <w:tc>
          <w:tcPr>
            <w:tcW w:w="34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548"/>
              <w:jc w:val="right"/>
              <w:rPr>
                <w:rFonts w:ascii="宋体" w:hAnsi="宋体" w:cs="宋体" w:eastAsia="宋体" w:hint="default"/>
                <w:sz w:val="18"/>
                <w:szCs w:val="18"/>
              </w:rPr>
            </w:pPr>
            <w:r>
              <w:rPr>
                <w:rFonts w:ascii="宋体" w:hAnsi="宋体" w:cs="宋体" w:eastAsia="宋体" w:hint="default"/>
                <w:sz w:val="18"/>
                <w:szCs w:val="18"/>
              </w:rPr>
              <w:t>合计</w:t>
            </w:r>
          </w:p>
        </w:tc>
        <w:tc>
          <w:tcPr>
            <w:tcW w:w="21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4,727,000,000.00</w:t>
            </w:r>
          </w:p>
        </w:tc>
        <w:tc>
          <w:tcPr>
            <w:tcW w:w="21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4,540,258,000.00</w:t>
            </w:r>
          </w:p>
        </w:tc>
      </w:tr>
    </w:tbl>
    <w:p>
      <w:pPr>
        <w:spacing w:line="240" w:lineRule="auto" w:before="9"/>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t>应付票据及应付账款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531"/>
        <w:gridCol w:w="2124"/>
        <w:gridCol w:w="2122"/>
      </w:tblGrid>
      <w:tr>
        <w:trPr>
          <w:trHeight w:val="461" w:hRule="exact"/>
        </w:trPr>
        <w:tc>
          <w:tcPr>
            <w:tcW w:w="353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572"/>
              <w:jc w:val="right"/>
              <w:rPr>
                <w:rFonts w:ascii="宋体" w:hAnsi="宋体" w:cs="宋体" w:eastAsia="宋体" w:hint="default"/>
                <w:sz w:val="18"/>
                <w:szCs w:val="18"/>
              </w:rPr>
            </w:pPr>
            <w:r>
              <w:rPr>
                <w:rFonts w:ascii="宋体" w:hAnsi="宋体" w:cs="宋体" w:eastAsia="宋体" w:hint="default"/>
                <w:sz w:val="18"/>
                <w:szCs w:val="18"/>
              </w:rPr>
              <w:t>项目</w:t>
            </w:r>
          </w:p>
        </w:tc>
        <w:tc>
          <w:tcPr>
            <w:tcW w:w="21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9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4" w:type="dxa"/>
            <w:tcBorders>
              <w:top w:val="dotted" w:sz="4" w:space="0" w:color="000000"/>
              <w:left w:val="dotted" w:sz="4" w:space="0" w:color="000000"/>
              <w:bottom w:val="dotted" w:sz="4" w:space="0" w:color="000000"/>
              <w:right w:val="dotted" w:sz="4" w:space="0" w:color="000000"/>
            </w:tcBorders>
          </w:tcPr>
          <w:p>
            <w:pPr/>
          </w:p>
        </w:tc>
        <w:tc>
          <w:tcPr>
            <w:tcW w:w="2122"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731,569,620.40</w:t>
            </w:r>
          </w:p>
        </w:tc>
        <w:tc>
          <w:tcPr>
            <w:tcW w:w="21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833,614,198.94</w:t>
            </w:r>
          </w:p>
        </w:tc>
      </w:tr>
      <w:tr>
        <w:trPr>
          <w:trHeight w:val="461" w:hRule="exact"/>
        </w:trPr>
        <w:tc>
          <w:tcPr>
            <w:tcW w:w="35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572"/>
              <w:jc w:val="right"/>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731,569,620.40</w:t>
            </w:r>
          </w:p>
        </w:tc>
        <w:tc>
          <w:tcPr>
            <w:tcW w:w="21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833,614,198.94</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1</w:t>
      </w:r>
      <w:r>
        <w:rPr/>
        <w:t>、</w:t>
        <w:tab/>
        <w:t>应付账款</w:t>
      </w:r>
      <w:r>
        <w:rPr>
          <w:b w:val="0"/>
          <w:bCs w:val="0"/>
        </w:rPr>
      </w:r>
    </w:p>
    <w:p>
      <w:pPr>
        <w:pStyle w:val="BodyText"/>
        <w:spacing w:line="240" w:lineRule="auto" w:before="99"/>
        <w:ind w:right="1675"/>
        <w:jc w:val="left"/>
      </w:pPr>
      <w:r>
        <w:rPr/>
        <w:t>（</w:t>
      </w:r>
      <w:r>
        <w:rPr>
          <w:rFonts w:ascii="Times New Roman" w:hAnsi="Times New Roman" w:cs="Times New Roman" w:eastAsia="Times New Roman" w:hint="default"/>
        </w:rPr>
        <w:t>1</w:t>
      </w:r>
      <w:r>
        <w:rPr/>
        <w:t>）应付账款列示：</w:t>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682,565,682.86</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802,864,743.80</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7,853,404.53</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420,929.24</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41,150,533.01</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30,328,525.90</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731,569,620.40</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833,614,198.94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675"/>
        <w:jc w:val="left"/>
      </w:pPr>
      <w:r>
        <w:rPr/>
        <w:t>（</w:t>
      </w:r>
      <w:r>
        <w:rPr>
          <w:rFonts w:ascii="Times New Roman" w:hAnsi="Times New Roman" w:cs="Times New Roman" w:eastAsia="Times New Roman" w:hint="default"/>
        </w:rPr>
        <w:t>2</w:t>
      </w:r>
      <w:r>
        <w:rPr/>
        <w:t>）账龄超过一年的重要应付账款：</w:t>
      </w:r>
    </w:p>
    <w:tbl>
      <w:tblPr>
        <w:tblW w:w="0" w:type="auto"/>
        <w:jc w:val="left"/>
        <w:tblInd w:w="769" w:type="dxa"/>
        <w:tblLayout w:type="fixed"/>
        <w:tblCellMar>
          <w:top w:w="0" w:type="dxa"/>
          <w:left w:w="0" w:type="dxa"/>
          <w:bottom w:w="0" w:type="dxa"/>
          <w:right w:w="0" w:type="dxa"/>
        </w:tblCellMar>
        <w:tblLook w:val="01E0"/>
      </w:tblPr>
      <w:tblGrid>
        <w:gridCol w:w="4482"/>
        <w:gridCol w:w="1690"/>
        <w:gridCol w:w="1606"/>
      </w:tblGrid>
      <w:tr>
        <w:trPr>
          <w:trHeight w:val="818" w:hRule="exact"/>
        </w:trPr>
        <w:tc>
          <w:tcPr>
            <w:tcW w:w="44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6" w:type="dxa"/>
            <w:tcBorders>
              <w:top w:val="single" w:sz="12" w:space="0" w:color="000000"/>
              <w:left w:val="dotted" w:sz="4" w:space="0" w:color="000000"/>
              <w:bottom w:val="dotted" w:sz="4" w:space="0" w:color="000000"/>
              <w:right w:val="nil" w:sz="6" w:space="0" w:color="auto"/>
            </w:tcBorders>
          </w:tcPr>
          <w:p>
            <w:pPr>
              <w:pStyle w:val="TableParagraph"/>
              <w:spacing w:line="367" w:lineRule="auto" w:before="135"/>
              <w:ind w:left="617" w:right="171" w:hanging="450"/>
              <w:jc w:val="left"/>
              <w:rPr>
                <w:rFonts w:ascii="宋体" w:hAnsi="宋体" w:cs="宋体" w:eastAsia="宋体" w:hint="default"/>
                <w:sz w:val="18"/>
                <w:szCs w:val="18"/>
              </w:rPr>
            </w:pPr>
            <w:r>
              <w:rPr>
                <w:rFonts w:ascii="宋体" w:hAnsi="宋体" w:cs="宋体" w:eastAsia="宋体" w:hint="default"/>
                <w:sz w:val="18"/>
                <w:szCs w:val="18"/>
              </w:rPr>
              <w:t>未偿还或结转的 原因</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71,897,214.39</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广东五华二建工程有限公司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53,034,160.00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2"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中国十九冶集团有限公司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38,163,904.89</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长春金城工程建设有限责任公司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33,380,641.34</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天津东方奥特建设集团有限公司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25,767,933.22</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61" w:hRule="exact"/>
        </w:trPr>
        <w:tc>
          <w:tcPr>
            <w:tcW w:w="44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长春建设集团股份有限公司</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24,871,395.00</w:t>
            </w:r>
          </w:p>
        </w:tc>
        <w:tc>
          <w:tcPr>
            <w:tcW w:w="16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bl>
    <w:p>
      <w:pPr>
        <w:spacing w:after="0" w:line="240" w:lineRule="auto"/>
        <w:jc w:val="left"/>
        <w:rPr>
          <w:rFonts w:ascii="宋体" w:hAnsi="宋体" w:cs="宋体" w:eastAsia="宋体" w:hint="default"/>
          <w:sz w:val="18"/>
          <w:szCs w:val="18"/>
        </w:rPr>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4482"/>
        <w:gridCol w:w="1690"/>
        <w:gridCol w:w="1606"/>
      </w:tblGrid>
      <w:tr>
        <w:trPr>
          <w:trHeight w:val="821" w:hRule="exact"/>
        </w:trPr>
        <w:tc>
          <w:tcPr>
            <w:tcW w:w="44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6" w:type="dxa"/>
            <w:tcBorders>
              <w:top w:val="single" w:sz="12" w:space="0" w:color="000000"/>
              <w:left w:val="dotted" w:sz="4" w:space="0" w:color="000000"/>
              <w:bottom w:val="dotted" w:sz="4" w:space="0" w:color="000000"/>
              <w:right w:val="nil" w:sz="6" w:space="0" w:color="auto"/>
            </w:tcBorders>
          </w:tcPr>
          <w:p>
            <w:pPr>
              <w:pStyle w:val="TableParagraph"/>
              <w:spacing w:line="364" w:lineRule="auto" w:before="138"/>
              <w:ind w:left="617" w:right="171" w:hanging="450"/>
              <w:jc w:val="left"/>
              <w:rPr>
                <w:rFonts w:ascii="宋体" w:hAnsi="宋体" w:cs="宋体" w:eastAsia="宋体" w:hint="default"/>
                <w:sz w:val="18"/>
                <w:szCs w:val="18"/>
              </w:rPr>
            </w:pPr>
            <w:r>
              <w:rPr>
                <w:rFonts w:ascii="宋体" w:hAnsi="宋体" w:cs="宋体" w:eastAsia="宋体" w:hint="default"/>
                <w:sz w:val="18"/>
                <w:szCs w:val="18"/>
              </w:rPr>
              <w:t>未偿还或结转的 原因</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中国建筑第二工程局有限公司深圳分公司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19,901,166.65</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湖南省建筑工程集团总公司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16,717,395.59</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广西建工集团第四建筑工程有限责任公司柳州分公司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14,393,876.93</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深圳广铁土木工程有限公司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14,336,125.50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长春市轻工建筑工程有限责任公司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13,546,529.75</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银川三建集团有限公司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9,256,717.92</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广西壮族自治区冶金建设公司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8,751,169.96</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吉林省伟铭消防安全工程有限公司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6,582,421.00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吴忠市宏广建筑工程有限公司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5,577,881.71</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广西建工集团第三建筑工程有限责任公司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5,138,393.53</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湖北君安建设工程集团有限公司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3,638,522.06</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2"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3,451,255.00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长春建工集团吉泓建筑有限公司（暂估）</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2,909,994.60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惠州市国土局</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2,800,871.00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应付土地款</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江西省启航建筑工程有限公司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2,715,007.47</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广西城中建筑工程有限责任公司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2,644,313.42</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2,370,973.56</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深圳市广鸿海建筑工程有限公司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2,315,728.52</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松下压缩机（大连）有限公司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2,230,000.00</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深圳市河山建设工程有限公司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2,205,825.31</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西安市长安建筑开发集团公司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2,062,827.34</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北京中鸿建筑工程设计有限公司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1,935,130.79</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61" w:hRule="exact"/>
        </w:trPr>
        <w:tc>
          <w:tcPr>
            <w:tcW w:w="44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392,597,376.45</w:t>
            </w:r>
          </w:p>
        </w:tc>
        <w:tc>
          <w:tcPr>
            <w:tcW w:w="160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预收款项</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预收款项列示</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151,776,847.04</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151,509,593.59</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9,660,893.36</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7,878,741.41</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预收售房款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298,226,254.15</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30,282,650.43</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其他预收款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43,707,576.28</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46,992,927.55</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503,371,570.83</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236,663,912.98</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预收售房款收款情况</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586"/>
        <w:gridCol w:w="1904"/>
        <w:gridCol w:w="2288"/>
      </w:tblGrid>
      <w:tr>
        <w:trPr>
          <w:trHeight w:val="461" w:hRule="exact"/>
        </w:trPr>
        <w:tc>
          <w:tcPr>
            <w:tcW w:w="35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601"/>
              <w:jc w:val="right"/>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8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5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南昌农批商铺销售款</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3,484,917.19</w:t>
            </w:r>
          </w:p>
        </w:tc>
        <w:tc>
          <w:tcPr>
            <w:tcW w:w="22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2,152,137.19</w:t>
            </w:r>
          </w:p>
        </w:tc>
      </w:tr>
      <w:tr>
        <w:trPr>
          <w:trHeight w:val="449" w:hRule="exact"/>
        </w:trPr>
        <w:tc>
          <w:tcPr>
            <w:tcW w:w="35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惠州商铺销售款</w:t>
            </w:r>
          </w:p>
        </w:tc>
        <w:tc>
          <w:tcPr>
            <w:tcW w:w="1904" w:type="dxa"/>
            <w:tcBorders>
              <w:top w:val="dotted" w:sz="4" w:space="0" w:color="000000"/>
              <w:left w:val="dotted" w:sz="4" w:space="0" w:color="000000"/>
              <w:bottom w:val="dotted" w:sz="4" w:space="0" w:color="000000"/>
              <w:right w:val="dotted" w:sz="4" w:space="0" w:color="000000"/>
            </w:tcBorders>
          </w:tcPr>
          <w:p>
            <w:pPr/>
          </w:p>
        </w:tc>
        <w:tc>
          <w:tcPr>
            <w:tcW w:w="22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80,342.05</w:t>
            </w:r>
          </w:p>
        </w:tc>
      </w:tr>
      <w:tr>
        <w:trPr>
          <w:trHeight w:val="451" w:hRule="exact"/>
        </w:trPr>
        <w:tc>
          <w:tcPr>
            <w:tcW w:w="35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岳阳海吉星店铺销售款</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65,557,496.85</w:t>
            </w:r>
          </w:p>
        </w:tc>
        <w:tc>
          <w:tcPr>
            <w:tcW w:w="22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28,050,171.19</w:t>
            </w:r>
          </w:p>
        </w:tc>
      </w:tr>
      <w:tr>
        <w:trPr>
          <w:trHeight w:val="449" w:hRule="exact"/>
        </w:trPr>
        <w:tc>
          <w:tcPr>
            <w:tcW w:w="35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新柳邕商铺销售款</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229,183,840.11</w:t>
            </w:r>
          </w:p>
        </w:tc>
        <w:tc>
          <w:tcPr>
            <w:tcW w:w="2288"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5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601"/>
              <w:jc w:val="righ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298,226,254.15</w:t>
            </w:r>
          </w:p>
        </w:tc>
        <w:tc>
          <w:tcPr>
            <w:tcW w:w="228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30,282,650.43</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left="850" w:right="1675"/>
        <w:jc w:val="left"/>
        <w:rPr>
          <w:b w:val="0"/>
          <w:bCs w:val="0"/>
        </w:rPr>
      </w:pPr>
      <w:r>
        <w:rPr>
          <w:rFonts w:ascii="Times New Roman" w:hAnsi="Times New Roman" w:cs="Times New Roman" w:eastAsia="Times New Roman" w:hint="default"/>
        </w:rPr>
        <w:t>3</w:t>
      </w:r>
      <w:r>
        <w:rPr/>
        <w:t>、</w:t>
        <w:tab/>
        <w:t>期末无账龄超过一年的重要预收款项</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应付职工薪酬</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应付职工薪酬列示</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343"/>
        <w:gridCol w:w="1358"/>
        <w:gridCol w:w="1359"/>
        <w:gridCol w:w="1358"/>
        <w:gridCol w:w="1359"/>
      </w:tblGrid>
      <w:tr>
        <w:trPr>
          <w:trHeight w:val="461" w:hRule="exact"/>
        </w:trPr>
        <w:tc>
          <w:tcPr>
            <w:tcW w:w="23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1"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155,747,208.03</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582,008,066.14</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553,496,088.89</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184,259,185.28</w:t>
            </w:r>
          </w:p>
        </w:tc>
      </w:tr>
      <w:tr>
        <w:trPr>
          <w:trHeight w:val="449"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1,050,033.98</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49,386,082.68</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48,879,855.24</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1,556,261.42</w:t>
            </w:r>
          </w:p>
        </w:tc>
      </w:tr>
      <w:tr>
        <w:trPr>
          <w:trHeight w:val="452"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2,725,095.92</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2,570,301.84</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154,794.08</w:t>
            </w:r>
          </w:p>
        </w:tc>
      </w:tr>
      <w:tr>
        <w:trPr>
          <w:trHeight w:val="449"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dotted" w:sz="4" w:space="0" w:color="000000"/>
            </w:tcBorders>
          </w:tcPr>
          <w:p>
            <w:pP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3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156,797,242.01</w:t>
            </w:r>
          </w:p>
        </w:tc>
        <w:tc>
          <w:tcPr>
            <w:tcW w:w="13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634,119,244.74</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604,946,245.97</w:t>
            </w:r>
          </w:p>
        </w:tc>
        <w:tc>
          <w:tcPr>
            <w:tcW w:w="13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185,970,240.78</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短期薪酬列示</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480"/>
        <w:gridCol w:w="1322"/>
        <w:gridCol w:w="1325"/>
        <w:gridCol w:w="1325"/>
        <w:gridCol w:w="1325"/>
      </w:tblGrid>
      <w:tr>
        <w:trPr>
          <w:trHeight w:val="458" w:hRule="exact"/>
        </w:trPr>
        <w:tc>
          <w:tcPr>
            <w:tcW w:w="248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33"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3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36"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35"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3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36"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451"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）工资、奖金、津贴和补贴</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149,597,030.70</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488,330,074.80</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459,202,557.62</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178,724,547.88</w:t>
            </w:r>
          </w:p>
        </w:tc>
      </w:tr>
      <w:tr>
        <w:trPr>
          <w:trHeight w:val="449"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）职工福利费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2,297,727.43</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34,774,906.09</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35,698,762.78</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1,373,870.74</w:t>
            </w:r>
          </w:p>
        </w:tc>
      </w:tr>
      <w:tr>
        <w:trPr>
          <w:trHeight w:val="451"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）社会保险费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91,705.58</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22,773,830.04</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22,336,677.32</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528,858.30</w:t>
            </w:r>
          </w:p>
        </w:tc>
      </w:tr>
      <w:tr>
        <w:trPr>
          <w:trHeight w:val="449"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03" w:right="0"/>
              <w:jc w:val="left"/>
              <w:rPr>
                <w:rFonts w:ascii="宋体" w:hAnsi="宋体" w:cs="宋体" w:eastAsia="宋体" w:hint="default"/>
                <w:sz w:val="16"/>
                <w:szCs w:val="16"/>
              </w:rPr>
            </w:pPr>
            <w:r>
              <w:rPr>
                <w:rFonts w:ascii="宋体" w:hAnsi="宋体" w:cs="宋体" w:eastAsia="宋体" w:hint="default"/>
                <w:sz w:val="16"/>
                <w:szCs w:val="16"/>
              </w:rPr>
              <w:t>其中：医疗保险费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40,749.35</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19,852,416.52</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19,525,868.96</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367,296.91</w:t>
            </w:r>
          </w:p>
        </w:tc>
      </w:tr>
      <w:tr>
        <w:trPr>
          <w:trHeight w:val="461" w:hRule="exact"/>
        </w:trPr>
        <w:tc>
          <w:tcPr>
            <w:tcW w:w="24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683" w:right="0"/>
              <w:jc w:val="left"/>
              <w:rPr>
                <w:rFonts w:ascii="宋体" w:hAnsi="宋体" w:cs="宋体" w:eastAsia="宋体" w:hint="default"/>
                <w:sz w:val="16"/>
                <w:szCs w:val="16"/>
              </w:rPr>
            </w:pPr>
            <w:r>
              <w:rPr>
                <w:rFonts w:ascii="宋体" w:hAnsi="宋体" w:cs="宋体" w:eastAsia="宋体" w:hint="default"/>
                <w:sz w:val="16"/>
                <w:szCs w:val="16"/>
              </w:rPr>
              <w:t>工伤保险费</w:t>
            </w:r>
          </w:p>
        </w:tc>
        <w:tc>
          <w:tcPr>
            <w:tcW w:w="13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3,833.16</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898,724.25</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869,357.69</w:t>
            </w:r>
          </w:p>
        </w:tc>
        <w:tc>
          <w:tcPr>
            <w:tcW w:w="13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33,199.72</w:t>
            </w:r>
          </w:p>
        </w:tc>
      </w:tr>
    </w:tbl>
    <w:p>
      <w:pPr>
        <w:spacing w:after="0" w:line="240" w:lineRule="auto"/>
        <w:jc w:val="right"/>
        <w:rPr>
          <w:rFonts w:ascii="Times New Roman" w:hAnsi="Times New Roman" w:cs="Times New Roman" w:eastAsia="Times New Roman" w:hint="default"/>
          <w:sz w:val="16"/>
          <w:szCs w:val="16"/>
        </w:rPr>
        <w:sectPr>
          <w:pgSz w:w="11910" w:h="16840"/>
          <w:pgMar w:header="779"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2480"/>
        <w:gridCol w:w="1322"/>
        <w:gridCol w:w="1325"/>
        <w:gridCol w:w="1325"/>
        <w:gridCol w:w="1325"/>
      </w:tblGrid>
      <w:tr>
        <w:trPr>
          <w:trHeight w:val="461" w:hRule="exact"/>
        </w:trPr>
        <w:tc>
          <w:tcPr>
            <w:tcW w:w="248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333"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3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336"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335"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3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336"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449"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683" w:right="0"/>
              <w:jc w:val="left"/>
              <w:rPr>
                <w:rFonts w:ascii="宋体" w:hAnsi="宋体" w:cs="宋体" w:eastAsia="宋体" w:hint="default"/>
                <w:sz w:val="16"/>
                <w:szCs w:val="16"/>
              </w:rPr>
            </w:pPr>
            <w:r>
              <w:rPr>
                <w:rFonts w:ascii="宋体" w:hAnsi="宋体" w:cs="宋体" w:eastAsia="宋体" w:hint="default"/>
                <w:sz w:val="16"/>
                <w:szCs w:val="16"/>
              </w:rPr>
              <w:t>生育保险费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47,123.07</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1,377,511.57</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1,296,272.97</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128,361.67</w:t>
            </w:r>
          </w:p>
        </w:tc>
      </w:tr>
      <w:tr>
        <w:trPr>
          <w:trHeight w:val="451"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68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22"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645,177.70</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645,177.70</w:t>
            </w:r>
          </w:p>
        </w:tc>
        <w:tc>
          <w:tcPr>
            <w:tcW w:w="132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）住房公积金</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412,090.71</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26,945,206.52</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26,854,085.84</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2"/>
                <w:sz w:val="16"/>
              </w:rPr>
              <w:t>503,211.39</w:t>
            </w:r>
          </w:p>
        </w:tc>
      </w:tr>
      <w:tr>
        <w:trPr>
          <w:trHeight w:val="451"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）工会经费和职工教育经费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3,348,653.61</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9,184,048.69</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9,404,005.33</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3,128,696.97</w:t>
            </w:r>
          </w:p>
        </w:tc>
      </w:tr>
      <w:tr>
        <w:trPr>
          <w:trHeight w:val="449"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w:t>
            </w:r>
            <w:r>
              <w:rPr>
                <w:rFonts w:ascii="宋体" w:hAnsi="宋体" w:cs="宋体" w:eastAsia="宋体" w:hint="default"/>
                <w:sz w:val="16"/>
                <w:szCs w:val="16"/>
              </w:rPr>
              <w:t>）短期带薪缺勤</w:t>
            </w:r>
          </w:p>
        </w:tc>
        <w:tc>
          <w:tcPr>
            <w:tcW w:w="1322"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7</w:t>
            </w:r>
            <w:r>
              <w:rPr>
                <w:rFonts w:ascii="宋体" w:hAnsi="宋体" w:cs="宋体" w:eastAsia="宋体" w:hint="default"/>
                <w:sz w:val="16"/>
                <w:szCs w:val="16"/>
              </w:rPr>
              <w:t>）短期利润分享计划</w:t>
            </w:r>
          </w:p>
        </w:tc>
        <w:tc>
          <w:tcPr>
            <w:tcW w:w="1322"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4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155,747,208.03</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582,008,066.14</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553,496,088.89</w:t>
            </w:r>
          </w:p>
        </w:tc>
        <w:tc>
          <w:tcPr>
            <w:tcW w:w="13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184,259,185.28</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设定提存计划列示</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369"/>
        <w:gridCol w:w="1351"/>
        <w:gridCol w:w="1354"/>
        <w:gridCol w:w="1349"/>
        <w:gridCol w:w="1354"/>
      </w:tblGrid>
      <w:tr>
        <w:trPr>
          <w:trHeight w:val="461" w:hRule="exact"/>
        </w:trPr>
        <w:tc>
          <w:tcPr>
            <w:tcW w:w="23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992"/>
              <w:jc w:val="right"/>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3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1" w:hRule="exact"/>
        </w:trPr>
        <w:tc>
          <w:tcPr>
            <w:tcW w:w="2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534,830.64</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45,041,816.88</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44,698,702.01</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877,945.51</w:t>
            </w:r>
          </w:p>
        </w:tc>
      </w:tr>
      <w:tr>
        <w:trPr>
          <w:trHeight w:val="449" w:hRule="exact"/>
        </w:trPr>
        <w:tc>
          <w:tcPr>
            <w:tcW w:w="2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75,237.26</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1,316,317.20</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1,291,060.85</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100,493.61</w:t>
            </w:r>
          </w:p>
        </w:tc>
      </w:tr>
      <w:tr>
        <w:trPr>
          <w:trHeight w:val="452" w:hRule="exact"/>
        </w:trPr>
        <w:tc>
          <w:tcPr>
            <w:tcW w:w="2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439,966.08</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3,027,948.60</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2,890,092.38</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577,822.30</w:t>
            </w:r>
          </w:p>
        </w:tc>
      </w:tr>
      <w:tr>
        <w:trPr>
          <w:trHeight w:val="461" w:hRule="exact"/>
        </w:trPr>
        <w:tc>
          <w:tcPr>
            <w:tcW w:w="23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992"/>
              <w:jc w:val="righ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1,050,033.98</w:t>
            </w:r>
          </w:p>
        </w:tc>
        <w:tc>
          <w:tcPr>
            <w:tcW w:w="13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49,386,082.68</w:t>
            </w:r>
          </w:p>
        </w:tc>
        <w:tc>
          <w:tcPr>
            <w:tcW w:w="13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48,879,855.24</w:t>
            </w:r>
          </w:p>
        </w:tc>
        <w:tc>
          <w:tcPr>
            <w:tcW w:w="13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1,556,261.42</w:t>
            </w:r>
          </w:p>
        </w:tc>
      </w:tr>
    </w:tbl>
    <w:p>
      <w:pPr>
        <w:spacing w:line="240" w:lineRule="auto" w:before="9"/>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应交税费</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9,366,435.79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13,724,924.32</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932,295.12</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647,866.37</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61,438,380.15</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68,767,827.18</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1,342,320.88</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3,381,165.74</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30,725,518.84</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34,328,489.26</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4,055,427.60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3,002,616.24</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6,381,599.32</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6,894,197.95</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275,266.10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356,637.92</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167,212.78</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160,892.80</w:t>
            </w:r>
          </w:p>
        </w:tc>
      </w:tr>
      <w:tr>
        <w:trPr>
          <w:trHeight w:val="452"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防洪、堤围费</w:t>
            </w:r>
          </w:p>
        </w:tc>
        <w:tc>
          <w:tcPr>
            <w:tcW w:w="2280" w:type="dxa"/>
            <w:tcBorders>
              <w:top w:val="dotted" w:sz="4" w:space="0" w:color="000000"/>
              <w:left w:val="dotted" w:sz="4" w:space="0" w:color="000000"/>
              <w:bottom w:val="dotted" w:sz="4" w:space="0" w:color="000000"/>
              <w:right w:val="dotted" w:sz="4" w:space="0" w:color="000000"/>
            </w:tcBorders>
          </w:tcPr>
          <w:p>
            <w:pP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31,795.16</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1,707,308.56</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924,599.06</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116,391,765.14</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132,221,012.00</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10"/>
        <w:rPr>
          <w:rFonts w:ascii="Microsoft JhengHei" w:hAnsi="Microsoft JhengHei" w:cs="Microsoft JhengHei" w:eastAsia="Microsoft JhengHei" w:hint="default"/>
          <w:b/>
          <w:bCs/>
          <w:sz w:val="27"/>
          <w:szCs w:val="27"/>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其他应付款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617"/>
        <w:gridCol w:w="2045"/>
        <w:gridCol w:w="2115"/>
      </w:tblGrid>
      <w:tr>
        <w:trPr>
          <w:trHeight w:val="461" w:hRule="exact"/>
        </w:trPr>
        <w:tc>
          <w:tcPr>
            <w:tcW w:w="36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615"/>
              <w:jc w:val="right"/>
              <w:rPr>
                <w:rFonts w:ascii="宋体" w:hAnsi="宋体" w:cs="宋体" w:eastAsia="宋体" w:hint="default"/>
                <w:sz w:val="18"/>
                <w:szCs w:val="18"/>
              </w:rPr>
            </w:pPr>
            <w:r>
              <w:rPr>
                <w:rFonts w:ascii="宋体" w:hAnsi="宋体" w:cs="宋体" w:eastAsia="宋体" w:hint="default"/>
                <w:sz w:val="18"/>
                <w:szCs w:val="18"/>
              </w:rPr>
              <w:t>项目</w:t>
            </w:r>
          </w:p>
        </w:tc>
        <w:tc>
          <w:tcPr>
            <w:tcW w:w="20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9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6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460,395.85</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1,954,581.11</w:t>
            </w:r>
          </w:p>
        </w:tc>
      </w:tr>
      <w:tr>
        <w:trPr>
          <w:trHeight w:val="451" w:hRule="exact"/>
        </w:trPr>
        <w:tc>
          <w:tcPr>
            <w:tcW w:w="36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6,882,628.20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8,894,163.20</w:t>
            </w:r>
          </w:p>
        </w:tc>
      </w:tr>
      <w:tr>
        <w:trPr>
          <w:trHeight w:val="449" w:hRule="exact"/>
        </w:trPr>
        <w:tc>
          <w:tcPr>
            <w:tcW w:w="36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950,590,293.96</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929,304,808.82</w:t>
            </w:r>
          </w:p>
        </w:tc>
      </w:tr>
      <w:tr>
        <w:trPr>
          <w:trHeight w:val="461" w:hRule="exact"/>
        </w:trPr>
        <w:tc>
          <w:tcPr>
            <w:tcW w:w="36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615"/>
              <w:jc w:val="right"/>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957,933,318.01</w:t>
            </w:r>
          </w:p>
        </w:tc>
        <w:tc>
          <w:tcPr>
            <w:tcW w:w="21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940,153,553.13</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1</w:t>
      </w:r>
      <w:r>
        <w:rPr/>
        <w:t>、</w:t>
        <w:tab/>
        <w:t>应付利息</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460,395.85</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1,316,127.48</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280" w:type="dxa"/>
            <w:tcBorders>
              <w:top w:val="dotted" w:sz="4" w:space="0" w:color="000000"/>
              <w:left w:val="dotted" w:sz="4" w:space="0" w:color="000000"/>
              <w:bottom w:val="dotted" w:sz="4" w:space="0" w:color="000000"/>
              <w:right w:val="dotted" w:sz="4" w:space="0" w:color="000000"/>
            </w:tcBorders>
          </w:tcPr>
          <w:p>
            <w:pP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638,453.63</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460,395.85</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1,954,581.11</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应付股利</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54"/>
        <w:gridCol w:w="2309"/>
      </w:tblGrid>
      <w:tr>
        <w:trPr>
          <w:trHeight w:val="458"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惠州市颐和农产品开发有限公司</w:t>
            </w:r>
          </w:p>
        </w:tc>
        <w:tc>
          <w:tcPr>
            <w:tcW w:w="2254" w:type="dxa"/>
            <w:tcBorders>
              <w:top w:val="dotted" w:sz="4" w:space="0" w:color="000000"/>
              <w:left w:val="dotted" w:sz="4" w:space="0" w:color="000000"/>
              <w:bottom w:val="dotted" w:sz="4" w:space="0" w:color="000000"/>
              <w:right w:val="dotted" w:sz="4" w:space="0" w:color="000000"/>
            </w:tcBorders>
          </w:tcPr>
          <w:p>
            <w:pP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2254" w:type="dxa"/>
            <w:tcBorders>
              <w:top w:val="dotted" w:sz="4" w:space="0" w:color="000000"/>
              <w:left w:val="dotted" w:sz="4" w:space="0" w:color="000000"/>
              <w:bottom w:val="dotted" w:sz="4" w:space="0" w:color="000000"/>
              <w:right w:val="dotted" w:sz="4" w:space="0" w:color="000000"/>
            </w:tcBorders>
          </w:tcPr>
          <w:p>
            <w:pP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5,883,000.00</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长沙市商业网点建设管理办公室</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1,820,000.00</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191,163.20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191,163.20</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4,131,465.00</w:t>
            </w:r>
          </w:p>
        </w:tc>
        <w:tc>
          <w:tcPr>
            <w:tcW w:w="230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广东省东莞机械进出口有限公司</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2,210,000.00</w:t>
            </w:r>
          </w:p>
        </w:tc>
        <w:tc>
          <w:tcPr>
            <w:tcW w:w="2309"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6,882,628.20</w:t>
            </w:r>
          </w:p>
        </w:tc>
        <w:tc>
          <w:tcPr>
            <w:tcW w:w="23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8,894,163.20</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其他应付款</w:t>
      </w:r>
      <w:r>
        <w:rPr>
          <w:b w:val="0"/>
          <w:bCs w:val="0"/>
        </w:rPr>
      </w:r>
    </w:p>
    <w:p>
      <w:pPr>
        <w:pStyle w:val="BodyText"/>
        <w:spacing w:line="240" w:lineRule="auto" w:before="102"/>
        <w:ind w:right="1675"/>
        <w:jc w:val="left"/>
      </w:pPr>
      <w:r>
        <w:rPr/>
        <w:t>（</w:t>
      </w:r>
      <w:r>
        <w:rPr>
          <w:rFonts w:ascii="Times New Roman" w:hAnsi="Times New Roman" w:cs="Times New Roman" w:eastAsia="Times New Roman" w:hint="default"/>
        </w:rPr>
        <w:t>1</w:t>
      </w:r>
      <w:r>
        <w:rPr/>
        <w:t>）按款项性质列示其他应付款</w:t>
      </w:r>
    </w:p>
    <w:tbl>
      <w:tblPr>
        <w:tblW w:w="0" w:type="auto"/>
        <w:jc w:val="left"/>
        <w:tblInd w:w="769" w:type="dxa"/>
        <w:tblLayout w:type="fixed"/>
        <w:tblCellMar>
          <w:top w:w="0" w:type="dxa"/>
          <w:left w:w="0" w:type="dxa"/>
          <w:bottom w:w="0" w:type="dxa"/>
          <w:right w:w="0" w:type="dxa"/>
        </w:tblCellMar>
        <w:tblLook w:val="01E0"/>
      </w:tblPr>
      <w:tblGrid>
        <w:gridCol w:w="3214"/>
        <w:gridCol w:w="2254"/>
        <w:gridCol w:w="2309"/>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469,173,317.68</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416,519,575.09</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1,364,326.98</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3,375,869.07</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480,052,649.30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509,409,364.66</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950,590,293.96</w:t>
            </w:r>
          </w:p>
        </w:tc>
        <w:tc>
          <w:tcPr>
            <w:tcW w:w="23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929,304,808.82</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675"/>
        <w:jc w:val="left"/>
      </w:pPr>
      <w:r>
        <w:rPr/>
        <w:t>（</w:t>
      </w:r>
      <w:r>
        <w:rPr>
          <w:rFonts w:ascii="Times New Roman" w:hAnsi="Times New Roman" w:cs="Times New Roman" w:eastAsia="Times New Roman" w:hint="default"/>
        </w:rPr>
        <w:t>2</w:t>
      </w:r>
      <w:r>
        <w:rPr/>
        <w:t>）账龄超过一年的重要其他应付款</w:t>
      </w:r>
    </w:p>
    <w:tbl>
      <w:tblPr>
        <w:tblW w:w="0" w:type="auto"/>
        <w:jc w:val="left"/>
        <w:tblInd w:w="769" w:type="dxa"/>
        <w:tblLayout w:type="fixed"/>
        <w:tblCellMar>
          <w:top w:w="0" w:type="dxa"/>
          <w:left w:w="0" w:type="dxa"/>
          <w:bottom w:w="0" w:type="dxa"/>
          <w:right w:w="0" w:type="dxa"/>
        </w:tblCellMar>
        <w:tblLook w:val="01E0"/>
      </w:tblPr>
      <w:tblGrid>
        <w:gridCol w:w="3918"/>
        <w:gridCol w:w="1550"/>
        <w:gridCol w:w="2309"/>
      </w:tblGrid>
      <w:tr>
        <w:trPr>
          <w:trHeight w:val="439" w:hRule="exact"/>
        </w:trPr>
        <w:tc>
          <w:tcPr>
            <w:tcW w:w="39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left="33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平湖海吉星市场经营户押金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62,498,259.47</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2"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成都市场经营户押金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51,520,053.18</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天津市北辰区青光镇韩家墅村农工商联合公司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46,000,000.00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借款尚未到期</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26,550,000.00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未付的云南东盟减资款</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广西海吉星经营户押金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21,309,180.78</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天津海吉星商户保证金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19,890,650.00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长沙市场经营户押金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19,502,474.00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2"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天津韩家墅商户保证金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13,334,780.18</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预提的土地增值税</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12,022,829.70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未完成土地增值税清算</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惠州农批市场租户档位押金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10,942,520.38</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合同期限内押金</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福田农批市场经营户押金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10,893,753.13</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天津市北辰区青光镇韩家墅村村民委员会</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借款尚未到期</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商铺回购补偿款</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32"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南山农批市场经营户押金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1,816,304.40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布吉海鲜档位押金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1,801,461.41</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海南省第三建筑工程公司广西分公司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1,348,819.96</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合同期限内工程保证金</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香港运输公司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合同期限内保证金</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1,214,237.00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合同期限内工程保证金</w:t>
            </w:r>
          </w:p>
        </w:tc>
      </w:tr>
      <w:tr>
        <w:trPr>
          <w:trHeight w:val="430"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香港新界万丰果菜有限公司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1,207,321.40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暂存款</w:t>
            </w:r>
          </w:p>
        </w:tc>
      </w:tr>
      <w:tr>
        <w:trPr>
          <w:trHeight w:val="433" w:hRule="exact"/>
        </w:trPr>
        <w:tc>
          <w:tcPr>
            <w:tcW w:w="39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深圳市山地实业有限公司</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协议约定事项未完成</w:t>
            </w:r>
          </w:p>
        </w:tc>
      </w:tr>
      <w:tr>
        <w:trPr>
          <w:trHeight w:val="439" w:hRule="exact"/>
        </w:trPr>
        <w:tc>
          <w:tcPr>
            <w:tcW w:w="39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317,292,644.99</w:t>
            </w:r>
          </w:p>
        </w:tc>
        <w:tc>
          <w:tcPr>
            <w:tcW w:w="230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一年内到期的非流动负债</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54"/>
        <w:gridCol w:w="2309"/>
      </w:tblGrid>
      <w:tr>
        <w:trPr>
          <w:trHeight w:val="458"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178,557,600.00</w:t>
            </w:r>
          </w:p>
        </w:tc>
        <w:tc>
          <w:tcPr>
            <w:tcW w:w="2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91,400,000.00</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21,500,000.00</w:t>
            </w:r>
          </w:p>
        </w:tc>
        <w:tc>
          <w:tcPr>
            <w:tcW w:w="2309"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8"/>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200,057,600.00</w:t>
            </w:r>
          </w:p>
        </w:tc>
        <w:tc>
          <w:tcPr>
            <w:tcW w:w="23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91,400,000.00</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其他流动负债</w:t>
      </w:r>
      <w:r>
        <w:rPr>
          <w:b w:val="0"/>
          <w:bCs w:val="0"/>
        </w:rPr>
      </w:r>
    </w:p>
    <w:tbl>
      <w:tblPr>
        <w:tblW w:w="0" w:type="auto"/>
        <w:jc w:val="left"/>
        <w:tblInd w:w="783" w:type="dxa"/>
        <w:tblLayout w:type="fixed"/>
        <w:tblCellMar>
          <w:top w:w="0" w:type="dxa"/>
          <w:left w:w="0" w:type="dxa"/>
          <w:bottom w:w="0" w:type="dxa"/>
          <w:right w:w="0" w:type="dxa"/>
        </w:tblCellMar>
        <w:tblLook w:val="01E0"/>
      </w:tblPr>
      <w:tblGrid>
        <w:gridCol w:w="3214"/>
        <w:gridCol w:w="2280"/>
        <w:gridCol w:w="2283"/>
      </w:tblGrid>
      <w:tr>
        <w:trPr>
          <w:trHeight w:val="470" w:hRule="exact"/>
        </w:trPr>
        <w:tc>
          <w:tcPr>
            <w:tcW w:w="3214"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779"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0" w:type="dxa"/>
            <w:tcBorders>
              <w:top w:val="dotted" w:sz="4" w:space="0" w:color="000000"/>
              <w:left w:val="dotted" w:sz="4" w:space="0" w:color="000000"/>
              <w:bottom w:val="dotted" w:sz="4" w:space="0" w:color="000000"/>
              <w:right w:val="dotted" w:sz="4" w:space="0" w:color="000000"/>
            </w:tcBorders>
          </w:tcPr>
          <w:p>
            <w:pP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112,510,037.30</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36,709.49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16,583.67</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贷款损失准备金</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12,710,761.80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10,677,403.63</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12,747,471.29</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123,204,024.60</w:t>
            </w:r>
          </w:p>
        </w:tc>
      </w:tr>
    </w:tbl>
    <w:p>
      <w:pPr>
        <w:pStyle w:val="BodyText"/>
        <w:spacing w:line="350" w:lineRule="auto" w:before="93"/>
        <w:ind w:left="850" w:right="1675"/>
        <w:jc w:val="left"/>
      </w:pPr>
      <w:r>
        <w:rPr/>
        <w:t>说明：贷款损失准备金系子公司深圳市小额贷款有限公司根据经营管理方案，对本</w:t>
      </w:r>
      <w:r>
        <w:rPr>
          <w:spacing w:val="-62"/>
        </w:rPr>
        <w:t> </w:t>
      </w:r>
      <w:r>
        <w:rPr/>
        <w:t>期贷款余额按照五级分类标准划分后计提贷款损失风险准备。</w:t>
      </w:r>
    </w:p>
    <w:p>
      <w:pPr>
        <w:spacing w:after="0" w:line="35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长期借款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80" w:type="dxa"/>
            <w:tcBorders>
              <w:top w:val="dotted" w:sz="4" w:space="0" w:color="000000"/>
              <w:left w:val="dotted" w:sz="4" w:space="0" w:color="000000"/>
              <w:bottom w:val="dotted" w:sz="4" w:space="0" w:color="000000"/>
              <w:right w:val="dotted" w:sz="4" w:space="0" w:color="000000"/>
            </w:tcBorders>
          </w:tcPr>
          <w:p>
            <w:pPr/>
          </w:p>
        </w:tc>
        <w:tc>
          <w:tcPr>
            <w:tcW w:w="228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1,023,133,344.00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832,793,336.00</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142,000,000.00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152,000,000.00</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955,894,958.33</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1,665,630,158.33</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2,121,028,302.33</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2,650,423,494.33</w:t>
            </w: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240" w:lineRule="auto"/>
        <w:ind w:left="850" w:right="1675"/>
        <w:jc w:val="left"/>
      </w:pPr>
      <w:r>
        <w:rPr/>
        <w:t>说明：</w:t>
      </w:r>
      <w:r>
        <w:rPr>
          <w:rFonts w:ascii="Times New Roman" w:hAnsi="Times New Roman" w:cs="Times New Roman" w:eastAsia="Times New Roman" w:hint="default"/>
        </w:rPr>
        <w:t>1</w:t>
      </w:r>
      <w:r>
        <w:rPr/>
        <w:t>、期末无因逾期借款获得展期形成的长期借款。</w:t>
      </w:r>
    </w:p>
    <w:p>
      <w:pPr>
        <w:pStyle w:val="BodyText"/>
        <w:spacing w:line="240" w:lineRule="auto" w:before="110"/>
        <w:ind w:left="850" w:right="1675"/>
        <w:jc w:val="left"/>
      </w:pPr>
      <w:r>
        <w:rPr>
          <w:rFonts w:ascii="Times New Roman" w:hAnsi="Times New Roman" w:cs="Times New Roman" w:eastAsia="Times New Roman" w:hint="default"/>
          <w:w w:val="100"/>
        </w:rPr>
        <w:t>2</w:t>
      </w:r>
      <w:r>
        <w:rPr>
          <w:w w:val="100"/>
        </w:rPr>
        <w:t>、</w:t>
      </w:r>
      <w:r>
        <w:rPr>
          <w:spacing w:val="-3"/>
          <w:w w:val="100"/>
        </w:rPr>
        <w:t>主</w:t>
      </w:r>
      <w:r>
        <w:rPr>
          <w:w w:val="100"/>
        </w:rPr>
        <w:t>要</w:t>
      </w:r>
      <w:r>
        <w:rPr>
          <w:spacing w:val="-3"/>
          <w:w w:val="100"/>
        </w:rPr>
        <w:t>抵</w:t>
      </w:r>
      <w:r>
        <w:rPr>
          <w:w w:val="100"/>
        </w:rPr>
        <w:t>押</w:t>
      </w:r>
      <w:r>
        <w:rPr>
          <w:spacing w:val="-3"/>
          <w:w w:val="100"/>
        </w:rPr>
        <w:t>借</w:t>
      </w:r>
      <w:r>
        <w:rPr>
          <w:w w:val="100"/>
        </w:rPr>
        <w:t>款</w:t>
      </w:r>
      <w:r>
        <w:rPr>
          <w:spacing w:val="-3"/>
          <w:w w:val="100"/>
        </w:rPr>
        <w:t>情</w:t>
      </w:r>
      <w:r>
        <w:rPr>
          <w:w w:val="100"/>
        </w:rPr>
        <w:t>况</w:t>
      </w:r>
      <w:r>
        <w:rPr>
          <w:spacing w:val="-3"/>
          <w:w w:val="100"/>
        </w:rPr>
        <w:t>详见</w:t>
      </w:r>
      <w:r>
        <w:rPr>
          <w:w w:val="100"/>
        </w:rPr>
        <w:t>本附</w:t>
      </w:r>
      <w:r>
        <w:rPr>
          <w:spacing w:val="-3"/>
          <w:w w:val="100"/>
        </w:rPr>
        <w:t>注</w:t>
      </w:r>
      <w:r>
        <w:rPr>
          <w:rFonts w:ascii="Times New Roman" w:hAnsi="Times New Roman" w:cs="Times New Roman" w:eastAsia="Times New Roman" w:hint="default"/>
          <w:spacing w:val="-1"/>
          <w:w w:val="100"/>
        </w:rPr>
        <w:t>“</w:t>
      </w:r>
      <w:r>
        <w:rPr>
          <w:w w:val="100"/>
        </w:rPr>
        <w:t>五</w:t>
      </w:r>
      <w:r>
        <w:rPr>
          <w:spacing w:val="-108"/>
          <w:w w:val="100"/>
        </w:rPr>
        <w:t>、</w:t>
      </w:r>
      <w:r>
        <w:rPr>
          <w:w w:val="100"/>
        </w:rPr>
        <w:t>（</w:t>
      </w:r>
      <w:r>
        <w:rPr>
          <w:spacing w:val="-3"/>
          <w:w w:val="100"/>
        </w:rPr>
        <w:t>五</w:t>
      </w:r>
      <w:r>
        <w:rPr>
          <w:w w:val="100"/>
        </w:rPr>
        <w:t>十</w:t>
      </w:r>
      <w:r>
        <w:rPr>
          <w:spacing w:val="-3"/>
          <w:w w:val="100"/>
        </w:rPr>
        <w:t>）</w:t>
      </w:r>
      <w:r>
        <w:rPr>
          <w:rFonts w:ascii="Times New Roman" w:hAnsi="Times New Roman" w:cs="Times New Roman" w:eastAsia="Times New Roman" w:hint="default"/>
          <w:spacing w:val="-1"/>
          <w:w w:val="100"/>
        </w:rPr>
        <w:t>”</w:t>
      </w:r>
      <w:r>
        <w:rPr>
          <w:w w:val="100"/>
        </w:rPr>
        <w:t>说</w:t>
      </w:r>
      <w:r>
        <w:rPr>
          <w:spacing w:val="-3"/>
          <w:w w:val="100"/>
        </w:rPr>
        <w:t>明</w:t>
      </w:r>
      <w:r>
        <w:rPr>
          <w:w w:val="100"/>
        </w:rPr>
        <w:t>。</w:t>
      </w:r>
    </w:p>
    <w:p>
      <w:pPr>
        <w:pStyle w:val="BodyText"/>
        <w:spacing w:line="328" w:lineRule="auto" w:before="110"/>
        <w:ind w:left="850" w:right="1675"/>
        <w:jc w:val="left"/>
      </w:pPr>
      <w:r>
        <w:rPr>
          <w:rFonts w:ascii="Times New Roman" w:hAnsi="Times New Roman" w:cs="Times New Roman" w:eastAsia="Times New Roman" w:hint="default"/>
          <w:spacing w:val="2"/>
        </w:rPr>
        <w:t>3</w:t>
      </w:r>
      <w:r>
        <w:rPr>
          <w:spacing w:val="2"/>
        </w:rPr>
        <w:t>、期末保证借款余额均系集团合并范围内公司之间相互提供担保向银行借入的款</w:t>
      </w:r>
      <w:r>
        <w:rPr>
          <w:spacing w:val="-49"/>
        </w:rPr>
        <w:t> </w:t>
      </w:r>
      <w:r>
        <w:rPr>
          <w:spacing w:val="-49"/>
        </w:rPr>
      </w:r>
      <w:r>
        <w:rPr/>
        <w:t>项。</w:t>
      </w:r>
    </w:p>
    <w:p>
      <w:pPr>
        <w:spacing w:line="240" w:lineRule="auto" w:before="3"/>
        <w:rPr>
          <w:rFonts w:ascii="宋体" w:hAnsi="宋体" w:cs="宋体" w:eastAsia="宋体" w:hint="default"/>
          <w:sz w:val="29"/>
          <w:szCs w:val="29"/>
        </w:rPr>
      </w:pPr>
    </w:p>
    <w:p>
      <w:pPr>
        <w:pStyle w:val="Heading6"/>
        <w:spacing w:line="240" w:lineRule="auto"/>
        <w:ind w:left="126" w:right="1675"/>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长期应付款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531"/>
        <w:gridCol w:w="2088"/>
        <w:gridCol w:w="2158"/>
      </w:tblGrid>
      <w:tr>
        <w:trPr>
          <w:trHeight w:val="461" w:hRule="exact"/>
        </w:trPr>
        <w:tc>
          <w:tcPr>
            <w:tcW w:w="353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572"/>
              <w:jc w:val="right"/>
              <w:rPr>
                <w:rFonts w:ascii="宋体" w:hAnsi="宋体" w:cs="宋体" w:eastAsia="宋体" w:hint="default"/>
                <w:sz w:val="18"/>
                <w:szCs w:val="18"/>
              </w:rPr>
            </w:pPr>
            <w:r>
              <w:rPr>
                <w:rFonts w:ascii="宋体" w:hAnsi="宋体" w:cs="宋体" w:eastAsia="宋体" w:hint="default"/>
                <w:sz w:val="18"/>
                <w:szCs w:val="18"/>
              </w:rPr>
              <w:t>项目</w:t>
            </w:r>
          </w:p>
        </w:tc>
        <w:tc>
          <w:tcPr>
            <w:tcW w:w="20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6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242,451,840.47</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264,391,440.47</w:t>
            </w:r>
          </w:p>
        </w:tc>
      </w:tr>
      <w:tr>
        <w:trPr>
          <w:trHeight w:val="449" w:hRule="exact"/>
        </w:trPr>
        <w:tc>
          <w:tcPr>
            <w:tcW w:w="35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15,617,069.00</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15,617,069.00</w:t>
            </w:r>
          </w:p>
        </w:tc>
      </w:tr>
      <w:tr>
        <w:trPr>
          <w:trHeight w:val="461" w:hRule="exact"/>
        </w:trPr>
        <w:tc>
          <w:tcPr>
            <w:tcW w:w="35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572"/>
              <w:jc w:val="right"/>
              <w:rPr>
                <w:rFonts w:ascii="宋体" w:hAnsi="宋体" w:cs="宋体" w:eastAsia="宋体" w:hint="default"/>
                <w:sz w:val="18"/>
                <w:szCs w:val="18"/>
              </w:rPr>
            </w:pPr>
            <w:r>
              <w:rPr>
                <w:rFonts w:ascii="宋体" w:hAnsi="宋体" w:cs="宋体" w:eastAsia="宋体" w:hint="default"/>
                <w:sz w:val="18"/>
                <w:szCs w:val="18"/>
              </w:rPr>
              <w:t>合计</w:t>
            </w:r>
          </w:p>
        </w:tc>
        <w:tc>
          <w:tcPr>
            <w:tcW w:w="2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258,068,909.47</w:t>
            </w:r>
          </w:p>
        </w:tc>
        <w:tc>
          <w:tcPr>
            <w:tcW w:w="21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280,008,509.47</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1</w:t>
      </w:r>
      <w:r>
        <w:rPr/>
        <w:t>、</w:t>
        <w:tab/>
        <w:t>长期应付款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42"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8"/>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0"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退休人员补贴</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1,563,223.54</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1,563,223.54</w:t>
            </w:r>
          </w:p>
        </w:tc>
      </w:tr>
      <w:tr>
        <w:trPr>
          <w:trHeight w:val="430"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店面押金</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7,085,644.20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7,525,244.20</w:t>
            </w:r>
          </w:p>
        </w:tc>
      </w:tr>
      <w:tr>
        <w:trPr>
          <w:trHeight w:val="430"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5,302,972.73</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5,302,972.73</w:t>
            </w:r>
          </w:p>
        </w:tc>
      </w:tr>
      <w:tr>
        <w:trPr>
          <w:trHeight w:val="770"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8"/>
              <w:ind w:left="122" w:right="92"/>
              <w:jc w:val="left"/>
              <w:rPr>
                <w:rFonts w:ascii="宋体" w:hAnsi="宋体" w:cs="宋体" w:eastAsia="宋体" w:hint="default"/>
                <w:sz w:val="18"/>
                <w:szCs w:val="18"/>
              </w:rPr>
            </w:pPr>
            <w:r>
              <w:rPr>
                <w:rFonts w:ascii="宋体" w:hAnsi="宋体" w:cs="宋体" w:eastAsia="宋体" w:hint="default"/>
                <w:spacing w:val="6"/>
                <w:sz w:val="18"/>
                <w:szCs w:val="18"/>
              </w:rPr>
              <w:t>丝绸之路海东海吉星国际农产品交易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中心项目建设资金</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30"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安庆海吉星物流园项目专项建设基金</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128,500,000.00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42"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8"/>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242,451,840.47</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264,391,440.47</w:t>
            </w:r>
          </w:p>
        </w:tc>
      </w:tr>
    </w:tbl>
    <w:p>
      <w:pPr>
        <w:spacing w:line="240" w:lineRule="auto" w:before="12"/>
        <w:rPr>
          <w:rFonts w:ascii="Microsoft JhengHei" w:hAnsi="Microsoft JhengHei" w:cs="Microsoft JhengHei" w:eastAsia="Microsoft JhengHei" w:hint="default"/>
          <w:b/>
          <w:bCs/>
          <w:sz w:val="3"/>
          <w:szCs w:val="3"/>
        </w:rPr>
      </w:pPr>
    </w:p>
    <w:p>
      <w:pPr>
        <w:pStyle w:val="BodyText"/>
        <w:spacing w:line="240" w:lineRule="auto"/>
        <w:ind w:left="850" w:right="0"/>
        <w:jc w:val="left"/>
      </w:pPr>
      <w:r>
        <w:rPr>
          <w:w w:val="100"/>
        </w:rPr>
        <w:t>说明</w:t>
      </w:r>
      <w:r>
        <w:rPr>
          <w:spacing w:val="-87"/>
          <w:w w:val="100"/>
        </w:rPr>
        <w:t>：</w:t>
      </w:r>
      <w:r>
        <w:rPr>
          <w:rFonts w:ascii="Times New Roman" w:hAnsi="Times New Roman" w:cs="Times New Roman" w:eastAsia="Times New Roman" w:hint="default"/>
          <w:w w:val="100"/>
        </w:rPr>
        <w:t>1</w:t>
      </w:r>
      <w:r>
        <w:rPr>
          <w:spacing w:val="-89"/>
          <w:w w:val="100"/>
        </w:rPr>
        <w:t>、</w:t>
      </w:r>
      <w:r>
        <w:rPr>
          <w:w w:val="100"/>
        </w:rPr>
        <w:t>退</w:t>
      </w:r>
      <w:r>
        <w:rPr>
          <w:spacing w:val="-3"/>
          <w:w w:val="100"/>
        </w:rPr>
        <w:t>休</w:t>
      </w:r>
      <w:r>
        <w:rPr>
          <w:w w:val="100"/>
        </w:rPr>
        <w:t>人</w:t>
      </w:r>
      <w:r>
        <w:rPr>
          <w:spacing w:val="-3"/>
          <w:w w:val="100"/>
        </w:rPr>
        <w:t>员</w:t>
      </w:r>
      <w:r>
        <w:rPr>
          <w:w w:val="100"/>
        </w:rPr>
        <w:t>补</w:t>
      </w:r>
      <w:r>
        <w:rPr>
          <w:spacing w:val="-3"/>
          <w:w w:val="100"/>
        </w:rPr>
        <w:t>贴</w:t>
      </w:r>
      <w:r>
        <w:rPr>
          <w:w w:val="100"/>
        </w:rPr>
        <w:t>系</w:t>
      </w:r>
      <w:r>
        <w:rPr>
          <w:spacing w:val="-3"/>
          <w:w w:val="100"/>
        </w:rPr>
        <w:t>子</w:t>
      </w:r>
      <w:r>
        <w:rPr>
          <w:w w:val="100"/>
        </w:rPr>
        <w:t>公司</w:t>
      </w:r>
      <w:r>
        <w:rPr>
          <w:spacing w:val="-3"/>
          <w:w w:val="100"/>
        </w:rPr>
        <w:t>西</w:t>
      </w:r>
      <w:r>
        <w:rPr>
          <w:w w:val="100"/>
        </w:rPr>
        <w:t>安</w:t>
      </w:r>
      <w:r>
        <w:rPr>
          <w:spacing w:val="-3"/>
          <w:w w:val="100"/>
        </w:rPr>
        <w:t>摩</w:t>
      </w:r>
      <w:r>
        <w:rPr>
          <w:w w:val="100"/>
        </w:rPr>
        <w:t>尔</w:t>
      </w:r>
      <w:r>
        <w:rPr>
          <w:spacing w:val="-3"/>
          <w:w w:val="100"/>
        </w:rPr>
        <w:t>农</w:t>
      </w:r>
      <w:r>
        <w:rPr>
          <w:w w:val="100"/>
        </w:rPr>
        <w:t>产</w:t>
      </w:r>
      <w:r>
        <w:rPr>
          <w:spacing w:val="-3"/>
          <w:w w:val="100"/>
        </w:rPr>
        <w:t>品</w:t>
      </w:r>
      <w:r>
        <w:rPr>
          <w:w w:val="100"/>
        </w:rPr>
        <w:t>有</w:t>
      </w:r>
      <w:r>
        <w:rPr>
          <w:spacing w:val="-3"/>
          <w:w w:val="100"/>
        </w:rPr>
        <w:t>限</w:t>
      </w:r>
      <w:r>
        <w:rPr>
          <w:w w:val="100"/>
        </w:rPr>
        <w:t>责任</w:t>
      </w:r>
      <w:r>
        <w:rPr>
          <w:spacing w:val="-3"/>
          <w:w w:val="100"/>
        </w:rPr>
        <w:t>公</w:t>
      </w:r>
      <w:r>
        <w:rPr>
          <w:w w:val="100"/>
        </w:rPr>
        <w:t>司</w:t>
      </w:r>
      <w:r>
        <w:rPr>
          <w:spacing w:val="-3"/>
          <w:w w:val="100"/>
        </w:rPr>
        <w:t>改</w:t>
      </w:r>
      <w:r>
        <w:rPr>
          <w:w w:val="100"/>
        </w:rPr>
        <w:t>制</w:t>
      </w:r>
      <w:r>
        <w:rPr>
          <w:spacing w:val="-3"/>
          <w:w w:val="100"/>
        </w:rPr>
        <w:t>时</w:t>
      </w:r>
      <w:r>
        <w:rPr>
          <w:w w:val="100"/>
        </w:rPr>
        <w:t>的</w:t>
      </w:r>
      <w:r>
        <w:rPr>
          <w:spacing w:val="-3"/>
          <w:w w:val="100"/>
        </w:rPr>
        <w:t>职</w:t>
      </w:r>
      <w:r>
        <w:rPr>
          <w:w w:val="100"/>
        </w:rPr>
        <w:t>工</w:t>
      </w:r>
      <w:r>
        <w:rPr>
          <w:spacing w:val="-3"/>
          <w:w w:val="100"/>
        </w:rPr>
        <w:t>补</w:t>
      </w:r>
      <w:r>
        <w:rPr>
          <w:w w:val="100"/>
        </w:rPr>
        <w:t>偿</w:t>
      </w:r>
      <w:r>
        <w:rPr>
          <w:spacing w:val="-3"/>
          <w:w w:val="100"/>
        </w:rPr>
        <w:t>金</w:t>
      </w:r>
      <w:r>
        <w:rPr>
          <w:w w:val="100"/>
        </w:rPr>
        <w:t>。</w:t>
      </w:r>
    </w:p>
    <w:p>
      <w:pPr>
        <w:pStyle w:val="BodyText"/>
        <w:spacing w:line="240" w:lineRule="auto" w:before="110"/>
        <w:ind w:left="850" w:right="1675"/>
        <w:jc w:val="left"/>
      </w:pPr>
      <w:r>
        <w:rPr>
          <w:rFonts w:ascii="Times New Roman" w:hAnsi="Times New Roman" w:cs="Times New Roman" w:eastAsia="Times New Roman" w:hint="default"/>
        </w:rPr>
        <w:t>2</w:t>
      </w:r>
      <w:r>
        <w:rPr/>
        <w:t>、拆迁补偿款系确认布吉冷库拆迁损益时预估的清退承租户补偿款。</w:t>
      </w:r>
    </w:p>
    <w:p>
      <w:pPr>
        <w:pStyle w:val="BodyText"/>
        <w:spacing w:line="331" w:lineRule="auto" w:before="107"/>
        <w:ind w:left="850" w:right="1787"/>
        <w:jc w:val="left"/>
      </w:pPr>
      <w:r>
        <w:rPr>
          <w:rFonts w:ascii="Times New Roman" w:hAnsi="Times New Roman" w:cs="Times New Roman" w:eastAsia="Times New Roman" w:hint="default"/>
        </w:rPr>
        <w:t>3</w:t>
      </w:r>
      <w:r>
        <w:rPr/>
        <w:t>、丝绸之路海东海吉星国际农产品交易中心项目建设资金：</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w:t>
      </w:r>
      <w:r>
        <w:rPr>
          <w:w w:val="100"/>
        </w:rPr>
        <w:t> </w:t>
      </w:r>
      <w:r>
        <w:rPr/>
        <w:t>司之子公司青海海吉星国际农产品集配中心有限公司（以下简称</w:t>
      </w:r>
      <w:r>
        <w:rPr>
          <w:rFonts w:ascii="Times New Roman" w:hAnsi="Times New Roman" w:cs="Times New Roman" w:eastAsia="Times New Roman" w:hint="default"/>
        </w:rPr>
        <w:t>“</w:t>
      </w:r>
      <w:r>
        <w:rPr/>
        <w:t>青海海吉星</w:t>
      </w:r>
      <w:r>
        <w:rPr>
          <w:rFonts w:ascii="Times New Roman" w:hAnsi="Times New Roman" w:cs="Times New Roman" w:eastAsia="Times New Roman" w:hint="default"/>
        </w:rPr>
        <w:t>”</w:t>
      </w:r>
      <w:r>
        <w:rPr/>
        <w:t>）与</w:t>
      </w:r>
    </w:p>
    <w:p>
      <w:pPr>
        <w:spacing w:after="0" w:line="331"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36" w:lineRule="auto"/>
        <w:ind w:left="850" w:right="1786"/>
        <w:jc w:val="both"/>
      </w:pPr>
      <w:r>
        <w:rPr>
          <w:spacing w:val="-6"/>
          <w:w w:val="100"/>
        </w:rPr>
        <w:t>海东丝路商贸物流有限公司（青海海吉星之股东，以下简称</w:t>
      </w:r>
      <w:r>
        <w:rPr>
          <w:rFonts w:ascii="Times New Roman" w:hAnsi="Times New Roman" w:cs="Times New Roman" w:eastAsia="Times New Roman" w:hint="default"/>
          <w:spacing w:val="-6"/>
          <w:w w:val="100"/>
        </w:rPr>
        <w:t>“</w:t>
      </w:r>
      <w:r>
        <w:rPr>
          <w:spacing w:val="-6"/>
          <w:w w:val="100"/>
        </w:rPr>
        <w:t>丝路商贸公司</w:t>
      </w:r>
      <w:r>
        <w:rPr>
          <w:rFonts w:ascii="Times New Roman" w:hAnsi="Times New Roman" w:cs="Times New Roman" w:eastAsia="Times New Roman" w:hint="default"/>
          <w:spacing w:val="-6"/>
          <w:w w:val="100"/>
        </w:rPr>
        <w:t>”</w:t>
      </w:r>
      <w:r>
        <w:rPr>
          <w:spacing w:val="-6"/>
          <w:w w:val="100"/>
        </w:rPr>
        <w:t>）、海东</w:t>
      </w:r>
      <w:r>
        <w:rPr>
          <w:spacing w:val="-73"/>
          <w:w w:val="100"/>
        </w:rPr>
        <w:t> </w:t>
      </w:r>
      <w:r>
        <w:rPr>
          <w:spacing w:val="-73"/>
          <w:w w:val="100"/>
        </w:rPr>
      </w:r>
      <w:r>
        <w:rPr/>
        <w:t>市人民政府、中国农业发展银行海东市分行（以下简称</w:t>
      </w:r>
      <w:r>
        <w:rPr>
          <w:rFonts w:ascii="Times New Roman" w:hAnsi="Times New Roman" w:cs="Times New Roman" w:eastAsia="Times New Roman" w:hint="default"/>
        </w:rPr>
        <w:t>“</w:t>
      </w:r>
      <w:r>
        <w:rPr/>
        <w:t>农发行</w:t>
      </w:r>
      <w:r>
        <w:rPr>
          <w:rFonts w:ascii="Times New Roman" w:hAnsi="Times New Roman" w:cs="Times New Roman" w:eastAsia="Times New Roman" w:hint="default"/>
        </w:rPr>
        <w:t>”</w:t>
      </w:r>
      <w:r>
        <w:rPr/>
        <w:t>）签署资金监管协</w:t>
      </w:r>
      <w:r>
        <w:rPr>
          <w:spacing w:val="-40"/>
        </w:rPr>
        <w:t> </w:t>
      </w:r>
      <w:r>
        <w:rPr>
          <w:spacing w:val="-40"/>
        </w:rPr>
      </w:r>
      <w:r>
        <w:rPr/>
        <w:t>议，根据协议约定，由青海海吉星负责丝绸之路海东海吉星国际农产品交易中心项</w:t>
      </w:r>
      <w:r>
        <w:rPr>
          <w:spacing w:val="-62"/>
        </w:rPr>
        <w:t> </w:t>
      </w:r>
      <w:r>
        <w:rPr/>
        <w:t>目（以下简称</w:t>
      </w:r>
      <w:r>
        <w:rPr>
          <w:rFonts w:ascii="Times New Roman" w:hAnsi="Times New Roman" w:cs="Times New Roman" w:eastAsia="Times New Roman" w:hint="default"/>
        </w:rPr>
        <w:t>“</w:t>
      </w:r>
      <w:r>
        <w:rPr/>
        <w:t>海东海吉星项目</w:t>
      </w:r>
      <w:r>
        <w:rPr>
          <w:rFonts w:ascii="Times New Roman" w:hAnsi="Times New Roman" w:cs="Times New Roman" w:eastAsia="Times New Roman" w:hint="default"/>
        </w:rPr>
        <w:t>”</w:t>
      </w:r>
      <w:r>
        <w:rPr/>
        <w:t>）的投资、开发、建设及运营，丝路商贸公司将自</w:t>
      </w:r>
      <w:r>
        <w:rPr>
          <w:spacing w:val="-43"/>
        </w:rPr>
        <w:t> </w:t>
      </w:r>
      <w:r>
        <w:rPr>
          <w:spacing w:val="-43"/>
        </w:rPr>
      </w:r>
      <w:r>
        <w:rPr/>
        <w:t>农发行取得的海东海吉星项目建设基金中的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亿元根据项目进度需求拨付给青海海</w:t>
      </w:r>
    </w:p>
    <w:p>
      <w:pPr>
        <w:pStyle w:val="BodyText"/>
        <w:spacing w:line="331" w:lineRule="auto" w:before="14"/>
        <w:ind w:left="850" w:right="1757"/>
        <w:jc w:val="both"/>
      </w:pPr>
      <w:r>
        <w:rPr/>
        <w:t>吉星使用。</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月至</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月，青海海吉星自丝路商贸公司收到上述款项共</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亿</w:t>
      </w:r>
      <w:r>
        <w:rPr>
          <w:w w:val="100"/>
        </w:rPr>
        <w:t> </w:t>
      </w:r>
      <w:r>
        <w:rPr>
          <w:spacing w:val="-2"/>
        </w:rPr>
        <w:t>元，资金成本与丝路商贸公司自农发行取得资金的成本一致，为固定年利率</w:t>
      </w:r>
      <w:r>
        <w:rPr/>
        <w:t> </w:t>
      </w:r>
      <w:r>
        <w:rPr>
          <w:rFonts w:ascii="Times New Roman" w:hAnsi="Times New Roman" w:cs="Times New Roman" w:eastAsia="Times New Roman" w:hint="default"/>
          <w:spacing w:val="-1"/>
        </w:rPr>
        <w:t>1.2%</w:t>
      </w:r>
      <w:r>
        <w:rPr>
          <w:spacing w:val="-1"/>
        </w:rPr>
        <w:t>，</w:t>
      </w:r>
      <w:r>
        <w:rPr>
          <w:spacing w:val="-92"/>
        </w:rPr>
        <w:t> </w:t>
      </w:r>
      <w:r>
        <w:rPr/>
        <w:t>资金使用年限为资金到账之日起至</w:t>
      </w:r>
      <w:r>
        <w:rPr>
          <w:spacing w:val="-52"/>
        </w:rPr>
        <w:t> </w:t>
      </w:r>
      <w:r>
        <w:rPr>
          <w:rFonts w:ascii="Times New Roman" w:hAnsi="Times New Roman" w:cs="Times New Roman" w:eastAsia="Times New Roman" w:hint="default"/>
        </w:rPr>
        <w:t>2025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w:t>
      </w:r>
    </w:p>
    <w:p>
      <w:pPr>
        <w:pStyle w:val="BodyText"/>
        <w:spacing w:line="340" w:lineRule="auto" w:before="19"/>
        <w:ind w:left="850" w:right="1786"/>
        <w:jc w:val="both"/>
        <w:rPr>
          <w:rFonts w:ascii="Times New Roman" w:hAnsi="Times New Roman" w:cs="Times New Roman" w:eastAsia="Times New Roman" w:hint="default"/>
        </w:rPr>
      </w:pPr>
      <w:r>
        <w:rPr>
          <w:rFonts w:ascii="Times New Roman" w:hAnsi="Times New Roman" w:cs="Times New Roman" w:eastAsia="Times New Roman" w:hint="default"/>
        </w:rPr>
        <w:t>4</w:t>
      </w:r>
      <w:r>
        <w:rPr/>
        <w:t>、安庆海吉星物流园项目专项建设基金：</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日，安庆市人民政府与深</w:t>
      </w:r>
      <w:r>
        <w:rPr>
          <w:w w:val="100"/>
        </w:rPr>
        <w:t> </w:t>
      </w:r>
      <w:r>
        <w:rPr/>
        <w:t>圳市农产品集团股份有限公司签订投资协议，同意将政府已申报的针对农产品批发</w:t>
      </w:r>
      <w:r>
        <w:rPr>
          <w:spacing w:val="-62"/>
        </w:rPr>
        <w:t> </w:t>
      </w:r>
      <w:r>
        <w:rPr/>
        <w:t>市场的专项建设基金 </w:t>
      </w:r>
      <w:r>
        <w:rPr>
          <w:rFonts w:ascii="Times New Roman" w:hAnsi="Times New Roman" w:cs="Times New Roman" w:eastAsia="Times New Roman" w:hint="default"/>
        </w:rPr>
        <w:t>1.5 </w:t>
      </w:r>
      <w:r>
        <w:rPr/>
        <w:t>亿元，全部用于安庆海吉星农产品物流园项目。根据</w:t>
      </w:r>
      <w:r>
        <w:rPr>
          <w:spacing w:val="-68"/>
        </w:rPr>
        <w:t> </w:t>
      </w:r>
      <w:r>
        <w:rPr>
          <w:rFonts w:ascii="Times New Roman" w:hAnsi="Times New Roman" w:cs="Times New Roman" w:eastAsia="Times New Roman" w:hint="default"/>
        </w:rPr>
        <w:t>2016</w:t>
      </w:r>
    </w:p>
    <w:p>
      <w:pPr>
        <w:pStyle w:val="BodyText"/>
        <w:spacing w:line="340" w:lineRule="auto" w:before="10"/>
        <w:ind w:left="850" w:right="1786"/>
        <w:jc w:val="both"/>
      </w:pP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日，安庆市政府办公室</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亿元专项建设基金的会议纪要，</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亿元专项</w:t>
      </w:r>
      <w:r>
        <w:rPr>
          <w:w w:val="100"/>
        </w:rPr>
        <w:t> </w:t>
      </w:r>
      <w:r>
        <w:rPr/>
        <w:t>建设基金由安庆市同安实业有限公司（以下简称安庆同安公司）借给安庆海吉星物</w:t>
      </w:r>
      <w:r>
        <w:rPr>
          <w:spacing w:val="-62"/>
        </w:rPr>
        <w:t> </w:t>
      </w:r>
      <w:r>
        <w:rPr>
          <w:spacing w:val="-7"/>
          <w:w w:val="100"/>
        </w:rPr>
        <w:t>流园有限公司（以下简称安庆海吉星公司），双方签订借款协议，农发行收取的基金</w:t>
      </w:r>
      <w:r>
        <w:rPr>
          <w:spacing w:val="-73"/>
          <w:w w:val="100"/>
        </w:rPr>
        <w:t> </w:t>
      </w:r>
      <w:r>
        <w:rPr>
          <w:spacing w:val="-73"/>
          <w:w w:val="100"/>
        </w:rPr>
      </w:r>
      <w:r>
        <w:rPr/>
        <w:t>收益由安庆海吉星公司承担。</w:t>
      </w:r>
      <w:r>
        <w:rPr>
          <w:rFonts w:ascii="Times New Roman" w:hAnsi="Times New Roman" w:cs="Times New Roman" w:eastAsia="Times New Roman" w:hint="default"/>
        </w:rPr>
        <w:t>2016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月，安庆同安公司与安庆海吉星公司签订</w:t>
      </w:r>
      <w:r>
        <w:rPr>
          <w:w w:val="100"/>
        </w:rPr>
        <w:t> </w:t>
      </w:r>
      <w:r>
        <w:rPr/>
        <w:t>借款协议，借款金额为 </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亿元，借款用途为仅限于安庆海吉星农产品物流园土地</w:t>
      </w:r>
    </w:p>
    <w:p>
      <w:pPr>
        <w:pStyle w:val="BodyText"/>
        <w:spacing w:line="240" w:lineRule="auto" w:before="12"/>
        <w:ind w:left="850" w:right="0"/>
        <w:jc w:val="both"/>
      </w:pPr>
      <w:r>
        <w:rPr>
          <w:spacing w:val="-4"/>
        </w:rPr>
        <w:t>摘牌及相关费用，</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日安庆海吉星公司收到上述款项共</w:t>
      </w:r>
      <w:r>
        <w:rPr>
          <w:spacing w:val="-51"/>
        </w:rPr>
        <w:t> </w:t>
      </w:r>
      <w:r>
        <w:rPr>
          <w:rFonts w:ascii="Times New Roman" w:hAnsi="Times New Roman" w:cs="Times New Roman" w:eastAsia="Times New Roman" w:hint="default"/>
        </w:rPr>
        <w:t>1.5 </w:t>
      </w:r>
      <w:r>
        <w:rPr>
          <w:spacing w:val="-8"/>
        </w:rPr>
        <w:t>亿元，借款</w:t>
      </w:r>
    </w:p>
    <w:p>
      <w:pPr>
        <w:pStyle w:val="BodyText"/>
        <w:spacing w:line="240" w:lineRule="auto" w:before="107"/>
        <w:ind w:left="850" w:right="0"/>
        <w:jc w:val="both"/>
      </w:pPr>
      <w:r>
        <w:rPr/>
        <w:t>期限为自专项基金拨入同安公司起（</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日）至</w:t>
      </w:r>
      <w:r>
        <w:rPr>
          <w:spacing w:val="-44"/>
        </w:rPr>
        <w:t> </w:t>
      </w:r>
      <w:r>
        <w:rPr>
          <w:rFonts w:ascii="Times New Roman" w:hAnsi="Times New Roman" w:cs="Times New Roman" w:eastAsia="Times New Roman" w:hint="default"/>
        </w:rPr>
        <w:t>2025</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日，借</w:t>
      </w:r>
    </w:p>
    <w:p>
      <w:pPr>
        <w:pStyle w:val="BodyText"/>
        <w:spacing w:line="240" w:lineRule="auto" w:before="110"/>
        <w:ind w:left="850" w:right="0"/>
        <w:jc w:val="both"/>
      </w:pPr>
      <w:r>
        <w:rPr/>
        <w:t>款利率为年利率</w:t>
      </w:r>
      <w:r>
        <w:rPr>
          <w:spacing w:val="-48"/>
        </w:rPr>
        <w:t> </w:t>
      </w:r>
      <w:r>
        <w:rPr>
          <w:rFonts w:ascii="Times New Roman" w:hAnsi="Times New Roman" w:cs="Times New Roman" w:eastAsia="Times New Roman" w:hint="default"/>
          <w:spacing w:val="-5"/>
        </w:rPr>
        <w:t>1.2%</w:t>
      </w:r>
      <w:r>
        <w:rPr>
          <w:spacing w:val="-5"/>
        </w:rPr>
        <w:t>。截止到</w:t>
      </w:r>
      <w:r>
        <w:rPr>
          <w:spacing w:val="-49"/>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日，长期应付款余额为</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8"/>
        </w:rPr>
        <w:t>亿元。借</w:t>
      </w:r>
    </w:p>
    <w:p>
      <w:pPr>
        <w:pStyle w:val="BodyText"/>
        <w:spacing w:line="240" w:lineRule="auto" w:before="110"/>
        <w:ind w:left="850" w:right="0"/>
        <w:jc w:val="both"/>
      </w:pPr>
      <w:r>
        <w:rPr/>
        <w:t>款协议约定</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日还款</w:t>
      </w:r>
      <w:r>
        <w:rPr>
          <w:spacing w:val="-50"/>
        </w:rPr>
        <w:t> </w:t>
      </w:r>
      <w:r>
        <w:rPr>
          <w:rFonts w:ascii="Times New Roman" w:hAnsi="Times New Roman" w:cs="Times New Roman" w:eastAsia="Times New Roman" w:hint="default"/>
        </w:rPr>
        <w:t>2,150.00 </w:t>
      </w:r>
      <w:r>
        <w:rPr>
          <w:spacing w:val="-5"/>
        </w:rPr>
        <w:t>万元，故重分类到一年内到期的非流动</w:t>
      </w:r>
    </w:p>
    <w:p>
      <w:pPr>
        <w:pStyle w:val="BodyText"/>
        <w:spacing w:line="240" w:lineRule="auto" w:before="107"/>
        <w:ind w:left="850" w:right="0"/>
        <w:jc w:val="both"/>
      </w:pPr>
      <w:r>
        <w:rPr/>
        <w:t>负债</w:t>
      </w:r>
      <w:r>
        <w:rPr>
          <w:spacing w:val="-54"/>
        </w:rPr>
        <w:t> </w:t>
      </w:r>
      <w:r>
        <w:rPr>
          <w:rFonts w:ascii="Times New Roman" w:hAnsi="Times New Roman" w:cs="Times New Roman" w:eastAsia="Times New Roman" w:hint="default"/>
        </w:rPr>
        <w:t>2,150.00</w:t>
      </w:r>
      <w:r>
        <w:rPr>
          <w:rFonts w:ascii="Times New Roman" w:hAnsi="Times New Roman" w:cs="Times New Roman" w:eastAsia="Times New Roman" w:hint="default"/>
          <w:spacing w:val="-1"/>
        </w:rPr>
        <w:t> </w:t>
      </w:r>
      <w:r>
        <w:rPr/>
        <w:t>万元，长期应付款余额</w:t>
      </w:r>
      <w:r>
        <w:rPr>
          <w:spacing w:val="-53"/>
        </w:rPr>
        <w:t> </w:t>
      </w:r>
      <w:r>
        <w:rPr>
          <w:rFonts w:ascii="Times New Roman" w:hAnsi="Times New Roman" w:cs="Times New Roman" w:eastAsia="Times New Roman" w:hint="default"/>
        </w:rPr>
        <w:t>1.285</w:t>
      </w:r>
      <w:r>
        <w:rPr>
          <w:rFonts w:ascii="Times New Roman" w:hAnsi="Times New Roman" w:cs="Times New Roman" w:eastAsia="Times New Roman" w:hint="default"/>
          <w:spacing w:val="-1"/>
        </w:rPr>
        <w:t> </w:t>
      </w:r>
      <w:r>
        <w:rPr/>
        <w:t>亿元。</w:t>
      </w:r>
    </w:p>
    <w:p>
      <w:pPr>
        <w:spacing w:line="240" w:lineRule="auto" w:before="0"/>
        <w:rPr>
          <w:rFonts w:ascii="宋体" w:hAnsi="宋体" w:cs="宋体" w:eastAsia="宋体" w:hint="default"/>
          <w:sz w:val="22"/>
          <w:szCs w:val="22"/>
        </w:rPr>
      </w:pPr>
    </w:p>
    <w:p>
      <w:pPr>
        <w:pStyle w:val="Heading6"/>
        <w:spacing w:line="240" w:lineRule="auto" w:before="156"/>
        <w:ind w:right="0"/>
        <w:jc w:val="both"/>
        <w:rPr>
          <w:b w:val="0"/>
          <w:bCs w:val="0"/>
        </w:rPr>
      </w:pPr>
      <w:r>
        <w:rPr>
          <w:rFonts w:ascii="Times New Roman" w:hAnsi="Times New Roman" w:cs="Times New Roman" w:eastAsia="Times New Roman" w:hint="default"/>
        </w:rPr>
        <w:t>2</w:t>
      </w:r>
      <w:r>
        <w:rPr/>
        <w:t>、   </w:t>
      </w:r>
      <w:r>
        <w:rPr>
          <w:spacing w:val="32"/>
        </w:rPr>
        <w:t> </w:t>
      </w:r>
      <w:r>
        <w:rPr/>
        <w:t>专项应付款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511"/>
        <w:gridCol w:w="1407"/>
        <w:gridCol w:w="706"/>
        <w:gridCol w:w="708"/>
        <w:gridCol w:w="1265"/>
        <w:gridCol w:w="1181"/>
      </w:tblGrid>
      <w:tr>
        <w:trPr>
          <w:trHeight w:val="782" w:hRule="exact"/>
        </w:trPr>
        <w:tc>
          <w:tcPr>
            <w:tcW w:w="25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06" w:type="dxa"/>
            <w:tcBorders>
              <w:top w:val="single" w:sz="12" w:space="0" w:color="000000"/>
              <w:left w:val="dotted" w:sz="4" w:space="0" w:color="000000"/>
              <w:bottom w:val="dotted" w:sz="4" w:space="0" w:color="000000"/>
              <w:right w:val="dotted" w:sz="4" w:space="0" w:color="000000"/>
            </w:tcBorders>
          </w:tcPr>
          <w:p>
            <w:pPr>
              <w:pStyle w:val="TableParagraph"/>
              <w:spacing w:line="345" w:lineRule="auto" w:before="118"/>
              <w:ind w:left="167" w:right="16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345" w:lineRule="auto" w:before="118"/>
              <w:ind w:left="165" w:right="17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30"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西安摩尔财政局预算拨款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7,000,000.00</w:t>
            </w:r>
          </w:p>
        </w:tc>
        <w:tc>
          <w:tcPr>
            <w:tcW w:w="706"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7,000,000.00</w:t>
            </w:r>
          </w:p>
        </w:tc>
        <w:tc>
          <w:tcPr>
            <w:tcW w:w="11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72"/>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30"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西安摩尔流通体系建设资金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2,600,000.00</w:t>
            </w:r>
          </w:p>
        </w:tc>
        <w:tc>
          <w:tcPr>
            <w:tcW w:w="706"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2,600,000.00</w:t>
            </w:r>
          </w:p>
        </w:tc>
        <w:tc>
          <w:tcPr>
            <w:tcW w:w="11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72"/>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1109"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122" w:right="101"/>
              <w:jc w:val="both"/>
              <w:rPr>
                <w:rFonts w:ascii="宋体" w:hAnsi="宋体" w:cs="宋体" w:eastAsia="宋体" w:hint="default"/>
                <w:sz w:val="18"/>
                <w:szCs w:val="18"/>
              </w:rPr>
            </w:pPr>
            <w:r>
              <w:rPr>
                <w:rFonts w:ascii="宋体" w:hAnsi="宋体" w:cs="宋体" w:eastAsia="宋体" w:hint="default"/>
                <w:spacing w:val="9"/>
                <w:sz w:val="18"/>
                <w:szCs w:val="18"/>
              </w:rPr>
              <w:t>西安摩尔批发市场项目信息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系统和检测检验系统建设项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3,500,000.00</w:t>
            </w:r>
          </w:p>
        </w:tc>
        <w:tc>
          <w:tcPr>
            <w:tcW w:w="706"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3,500,000.00</w:t>
            </w:r>
          </w:p>
        </w:tc>
        <w:tc>
          <w:tcPr>
            <w:tcW w:w="11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6"/>
                <w:szCs w:val="2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32"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南山国债扶持资金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517,069.00</w:t>
            </w:r>
          </w:p>
        </w:tc>
        <w:tc>
          <w:tcPr>
            <w:tcW w:w="706"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517,069.00</w:t>
            </w:r>
          </w:p>
        </w:tc>
        <w:tc>
          <w:tcPr>
            <w:tcW w:w="11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9"/>
              <w:ind w:right="72"/>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30"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南山农批物流扶持资金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706"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2,000,000.00</w:t>
            </w:r>
          </w:p>
        </w:tc>
        <w:tc>
          <w:tcPr>
            <w:tcW w:w="11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6"/>
              <w:ind w:right="72"/>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39" w:hRule="exact"/>
        </w:trPr>
        <w:tc>
          <w:tcPr>
            <w:tcW w:w="25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15,617,069.00</w:t>
            </w:r>
          </w:p>
        </w:tc>
        <w:tc>
          <w:tcPr>
            <w:tcW w:w="706"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15,617,069.00</w:t>
            </w:r>
          </w:p>
        </w:tc>
        <w:tc>
          <w:tcPr>
            <w:tcW w:w="1181"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79" w:footer="996" w:top="1000" w:bottom="1180" w:left="1660" w:right="0"/>
        </w:sectPr>
      </w:pPr>
    </w:p>
    <w:p>
      <w:pPr>
        <w:spacing w:line="240" w:lineRule="auto" w:before="10"/>
        <w:rPr>
          <w:rFonts w:ascii="Microsoft JhengHei" w:hAnsi="Microsoft JhengHei" w:cs="Microsoft JhengHei" w:eastAsia="Microsoft JhengHei" w:hint="default"/>
          <w:b/>
          <w:bCs/>
          <w:sz w:val="27"/>
          <w:szCs w:val="27"/>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递延收益</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998"/>
        <w:gridCol w:w="1465"/>
        <w:gridCol w:w="1332"/>
        <w:gridCol w:w="1332"/>
        <w:gridCol w:w="1467"/>
        <w:gridCol w:w="1183"/>
      </w:tblGrid>
      <w:tr>
        <w:trPr>
          <w:trHeight w:val="439" w:hRule="exact"/>
        </w:trPr>
        <w:tc>
          <w:tcPr>
            <w:tcW w:w="9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left="406"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3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left="340"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left="341"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left="407"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1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形成原因</w:t>
            </w:r>
          </w:p>
        </w:tc>
      </w:tr>
      <w:tr>
        <w:trPr>
          <w:trHeight w:val="430" w:hRule="exact"/>
        </w:trPr>
        <w:tc>
          <w:tcPr>
            <w:tcW w:w="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right="103"/>
              <w:jc w:val="center"/>
              <w:rPr>
                <w:rFonts w:ascii="宋体" w:hAnsi="宋体" w:cs="宋体" w:eastAsia="宋体" w:hint="default"/>
                <w:sz w:val="16"/>
                <w:szCs w:val="16"/>
              </w:rPr>
            </w:pPr>
            <w:r>
              <w:rPr>
                <w:rFonts w:ascii="宋体" w:hAnsi="宋体" w:cs="宋体" w:eastAsia="宋体" w:hint="default"/>
                <w:sz w:val="16"/>
                <w:szCs w:val="16"/>
              </w:rPr>
              <w:t>政府补助</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692,558,235.33</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33,197,078.25</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57,048,292.52</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668,707,021.06</w:t>
            </w:r>
          </w:p>
        </w:tc>
        <w:tc>
          <w:tcPr>
            <w:tcW w:w="11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见下表</w:t>
            </w:r>
          </w:p>
        </w:tc>
      </w:tr>
      <w:tr>
        <w:trPr>
          <w:trHeight w:val="432" w:hRule="exact"/>
        </w:trPr>
        <w:tc>
          <w:tcPr>
            <w:tcW w:w="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3"/>
              <w:jc w:val="center"/>
              <w:rPr>
                <w:rFonts w:ascii="宋体" w:hAnsi="宋体" w:cs="宋体" w:eastAsia="宋体" w:hint="default"/>
                <w:sz w:val="16"/>
                <w:szCs w:val="16"/>
              </w:rPr>
            </w:pPr>
            <w:r>
              <w:rPr>
                <w:rFonts w:ascii="宋体" w:hAnsi="宋体" w:cs="宋体" w:eastAsia="宋体" w:hint="default"/>
                <w:sz w:val="16"/>
                <w:szCs w:val="16"/>
              </w:rPr>
              <w:t>递延租金</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1,738,639,589.14</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389,310,480.49</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219,760,277.64</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1,908,189,791.99</w:t>
            </w:r>
            <w:r>
              <w:rPr>
                <w:rFonts w:ascii="Times New Roman"/>
                <w:sz w:val="16"/>
              </w:rPr>
            </w:r>
          </w:p>
        </w:tc>
        <w:tc>
          <w:tcPr>
            <w:tcW w:w="1183" w:type="dxa"/>
            <w:tcBorders>
              <w:top w:val="dotted" w:sz="4" w:space="0" w:color="000000"/>
              <w:left w:val="dotted" w:sz="4" w:space="0" w:color="000000"/>
              <w:bottom w:val="dotted" w:sz="4" w:space="0" w:color="000000"/>
              <w:right w:val="nil" w:sz="6" w:space="0" w:color="auto"/>
            </w:tcBorders>
          </w:tcPr>
          <w:p>
            <w:pPr/>
          </w:p>
        </w:tc>
      </w:tr>
      <w:tr>
        <w:trPr>
          <w:trHeight w:val="439" w:hRule="exact"/>
        </w:trPr>
        <w:tc>
          <w:tcPr>
            <w:tcW w:w="9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8"/>
                <w:szCs w:val="8"/>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2,431,197,824.47</w:t>
            </w:r>
          </w:p>
        </w:tc>
        <w:tc>
          <w:tcPr>
            <w:tcW w:w="13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422,507,558.74</w:t>
            </w:r>
          </w:p>
        </w:tc>
        <w:tc>
          <w:tcPr>
            <w:tcW w:w="13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276,808,570.16</w:t>
            </w:r>
          </w:p>
        </w:tc>
        <w:tc>
          <w:tcPr>
            <w:tcW w:w="14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2,576,896,813.05</w:t>
            </w:r>
          </w:p>
        </w:tc>
        <w:tc>
          <w:tcPr>
            <w:tcW w:w="118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240" w:lineRule="auto"/>
        <w:ind w:left="754" w:right="1675"/>
        <w:jc w:val="left"/>
      </w:pPr>
      <w:r>
        <w:rPr/>
        <w:t>说明：递延租金系收取的批发市场长期租金，按租赁期限平均计入营业收入。</w:t>
      </w:r>
    </w:p>
    <w:p>
      <w:pPr>
        <w:spacing w:after="0" w:line="240" w:lineRule="auto"/>
        <w:jc w:val="left"/>
        <w:sectPr>
          <w:pgSz w:w="11910" w:h="16840"/>
          <w:pgMar w:header="779"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853" w:right="230"/>
        <w:jc w:val="left"/>
      </w:pPr>
      <w:r>
        <w:rPr/>
        <w:t>涉及政府补助的项目：</w:t>
      </w:r>
    </w:p>
    <w:p>
      <w:pPr>
        <w:spacing w:line="240" w:lineRule="auto" w:before="4"/>
        <w:rPr>
          <w:rFonts w:ascii="宋体" w:hAnsi="宋体" w:cs="宋体" w:eastAsia="宋体" w:hint="default"/>
          <w:sz w:val="2"/>
          <w:szCs w:val="2"/>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62"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岳阳海吉星建设项目补助</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199,984,133.29</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22,357,570.07</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177,626,563.22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长春海吉星物流园土地差价补偿</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145,813,088.32</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3,279,629.88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142,533,458.44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平湖物流园场平工程补助款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121,084,181.53</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3,124,753.08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117,959,428.45</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岳阳海吉星商户安置补助</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47,239,567.03</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4,624,941.42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42,614,625.61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天津静海国际商贸物流园项目基础设施</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建设补贴</w:t>
            </w:r>
          </w:p>
        </w:tc>
        <w:tc>
          <w:tcPr>
            <w:tcW w:w="1973" w:type="dxa"/>
            <w:tcBorders>
              <w:top w:val="dotted" w:sz="4" w:space="0" w:color="000000"/>
              <w:left w:val="dotted" w:sz="4" w:space="0" w:color="000000"/>
              <w:bottom w:val="dotted" w:sz="4" w:space="0" w:color="000000"/>
              <w:right w:val="dotted" w:sz="4" w:space="0" w:color="000000"/>
            </w:tcBorders>
          </w:tcPr>
          <w:p>
            <w:pP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17,478,200.00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205,625.88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17,272,574.12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天津牛羊肉基地补贴基金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11,500,000.00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11,500,000.00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沈阳市场农业专项扶持基金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11,602,391.85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311,014.49</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11,291,377.36</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南昌农产品中央试点中央补助资金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7,953,040.65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239,189.12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7,713,851.53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长春南菜北运项目建设扶持资金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5,605,839.42</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175,182.48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5,430,656.94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8"/>
              <w:ind w:left="122" w:right="100"/>
              <w:jc w:val="left"/>
              <w:rPr>
                <w:rFonts w:ascii="宋体" w:hAnsi="宋体" w:cs="宋体" w:eastAsia="宋体" w:hint="default"/>
                <w:sz w:val="15"/>
                <w:szCs w:val="15"/>
              </w:rPr>
            </w:pPr>
            <w:r>
              <w:rPr>
                <w:rFonts w:ascii="宋体" w:hAnsi="宋体" w:cs="宋体" w:eastAsia="宋体" w:hint="default"/>
                <w:sz w:val="15"/>
                <w:szCs w:val="15"/>
              </w:rPr>
              <w:t>天津进出口贸易中心冷链物流发展专项</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吉林省省级服务业发展专项资金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3,000,000.00</w:t>
            </w: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54,898.67</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4,945,101.33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天津一期Ⅱ冷链储运中心项目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4,398,876.36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101,123.64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4,297,752.72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6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天津一期Ⅰ交易大厅冷库及配套项目</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4,344,827.64</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155,172.36</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4,189,655.28</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left"/>
        <w:rPr>
          <w:rFonts w:ascii="宋体" w:hAnsi="宋体" w:cs="宋体" w:eastAsia="宋体" w:hint="default"/>
          <w:sz w:val="15"/>
          <w:szCs w:val="15"/>
        </w:rPr>
        <w:sectPr>
          <w:headerReference w:type="default" r:id="rId114"/>
          <w:footerReference w:type="default" r:id="rId115"/>
          <w:pgSz w:w="16840" w:h="11910" w:orient="landscape"/>
          <w:pgMar w:header="779" w:footer="997" w:top="1000" w:bottom="1180" w:left="1300" w:right="120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长沙农产品现代流通综合试点项目资金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5,810,000.04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1,659,999.96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4,150,000.08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惠州南菜北运产区建设工程项目扶持资</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4,135,894.98</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182,052.51</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3,953,842.47</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长沙交通局项目补贴</w:t>
            </w:r>
          </w:p>
        </w:tc>
        <w:tc>
          <w:tcPr>
            <w:tcW w:w="1973" w:type="dxa"/>
            <w:tcBorders>
              <w:top w:val="dotted" w:sz="4" w:space="0" w:color="000000"/>
              <w:left w:val="dotted" w:sz="4" w:space="0" w:color="000000"/>
              <w:bottom w:val="dotted" w:sz="4" w:space="0" w:color="000000"/>
              <w:right w:val="dotted" w:sz="4" w:space="0" w:color="000000"/>
            </w:tcBorders>
          </w:tcPr>
          <w:p>
            <w:pP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74" w:right="0"/>
              <w:jc w:val="left"/>
              <w:rPr>
                <w:rFonts w:ascii="Times New Roman" w:hAnsi="Times New Roman" w:cs="Times New Roman" w:eastAsia="Times New Roman" w:hint="default"/>
                <w:sz w:val="15"/>
                <w:szCs w:val="15"/>
              </w:rPr>
            </w:pPr>
            <w:r>
              <w:rPr>
                <w:rFonts w:ascii="Times New Roman"/>
                <w:sz w:val="15"/>
              </w:rPr>
              <w:t>4,000,000.00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426,656.00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3,573,344.00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长沙信息系统和检验检测系统建设项目</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00"/>
              <w:jc w:val="left"/>
              <w:rPr>
                <w:rFonts w:ascii="宋体" w:hAnsi="宋体" w:cs="宋体" w:eastAsia="宋体" w:hint="default"/>
                <w:sz w:val="15"/>
                <w:szCs w:val="15"/>
              </w:rPr>
            </w:pPr>
            <w:r>
              <w:rPr>
                <w:rFonts w:ascii="宋体" w:hAnsi="宋体" w:cs="宋体" w:eastAsia="宋体" w:hint="default"/>
                <w:sz w:val="15"/>
                <w:szCs w:val="15"/>
              </w:rPr>
              <w:t>南昌农产品物流中心冷链物流项目补助</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191,780.82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3,308,219.18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果菜主要农产品生产基地建设扶持资金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3,817,379.44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911,868.54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2,905,510.90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年服务业引导资金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2,915,555.43</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3"/>
                <w:sz w:val="15"/>
              </w:rPr>
              <w:t>71,111.12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2,844,444.31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长沙马王堆电子结算可追溯体系建设补</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贴经费</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413,333.36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2,686,666.64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上海南菜北运项目补贴</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2,783,333.41</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2,683,333.41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沈阳农产品冷链物流项目建设资金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2,533,333.24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66,666.68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2,466,666.56</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7"/>
              <w:ind w:left="122" w:right="99"/>
              <w:jc w:val="left"/>
              <w:rPr>
                <w:rFonts w:ascii="宋体" w:hAnsi="宋体" w:cs="宋体" w:eastAsia="宋体" w:hint="default"/>
                <w:sz w:val="15"/>
                <w:szCs w:val="15"/>
              </w:rPr>
            </w:pPr>
            <w:r>
              <w:rPr>
                <w:rFonts w:ascii="宋体" w:hAnsi="宋体" w:cs="宋体" w:eastAsia="宋体" w:hint="default"/>
                <w:sz w:val="15"/>
                <w:szCs w:val="15"/>
              </w:rPr>
              <w:t>成都冷库（跨区域、反季节蔬菜产销）</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项目补助</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2,800,000.04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399,999.96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2,400,000.08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6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天津公共信息平台项目补贴</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2,427,710.80</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72,289.20</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2,355,421.60</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left"/>
        <w:rPr>
          <w:rFonts w:ascii="宋体" w:hAnsi="宋体" w:cs="宋体" w:eastAsia="宋体" w:hint="default"/>
          <w:sz w:val="15"/>
          <w:szCs w:val="15"/>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毕节农产品深圳展销中心项目建设补贴</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2,295,000.00</w:t>
            </w: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2,740,000.00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2,740,000.00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2,295,000.00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8"/>
              <w:ind w:left="122" w:right="99"/>
              <w:jc w:val="left"/>
              <w:rPr>
                <w:rFonts w:ascii="宋体" w:hAnsi="宋体" w:cs="宋体" w:eastAsia="宋体" w:hint="default"/>
                <w:sz w:val="15"/>
                <w:szCs w:val="15"/>
              </w:rPr>
            </w:pPr>
            <w:r>
              <w:rPr>
                <w:rFonts w:ascii="宋体" w:hAnsi="宋体" w:cs="宋体" w:eastAsia="宋体" w:hint="default"/>
                <w:sz w:val="15"/>
                <w:szCs w:val="15"/>
              </w:rPr>
              <w:t>新柳邕</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年广西自治区服务业发展专</w:t>
            </w:r>
            <w:r>
              <w:rPr>
                <w:rFonts w:ascii="宋体" w:hAnsi="宋体" w:cs="宋体" w:eastAsia="宋体" w:hint="default"/>
                <w:w w:val="100"/>
                <w:sz w:val="15"/>
                <w:szCs w:val="15"/>
              </w:rPr>
              <w:t> </w:t>
            </w:r>
            <w:r>
              <w:rPr>
                <w:rFonts w:ascii="宋体" w:hAnsi="宋体" w:cs="宋体" w:eastAsia="宋体" w:hint="default"/>
                <w:sz w:val="15"/>
                <w:szCs w:val="15"/>
              </w:rPr>
              <w:t>项资金（第五批）</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2,989,000.00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732,000.00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2,257,000.00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新柳邕农产品综合服务平台建设项目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2,275,000.00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2,175,000.00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天津翰吉斯国际农产品物流园公共信息</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平台</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2,228,005.37</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82,371.88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2,145,633.49</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w:t>
            </w:r>
            <w:r>
              <w:rPr>
                <w:rFonts w:ascii="Times New Roman" w:hAnsi="Times New Roman" w:cs="Times New Roman" w:eastAsia="Times New Roman" w:hint="default"/>
                <w:sz w:val="15"/>
                <w:szCs w:val="15"/>
              </w:rPr>
              <w:t>“</w:t>
            </w:r>
            <w:r>
              <w:rPr>
                <w:rFonts w:ascii="宋体" w:hAnsi="宋体" w:cs="宋体" w:eastAsia="宋体" w:hint="default"/>
                <w:sz w:val="15"/>
                <w:szCs w:val="15"/>
              </w:rPr>
              <w:t>两个创建</w:t>
            </w:r>
            <w:r>
              <w:rPr>
                <w:rFonts w:ascii="Times New Roman" w:hAnsi="Times New Roman" w:cs="Times New Roman" w:eastAsia="Times New Roman" w:hint="default"/>
                <w:sz w:val="15"/>
                <w:szCs w:val="15"/>
              </w:rPr>
              <w:t>”</w:t>
            </w:r>
            <w:r>
              <w:rPr>
                <w:rFonts w:ascii="宋体" w:hAnsi="宋体" w:cs="宋体" w:eastAsia="宋体" w:hint="default"/>
                <w:sz w:val="15"/>
                <w:szCs w:val="15"/>
              </w:rPr>
              <w:t>点位提升补贴资金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2,714,719.35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626,257.83</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2,088,461.52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沈阳市场国有土地使用权出让金差价补</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偿</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2"/>
                <w:sz w:val="15"/>
              </w:rPr>
              <w:t>2,073,611.06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55,555.57</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2,018,055.49</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长春服务业发展专项资金城市配送政府</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补助款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成都冷库（冷链物流发展资金）</w:t>
            </w:r>
          </w:p>
        </w:tc>
        <w:tc>
          <w:tcPr>
            <w:tcW w:w="1973" w:type="dxa"/>
            <w:tcBorders>
              <w:top w:val="dotted" w:sz="4" w:space="0" w:color="000000"/>
              <w:left w:val="dotted" w:sz="4" w:space="0" w:color="000000"/>
              <w:bottom w:val="dotted" w:sz="4" w:space="0" w:color="000000"/>
              <w:right w:val="dotted" w:sz="4" w:space="0" w:color="000000"/>
            </w:tcBorders>
          </w:tcPr>
          <w:p>
            <w:pP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6,211.18</w:t>
            </w:r>
            <w:r>
              <w:rPr>
                <w:rFonts w:ascii="Times New Roman"/>
                <w:sz w:val="15"/>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1,993,788.82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深圳市福田区产业发展专项资金支持循</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环经济和节能减排项目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1,132,075.62</w:t>
            </w: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1,120,000.00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271,215.04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1,980,860.58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惠州冷库改造工程</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2,000,000.01</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83,333.33</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1,916,666.68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6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广西海吉星果蔬二期冷链项目补助资金</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1,919,613.20</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44,642.16</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1,874,971.04</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left"/>
        <w:rPr>
          <w:rFonts w:ascii="宋体" w:hAnsi="宋体" w:cs="宋体" w:eastAsia="宋体" w:hint="default"/>
          <w:sz w:val="15"/>
          <w:szCs w:val="15"/>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西安财政局西果东送项目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1,799,900.08</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66,699.96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1,733,200.12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7"/>
              <w:ind w:left="122" w:right="99"/>
              <w:jc w:val="left"/>
              <w:rPr>
                <w:rFonts w:ascii="宋体" w:hAnsi="宋体" w:cs="宋体" w:eastAsia="宋体" w:hint="default"/>
                <w:sz w:val="15"/>
                <w:szCs w:val="15"/>
              </w:rPr>
            </w:pPr>
            <w:r>
              <w:rPr>
                <w:rFonts w:ascii="宋体" w:hAnsi="宋体" w:cs="宋体" w:eastAsia="宋体" w:hint="default"/>
                <w:sz w:val="15"/>
                <w:szCs w:val="15"/>
              </w:rPr>
              <w:t>深圳国际农产品物流园</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年循环经济</w:t>
            </w:r>
            <w:r>
              <w:rPr>
                <w:rFonts w:ascii="宋体" w:hAnsi="宋体" w:cs="宋体" w:eastAsia="宋体" w:hint="default"/>
                <w:w w:val="100"/>
                <w:sz w:val="15"/>
                <w:szCs w:val="15"/>
              </w:rPr>
              <w:t> </w:t>
            </w:r>
            <w:r>
              <w:rPr>
                <w:rFonts w:ascii="宋体" w:hAnsi="宋体" w:cs="宋体" w:eastAsia="宋体" w:hint="default"/>
                <w:sz w:val="15"/>
                <w:szCs w:val="15"/>
              </w:rPr>
              <w:t>节能减排物流园污水处理工程项目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1,733,797.07</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45,328.08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1,688,468.99</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宁夏海吉星冷链设施建设项目</w:t>
            </w:r>
          </w:p>
        </w:tc>
        <w:tc>
          <w:tcPr>
            <w:tcW w:w="1973" w:type="dxa"/>
            <w:tcBorders>
              <w:top w:val="dotted" w:sz="4" w:space="0" w:color="000000"/>
              <w:left w:val="dotted" w:sz="4" w:space="0" w:color="000000"/>
              <w:bottom w:val="dotted" w:sz="4" w:space="0" w:color="000000"/>
              <w:right w:val="dotted" w:sz="4" w:space="0" w:color="000000"/>
            </w:tcBorders>
          </w:tcPr>
          <w:p>
            <w:pP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1,686,100.00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16,694.08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1,669,405.92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西安市场现代农产品综合试点项目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2,153,337.20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539,996.04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1,613,341.16</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年双百市场建设工程扶持资金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1,599,998.94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66,666.71</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1,533,332.23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长春市市级服务业发展专项资金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果菜基本农田改造工程（坪山大工业片</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区）</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1,607,700.00</w:t>
            </w: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34,433.00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209,700.00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1,432,433.00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2012 </w:t>
            </w:r>
            <w:r>
              <w:rPr>
                <w:rFonts w:ascii="宋体" w:hAnsi="宋体" w:cs="宋体" w:eastAsia="宋体" w:hint="default"/>
                <w:sz w:val="15"/>
                <w:szCs w:val="15"/>
              </w:rPr>
              <w:t>年服务业引导资金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1,428,129.58</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35,777.80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1,392,351.78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00"/>
              <w:jc w:val="left"/>
              <w:rPr>
                <w:rFonts w:ascii="宋体" w:hAnsi="宋体" w:cs="宋体" w:eastAsia="宋体" w:hint="default"/>
                <w:sz w:val="15"/>
                <w:szCs w:val="15"/>
              </w:rPr>
            </w:pPr>
            <w:r>
              <w:rPr>
                <w:rFonts w:ascii="宋体" w:hAnsi="宋体" w:cs="宋体" w:eastAsia="宋体" w:hint="default"/>
                <w:sz w:val="15"/>
                <w:szCs w:val="15"/>
              </w:rPr>
              <w:t>宁夏海吉星国际农产品物流园农产品现</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代冷链物流补贴项目二</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1,371,875.00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37,500.00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1,334,375.00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7"/>
              <w:ind w:left="122" w:right="99"/>
              <w:jc w:val="left"/>
              <w:rPr>
                <w:rFonts w:ascii="宋体" w:hAnsi="宋体" w:cs="宋体" w:eastAsia="宋体" w:hint="default"/>
                <w:sz w:val="15"/>
                <w:szCs w:val="15"/>
              </w:rPr>
            </w:pPr>
            <w:r>
              <w:rPr>
                <w:rFonts w:ascii="宋体" w:hAnsi="宋体" w:cs="宋体" w:eastAsia="宋体" w:hint="default"/>
                <w:sz w:val="15"/>
                <w:szCs w:val="15"/>
              </w:rPr>
              <w:t>沈阳</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年度第一次农产品流通项目资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1,284,722.17</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33,333.34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1,251,388.83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7"/>
              <w:ind w:left="122" w:right="99"/>
              <w:jc w:val="left"/>
              <w:rPr>
                <w:rFonts w:ascii="宋体" w:hAnsi="宋体" w:cs="宋体" w:eastAsia="宋体" w:hint="default"/>
                <w:sz w:val="15"/>
                <w:szCs w:val="15"/>
              </w:rPr>
            </w:pPr>
            <w:r>
              <w:rPr>
                <w:rFonts w:ascii="宋体" w:hAnsi="宋体" w:cs="宋体" w:eastAsia="宋体" w:hint="default"/>
                <w:sz w:val="15"/>
                <w:szCs w:val="15"/>
              </w:rPr>
              <w:t>宁夏海吉星国际农产品物流园农产品现</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代冷链物流补贴项目一</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1,284,375.00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37,500.00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1,246,875.00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6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成都商务部肉菜追溯体系电子秤补助</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1,537,200.00</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307,440.00</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1,229,760.00</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left"/>
        <w:rPr>
          <w:rFonts w:ascii="宋体" w:hAnsi="宋体" w:cs="宋体" w:eastAsia="宋体" w:hint="default"/>
          <w:sz w:val="15"/>
          <w:szCs w:val="15"/>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07\08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年度双百市场补助资金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1,283,332.02</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58,333.33</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1,224,998.69</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南山农批质量安全追溯补助款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1,440,114.94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238,522.59</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1,201,592.35</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8"/>
              <w:ind w:left="122" w:right="99"/>
              <w:jc w:val="left"/>
              <w:rPr>
                <w:rFonts w:ascii="宋体" w:hAnsi="宋体" w:cs="宋体" w:eastAsia="宋体" w:hint="default"/>
                <w:sz w:val="15"/>
                <w:szCs w:val="15"/>
              </w:rPr>
            </w:pPr>
            <w:r>
              <w:rPr>
                <w:rFonts w:ascii="宋体" w:hAnsi="宋体" w:cs="宋体" w:eastAsia="宋体" w:hint="default"/>
                <w:sz w:val="15"/>
                <w:szCs w:val="15"/>
              </w:rPr>
              <w:t>新柳邕</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年国家专项建设基金专项经</w:t>
            </w:r>
            <w:r>
              <w:rPr>
                <w:rFonts w:ascii="宋体" w:hAnsi="宋体" w:cs="宋体" w:eastAsia="宋体" w:hint="default"/>
                <w:w w:val="100"/>
                <w:sz w:val="15"/>
                <w:szCs w:val="15"/>
              </w:rPr>
              <w:t> </w:t>
            </w:r>
            <w:r>
              <w:rPr>
                <w:rFonts w:ascii="宋体" w:hAnsi="宋体" w:cs="宋体" w:eastAsia="宋体" w:hint="default"/>
                <w:sz w:val="15"/>
                <w:szCs w:val="15"/>
              </w:rPr>
              <w:t>费拨款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1,200,000.00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1,200,000.00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西安检验检测中心</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1,188,571.56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45,714.24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1,142,857.32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成都商务部现代流通综合试点专项资金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1,399,999.96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350,000.04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1,049,999.92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上海重点项目政府补贴</w:t>
            </w:r>
          </w:p>
        </w:tc>
        <w:tc>
          <w:tcPr>
            <w:tcW w:w="1973" w:type="dxa"/>
            <w:tcBorders>
              <w:top w:val="dotted" w:sz="4" w:space="0" w:color="000000"/>
              <w:left w:val="dotted" w:sz="4" w:space="0" w:color="000000"/>
              <w:bottom w:val="dotted" w:sz="4" w:space="0" w:color="000000"/>
              <w:right w:val="dotted" w:sz="4" w:space="0" w:color="000000"/>
            </w:tcBorders>
          </w:tcPr>
          <w:p>
            <w:pP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74" w:right="0"/>
              <w:jc w:val="left"/>
              <w:rPr>
                <w:rFonts w:ascii="Times New Roman" w:hAnsi="Times New Roman" w:cs="Times New Roman" w:eastAsia="Times New Roman" w:hint="default"/>
                <w:sz w:val="15"/>
                <w:szCs w:val="15"/>
              </w:rPr>
            </w:pPr>
            <w:r>
              <w:rPr>
                <w:rFonts w:ascii="Times New Roman"/>
                <w:sz w:val="15"/>
              </w:rPr>
              <w:t>1,083,701.10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36,123.37</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1,047,577.73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惠州冷链物流建设补贴资金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1,063,333.33</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36,666.67</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1,026,666.66</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8"/>
              <w:ind w:left="122" w:right="99"/>
              <w:jc w:val="left"/>
              <w:rPr>
                <w:rFonts w:ascii="宋体" w:hAnsi="宋体" w:cs="宋体" w:eastAsia="宋体" w:hint="default"/>
                <w:sz w:val="15"/>
                <w:szCs w:val="15"/>
              </w:rPr>
            </w:pPr>
            <w:r>
              <w:rPr>
                <w:rFonts w:ascii="宋体" w:hAnsi="宋体" w:cs="宋体" w:eastAsia="宋体" w:hint="default"/>
                <w:sz w:val="15"/>
                <w:szCs w:val="15"/>
              </w:rPr>
              <w:t>成都</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年农村物流服务体系发展专项资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1"/>
                <w:sz w:val="15"/>
              </w:rPr>
              <w:t>1,074,999.96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50,000.04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1,024,999.92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新柳邕农品易拍电子交易平台</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新柳邕大型农产品批发市场改造升级项</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963,333.33</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923,333.33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成都实施公益性公共配套设施建设（集</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中供冷水）</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1,434,782.62</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511,594.21</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923,188.41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2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南山家禽批发市场生鲜上市工作升级改</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造项目家禽屠宰档工程</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1,431,640.82</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522,426.67</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909,214.15</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left"/>
        <w:rPr>
          <w:rFonts w:ascii="宋体" w:hAnsi="宋体" w:cs="宋体" w:eastAsia="宋体" w:hint="default"/>
          <w:sz w:val="15"/>
          <w:szCs w:val="15"/>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7"/>
              <w:ind w:left="122" w:right="99"/>
              <w:jc w:val="left"/>
              <w:rPr>
                <w:rFonts w:ascii="宋体" w:hAnsi="宋体" w:cs="宋体" w:eastAsia="宋体" w:hint="default"/>
                <w:sz w:val="15"/>
                <w:szCs w:val="15"/>
              </w:rPr>
            </w:pPr>
            <w:r>
              <w:rPr>
                <w:rFonts w:ascii="宋体" w:hAnsi="宋体" w:cs="宋体" w:eastAsia="宋体" w:hint="default"/>
                <w:sz w:val="15"/>
                <w:szCs w:val="15"/>
              </w:rPr>
              <w:t>海吉星</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13#</w:t>
            </w:r>
            <w:r>
              <w:rPr>
                <w:rFonts w:ascii="宋体" w:hAnsi="宋体" w:cs="宋体" w:eastAsia="宋体" w:hint="default"/>
                <w:sz w:val="15"/>
                <w:szCs w:val="15"/>
              </w:rPr>
              <w:t>平湖冷库物流楼项目一期项</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908,315.43</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25,586.40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882,729.03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九江市场政府贴息</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905,660.20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25,157.28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880,502.92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果菜云南泸西供深蔬菜冷库建设及加工</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配送中心改造</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1,006,191.58</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128,450.04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877,741.54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柳州市广西新柳邕农产品批发市场（一</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期）</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906,666.67</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866,666.67</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龙岗服务业资金商业基础设施和冷链系</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统建设项目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879,097.19</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22,833.72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856,263.47</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116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深圳国际农产品国际物流园</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年市循</w:t>
            </w:r>
          </w:p>
          <w:p>
            <w:pPr>
              <w:pStyle w:val="TableParagraph"/>
              <w:spacing w:line="358" w:lineRule="exact" w:before="43"/>
              <w:ind w:left="122" w:right="99"/>
              <w:jc w:val="left"/>
              <w:rPr>
                <w:rFonts w:ascii="宋体" w:hAnsi="宋体" w:cs="宋体" w:eastAsia="宋体" w:hint="default"/>
                <w:sz w:val="15"/>
                <w:szCs w:val="15"/>
              </w:rPr>
            </w:pPr>
            <w:r>
              <w:rPr>
                <w:rFonts w:ascii="宋体" w:hAnsi="宋体" w:cs="宋体" w:eastAsia="宋体" w:hint="default"/>
                <w:sz w:val="15"/>
                <w:szCs w:val="15"/>
              </w:rPr>
              <w:t>环经济和节能减排物流园水果集中供冷</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小冷库工程项目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1,202,891.69</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370,120.44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832,771.25</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7"/>
              <w:ind w:left="122" w:right="99"/>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9"/>
                <w:sz w:val="15"/>
                <w:szCs w:val="15"/>
              </w:rPr>
              <w:t> </w:t>
            </w:r>
            <w:r>
              <w:rPr>
                <w:rFonts w:ascii="宋体" w:hAnsi="宋体" w:cs="宋体" w:eastAsia="宋体" w:hint="default"/>
                <w:sz w:val="15"/>
                <w:szCs w:val="15"/>
              </w:rPr>
              <w:t>年度市</w:t>
            </w:r>
            <w:r>
              <w:rPr>
                <w:rFonts w:ascii="Times New Roman" w:hAnsi="Times New Roman" w:cs="Times New Roman" w:eastAsia="Times New Roman" w:hint="default"/>
                <w:sz w:val="15"/>
                <w:szCs w:val="15"/>
              </w:rPr>
              <w:t>“</w:t>
            </w:r>
            <w:r>
              <w:rPr>
                <w:rFonts w:ascii="宋体" w:hAnsi="宋体" w:cs="宋体" w:eastAsia="宋体" w:hint="default"/>
                <w:sz w:val="15"/>
                <w:szCs w:val="15"/>
              </w:rPr>
              <w:t>主打两个市场</w:t>
            </w:r>
            <w:r>
              <w:rPr>
                <w:rFonts w:ascii="Times New Roman" w:hAnsi="Times New Roman" w:cs="Times New Roman" w:eastAsia="Times New Roman" w:hint="default"/>
                <w:sz w:val="15"/>
                <w:szCs w:val="15"/>
              </w:rPr>
              <w:t>”</w:t>
            </w:r>
            <w:r>
              <w:rPr>
                <w:rFonts w:ascii="宋体" w:hAnsi="宋体" w:cs="宋体" w:eastAsia="宋体" w:hint="default"/>
                <w:sz w:val="15"/>
                <w:szCs w:val="15"/>
              </w:rPr>
              <w:t>资金商贸流</w:t>
            </w:r>
            <w:r>
              <w:rPr>
                <w:rFonts w:ascii="宋体" w:hAnsi="宋体" w:cs="宋体" w:eastAsia="宋体" w:hint="default"/>
                <w:w w:val="100"/>
                <w:sz w:val="15"/>
                <w:szCs w:val="15"/>
              </w:rPr>
              <w:t> </w:t>
            </w:r>
            <w:r>
              <w:rPr>
                <w:rFonts w:ascii="宋体" w:hAnsi="宋体" w:cs="宋体" w:eastAsia="宋体" w:hint="default"/>
                <w:sz w:val="15"/>
                <w:szCs w:val="15"/>
              </w:rPr>
              <w:t>通业发展专项资金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821,556.25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22,821.00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798,735.25</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惠州市场升级改造工程</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800,000.01</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33,333.33</w:t>
            </w:r>
            <w:r>
              <w:rPr>
                <w:rFonts w:ascii="Times New Roman"/>
                <w:sz w:val="15"/>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766,666.68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7"/>
              <w:ind w:left="122" w:right="99"/>
              <w:jc w:val="left"/>
              <w:rPr>
                <w:rFonts w:ascii="宋体" w:hAnsi="宋体" w:cs="宋体" w:eastAsia="宋体" w:hint="default"/>
                <w:sz w:val="15"/>
                <w:szCs w:val="15"/>
              </w:rPr>
            </w:pPr>
            <w:r>
              <w:rPr>
                <w:rFonts w:ascii="宋体" w:hAnsi="宋体" w:cs="宋体" w:eastAsia="宋体" w:hint="default"/>
                <w:sz w:val="15"/>
                <w:szCs w:val="15"/>
              </w:rPr>
              <w:t>大白菜面向于农产品安全的智慧食安监</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测系统</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800,000.00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41,892.28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758,107.72</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6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南昌农业办</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项贷款贴息</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800,000.00</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43,835.62</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756,164.38</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left"/>
        <w:rPr>
          <w:rFonts w:ascii="宋体" w:hAnsi="宋体" w:cs="宋体" w:eastAsia="宋体" w:hint="default"/>
          <w:sz w:val="15"/>
          <w:szCs w:val="15"/>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果菜现代化农业建设项目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940,000.24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234,999.96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705,000.28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成都地震区双百市场建设项目补助款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716,667.94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33,333.33</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683,334.61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8"/>
              <w:ind w:left="122" w:right="99"/>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年深圳农业发展专项资金农产品质</w:t>
            </w:r>
            <w:r>
              <w:rPr>
                <w:rFonts w:ascii="宋体" w:hAnsi="宋体" w:cs="宋体" w:eastAsia="宋体" w:hint="default"/>
                <w:w w:val="100"/>
                <w:sz w:val="15"/>
                <w:szCs w:val="15"/>
              </w:rPr>
              <w:t> </w:t>
            </w:r>
            <w:r>
              <w:rPr>
                <w:rFonts w:ascii="宋体" w:hAnsi="宋体" w:cs="宋体" w:eastAsia="宋体" w:hint="default"/>
                <w:sz w:val="15"/>
                <w:szCs w:val="15"/>
              </w:rPr>
              <w:t>量检测项目补贴经费</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963,855.26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289,156.68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0"/>
              <w:jc w:val="right"/>
              <w:rPr>
                <w:rFonts w:ascii="Times New Roman" w:hAnsi="Times New Roman" w:cs="Times New Roman" w:eastAsia="Times New Roman" w:hint="default"/>
                <w:sz w:val="15"/>
                <w:szCs w:val="15"/>
              </w:rPr>
            </w:pPr>
            <w:r>
              <w:rPr>
                <w:rFonts w:ascii="Times New Roman"/>
                <w:spacing w:val="-1"/>
                <w:sz w:val="15"/>
              </w:rPr>
              <w:t>674,698.58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韩家墅市场南菜北运政府补贴</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650,000.00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650,000.00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南山农批农业综合开发项目资金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816,347.66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175,889.90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640,457.76</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成都肉类交易系统建设项目资金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800,000.04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159,999.96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640,000.08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果菜云南省泸西县白水镇蔬菜生产基地</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场部建设工程</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664,304.05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85,716.72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578,587.33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成都市商务局生猪屠宰项目支持资金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612,000.00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576,000.00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果菜无公害蔬菜现代化育苗中心及种植</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示范基地建设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660,000.00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570,000.00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37"/>
              <w:ind w:left="122" w:right="99"/>
              <w:jc w:val="left"/>
              <w:rPr>
                <w:rFonts w:ascii="宋体" w:hAnsi="宋体" w:cs="宋体" w:eastAsia="宋体" w:hint="default"/>
                <w:sz w:val="15"/>
                <w:szCs w:val="15"/>
              </w:rPr>
            </w:pPr>
            <w:r>
              <w:rPr>
                <w:rFonts w:ascii="宋体" w:hAnsi="宋体" w:cs="宋体" w:eastAsia="宋体" w:hint="default"/>
                <w:sz w:val="15"/>
                <w:szCs w:val="15"/>
              </w:rPr>
              <w:t>果菜</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年深圳市农业发展专项资金第</w:t>
            </w:r>
            <w:r>
              <w:rPr>
                <w:rFonts w:ascii="宋体" w:hAnsi="宋体" w:cs="宋体" w:eastAsia="宋体" w:hint="default"/>
                <w:w w:val="100"/>
                <w:sz w:val="15"/>
                <w:szCs w:val="15"/>
              </w:rPr>
              <w:t> </w:t>
            </w:r>
            <w:r>
              <w:rPr>
                <w:rFonts w:ascii="宋体" w:hAnsi="宋体" w:cs="宋体" w:eastAsia="宋体" w:hint="default"/>
                <w:sz w:val="15"/>
                <w:szCs w:val="15"/>
              </w:rPr>
              <w:t>二批农产品生产质量安全项目资金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633,333.40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99,999.96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533,333.44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果菜河源农业示范区蔬菜生产基地建设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551,959.84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22,773.36</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529,186.48</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2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农业高新技术项目（海吉星数据处理机</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房工程项目）</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725,301.20</w:t>
            </w:r>
          </w:p>
        </w:tc>
        <w:tc>
          <w:tcPr>
            <w:tcW w:w="1875" w:type="dxa"/>
            <w:tcBorders>
              <w:top w:val="dotted" w:sz="4" w:space="0" w:color="000000"/>
              <w:left w:val="dotted" w:sz="4" w:space="0" w:color="000000"/>
              <w:bottom w:val="single" w:sz="12" w:space="0" w:color="000000"/>
              <w:right w:val="dotted" w:sz="4" w:space="0" w:color="000000"/>
            </w:tcBorders>
          </w:tcPr>
          <w:p>
            <w:pP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202,409.64</w:t>
            </w:r>
          </w:p>
        </w:tc>
        <w:tc>
          <w:tcPr>
            <w:tcW w:w="1205"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522,891.56</w:t>
            </w:r>
          </w:p>
        </w:tc>
        <w:tc>
          <w:tcPr>
            <w:tcW w:w="165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spacing w:after="0" w:line="240" w:lineRule="auto"/>
        <w:jc w:val="left"/>
        <w:rPr>
          <w:rFonts w:ascii="宋体" w:hAnsi="宋体" w:cs="宋体" w:eastAsia="宋体" w:hint="default"/>
          <w:sz w:val="15"/>
          <w:szCs w:val="15"/>
        </w:rPr>
        <w:sectPr>
          <w:pgSz w:w="16840" w:h="11910" w:orient="landscape"/>
          <w:pgMar w:header="779"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tbl>
      <w:tblPr>
        <w:tblW w:w="0" w:type="auto"/>
        <w:jc w:val="left"/>
        <w:tblInd w:w="853" w:type="dxa"/>
        <w:tblLayout w:type="fixed"/>
        <w:tblCellMar>
          <w:top w:w="0" w:type="dxa"/>
          <w:left w:w="0" w:type="dxa"/>
          <w:bottom w:w="0" w:type="dxa"/>
          <w:right w:w="0" w:type="dxa"/>
        </w:tblCellMar>
        <w:tblLook w:val="01E0"/>
      </w:tblPr>
      <w:tblGrid>
        <w:gridCol w:w="2835"/>
        <w:gridCol w:w="1973"/>
        <w:gridCol w:w="1875"/>
        <w:gridCol w:w="1877"/>
        <w:gridCol w:w="1205"/>
        <w:gridCol w:w="1920"/>
        <w:gridCol w:w="1656"/>
      </w:tblGrid>
      <w:tr>
        <w:trPr>
          <w:trHeight w:val="859"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7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631" w:right="629"/>
              <w:jc w:val="center"/>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本期计入当期损益金额</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46" w:right="444"/>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9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65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446" w:right="428"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1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果菜龙东菜场都市人绿色菜园子盆栽蔬</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菜项目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593,333.25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80,000.04</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513,333.21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西安质量追溯和基本建设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747,535.71</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246,750.00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500,785.71</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前海农产品交易服务平台</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2,800,246.46</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-2,800,246.46</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前海农产品现货价格指数交易平台</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398,564.35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-398,564.35</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天津大型批发市场升级补贴</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699,881.44</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499,881.44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西安服务业综合改革试点项目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504,008.00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18,660.00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485,348.00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1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99"/>
              <w:jc w:val="left"/>
              <w:rPr>
                <w:rFonts w:ascii="宋体" w:hAnsi="宋体" w:cs="宋体" w:eastAsia="宋体" w:hint="default"/>
                <w:sz w:val="15"/>
                <w:szCs w:val="15"/>
              </w:rPr>
            </w:pPr>
            <w:r>
              <w:rPr>
                <w:rFonts w:ascii="宋体" w:hAnsi="宋体" w:cs="宋体" w:eastAsia="宋体" w:hint="default"/>
                <w:sz w:val="15"/>
                <w:szCs w:val="15"/>
              </w:rPr>
              <w:t>果菜深圳市生物种业知识产权评估与电</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子交易平台项目</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656,290.42</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175,120.68</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481,169.74</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80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27"/>
              <w:ind w:left="122" w:right="99"/>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年农业发展专项资金</w:t>
            </w:r>
            <w:r>
              <w:rPr>
                <w:rFonts w:ascii="Times New Roman" w:hAnsi="Times New Roman" w:cs="Times New Roman" w:eastAsia="Times New Roman" w:hint="default"/>
                <w:sz w:val="15"/>
                <w:szCs w:val="15"/>
              </w:rPr>
              <w:t>“</w:t>
            </w:r>
            <w:r>
              <w:rPr>
                <w:rFonts w:ascii="宋体" w:hAnsi="宋体" w:cs="宋体" w:eastAsia="宋体" w:hint="default"/>
                <w:sz w:val="15"/>
                <w:szCs w:val="15"/>
              </w:rPr>
              <w:t>食品保鲜冷</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z w:val="15"/>
                <w:szCs w:val="15"/>
              </w:rPr>
              <w:t>冻库建设项目</w:t>
            </w:r>
            <w:r>
              <w:rPr>
                <w:rFonts w:ascii="Times New Roman" w:hAnsi="Times New Roman" w:cs="Times New Roman" w:eastAsia="Times New Roman" w:hint="default"/>
                <w:sz w:val="15"/>
                <w:szCs w:val="15"/>
              </w:rPr>
              <w:t>”</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647,887.25</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169,014.12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478,873.13</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成都商务部肉菜追溯体系项目改造资金</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600,000.00</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450,000.00</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农产品电子商务孵化园建设</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434,571.42</w:t>
            </w:r>
          </w:p>
        </w:tc>
        <w:tc>
          <w:tcPr>
            <w:tcW w:w="1875" w:type="dxa"/>
            <w:tcBorders>
              <w:top w:val="dotted" w:sz="4" w:space="0" w:color="000000"/>
              <w:left w:val="dotted" w:sz="4" w:space="0" w:color="000000"/>
              <w:bottom w:val="dotted" w:sz="4" w:space="0" w:color="000000"/>
              <w:right w:val="dotted" w:sz="4" w:space="0" w:color="000000"/>
            </w:tcBorders>
          </w:tcPr>
          <w:p>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30,857.13</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403,714.29</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8,804,446.72</w:t>
            </w:r>
          </w:p>
        </w:tc>
        <w:tc>
          <w:tcPr>
            <w:tcW w:w="18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1,054,644.15</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2,792,306.72</w:t>
            </w:r>
          </w:p>
        </w:tc>
        <w:tc>
          <w:tcPr>
            <w:tcW w:w="1205"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7,066,784.15</w:t>
            </w:r>
          </w:p>
        </w:tc>
        <w:tc>
          <w:tcPr>
            <w:tcW w:w="1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与资产</w:t>
            </w:r>
            <w:r>
              <w:rPr>
                <w:rFonts w:ascii="Times New Roman" w:hAnsi="Times New Roman" w:cs="Times New Roman" w:eastAsia="Times New Roman" w:hint="default"/>
                <w:sz w:val="15"/>
                <w:szCs w:val="15"/>
              </w:rPr>
              <w:t>/</w:t>
            </w:r>
            <w:r>
              <w:rPr>
                <w:rFonts w:ascii="宋体" w:hAnsi="宋体" w:cs="宋体" w:eastAsia="宋体" w:hint="default"/>
                <w:sz w:val="15"/>
                <w:szCs w:val="15"/>
              </w:rPr>
              <w:t>收益相关</w:t>
            </w:r>
          </w:p>
        </w:tc>
      </w:tr>
      <w:tr>
        <w:trPr>
          <w:trHeight w:val="461"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692,558,235.33</w:t>
            </w:r>
          </w:p>
        </w:tc>
        <w:tc>
          <w:tcPr>
            <w:tcW w:w="18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33,197,078.25</w:t>
            </w: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53,849,481.71</w:t>
            </w:r>
          </w:p>
        </w:tc>
        <w:tc>
          <w:tcPr>
            <w:tcW w:w="12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-3,198,810.81</w:t>
            </w: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668,707,021.06</w:t>
            </w:r>
          </w:p>
        </w:tc>
        <w:tc>
          <w:tcPr>
            <w:tcW w:w="1656" w:type="dxa"/>
            <w:tcBorders>
              <w:top w:val="dotted" w:sz="4" w:space="0" w:color="000000"/>
              <w:left w:val="dotted" w:sz="4" w:space="0" w:color="000000"/>
              <w:bottom w:val="single" w:sz="12" w:space="0" w:color="000000"/>
              <w:right w:val="nil" w:sz="6" w:space="0" w:color="auto"/>
            </w:tcBorders>
          </w:tcPr>
          <w:p>
            <w:pPr/>
          </w:p>
        </w:tc>
      </w:tr>
    </w:tbl>
    <w:p>
      <w:pPr>
        <w:pStyle w:val="BodyText"/>
        <w:spacing w:line="328" w:lineRule="auto" w:before="93"/>
        <w:ind w:left="757" w:right="0"/>
        <w:jc w:val="left"/>
      </w:pPr>
      <w:r>
        <w:rPr/>
        <w:t>说明：本期计入当期损益金额中，计入其他收益 </w:t>
      </w:r>
      <w:r>
        <w:rPr>
          <w:rFonts w:ascii="Times New Roman" w:hAnsi="Times New Roman" w:cs="Times New Roman" w:eastAsia="Times New Roman" w:hint="default"/>
        </w:rPr>
        <w:t>53,849,481.71 </w:t>
      </w:r>
      <w:r>
        <w:rPr/>
        <w:t>元，其他变动</w:t>
      </w:r>
      <w:r>
        <w:rPr>
          <w:rFonts w:ascii="Times New Roman" w:hAnsi="Times New Roman" w:cs="Times New Roman" w:eastAsia="Times New Roman" w:hint="default"/>
        </w:rPr>
        <w:t>-3,198,810.81</w:t>
      </w:r>
      <w:r>
        <w:rPr>
          <w:rFonts w:ascii="Times New Roman" w:hAnsi="Times New Roman" w:cs="Times New Roman" w:eastAsia="Times New Roman" w:hint="default"/>
          <w:spacing w:val="27"/>
        </w:rPr>
        <w:t> </w:t>
      </w:r>
      <w:r>
        <w:rPr/>
        <w:t>元，由于前海农产品交易服务平台、农产品现货价格指</w:t>
      </w:r>
      <w:r>
        <w:rPr>
          <w:w w:val="100"/>
        </w:rPr>
        <w:t> </w:t>
      </w:r>
      <w:r>
        <w:rPr/>
        <w:t>数交易平台预计无法通过验收，极可能被政府收回，因此本期转入其他应付款。</w:t>
      </w:r>
    </w:p>
    <w:p>
      <w:pPr>
        <w:spacing w:after="0" w:line="328" w:lineRule="auto"/>
        <w:jc w:val="left"/>
        <w:sectPr>
          <w:pgSz w:w="16840" w:h="11910" w:orient="landscape"/>
          <w:pgMar w:header="779" w:footer="997" w:top="1000" w:bottom="1180" w:left="1300" w:right="12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spacing w:line="335" w:lineRule="exact"/>
        <w:ind w:left="138" w:right="1675"/>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rFonts w:ascii="Times New Roman" w:hAnsi="Times New Roman" w:cs="Times New Roman" w:eastAsia="Times New Roman" w:hint="default"/>
          <w:spacing w:val="49"/>
        </w:rPr>
        <w:t> </w:t>
      </w:r>
      <w:r>
        <w:rPr/>
        <w:t>股本</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049"/>
        <w:gridCol w:w="1573"/>
        <w:gridCol w:w="722"/>
        <w:gridCol w:w="646"/>
        <w:gridCol w:w="895"/>
        <w:gridCol w:w="602"/>
        <w:gridCol w:w="799"/>
        <w:gridCol w:w="1491"/>
      </w:tblGrid>
      <w:tr>
        <w:trPr>
          <w:trHeight w:val="461" w:hRule="exact"/>
        </w:trPr>
        <w:tc>
          <w:tcPr>
            <w:tcW w:w="10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7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665"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787"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49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1049" w:type="dxa"/>
            <w:vMerge/>
            <w:tcBorders>
              <w:left w:val="nil" w:sz="6" w:space="0" w:color="auto"/>
              <w:bottom w:val="dotted" w:sz="4" w:space="0" w:color="000000"/>
              <w:right w:val="dotted" w:sz="4" w:space="0" w:color="000000"/>
            </w:tcBorders>
          </w:tcPr>
          <w:p>
            <w:pPr/>
          </w:p>
        </w:tc>
        <w:tc>
          <w:tcPr>
            <w:tcW w:w="1573" w:type="dxa"/>
            <w:vMerge/>
            <w:tcBorders>
              <w:left w:val="dotted" w:sz="4" w:space="0" w:color="000000"/>
              <w:bottom w:val="dotted" w:sz="4" w:space="0" w:color="000000"/>
              <w:right w:val="dotted" w:sz="4" w:space="0" w:color="000000"/>
            </w:tcBorders>
          </w:tcPr>
          <w:p>
            <w:pPr/>
          </w:p>
        </w:tc>
        <w:tc>
          <w:tcPr>
            <w:tcW w:w="72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75" w:right="17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95"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261" w:right="170"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1" w:type="dxa"/>
            <w:vMerge/>
            <w:tcBorders>
              <w:left w:val="dotted" w:sz="4" w:space="0" w:color="000000"/>
              <w:bottom w:val="dotted" w:sz="4" w:space="0" w:color="000000"/>
              <w:right w:val="nil" w:sz="6" w:space="0" w:color="auto"/>
            </w:tcBorders>
          </w:tcPr>
          <w:p>
            <w:pPr/>
          </w:p>
        </w:tc>
      </w:tr>
      <w:tr>
        <w:trPr>
          <w:trHeight w:val="461" w:hRule="exact"/>
        </w:trPr>
        <w:tc>
          <w:tcPr>
            <w:tcW w:w="10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5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1,696,964,131.00</w:t>
            </w:r>
          </w:p>
        </w:tc>
        <w:tc>
          <w:tcPr>
            <w:tcW w:w="722" w:type="dxa"/>
            <w:tcBorders>
              <w:top w:val="dotted" w:sz="4" w:space="0" w:color="000000"/>
              <w:left w:val="dotted" w:sz="4" w:space="0" w:color="000000"/>
              <w:bottom w:val="single" w:sz="12" w:space="0" w:color="000000"/>
              <w:right w:val="dotted" w:sz="4" w:space="0" w:color="000000"/>
            </w:tcBorders>
          </w:tcPr>
          <w:p>
            <w:pPr/>
          </w:p>
        </w:tc>
        <w:tc>
          <w:tcPr>
            <w:tcW w:w="646" w:type="dxa"/>
            <w:tcBorders>
              <w:top w:val="dotted" w:sz="4" w:space="0" w:color="000000"/>
              <w:left w:val="dotted" w:sz="4" w:space="0" w:color="000000"/>
              <w:bottom w:val="single" w:sz="12" w:space="0" w:color="000000"/>
              <w:right w:val="dotted" w:sz="4" w:space="0" w:color="000000"/>
            </w:tcBorders>
          </w:tcPr>
          <w:p>
            <w:pPr/>
          </w:p>
        </w:tc>
        <w:tc>
          <w:tcPr>
            <w:tcW w:w="895" w:type="dxa"/>
            <w:tcBorders>
              <w:top w:val="dotted" w:sz="4" w:space="0" w:color="000000"/>
              <w:left w:val="dotted" w:sz="4" w:space="0" w:color="000000"/>
              <w:bottom w:val="single" w:sz="12" w:space="0" w:color="000000"/>
              <w:right w:val="dotted" w:sz="4" w:space="0" w:color="000000"/>
            </w:tcBorders>
          </w:tcPr>
          <w:p>
            <w:pPr/>
          </w:p>
        </w:tc>
        <w:tc>
          <w:tcPr>
            <w:tcW w:w="602" w:type="dxa"/>
            <w:tcBorders>
              <w:top w:val="dotted" w:sz="4" w:space="0" w:color="000000"/>
              <w:left w:val="dotted" w:sz="4" w:space="0" w:color="000000"/>
              <w:bottom w:val="single" w:sz="12" w:space="0" w:color="000000"/>
              <w:right w:val="dotted" w:sz="4" w:space="0" w:color="000000"/>
            </w:tcBorders>
          </w:tcPr>
          <w:p>
            <w:pPr/>
          </w:p>
        </w:tc>
        <w:tc>
          <w:tcPr>
            <w:tcW w:w="799" w:type="dxa"/>
            <w:tcBorders>
              <w:top w:val="dotted" w:sz="4" w:space="0" w:color="000000"/>
              <w:left w:val="dotted" w:sz="4" w:space="0" w:color="000000"/>
              <w:bottom w:val="single" w:sz="12" w:space="0" w:color="000000"/>
              <w:right w:val="dotted" w:sz="4" w:space="0" w:color="000000"/>
            </w:tcBorders>
          </w:tcPr>
          <w:p>
            <w:pPr/>
          </w:p>
        </w:tc>
        <w:tc>
          <w:tcPr>
            <w:tcW w:w="14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1,696,964,131.00</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38" w:right="1675"/>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资本公积</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940"/>
        <w:gridCol w:w="1466"/>
        <w:gridCol w:w="1455"/>
        <w:gridCol w:w="1450"/>
        <w:gridCol w:w="1467"/>
      </w:tblGrid>
      <w:tr>
        <w:trPr>
          <w:trHeight w:val="461" w:hRule="exact"/>
        </w:trPr>
        <w:tc>
          <w:tcPr>
            <w:tcW w:w="19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05"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00"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4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398"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4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08"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451" w:hRule="exact"/>
        </w:trPr>
        <w:tc>
          <w:tcPr>
            <w:tcW w:w="19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股本溢价</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2,371,975,913.63</w:t>
            </w:r>
          </w:p>
        </w:tc>
        <w:tc>
          <w:tcPr>
            <w:tcW w:w="1455" w:type="dxa"/>
            <w:tcBorders>
              <w:top w:val="dotted" w:sz="4" w:space="0" w:color="000000"/>
              <w:left w:val="dotted" w:sz="4" w:space="0" w:color="000000"/>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
        </w:tc>
        <w:tc>
          <w:tcPr>
            <w:tcW w:w="14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2,371,975,913.63</w:t>
            </w:r>
          </w:p>
        </w:tc>
      </w:tr>
      <w:tr>
        <w:trPr>
          <w:trHeight w:val="449" w:hRule="exact"/>
        </w:trPr>
        <w:tc>
          <w:tcPr>
            <w:tcW w:w="19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其他资本公积</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288,101,436.82</w:t>
            </w:r>
          </w:p>
        </w:tc>
        <w:tc>
          <w:tcPr>
            <w:tcW w:w="1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176,622,649.49</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417" w:right="0"/>
              <w:jc w:val="left"/>
              <w:rPr>
                <w:rFonts w:ascii="Times New Roman" w:hAnsi="Times New Roman" w:cs="Times New Roman" w:eastAsia="Times New Roman" w:hint="default"/>
                <w:sz w:val="16"/>
                <w:szCs w:val="16"/>
              </w:rPr>
            </w:pPr>
            <w:r>
              <w:rPr>
                <w:rFonts w:ascii="Times New Roman"/>
                <w:sz w:val="16"/>
              </w:rPr>
              <w:t>16,982,134.66</w:t>
            </w:r>
          </w:p>
        </w:tc>
        <w:tc>
          <w:tcPr>
            <w:tcW w:w="14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447,741,951.65</w:t>
            </w:r>
          </w:p>
        </w:tc>
      </w:tr>
      <w:tr>
        <w:trPr>
          <w:trHeight w:val="451" w:hRule="exact"/>
        </w:trPr>
        <w:tc>
          <w:tcPr>
            <w:tcW w:w="19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原制度资本公积转入</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1,961,242.28</w:t>
            </w:r>
          </w:p>
        </w:tc>
        <w:tc>
          <w:tcPr>
            <w:tcW w:w="1455" w:type="dxa"/>
            <w:tcBorders>
              <w:top w:val="dotted" w:sz="4" w:space="0" w:color="000000"/>
              <w:left w:val="dotted" w:sz="4" w:space="0" w:color="000000"/>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
        </w:tc>
        <w:tc>
          <w:tcPr>
            <w:tcW w:w="14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1,961,242.28</w:t>
            </w:r>
          </w:p>
        </w:tc>
      </w:tr>
      <w:tr>
        <w:trPr>
          <w:trHeight w:val="461" w:hRule="exact"/>
        </w:trPr>
        <w:tc>
          <w:tcPr>
            <w:tcW w:w="19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2,662,038,592.73</w:t>
            </w:r>
          </w:p>
        </w:tc>
        <w:tc>
          <w:tcPr>
            <w:tcW w:w="14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176,622,649.49</w:t>
            </w: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417" w:right="0"/>
              <w:jc w:val="left"/>
              <w:rPr>
                <w:rFonts w:ascii="Times New Roman" w:hAnsi="Times New Roman" w:cs="Times New Roman" w:eastAsia="Times New Roman" w:hint="default"/>
                <w:sz w:val="16"/>
                <w:szCs w:val="16"/>
              </w:rPr>
            </w:pPr>
            <w:r>
              <w:rPr>
                <w:rFonts w:ascii="Times New Roman"/>
                <w:sz w:val="16"/>
              </w:rPr>
              <w:t>16,982,134.66</w:t>
            </w:r>
          </w:p>
        </w:tc>
        <w:tc>
          <w:tcPr>
            <w:tcW w:w="14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2,821,679,107.56</w:t>
            </w: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336" w:lineRule="auto"/>
        <w:ind w:left="850" w:right="1675"/>
        <w:jc w:val="left"/>
        <w:rPr>
          <w:rFonts w:ascii="Times New Roman" w:hAnsi="Times New Roman" w:cs="Times New Roman" w:eastAsia="Times New Roman" w:hint="default"/>
        </w:rPr>
      </w:pPr>
      <w:r>
        <w:rPr/>
        <w:t>说明：本期增加 </w:t>
      </w:r>
      <w:r>
        <w:rPr>
          <w:rFonts w:ascii="Times New Roman" w:hAnsi="Times New Roman" w:cs="Times New Roman" w:eastAsia="Times New Roman" w:hint="default"/>
        </w:rPr>
        <w:t>176,622,649.49</w:t>
      </w:r>
      <w:r>
        <w:rPr>
          <w:rFonts w:ascii="Times New Roman" w:hAnsi="Times New Roman" w:cs="Times New Roman" w:eastAsia="Times New Roman" w:hint="default"/>
          <w:spacing w:val="35"/>
        </w:rPr>
        <w:t> </w:t>
      </w:r>
      <w:r>
        <w:rPr/>
        <w:t>元主要为公司对外参股公司深圳市深宝实业股份有</w:t>
      </w:r>
      <w:r>
        <w:rPr>
          <w:w w:val="100"/>
        </w:rPr>
        <w:t> </w:t>
      </w:r>
      <w:r>
        <w:rPr/>
        <w:t>限公司（现更名为</w:t>
      </w:r>
      <w:r>
        <w:rPr>
          <w:rFonts w:ascii="Times New Roman" w:hAnsi="Times New Roman" w:cs="Times New Roman" w:eastAsia="Times New Roman" w:hint="default"/>
        </w:rPr>
        <w:t>“</w:t>
      </w:r>
      <w:r>
        <w:rPr/>
        <w:t>深圳市深粮控股股份有限公司</w:t>
      </w:r>
      <w:r>
        <w:rPr>
          <w:rFonts w:ascii="Times New Roman" w:hAnsi="Times New Roman" w:cs="Times New Roman" w:eastAsia="Times New Roman" w:hint="default"/>
        </w:rPr>
        <w:t>”</w:t>
      </w:r>
      <w:r>
        <w:rPr/>
        <w:t>）通过发行股份购买深圳市福德</w:t>
      </w:r>
      <w:r>
        <w:rPr>
          <w:spacing w:val="-41"/>
        </w:rPr>
        <w:t> </w:t>
      </w:r>
      <w:r>
        <w:rPr>
          <w:spacing w:val="-41"/>
        </w:rPr>
      </w:r>
      <w:r>
        <w:rPr/>
        <w:t>国有资本有限公司（以下简称</w:t>
      </w:r>
      <w:r>
        <w:rPr>
          <w:rFonts w:ascii="Times New Roman" w:hAnsi="Times New Roman" w:cs="Times New Roman" w:eastAsia="Times New Roman" w:hint="default"/>
        </w:rPr>
        <w:t>“</w:t>
      </w:r>
      <w:r>
        <w:rPr/>
        <w:t>福德资本</w:t>
      </w:r>
      <w:r>
        <w:rPr>
          <w:rFonts w:ascii="Times New Roman" w:hAnsi="Times New Roman" w:cs="Times New Roman" w:eastAsia="Times New Roman" w:hint="default"/>
        </w:rPr>
        <w:t>”</w:t>
      </w:r>
      <w:r>
        <w:rPr/>
        <w:t>）持有深圳市粮食集团有限公司（以下简</w:t>
      </w:r>
      <w:r>
        <w:rPr>
          <w:spacing w:val="-43"/>
        </w:rPr>
        <w:t> </w:t>
      </w:r>
      <w:r>
        <w:rPr>
          <w:spacing w:val="-43"/>
        </w:rPr>
      </w:r>
      <w:r>
        <w:rPr/>
        <w:t>称</w:t>
      </w:r>
      <w:r>
        <w:rPr>
          <w:rFonts w:ascii="Times New Roman" w:hAnsi="Times New Roman" w:cs="Times New Roman" w:eastAsia="Times New Roman" w:hint="default"/>
        </w:rPr>
        <w:t>“</w:t>
      </w:r>
      <w:r>
        <w:rPr/>
        <w:t>粮食集团</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股权，重组完成后农产品对其投资股权比例由 </w:t>
      </w:r>
      <w:r>
        <w:rPr>
          <w:rFonts w:ascii="Times New Roman" w:hAnsi="Times New Roman" w:cs="Times New Roman" w:eastAsia="Times New Roman" w:hint="default"/>
        </w:rPr>
        <w:t>19.09%</w:t>
      </w:r>
      <w:r>
        <w:rPr/>
        <w:t>下降为</w:t>
      </w:r>
      <w:r>
        <w:rPr>
          <w:spacing w:val="-29"/>
        </w:rPr>
        <w:t> </w:t>
      </w:r>
      <w:r>
        <w:rPr>
          <w:spacing w:val="-29"/>
        </w:rPr>
      </w:r>
      <w:r>
        <w:rPr>
          <w:rFonts w:ascii="Times New Roman" w:hAnsi="Times New Roman" w:cs="Times New Roman" w:eastAsia="Times New Roman" w:hint="default"/>
          <w:spacing w:val="-4"/>
        </w:rPr>
        <w:t>8.23%</w:t>
      </w:r>
      <w:r>
        <w:rPr>
          <w:spacing w:val="-4"/>
        </w:rPr>
        <w:t>，根据《企业会计准则第 </w:t>
      </w:r>
      <w:r>
        <w:rPr>
          <w:rFonts w:ascii="Times New Roman" w:hAnsi="Times New Roman" w:cs="Times New Roman" w:eastAsia="Times New Roman" w:hint="default"/>
        </w:rPr>
        <w:t>2 </w:t>
      </w:r>
      <w:r>
        <w:rPr>
          <w:spacing w:val="-4"/>
        </w:rPr>
        <w:t>号</w:t>
      </w:r>
      <w:r>
        <w:rPr>
          <w:rFonts w:ascii="Times New Roman" w:hAnsi="Times New Roman" w:cs="Times New Roman" w:eastAsia="Times New Roman" w:hint="default"/>
          <w:spacing w:val="-4"/>
        </w:rPr>
        <w:t>——</w:t>
      </w:r>
      <w:r>
        <w:rPr>
          <w:spacing w:val="-4"/>
        </w:rPr>
        <w:t>长期股权投资》应用指南的相关规定，因其</w:t>
      </w:r>
      <w:r>
        <w:rPr>
          <w:spacing w:val="-92"/>
        </w:rPr>
        <w:t> </w:t>
      </w:r>
      <w:r>
        <w:rPr>
          <w:spacing w:val="-92"/>
        </w:rPr>
      </w:r>
      <w:r>
        <w:rPr/>
        <w:t>他股东对被投资单位增资导致投资方持股比例变动，投资方应按所持股权比例计算</w:t>
      </w:r>
      <w:r>
        <w:rPr>
          <w:spacing w:val="-62"/>
        </w:rPr>
        <w:t> </w:t>
      </w:r>
      <w:r>
        <w:rPr>
          <w:spacing w:val="-9"/>
          <w:w w:val="100"/>
        </w:rPr>
        <w:t>应享有的份额，调整长期股权投资的账面价值，同时计入资本公积（其他资本公积）。</w:t>
      </w:r>
      <w:r>
        <w:rPr>
          <w:spacing w:val="-90"/>
          <w:w w:val="100"/>
        </w:rPr>
        <w:t> </w:t>
      </w:r>
      <w:r>
        <w:rPr>
          <w:spacing w:val="-90"/>
          <w:w w:val="100"/>
        </w:rPr>
      </w:r>
      <w:r>
        <w:rPr>
          <w:spacing w:val="-2"/>
        </w:rPr>
        <w:t>农产品根据重组日前后归属于母公司净资产金额及股比计算增加资本公积</w:t>
      </w:r>
      <w:r>
        <w:rPr>
          <w:spacing w:val="4"/>
        </w:rPr>
        <w:t> </w:t>
      </w:r>
      <w:r>
        <w:rPr>
          <w:rFonts w:ascii="Times New Roman" w:hAnsi="Times New Roman" w:cs="Times New Roman" w:eastAsia="Times New Roman" w:hint="default"/>
          <w:spacing w:val="-1"/>
        </w:rPr>
        <w:t>17,179.68</w:t>
      </w:r>
    </w:p>
    <w:p>
      <w:pPr>
        <w:pStyle w:val="BodyText"/>
        <w:spacing w:line="331" w:lineRule="auto" w:before="17"/>
        <w:ind w:left="850" w:right="1781"/>
        <w:jc w:val="left"/>
      </w:pPr>
      <w:r>
        <w:rPr/>
        <w:t>万元；其他增加为按照市场利率调整深圳市国资委贷款利息增加资本公积</w:t>
      </w:r>
      <w:r>
        <w:rPr>
          <w:spacing w:val="-61"/>
        </w:rPr>
        <w:t> </w:t>
      </w:r>
      <w:r>
        <w:rPr>
          <w:rFonts w:ascii="Times New Roman" w:hAnsi="Times New Roman" w:cs="Times New Roman" w:eastAsia="Times New Roman" w:hint="default"/>
        </w:rPr>
        <w:t>441.04</w:t>
      </w:r>
      <w:r>
        <w:rPr>
          <w:rFonts w:ascii="Times New Roman" w:hAnsi="Times New Roman" w:cs="Times New Roman" w:eastAsia="Times New Roman" w:hint="default"/>
          <w:spacing w:val="-9"/>
        </w:rPr>
        <w:t> </w:t>
      </w:r>
      <w:r>
        <w:rPr/>
        <w:t>万</w:t>
      </w:r>
      <w:r>
        <w:rPr>
          <w:w w:val="100"/>
        </w:rPr>
        <w:t> </w:t>
      </w:r>
      <w:r>
        <w:rPr/>
        <w:t>及参股公司其他权益变动增加资本公积。</w:t>
      </w:r>
    </w:p>
    <w:p>
      <w:pPr>
        <w:pStyle w:val="BodyText"/>
        <w:spacing w:line="331" w:lineRule="auto" w:before="43"/>
        <w:ind w:left="850" w:right="1782"/>
        <w:jc w:val="left"/>
      </w:pPr>
      <w:r>
        <w:rPr/>
        <w:t>本期减少</w:t>
      </w:r>
      <w:r>
        <w:rPr>
          <w:spacing w:val="-44"/>
        </w:rPr>
        <w:t> </w:t>
      </w:r>
      <w:r>
        <w:rPr>
          <w:rFonts w:ascii="Times New Roman" w:hAnsi="Times New Roman" w:cs="Times New Roman" w:eastAsia="Times New Roman" w:hint="default"/>
        </w:rPr>
        <w:t>1,698.21</w:t>
      </w:r>
      <w:r>
        <w:rPr>
          <w:rFonts w:ascii="Times New Roman" w:hAnsi="Times New Roman" w:cs="Times New Roman" w:eastAsia="Times New Roman" w:hint="default"/>
          <w:spacing w:val="9"/>
        </w:rPr>
        <w:t> </w:t>
      </w:r>
      <w:r>
        <w:rPr/>
        <w:t>万元为本期公司以</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元对价收购下属控股子公司深圳市农迈天下</w:t>
      </w:r>
      <w:r>
        <w:rPr>
          <w:w w:val="100"/>
        </w:rPr>
        <w:t> </w:t>
      </w:r>
      <w:r>
        <w:rPr/>
        <w:t>电子商务有限公司其他少数股东</w:t>
      </w:r>
      <w:r>
        <w:rPr>
          <w:spacing w:val="-54"/>
        </w:rPr>
        <w:t> </w:t>
      </w:r>
      <w:r>
        <w:rPr>
          <w:rFonts w:ascii="Times New Roman" w:hAnsi="Times New Roman" w:cs="Times New Roman" w:eastAsia="Times New Roman" w:hint="default"/>
        </w:rPr>
        <w:t>40%</w:t>
      </w:r>
      <w:r>
        <w:rPr/>
        <w:t>股权，冲减资本公积</w:t>
      </w:r>
      <w:r>
        <w:rPr>
          <w:spacing w:val="-54"/>
        </w:rPr>
        <w:t> </w:t>
      </w:r>
      <w:r>
        <w:rPr>
          <w:rFonts w:ascii="Times New Roman" w:hAnsi="Times New Roman" w:cs="Times New Roman" w:eastAsia="Times New Roman" w:hint="default"/>
        </w:rPr>
        <w:t>1,698.21</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44"/>
        <w:ind w:left="3395" w:right="1675" w:firstLine="0"/>
        <w:jc w:val="left"/>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3112" type="#_x0000_t75" stroked="false">
            <v:imagedata r:id="rId93"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 </w:t>
      </w:r>
      <w:r>
        <w:rPr>
          <w:rFonts w:ascii="宋体" w:hAnsi="宋体" w:cs="宋体" w:eastAsia="宋体" w:hint="default"/>
          <w:sz w:val="18"/>
          <w:szCs w:val="18"/>
        </w:rPr>
        <w:t>页</w:t>
      </w:r>
    </w:p>
    <w:p>
      <w:pPr>
        <w:spacing w:after="0"/>
        <w:jc w:val="left"/>
        <w:rPr>
          <w:rFonts w:ascii="宋体" w:hAnsi="宋体" w:cs="宋体" w:eastAsia="宋体" w:hint="default"/>
          <w:sz w:val="18"/>
          <w:szCs w:val="18"/>
        </w:rPr>
        <w:sectPr>
          <w:headerReference w:type="default" r:id="rId116"/>
          <w:footerReference w:type="default" r:id="rId117"/>
          <w:pgSz w:w="11910" w:h="16840"/>
          <w:pgMar w:header="779" w:footer="0" w:top="1000" w:bottom="0" w:left="1660" w:right="0"/>
        </w:sectPr>
      </w:pPr>
    </w:p>
    <w:p>
      <w:pPr>
        <w:spacing w:before="17"/>
        <w:ind w:left="0" w:right="419"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699.6pt;height:.5pt;mso-position-horizontal-relative:char;mso-position-vertical-relative:line" coordorigin="0,0" coordsize="13992,10">
            <v:group style="position:absolute;left:5;top:5;width:13983;height:2" coordorigin="5,5" coordsize="13983,2">
              <v:shape style="position:absolute;left:5;top:5;width:13983;height:2" coordorigin="5,5" coordsize="13983,0" path="m5,5l1398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6"/>
        <w:spacing w:line="335" w:lineRule="exact"/>
        <w:ind w:left="128" w:right="230"/>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其他综合收益</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4745"/>
        <w:gridCol w:w="1265"/>
        <w:gridCol w:w="1265"/>
        <w:gridCol w:w="1405"/>
        <w:gridCol w:w="984"/>
        <w:gridCol w:w="1224"/>
        <w:gridCol w:w="1227"/>
        <w:gridCol w:w="1226"/>
      </w:tblGrid>
      <w:tr>
        <w:trPr>
          <w:trHeight w:val="461" w:hRule="exact"/>
        </w:trPr>
        <w:tc>
          <w:tcPr>
            <w:tcW w:w="474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6104"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2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72" w:hRule="exact"/>
        </w:trPr>
        <w:tc>
          <w:tcPr>
            <w:tcW w:w="4745"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367" w:lineRule="auto"/>
              <w:ind w:left="266" w:right="175"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56" w:right="101" w:hanging="53"/>
              <w:jc w:val="both"/>
              <w:rPr>
                <w:rFonts w:ascii="宋体" w:hAnsi="宋体" w:cs="宋体" w:eastAsia="宋体" w:hint="default"/>
                <w:sz w:val="18"/>
                <w:szCs w:val="18"/>
              </w:rPr>
            </w:pPr>
            <w:r>
              <w:rPr>
                <w:rFonts w:ascii="宋体" w:hAnsi="宋体" w:cs="宋体" w:eastAsia="宋体" w:hint="default"/>
                <w:spacing w:val="-11"/>
                <w:sz w:val="18"/>
                <w:szCs w:val="18"/>
              </w:rPr>
              <w:t>减：前期计入其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他综合收益当 期转入损益</w:t>
            </w:r>
          </w:p>
        </w:tc>
        <w:tc>
          <w:tcPr>
            <w:tcW w:w="9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367" w:lineRule="auto"/>
              <w:ind w:left="215" w:right="125"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367" w:lineRule="auto"/>
              <w:ind w:left="335" w:right="156"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367" w:lineRule="auto"/>
              <w:ind w:left="247" w:right="156"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226" w:type="dxa"/>
            <w:vMerge/>
            <w:tcBorders>
              <w:left w:val="dotted" w:sz="4" w:space="0" w:color="000000"/>
              <w:bottom w:val="dotted" w:sz="4" w:space="0" w:color="000000"/>
              <w:right w:val="nil" w:sz="6" w:space="0" w:color="auto"/>
            </w:tcBorders>
          </w:tcPr>
          <w:p>
            <w:pPr/>
          </w:p>
        </w:tc>
      </w:tr>
      <w:tr>
        <w:trPr>
          <w:trHeight w:val="449" w:hRule="exact"/>
        </w:trPr>
        <w:tc>
          <w:tcPr>
            <w:tcW w:w="4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．不能重分类进损益的其他综合收益</w:t>
            </w:r>
          </w:p>
        </w:tc>
        <w:tc>
          <w:tcPr>
            <w:tcW w:w="1265"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
        </w:tc>
        <w:tc>
          <w:tcPr>
            <w:tcW w:w="984"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
        </w:tc>
        <w:tc>
          <w:tcPr>
            <w:tcW w:w="1227"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．将重分类进损益的其他综合收益</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-284,482.84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83,305.52</w:t>
            </w:r>
          </w:p>
        </w:tc>
        <w:tc>
          <w:tcPr>
            <w:tcW w:w="1405" w:type="dxa"/>
            <w:tcBorders>
              <w:top w:val="dotted" w:sz="4" w:space="0" w:color="000000"/>
              <w:left w:val="dotted" w:sz="4" w:space="0" w:color="000000"/>
              <w:bottom w:val="dotted" w:sz="4" w:space="0" w:color="000000"/>
              <w:right w:val="dotted" w:sz="4" w:space="0" w:color="000000"/>
            </w:tcBorders>
          </w:tcPr>
          <w:p>
            <w:pPr/>
          </w:p>
        </w:tc>
        <w:tc>
          <w:tcPr>
            <w:tcW w:w="984"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83,305.52</w:t>
            </w:r>
          </w:p>
        </w:tc>
        <w:tc>
          <w:tcPr>
            <w:tcW w:w="1227"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-201,177.32</w:t>
            </w:r>
          </w:p>
        </w:tc>
      </w:tr>
      <w:tr>
        <w:trPr>
          <w:trHeight w:val="449" w:hRule="exact"/>
        </w:trPr>
        <w:tc>
          <w:tcPr>
            <w:tcW w:w="4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其中：外币财务报表折算差额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-284,482.84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83,305.52</w:t>
            </w:r>
          </w:p>
        </w:tc>
        <w:tc>
          <w:tcPr>
            <w:tcW w:w="1405" w:type="dxa"/>
            <w:tcBorders>
              <w:top w:val="dotted" w:sz="4" w:space="0" w:color="000000"/>
              <w:left w:val="dotted" w:sz="4" w:space="0" w:color="000000"/>
              <w:bottom w:val="dotted" w:sz="4" w:space="0" w:color="000000"/>
              <w:right w:val="dotted" w:sz="4" w:space="0" w:color="000000"/>
            </w:tcBorders>
          </w:tcPr>
          <w:p>
            <w:pPr/>
          </w:p>
        </w:tc>
        <w:tc>
          <w:tcPr>
            <w:tcW w:w="984"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83,305.52</w:t>
            </w:r>
          </w:p>
        </w:tc>
        <w:tc>
          <w:tcPr>
            <w:tcW w:w="1227"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-201,177.32</w:t>
            </w:r>
          </w:p>
        </w:tc>
      </w:tr>
      <w:tr>
        <w:trPr>
          <w:trHeight w:val="461" w:hRule="exact"/>
        </w:trPr>
        <w:tc>
          <w:tcPr>
            <w:tcW w:w="47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-284,482.84</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83,305.52</w:t>
            </w:r>
          </w:p>
        </w:tc>
        <w:tc>
          <w:tcPr>
            <w:tcW w:w="1405" w:type="dxa"/>
            <w:tcBorders>
              <w:top w:val="dotted" w:sz="4" w:space="0" w:color="000000"/>
              <w:left w:val="dotted" w:sz="4" w:space="0" w:color="000000"/>
              <w:bottom w:val="single" w:sz="12" w:space="0" w:color="000000"/>
              <w:right w:val="dotted" w:sz="4" w:space="0" w:color="000000"/>
            </w:tcBorders>
          </w:tcPr>
          <w:p>
            <w:pPr/>
          </w:p>
        </w:tc>
        <w:tc>
          <w:tcPr>
            <w:tcW w:w="984" w:type="dxa"/>
            <w:tcBorders>
              <w:top w:val="dotted" w:sz="4" w:space="0" w:color="000000"/>
              <w:left w:val="dotted" w:sz="4" w:space="0" w:color="000000"/>
              <w:bottom w:val="single" w:sz="12" w:space="0" w:color="000000"/>
              <w:right w:val="dotted" w:sz="4" w:space="0" w:color="000000"/>
            </w:tcBorders>
          </w:tcPr>
          <w:p>
            <w:pPr/>
          </w:p>
        </w:tc>
        <w:tc>
          <w:tcPr>
            <w:tcW w:w="12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83,305.52</w:t>
            </w:r>
          </w:p>
        </w:tc>
        <w:tc>
          <w:tcPr>
            <w:tcW w:w="1227" w:type="dxa"/>
            <w:tcBorders>
              <w:top w:val="dotted" w:sz="4" w:space="0" w:color="000000"/>
              <w:left w:val="dotted" w:sz="4" w:space="0" w:color="000000"/>
              <w:bottom w:val="single" w:sz="12" w:space="0" w:color="000000"/>
              <w:right w:val="dotted" w:sz="4" w:space="0" w:color="000000"/>
            </w:tcBorders>
          </w:tcPr>
          <w:p>
            <w:pPr/>
          </w:p>
        </w:tc>
        <w:tc>
          <w:tcPr>
            <w:tcW w:w="12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-201,177.32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4"/>
          <w:szCs w:val="24"/>
        </w:rPr>
      </w:pPr>
    </w:p>
    <w:p>
      <w:pPr>
        <w:spacing w:before="44"/>
        <w:ind w:left="6158" w:right="625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93"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118"/>
          <w:footerReference w:type="default" r:id="rId119"/>
          <w:pgSz w:w="16840" w:h="11910" w:orient="landscape"/>
          <w:pgMar w:header="0" w:footer="0" w:top="700" w:bottom="0" w:left="1300" w:right="12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盈余公积</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695"/>
        <w:gridCol w:w="1522"/>
        <w:gridCol w:w="1520"/>
        <w:gridCol w:w="1519"/>
        <w:gridCol w:w="1522"/>
      </w:tblGrid>
      <w:tr>
        <w:trPr>
          <w:trHeight w:val="461" w:hRule="exact"/>
        </w:trPr>
        <w:tc>
          <w:tcPr>
            <w:tcW w:w="16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9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3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237,959,868.83</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10,083,794.80</w:t>
            </w:r>
          </w:p>
        </w:tc>
        <w:tc>
          <w:tcPr>
            <w:tcW w:w="1519"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248,043,663.63</w:t>
            </w:r>
          </w:p>
        </w:tc>
      </w:tr>
      <w:tr>
        <w:trPr>
          <w:trHeight w:val="451"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522" w:type="dxa"/>
            <w:tcBorders>
              <w:top w:val="dotted" w:sz="4" w:space="0" w:color="000000"/>
              <w:left w:val="dotted" w:sz="4" w:space="0" w:color="000000"/>
              <w:bottom w:val="dotted" w:sz="4" w:space="0" w:color="000000"/>
              <w:right w:val="dotted" w:sz="4" w:space="0" w:color="000000"/>
            </w:tcBorders>
          </w:tcPr>
          <w:p>
            <w:pPr/>
          </w:p>
        </w:tc>
        <w:tc>
          <w:tcPr>
            <w:tcW w:w="1520"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6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237,959,868.83</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10,083,794.80</w:t>
            </w:r>
          </w:p>
        </w:tc>
        <w:tc>
          <w:tcPr>
            <w:tcW w:w="1519" w:type="dxa"/>
            <w:tcBorders>
              <w:top w:val="dotted" w:sz="4" w:space="0" w:color="000000"/>
              <w:left w:val="dotted" w:sz="4" w:space="0" w:color="000000"/>
              <w:bottom w:val="single" w:sz="12" w:space="0" w:color="000000"/>
              <w:right w:val="dotted" w:sz="4" w:space="0" w:color="000000"/>
            </w:tcBorders>
          </w:tcPr>
          <w:p>
            <w:pPr/>
          </w:p>
        </w:tc>
        <w:tc>
          <w:tcPr>
            <w:tcW w:w="15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248,043,663.63</w:t>
            </w:r>
          </w:p>
        </w:tc>
      </w:tr>
    </w:tbl>
    <w:p>
      <w:pPr>
        <w:spacing w:line="240" w:lineRule="auto" w:before="12"/>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未分配利润</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908"/>
        <w:gridCol w:w="1934"/>
        <w:gridCol w:w="1935"/>
      </w:tblGrid>
      <w:tr>
        <w:trPr>
          <w:trHeight w:val="461" w:hRule="exact"/>
        </w:trPr>
        <w:tc>
          <w:tcPr>
            <w:tcW w:w="39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本期</w:t>
            </w:r>
          </w:p>
        </w:tc>
        <w:tc>
          <w:tcPr>
            <w:tcW w:w="19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6"/>
              <w:ind w:right="8"/>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49"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213,248,313.53</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302,092,135.59</w:t>
            </w:r>
          </w:p>
        </w:tc>
      </w:tr>
      <w:tr>
        <w:trPr>
          <w:trHeight w:val="451"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213,248,313.53</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302,092,135.59</w:t>
            </w:r>
          </w:p>
        </w:tc>
      </w:tr>
      <w:tr>
        <w:trPr>
          <w:trHeight w:val="451"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42,767,102.22</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13,892,078.69</w:t>
            </w:r>
          </w:p>
        </w:tc>
      </w:tr>
      <w:tr>
        <w:trPr>
          <w:trHeight w:val="449"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10,083,794.80</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17,887,694.20</w:t>
            </w:r>
          </w:p>
        </w:tc>
      </w:tr>
      <w:tr>
        <w:trPr>
          <w:trHeight w:val="452"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84,848,206.55</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84,848,206.55</w:t>
            </w:r>
          </w:p>
        </w:tc>
      </w:tr>
      <w:tr>
        <w:trPr>
          <w:trHeight w:val="449" w:hRule="exact"/>
        </w:trPr>
        <w:tc>
          <w:tcPr>
            <w:tcW w:w="39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9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9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161,083,414.40</w:t>
            </w:r>
          </w:p>
        </w:tc>
        <w:tc>
          <w:tcPr>
            <w:tcW w:w="19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213,248,313.53</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营业收入和营业成本</w:t>
      </w:r>
      <w:r>
        <w:rPr>
          <w:b w:val="0"/>
          <w:bCs w:val="0"/>
        </w:rPr>
      </w:r>
    </w:p>
    <w:p>
      <w:pPr>
        <w:pStyle w:val="BodyText"/>
        <w:spacing w:line="240" w:lineRule="auto" w:before="102"/>
        <w:ind w:left="850" w:right="1675"/>
        <w:jc w:val="left"/>
      </w:pPr>
      <w:r>
        <w:rPr>
          <w:rFonts w:ascii="Times New Roman" w:hAnsi="Times New Roman" w:cs="Times New Roman" w:eastAsia="Times New Roman" w:hint="default"/>
        </w:rPr>
        <w:t>1</w:t>
      </w:r>
      <w:r>
        <w:rPr/>
        <w:t>、营业收入、营业成本</w:t>
      </w:r>
    </w:p>
    <w:tbl>
      <w:tblPr>
        <w:tblW w:w="0" w:type="auto"/>
        <w:jc w:val="left"/>
        <w:tblInd w:w="771" w:type="dxa"/>
        <w:tblLayout w:type="fixed"/>
        <w:tblCellMar>
          <w:top w:w="0" w:type="dxa"/>
          <w:left w:w="0" w:type="dxa"/>
          <w:bottom w:w="0" w:type="dxa"/>
          <w:right w:w="0" w:type="dxa"/>
        </w:tblCellMar>
        <w:tblLook w:val="01E0"/>
      </w:tblPr>
      <w:tblGrid>
        <w:gridCol w:w="1253"/>
        <w:gridCol w:w="1630"/>
        <w:gridCol w:w="1630"/>
        <w:gridCol w:w="1630"/>
        <w:gridCol w:w="1633"/>
      </w:tblGrid>
      <w:tr>
        <w:trPr>
          <w:trHeight w:val="461" w:hRule="exact"/>
        </w:trPr>
        <w:tc>
          <w:tcPr>
            <w:tcW w:w="125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1253" w:type="dxa"/>
            <w:vMerge/>
            <w:tcBorders>
              <w:left w:val="nil" w:sz="6" w:space="0" w:color="auto"/>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收入</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49" w:hRule="exact"/>
        </w:trPr>
        <w:tc>
          <w:tcPr>
            <w:tcW w:w="12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403"/>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2,301,966,628.62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1,448,714,326.64</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2,431,003,148.72</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1,522,746,858.13</w:t>
            </w:r>
          </w:p>
        </w:tc>
      </w:tr>
      <w:tr>
        <w:trPr>
          <w:trHeight w:val="451" w:hRule="exact"/>
        </w:trPr>
        <w:tc>
          <w:tcPr>
            <w:tcW w:w="12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403"/>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89,079.97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65,364.13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15,278,301.07</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127,639.56</w:t>
            </w:r>
          </w:p>
        </w:tc>
      </w:tr>
      <w:tr>
        <w:trPr>
          <w:trHeight w:val="461" w:hRule="exact"/>
        </w:trPr>
        <w:tc>
          <w:tcPr>
            <w:tcW w:w="12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434"/>
              <w:jc w:val="righ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2,302,055,708.59</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1,448,779,690.77</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2,446,281,449.79</w:t>
            </w:r>
          </w:p>
        </w:tc>
        <w:tc>
          <w:tcPr>
            <w:tcW w:w="1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1,522,874,497.69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850" w:right="1675"/>
        <w:jc w:val="left"/>
      </w:pPr>
      <w:r>
        <w:rPr>
          <w:rFonts w:ascii="Times New Roman" w:hAnsi="Times New Roman" w:cs="Times New Roman" w:eastAsia="Times New Roman" w:hint="default"/>
        </w:rPr>
        <w:t>2</w:t>
      </w:r>
      <w:r>
        <w:rPr/>
        <w:t>、主营业务（分行业）</w:t>
      </w:r>
    </w:p>
    <w:tbl>
      <w:tblPr>
        <w:tblW w:w="0" w:type="auto"/>
        <w:jc w:val="left"/>
        <w:tblInd w:w="769" w:type="dxa"/>
        <w:tblLayout w:type="fixed"/>
        <w:tblCellMar>
          <w:top w:w="0" w:type="dxa"/>
          <w:left w:w="0" w:type="dxa"/>
          <w:bottom w:w="0" w:type="dxa"/>
          <w:right w:w="0" w:type="dxa"/>
        </w:tblCellMar>
        <w:tblLook w:val="01E0"/>
      </w:tblPr>
      <w:tblGrid>
        <w:gridCol w:w="1853"/>
        <w:gridCol w:w="1577"/>
        <w:gridCol w:w="1450"/>
        <w:gridCol w:w="1382"/>
        <w:gridCol w:w="1515"/>
      </w:tblGrid>
      <w:tr>
        <w:trPr>
          <w:trHeight w:val="461" w:hRule="exact"/>
        </w:trPr>
        <w:tc>
          <w:tcPr>
            <w:tcW w:w="185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02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289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49" w:hRule="exact"/>
        </w:trPr>
        <w:tc>
          <w:tcPr>
            <w:tcW w:w="1853" w:type="dxa"/>
            <w:vMerge/>
            <w:tcBorders>
              <w:left w:val="nil" w:sz="6" w:space="0" w:color="auto"/>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15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6"/>
                <w:szCs w:val="16"/>
              </w:rPr>
            </w:pPr>
            <w:r>
              <w:rPr>
                <w:rFonts w:ascii="宋体" w:hAnsi="宋体" w:cs="宋体" w:eastAsia="宋体" w:hint="default"/>
                <w:sz w:val="16"/>
                <w:szCs w:val="16"/>
              </w:rPr>
              <w:t>营业成本</w:t>
            </w:r>
          </w:p>
        </w:tc>
      </w:tr>
      <w:tr>
        <w:trPr>
          <w:trHeight w:val="461" w:hRule="exact"/>
        </w:trPr>
        <w:tc>
          <w:tcPr>
            <w:tcW w:w="18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农产品批发市场经营</w:t>
            </w:r>
          </w:p>
        </w:tc>
        <w:tc>
          <w:tcPr>
            <w:tcW w:w="15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5" w:right="0"/>
              <w:jc w:val="left"/>
              <w:rPr>
                <w:rFonts w:ascii="Times New Roman" w:hAnsi="Times New Roman" w:cs="Times New Roman" w:eastAsia="Times New Roman" w:hint="default"/>
                <w:sz w:val="16"/>
                <w:szCs w:val="16"/>
              </w:rPr>
            </w:pPr>
            <w:r>
              <w:rPr>
                <w:rFonts w:ascii="Times New Roman"/>
                <w:sz w:val="16"/>
              </w:rPr>
              <w:t>1,959,665,670.76</w:t>
            </w: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13" w:right="0"/>
              <w:jc w:val="left"/>
              <w:rPr>
                <w:rFonts w:ascii="Times New Roman" w:hAnsi="Times New Roman" w:cs="Times New Roman" w:eastAsia="Times New Roman" w:hint="default"/>
                <w:sz w:val="16"/>
                <w:szCs w:val="16"/>
              </w:rPr>
            </w:pPr>
            <w:r>
              <w:rPr>
                <w:rFonts w:ascii="Times New Roman"/>
                <w:sz w:val="16"/>
              </w:rPr>
              <w:t>1,161,200,985.74</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 w:right="0"/>
              <w:jc w:val="center"/>
              <w:rPr>
                <w:rFonts w:ascii="Times New Roman" w:hAnsi="Times New Roman" w:cs="Times New Roman" w:eastAsia="Times New Roman" w:hint="default"/>
                <w:sz w:val="16"/>
                <w:szCs w:val="16"/>
              </w:rPr>
            </w:pPr>
            <w:r>
              <w:rPr>
                <w:rFonts w:ascii="Times New Roman"/>
                <w:sz w:val="16"/>
              </w:rPr>
              <w:t>2,014,343,916.04</w:t>
            </w:r>
          </w:p>
        </w:tc>
        <w:tc>
          <w:tcPr>
            <w:tcW w:w="15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1" w:right="0"/>
              <w:jc w:val="left"/>
              <w:rPr>
                <w:rFonts w:ascii="Times New Roman" w:hAnsi="Times New Roman" w:cs="Times New Roman" w:eastAsia="Times New Roman" w:hint="default"/>
                <w:sz w:val="16"/>
                <w:szCs w:val="16"/>
              </w:rPr>
            </w:pPr>
            <w:r>
              <w:rPr>
                <w:rFonts w:ascii="Times New Roman"/>
                <w:sz w:val="16"/>
              </w:rPr>
              <w:t>1,087,141,315.64</w:t>
            </w:r>
          </w:p>
        </w:tc>
      </w:tr>
    </w:tbl>
    <w:p>
      <w:pPr>
        <w:spacing w:after="0" w:line="240" w:lineRule="auto"/>
        <w:jc w:val="left"/>
        <w:rPr>
          <w:rFonts w:ascii="Times New Roman" w:hAnsi="Times New Roman" w:cs="Times New Roman" w:eastAsia="Times New Roman" w:hint="default"/>
          <w:sz w:val="16"/>
          <w:szCs w:val="16"/>
        </w:rPr>
        <w:sectPr>
          <w:footerReference w:type="default" r:id="rId120"/>
          <w:pgSz w:w="11910" w:h="16840"/>
          <w:pgMar w:footer="996" w:header="0" w:top="1000" w:bottom="1180" w:left="1660" w:right="0"/>
          <w:pgNumType w:start="8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1853"/>
        <w:gridCol w:w="1577"/>
        <w:gridCol w:w="1450"/>
        <w:gridCol w:w="1382"/>
        <w:gridCol w:w="1515"/>
      </w:tblGrid>
      <w:tr>
        <w:trPr>
          <w:trHeight w:val="461" w:hRule="exact"/>
        </w:trPr>
        <w:tc>
          <w:tcPr>
            <w:tcW w:w="185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02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289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49" w:hRule="exact"/>
        </w:trPr>
        <w:tc>
          <w:tcPr>
            <w:tcW w:w="1853" w:type="dxa"/>
            <w:vMerge/>
            <w:tcBorders>
              <w:left w:val="nil" w:sz="6" w:space="0" w:color="auto"/>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5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6"/>
                <w:szCs w:val="16"/>
              </w:rPr>
            </w:pPr>
            <w:r>
              <w:rPr>
                <w:rFonts w:ascii="宋体" w:hAnsi="宋体" w:cs="宋体" w:eastAsia="宋体" w:hint="default"/>
                <w:sz w:val="16"/>
                <w:szCs w:val="16"/>
              </w:rPr>
              <w:t>营业成本</w:t>
            </w:r>
          </w:p>
        </w:tc>
      </w:tr>
      <w:tr>
        <w:trPr>
          <w:trHeight w:val="451" w:hRule="exact"/>
        </w:trPr>
        <w:tc>
          <w:tcPr>
            <w:tcW w:w="18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农产品加工生产</w:t>
            </w:r>
          </w:p>
        </w:tc>
        <w:tc>
          <w:tcPr>
            <w:tcW w:w="15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132,119,070.37</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124,904,203.94</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2"/>
                <w:sz w:val="16"/>
              </w:rPr>
              <w:t>112,840,885.88</w:t>
            </w:r>
          </w:p>
        </w:tc>
        <w:tc>
          <w:tcPr>
            <w:tcW w:w="15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104,756,127.08</w:t>
            </w:r>
          </w:p>
        </w:tc>
      </w:tr>
      <w:tr>
        <w:trPr>
          <w:trHeight w:val="449" w:hRule="exact"/>
        </w:trPr>
        <w:tc>
          <w:tcPr>
            <w:tcW w:w="18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市场配套服务</w:t>
            </w:r>
          </w:p>
        </w:tc>
        <w:tc>
          <w:tcPr>
            <w:tcW w:w="15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355,779,816.44</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213,431,809.31</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415,144,304.54</w:t>
            </w:r>
          </w:p>
        </w:tc>
        <w:tc>
          <w:tcPr>
            <w:tcW w:w="15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379,993,573.96</w:t>
            </w:r>
          </w:p>
        </w:tc>
      </w:tr>
      <w:tr>
        <w:trPr>
          <w:trHeight w:val="451" w:hRule="exact"/>
        </w:trPr>
        <w:tc>
          <w:tcPr>
            <w:tcW w:w="18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减：公司内部行业抵销</w:t>
            </w:r>
          </w:p>
        </w:tc>
        <w:tc>
          <w:tcPr>
            <w:tcW w:w="15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145,597,928.95</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50,822,672.35</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2"/>
                <w:sz w:val="16"/>
              </w:rPr>
              <w:t>111,325,957.74</w:t>
            </w:r>
          </w:p>
        </w:tc>
        <w:tc>
          <w:tcPr>
            <w:tcW w:w="15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49,144,158.55</w:t>
            </w:r>
          </w:p>
        </w:tc>
      </w:tr>
      <w:tr>
        <w:trPr>
          <w:trHeight w:val="461" w:hRule="exact"/>
        </w:trPr>
        <w:tc>
          <w:tcPr>
            <w:tcW w:w="18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5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2,301,966,628.62</w:t>
            </w: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1,448,714,326.64</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2,431,003,148.72</w:t>
            </w:r>
          </w:p>
        </w:tc>
        <w:tc>
          <w:tcPr>
            <w:tcW w:w="15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1,522,746,858.13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850" w:right="1675"/>
        <w:jc w:val="left"/>
      </w:pPr>
      <w:r>
        <w:rPr>
          <w:rFonts w:ascii="Times New Roman" w:hAnsi="Times New Roman" w:cs="Times New Roman" w:eastAsia="Times New Roman" w:hint="default"/>
        </w:rPr>
        <w:t>3</w:t>
      </w:r>
      <w:r>
        <w:rPr/>
        <w:t>、主营业务（分地区）</w:t>
      </w:r>
    </w:p>
    <w:tbl>
      <w:tblPr>
        <w:tblW w:w="0" w:type="auto"/>
        <w:jc w:val="left"/>
        <w:tblInd w:w="771" w:type="dxa"/>
        <w:tblLayout w:type="fixed"/>
        <w:tblCellMar>
          <w:top w:w="0" w:type="dxa"/>
          <w:left w:w="0" w:type="dxa"/>
          <w:bottom w:w="0" w:type="dxa"/>
          <w:right w:w="0" w:type="dxa"/>
        </w:tblCellMar>
        <w:tblLook w:val="01E0"/>
      </w:tblPr>
      <w:tblGrid>
        <w:gridCol w:w="1395"/>
        <w:gridCol w:w="1488"/>
        <w:gridCol w:w="1630"/>
        <w:gridCol w:w="1630"/>
        <w:gridCol w:w="1633"/>
      </w:tblGrid>
      <w:tr>
        <w:trPr>
          <w:trHeight w:val="461" w:hRule="exact"/>
        </w:trPr>
        <w:tc>
          <w:tcPr>
            <w:tcW w:w="139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1395" w:type="dxa"/>
            <w:vMerge/>
            <w:tcBorders>
              <w:left w:val="nil" w:sz="6" w:space="0" w:color="auto"/>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4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4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45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49"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1,171,780,229.66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710,596,892.95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1,265,868,515.32</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817,708,630.65</w:t>
            </w:r>
          </w:p>
        </w:tc>
      </w:tr>
      <w:tr>
        <w:trPr>
          <w:trHeight w:val="451"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165,773,151.55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99,439,941.20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186,488,355.80</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103,102,512.93</w:t>
            </w:r>
          </w:p>
        </w:tc>
      </w:tr>
      <w:tr>
        <w:trPr>
          <w:trHeight w:val="449"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185,451,621.13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69,025,676.80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179,025,800.46</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64,936,579.07</w:t>
            </w:r>
          </w:p>
        </w:tc>
      </w:tr>
      <w:tr>
        <w:trPr>
          <w:trHeight w:val="452"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201,213,719.53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87,481,332.95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170,460,348.94</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81,562,450.05</w:t>
            </w:r>
          </w:p>
        </w:tc>
      </w:tr>
      <w:tr>
        <w:trPr>
          <w:trHeight w:val="449"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305,045,951.71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178,956,563.30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173,840,555.82</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92,199,285.12</w:t>
            </w:r>
          </w:p>
        </w:tc>
      </w:tr>
      <w:tr>
        <w:trPr>
          <w:trHeight w:val="451"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广西自治区</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256,096,893.15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168,758,257.85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430,123,610.01</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241,110,534.36</w:t>
            </w:r>
          </w:p>
        </w:tc>
      </w:tr>
      <w:tr>
        <w:trPr>
          <w:trHeight w:val="449"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78,574,101.97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112,051,021.97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59,382,166.52</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113,718,522.51</w:t>
            </w:r>
          </w:p>
        </w:tc>
      </w:tr>
      <w:tr>
        <w:trPr>
          <w:trHeight w:val="451"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83,628,888.87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73,227,311.97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77,139,753.59</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57,552,501.99</w:t>
            </w:r>
          </w:p>
        </w:tc>
      </w:tr>
      <w:tr>
        <w:trPr>
          <w:trHeight w:val="809" w:hRule="exact"/>
        </w:trPr>
        <w:tc>
          <w:tcPr>
            <w:tcW w:w="139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86"/>
              <w:jc w:val="left"/>
              <w:rPr>
                <w:rFonts w:ascii="宋体" w:hAnsi="宋体" w:cs="宋体" w:eastAsia="宋体" w:hint="default"/>
                <w:sz w:val="18"/>
                <w:szCs w:val="18"/>
              </w:rPr>
            </w:pPr>
            <w:r>
              <w:rPr>
                <w:rFonts w:ascii="宋体" w:hAnsi="宋体" w:cs="宋体" w:eastAsia="宋体" w:hint="default"/>
                <w:spacing w:val="13"/>
                <w:sz w:val="18"/>
                <w:szCs w:val="18"/>
              </w:rPr>
              <w:t>减：公司地区</w:t>
            </w:r>
            <w:r>
              <w:rPr>
                <w:rFonts w:ascii="宋体" w:hAnsi="宋体" w:cs="宋体" w:eastAsia="宋体" w:hint="default"/>
                <w:spacing w:val="-74"/>
                <w:sz w:val="18"/>
                <w:szCs w:val="18"/>
              </w:rPr>
              <w:t> </w:t>
            </w:r>
            <w:r>
              <w:rPr>
                <w:rFonts w:ascii="宋体" w:hAnsi="宋体" w:cs="宋体" w:eastAsia="宋体" w:hint="default"/>
                <w:sz w:val="18"/>
                <w:szCs w:val="18"/>
              </w:rPr>
              <w:t>分部间抵销</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145,597,928.95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50,822,672.35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2"/>
                <w:sz w:val="18"/>
              </w:rPr>
              <w:t>111,325,957.74</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49,144,158.55</w:t>
            </w:r>
          </w:p>
        </w:tc>
      </w:tr>
      <w:tr>
        <w:trPr>
          <w:trHeight w:val="461" w:hRule="exact"/>
        </w:trPr>
        <w:tc>
          <w:tcPr>
            <w:tcW w:w="13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2,301,966,628.62</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1,448,714,326.64</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2,431,003,148.72</w:t>
            </w:r>
          </w:p>
        </w:tc>
        <w:tc>
          <w:tcPr>
            <w:tcW w:w="1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1,522,746,858.13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税金及附加</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55"/>
        <w:gridCol w:w="2261"/>
        <w:gridCol w:w="2261"/>
      </w:tblGrid>
      <w:tr>
        <w:trPr>
          <w:trHeight w:val="461" w:hRule="exact"/>
        </w:trPr>
        <w:tc>
          <w:tcPr>
            <w:tcW w:w="32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22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14,619,334.91</w:t>
            </w:r>
          </w:p>
        </w:tc>
        <w:tc>
          <w:tcPr>
            <w:tcW w:w="2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47,144,010.19</w:t>
            </w:r>
          </w:p>
        </w:tc>
      </w:tr>
      <w:tr>
        <w:trPr>
          <w:trHeight w:val="449" w:hRule="exact"/>
        </w:trPr>
        <w:tc>
          <w:tcPr>
            <w:tcW w:w="3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2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11,833,724.83</w:t>
            </w:r>
          </w:p>
        </w:tc>
        <w:tc>
          <w:tcPr>
            <w:tcW w:w="2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11,276,445.30</w:t>
            </w:r>
          </w:p>
        </w:tc>
      </w:tr>
      <w:tr>
        <w:trPr>
          <w:trHeight w:val="451" w:hRule="exact"/>
        </w:trPr>
        <w:tc>
          <w:tcPr>
            <w:tcW w:w="3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5,356,646.97</w:t>
            </w:r>
          </w:p>
        </w:tc>
        <w:tc>
          <w:tcPr>
            <w:tcW w:w="2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6,164,992.14</w:t>
            </w:r>
          </w:p>
        </w:tc>
      </w:tr>
      <w:tr>
        <w:trPr>
          <w:trHeight w:val="449" w:hRule="exact"/>
        </w:trPr>
        <w:tc>
          <w:tcPr>
            <w:tcW w:w="3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4,224,595.73</w:t>
            </w:r>
          </w:p>
        </w:tc>
        <w:tc>
          <w:tcPr>
            <w:tcW w:w="2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4,800,055.47</w:t>
            </w:r>
          </w:p>
        </w:tc>
      </w:tr>
      <w:tr>
        <w:trPr>
          <w:trHeight w:val="451" w:hRule="exact"/>
        </w:trPr>
        <w:tc>
          <w:tcPr>
            <w:tcW w:w="3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16,091,596.39</w:t>
            </w:r>
          </w:p>
        </w:tc>
        <w:tc>
          <w:tcPr>
            <w:tcW w:w="22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15,728,591.72</w:t>
            </w:r>
          </w:p>
        </w:tc>
      </w:tr>
      <w:tr>
        <w:trPr>
          <w:trHeight w:val="461" w:hRule="exact"/>
        </w:trPr>
        <w:tc>
          <w:tcPr>
            <w:tcW w:w="32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22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52,125,898.83</w:t>
            </w:r>
          </w:p>
        </w:tc>
        <w:tc>
          <w:tcPr>
            <w:tcW w:w="22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85,114,094.82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10"/>
        <w:rPr>
          <w:rFonts w:ascii="Microsoft JhengHei" w:hAnsi="Microsoft JhengHei" w:cs="Microsoft JhengHei" w:eastAsia="Microsoft JhengHei" w:hint="default"/>
          <w:b/>
          <w:bCs/>
          <w:sz w:val="27"/>
          <w:szCs w:val="27"/>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销售费用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62,707,643.39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61,732,261.75</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4,875,849.28</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4,758,350.48</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2,872,590.57</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2,455,214.78</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办公、运杂费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5,449,235.81</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3,539,535.44</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广告宣传及招商费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38,310,147.84</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81,465,716.92</w:t>
            </w:r>
            <w:r>
              <w:rPr>
                <w:rFonts w:ascii="Times New Roman"/>
                <w:sz w:val="18"/>
              </w:rPr>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10,351,215.04</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9,902,326.01</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14,474,174.90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15,632,978.18</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139,040,856.83</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179,486,383.56</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管理费用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74"/>
        <w:gridCol w:w="2252"/>
        <w:gridCol w:w="2252"/>
      </w:tblGrid>
      <w:tr>
        <w:trPr>
          <w:trHeight w:val="461" w:hRule="exact"/>
        </w:trPr>
        <w:tc>
          <w:tcPr>
            <w:tcW w:w="32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42"/>
              <w:jc w:val="right"/>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2"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248,402,264.37</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232,069,687.44</w:t>
            </w:r>
          </w:p>
        </w:tc>
      </w:tr>
      <w:tr>
        <w:trPr>
          <w:trHeight w:val="449"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40,873,510.23</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46,596,622.09</w:t>
            </w:r>
          </w:p>
        </w:tc>
      </w:tr>
      <w:tr>
        <w:trPr>
          <w:trHeight w:val="45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11,962,179.23</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11,230,249.54</w:t>
            </w:r>
          </w:p>
        </w:tc>
      </w:tr>
      <w:tr>
        <w:trPr>
          <w:trHeight w:val="449"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差旅、交通、运杂费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14,722,933.23</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17,213,593.47</w:t>
            </w:r>
          </w:p>
        </w:tc>
      </w:tr>
      <w:tr>
        <w:trPr>
          <w:trHeight w:val="45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1,633,887.09</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2,081,713.96</w:t>
            </w:r>
          </w:p>
        </w:tc>
      </w:tr>
      <w:tr>
        <w:trPr>
          <w:trHeight w:val="449"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25,342,515.78</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27,270,985.40</w:t>
            </w:r>
          </w:p>
        </w:tc>
      </w:tr>
      <w:tr>
        <w:trPr>
          <w:trHeight w:val="45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清洁、水电费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2,641,514.26</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2,802,949.02</w:t>
            </w:r>
          </w:p>
        </w:tc>
      </w:tr>
      <w:tr>
        <w:trPr>
          <w:trHeight w:val="449"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8,890,073.77</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8,305,687.23</w:t>
            </w:r>
          </w:p>
        </w:tc>
      </w:tr>
      <w:tr>
        <w:trPr>
          <w:trHeight w:val="45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15,769,232.12</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21,563,030.91</w:t>
            </w:r>
          </w:p>
        </w:tc>
      </w:tr>
      <w:tr>
        <w:trPr>
          <w:trHeight w:val="449"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13,189,944.13</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13,126,294.25</w:t>
            </w:r>
          </w:p>
        </w:tc>
      </w:tr>
      <w:tr>
        <w:trPr>
          <w:trHeight w:val="461" w:hRule="exact"/>
        </w:trPr>
        <w:tc>
          <w:tcPr>
            <w:tcW w:w="32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42"/>
              <w:jc w:val="righ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383,428,054.21</w:t>
            </w:r>
          </w:p>
        </w:tc>
        <w:tc>
          <w:tcPr>
            <w:tcW w:w="22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382,260,813.31</w:t>
            </w:r>
          </w:p>
        </w:tc>
      </w:tr>
    </w:tbl>
    <w:p>
      <w:pPr>
        <w:spacing w:line="240" w:lineRule="auto" w:before="12"/>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研发费用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74"/>
        <w:gridCol w:w="2252"/>
        <w:gridCol w:w="2252"/>
      </w:tblGrid>
      <w:tr>
        <w:trPr>
          <w:trHeight w:val="458" w:hRule="exact"/>
        </w:trPr>
        <w:tc>
          <w:tcPr>
            <w:tcW w:w="32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442"/>
              <w:jc w:val="right"/>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2"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5,519,796.34</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3,803,361.03</w:t>
            </w:r>
          </w:p>
        </w:tc>
      </w:tr>
      <w:tr>
        <w:trPr>
          <w:trHeight w:val="449"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114,008.83</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49,396.58</w:t>
            </w:r>
          </w:p>
        </w:tc>
      </w:tr>
      <w:tr>
        <w:trPr>
          <w:trHeight w:val="45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1,566,926.29</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407,830.10</w:t>
            </w:r>
          </w:p>
        </w:tc>
      </w:tr>
      <w:tr>
        <w:trPr>
          <w:trHeight w:val="461" w:hRule="exact"/>
        </w:trPr>
        <w:tc>
          <w:tcPr>
            <w:tcW w:w="32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42"/>
              <w:jc w:val="righ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7,200,731.46</w:t>
            </w:r>
          </w:p>
        </w:tc>
        <w:tc>
          <w:tcPr>
            <w:tcW w:w="22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4,260,587.71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0"/>
          <w:szCs w:val="10"/>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财务费用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315,929,524.49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285,167,206.34</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46,100,478.99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31,300,866.59</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209,853.99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37,678.13</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2,927,028.52</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1,815,368.62</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272,965,928.01</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255,719,386.50</w:t>
            </w:r>
          </w:p>
        </w:tc>
      </w:tr>
    </w:tbl>
    <w:p>
      <w:pPr>
        <w:spacing w:line="240" w:lineRule="auto" w:before="12"/>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资产减值损失</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58"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39,464,309.69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-1,223,309.44</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2283"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280" w:type="dxa"/>
            <w:tcBorders>
              <w:top w:val="dotted" w:sz="4" w:space="0" w:color="000000"/>
              <w:left w:val="dotted" w:sz="4" w:space="0" w:color="000000"/>
              <w:bottom w:val="dotted" w:sz="4" w:space="0" w:color="000000"/>
              <w:right w:val="dotted" w:sz="4" w:space="0" w:color="000000"/>
            </w:tcBorders>
          </w:tcPr>
          <w:p>
            <w:pP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769,066.52</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贷款减值损失</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7,211,204.69</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2,846,851.49</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49,175,514.38</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2,392,608.57</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其他收益</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848"/>
        <w:gridCol w:w="1388"/>
        <w:gridCol w:w="1232"/>
        <w:gridCol w:w="1310"/>
      </w:tblGrid>
      <w:tr>
        <w:trPr>
          <w:trHeight w:val="821" w:hRule="exact"/>
        </w:trPr>
        <w:tc>
          <w:tcPr>
            <w:tcW w:w="38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22" w:right="0"/>
              <w:jc w:val="center"/>
              <w:rPr>
                <w:rFonts w:ascii="宋体" w:hAnsi="宋体" w:cs="宋体" w:eastAsia="宋体" w:hint="default"/>
                <w:sz w:val="16"/>
                <w:szCs w:val="16"/>
              </w:rPr>
            </w:pPr>
            <w:r>
              <w:rPr>
                <w:rFonts w:ascii="宋体" w:hAnsi="宋体" w:cs="宋体" w:eastAsia="宋体" w:hint="default"/>
                <w:sz w:val="16"/>
                <w:szCs w:val="16"/>
              </w:rPr>
              <w:t>补助项目</w:t>
            </w:r>
          </w:p>
        </w:tc>
        <w:tc>
          <w:tcPr>
            <w:tcW w:w="13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288" w:right="0"/>
              <w:jc w:val="left"/>
              <w:rPr>
                <w:rFonts w:ascii="宋体" w:hAnsi="宋体" w:cs="宋体" w:eastAsia="宋体" w:hint="default"/>
                <w:sz w:val="16"/>
                <w:szCs w:val="16"/>
              </w:rPr>
            </w:pPr>
            <w:r>
              <w:rPr>
                <w:rFonts w:ascii="宋体" w:hAnsi="宋体" w:cs="宋体" w:eastAsia="宋体" w:hint="default"/>
                <w:sz w:val="16"/>
                <w:szCs w:val="16"/>
              </w:rPr>
              <w:t>本期发生额</w:t>
            </w:r>
          </w:p>
        </w:tc>
        <w:tc>
          <w:tcPr>
            <w:tcW w:w="12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208" w:right="0"/>
              <w:jc w:val="left"/>
              <w:rPr>
                <w:rFonts w:ascii="宋体" w:hAnsi="宋体" w:cs="宋体" w:eastAsia="宋体" w:hint="default"/>
                <w:sz w:val="16"/>
                <w:szCs w:val="16"/>
              </w:rPr>
            </w:pPr>
            <w:r>
              <w:rPr>
                <w:rFonts w:ascii="宋体" w:hAnsi="宋体" w:cs="宋体" w:eastAsia="宋体" w:hint="default"/>
                <w:sz w:val="16"/>
                <w:szCs w:val="16"/>
              </w:rPr>
              <w:t>上期发生额</w:t>
            </w:r>
          </w:p>
        </w:tc>
        <w:tc>
          <w:tcPr>
            <w:tcW w:w="13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391" w:lineRule="auto"/>
              <w:ind w:left="328" w:right="149" w:hanging="183"/>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宋体" w:hAnsi="宋体" w:cs="宋体" w:eastAsia="宋体" w:hint="default"/>
                <w:sz w:val="16"/>
                <w:szCs w:val="16"/>
              </w:rPr>
              <w:t>与</w:t>
            </w:r>
            <w:r>
              <w:rPr>
                <w:rFonts w:ascii="宋体" w:hAnsi="宋体" w:cs="宋体" w:eastAsia="宋体" w:hint="default"/>
                <w:spacing w:val="-78"/>
                <w:sz w:val="16"/>
                <w:szCs w:val="16"/>
              </w:rPr>
              <w:t> </w:t>
            </w:r>
            <w:r>
              <w:rPr>
                <w:rFonts w:ascii="宋体" w:hAnsi="宋体" w:cs="宋体" w:eastAsia="宋体" w:hint="default"/>
                <w:sz w:val="16"/>
                <w:szCs w:val="16"/>
              </w:rPr>
              <w:t>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递延收益转入与资产相关的政府补助</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49,022,130.65</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96" w:right="0"/>
              <w:jc w:val="left"/>
              <w:rPr>
                <w:rFonts w:ascii="Times New Roman" w:hAnsi="Times New Roman" w:cs="Times New Roman" w:eastAsia="Times New Roman" w:hint="default"/>
                <w:sz w:val="16"/>
                <w:szCs w:val="16"/>
              </w:rPr>
            </w:pPr>
            <w:r>
              <w:rPr>
                <w:rFonts w:ascii="Times New Roman"/>
                <w:sz w:val="16"/>
              </w:rPr>
              <w:t>30,533,030.21</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递延收益转入与收益相关的政府补助</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4,827,351.06</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01" w:right="0"/>
              <w:jc w:val="left"/>
              <w:rPr>
                <w:rFonts w:ascii="Times New Roman" w:hAnsi="Times New Roman" w:cs="Times New Roman" w:eastAsia="Times New Roman" w:hint="default"/>
                <w:sz w:val="16"/>
                <w:szCs w:val="16"/>
              </w:rPr>
            </w:pPr>
            <w:r>
              <w:rPr>
                <w:rFonts w:ascii="Times New Roman"/>
                <w:sz w:val="16"/>
              </w:rPr>
              <w:t>10,172,411.57</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新柳邕一期项目商业流通事务支出</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75,481,500.00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长沙现代服务业试点奖励资金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5,577,600.00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0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深圳海吉星</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年度深圳市农产品流通公益性项目</w:t>
            </w:r>
          </w:p>
          <w:p>
            <w:pPr>
              <w:pStyle w:val="TableParagraph"/>
              <w:spacing w:line="240" w:lineRule="auto" w:before="136"/>
              <w:ind w:left="122" w:right="0"/>
              <w:jc w:val="left"/>
              <w:rPr>
                <w:rFonts w:ascii="宋体" w:hAnsi="宋体" w:cs="宋体" w:eastAsia="宋体" w:hint="default"/>
                <w:sz w:val="16"/>
                <w:szCs w:val="16"/>
              </w:rPr>
            </w:pPr>
            <w:r>
              <w:rPr>
                <w:rFonts w:ascii="宋体" w:hAnsi="宋体" w:cs="宋体" w:eastAsia="宋体" w:hint="default"/>
                <w:sz w:val="16"/>
                <w:szCs w:val="16"/>
              </w:rPr>
              <w:t>（农产品质量检测能力提升项目）资助奖金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3,224,200.00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长沙蔬菜储备补贴</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3,200,000.00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0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深圳海吉星</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年度深圳市农产品流通公益性项目</w:t>
            </w:r>
          </w:p>
          <w:p>
            <w:pPr>
              <w:pStyle w:val="TableParagraph"/>
              <w:spacing w:line="240" w:lineRule="auto" w:before="136"/>
              <w:ind w:left="122" w:right="0"/>
              <w:jc w:val="left"/>
              <w:rPr>
                <w:rFonts w:ascii="宋体" w:hAnsi="宋体" w:cs="宋体" w:eastAsia="宋体" w:hint="default"/>
                <w:sz w:val="16"/>
                <w:szCs w:val="16"/>
              </w:rPr>
            </w:pPr>
            <w:r>
              <w:rPr>
                <w:rFonts w:ascii="宋体" w:hAnsi="宋体" w:cs="宋体" w:eastAsia="宋体" w:hint="default"/>
                <w:sz w:val="16"/>
                <w:szCs w:val="16"/>
              </w:rPr>
              <w:t>（农产品信息监测和应用管理项目）资助奖金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2,251,200.00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长沙春节期间进场交易费减免</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780" w:hRule="exact"/>
        </w:trPr>
        <w:tc>
          <w:tcPr>
            <w:tcW w:w="3848" w:type="dxa"/>
            <w:tcBorders>
              <w:top w:val="dotted" w:sz="4" w:space="0" w:color="000000"/>
              <w:left w:val="nil" w:sz="6" w:space="0" w:color="auto"/>
              <w:bottom w:val="single" w:sz="12" w:space="0" w:color="000000"/>
              <w:right w:val="dotted" w:sz="4" w:space="0" w:color="000000"/>
            </w:tcBorders>
          </w:tcPr>
          <w:p>
            <w:pPr>
              <w:pStyle w:val="TableParagraph"/>
              <w:spacing w:line="340" w:lineRule="atLeast" w:before="47"/>
              <w:ind w:left="122" w:right="115"/>
              <w:jc w:val="left"/>
              <w:rPr>
                <w:rFonts w:ascii="宋体" w:hAnsi="宋体" w:cs="宋体" w:eastAsia="宋体" w:hint="default"/>
                <w:sz w:val="16"/>
                <w:szCs w:val="16"/>
              </w:rPr>
            </w:pPr>
            <w:r>
              <w:rPr>
                <w:rFonts w:ascii="宋体" w:hAnsi="宋体" w:cs="宋体" w:eastAsia="宋体" w:hint="default"/>
                <w:sz w:val="16"/>
                <w:szCs w:val="16"/>
              </w:rPr>
              <w:t>深圳海吉星市场和质量监管委关于下达</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2017 </w:t>
            </w:r>
            <w:r>
              <w:rPr>
                <w:rFonts w:ascii="宋体" w:hAnsi="宋体" w:cs="宋体" w:eastAsia="宋体" w:hint="default"/>
                <w:sz w:val="16"/>
                <w:szCs w:val="16"/>
              </w:rPr>
              <w:t>年农业</w:t>
            </w:r>
            <w:r>
              <w:rPr>
                <w:rFonts w:ascii="宋体" w:hAnsi="宋体" w:cs="宋体" w:eastAsia="宋体" w:hint="default"/>
                <w:w w:val="100"/>
                <w:sz w:val="16"/>
                <w:szCs w:val="16"/>
              </w:rPr>
              <w:t> </w:t>
            </w:r>
            <w:r>
              <w:rPr>
                <w:rFonts w:ascii="宋体" w:hAnsi="宋体" w:cs="宋体" w:eastAsia="宋体" w:hint="default"/>
                <w:sz w:val="16"/>
                <w:szCs w:val="16"/>
              </w:rPr>
              <w:t>发展专项资金农产品质量安全检测项目资助计划的</w:t>
            </w:r>
          </w:p>
        </w:tc>
        <w:tc>
          <w:tcPr>
            <w:tcW w:w="1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1,350,000.00</w:t>
            </w:r>
          </w:p>
        </w:tc>
        <w:tc>
          <w:tcPr>
            <w:tcW w:w="1232" w:type="dxa"/>
            <w:tcBorders>
              <w:top w:val="dotted" w:sz="4" w:space="0" w:color="000000"/>
              <w:left w:val="dotted" w:sz="4" w:space="0" w:color="000000"/>
              <w:bottom w:val="single" w:sz="12" w:space="0" w:color="000000"/>
              <w:right w:val="dotted" w:sz="4" w:space="0" w:color="000000"/>
            </w:tcBorders>
          </w:tcPr>
          <w:p>
            <w:pPr/>
          </w:p>
        </w:tc>
        <w:tc>
          <w:tcPr>
            <w:tcW w:w="1310"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left"/>
        <w:rPr>
          <w:rFonts w:ascii="宋体" w:hAnsi="宋体" w:cs="宋体" w:eastAsia="宋体" w:hint="default"/>
          <w:sz w:val="16"/>
          <w:szCs w:val="16"/>
        </w:rPr>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3848"/>
        <w:gridCol w:w="1388"/>
        <w:gridCol w:w="1232"/>
        <w:gridCol w:w="1310"/>
      </w:tblGrid>
      <w:tr>
        <w:trPr>
          <w:trHeight w:val="821" w:hRule="exact"/>
        </w:trPr>
        <w:tc>
          <w:tcPr>
            <w:tcW w:w="384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center"/>
              <w:rPr>
                <w:rFonts w:ascii="宋体" w:hAnsi="宋体" w:cs="宋体" w:eastAsia="宋体" w:hint="default"/>
                <w:sz w:val="16"/>
                <w:szCs w:val="16"/>
              </w:rPr>
            </w:pPr>
            <w:r>
              <w:rPr>
                <w:rFonts w:ascii="宋体" w:hAnsi="宋体" w:cs="宋体" w:eastAsia="宋体" w:hint="default"/>
                <w:sz w:val="16"/>
                <w:szCs w:val="16"/>
              </w:rPr>
              <w:t>补助项目</w:t>
            </w:r>
          </w:p>
        </w:tc>
        <w:tc>
          <w:tcPr>
            <w:tcW w:w="13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8" w:right="0"/>
              <w:jc w:val="left"/>
              <w:rPr>
                <w:rFonts w:ascii="宋体" w:hAnsi="宋体" w:cs="宋体" w:eastAsia="宋体" w:hint="default"/>
                <w:sz w:val="16"/>
                <w:szCs w:val="16"/>
              </w:rPr>
            </w:pPr>
            <w:r>
              <w:rPr>
                <w:rFonts w:ascii="宋体" w:hAnsi="宋体" w:cs="宋体" w:eastAsia="宋体" w:hint="default"/>
                <w:sz w:val="16"/>
                <w:szCs w:val="16"/>
              </w:rPr>
              <w:t>本期发生额</w:t>
            </w:r>
          </w:p>
        </w:tc>
        <w:tc>
          <w:tcPr>
            <w:tcW w:w="12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08" w:right="0"/>
              <w:jc w:val="left"/>
              <w:rPr>
                <w:rFonts w:ascii="宋体" w:hAnsi="宋体" w:cs="宋体" w:eastAsia="宋体" w:hint="default"/>
                <w:sz w:val="16"/>
                <w:szCs w:val="16"/>
              </w:rPr>
            </w:pPr>
            <w:r>
              <w:rPr>
                <w:rFonts w:ascii="宋体" w:hAnsi="宋体" w:cs="宋体" w:eastAsia="宋体" w:hint="default"/>
                <w:sz w:val="16"/>
                <w:szCs w:val="16"/>
              </w:rPr>
              <w:t>上期发生额</w:t>
            </w:r>
          </w:p>
        </w:tc>
        <w:tc>
          <w:tcPr>
            <w:tcW w:w="13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86" w:lineRule="auto"/>
              <w:ind w:left="328" w:right="149" w:hanging="183"/>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宋体" w:hAnsi="宋体" w:cs="宋体" w:eastAsia="宋体" w:hint="default"/>
                <w:sz w:val="16"/>
                <w:szCs w:val="16"/>
              </w:rPr>
              <w:t>与</w:t>
            </w:r>
            <w:r>
              <w:rPr>
                <w:rFonts w:ascii="宋体" w:hAnsi="宋体" w:cs="宋体" w:eastAsia="宋体" w:hint="default"/>
                <w:spacing w:val="-78"/>
                <w:sz w:val="16"/>
                <w:szCs w:val="16"/>
              </w:rPr>
              <w:t> </w:t>
            </w:r>
            <w:r>
              <w:rPr>
                <w:rFonts w:ascii="宋体" w:hAnsi="宋体" w:cs="宋体" w:eastAsia="宋体" w:hint="default"/>
                <w:sz w:val="16"/>
                <w:szCs w:val="16"/>
              </w:rPr>
              <w:t>收益相关</w:t>
            </w:r>
          </w:p>
        </w:tc>
      </w:tr>
      <w:tr>
        <w:trPr>
          <w:trHeight w:val="410"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通知</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长沙农残、兽残速测室补助金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760,000.00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天津市静海区人民政府年货节补贴</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605,300.00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0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91" w:lineRule="auto"/>
              <w:ind w:left="122" w:right="115"/>
              <w:jc w:val="left"/>
              <w:rPr>
                <w:rFonts w:ascii="宋体" w:hAnsi="宋体" w:cs="宋体" w:eastAsia="宋体" w:hint="default"/>
                <w:sz w:val="16"/>
                <w:szCs w:val="16"/>
              </w:rPr>
            </w:pPr>
            <w:r>
              <w:rPr>
                <w:rFonts w:ascii="宋体" w:hAnsi="宋体" w:cs="宋体" w:eastAsia="宋体" w:hint="default"/>
                <w:sz w:val="16"/>
                <w:szCs w:val="16"/>
              </w:rPr>
              <w:t>农迈天下经信委</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年度产销对接电子商务服务平</w:t>
            </w:r>
            <w:r>
              <w:rPr>
                <w:rFonts w:ascii="宋体" w:hAnsi="宋体" w:cs="宋体" w:eastAsia="宋体" w:hint="default"/>
                <w:w w:val="100"/>
                <w:sz w:val="16"/>
                <w:szCs w:val="16"/>
              </w:rPr>
              <w:t> </w:t>
            </w:r>
            <w:r>
              <w:rPr>
                <w:rFonts w:ascii="宋体" w:hAnsi="宋体" w:cs="宋体" w:eastAsia="宋体" w:hint="default"/>
                <w:sz w:val="16"/>
                <w:szCs w:val="16"/>
              </w:rPr>
              <w:t>台项目资助资金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584,600.00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2"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长沙菜蓝子工程价格调控款</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天津韩家墅市容综合整治资金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长沙食品安全专项补贴款</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405,000.00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长沙食用农产品检测费</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385,000.00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1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91" w:lineRule="auto"/>
              <w:ind w:left="122" w:right="116"/>
              <w:jc w:val="left"/>
              <w:rPr>
                <w:rFonts w:ascii="宋体" w:hAnsi="宋体" w:cs="宋体" w:eastAsia="宋体" w:hint="default"/>
                <w:sz w:val="16"/>
                <w:szCs w:val="16"/>
              </w:rPr>
            </w:pPr>
            <w:r>
              <w:rPr>
                <w:rFonts w:ascii="宋体" w:hAnsi="宋体" w:cs="宋体" w:eastAsia="宋体" w:hint="default"/>
                <w:sz w:val="16"/>
                <w:szCs w:val="16"/>
              </w:rPr>
              <w:t>深圳海吉星</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年度市农业发展专项资金农业产业</w:t>
            </w:r>
            <w:r>
              <w:rPr>
                <w:rFonts w:ascii="宋体" w:hAnsi="宋体" w:cs="宋体" w:eastAsia="宋体" w:hint="default"/>
                <w:w w:val="100"/>
                <w:sz w:val="16"/>
                <w:szCs w:val="16"/>
              </w:rPr>
              <w:t> </w:t>
            </w:r>
            <w:r>
              <w:rPr>
                <w:rFonts w:ascii="宋体" w:hAnsi="宋体" w:cs="宋体" w:eastAsia="宋体" w:hint="default"/>
                <w:sz w:val="16"/>
                <w:szCs w:val="16"/>
              </w:rPr>
              <w:t>化重点龙头企业奖励金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0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91" w:lineRule="auto"/>
              <w:ind w:left="122" w:right="98"/>
              <w:jc w:val="left"/>
              <w:rPr>
                <w:rFonts w:ascii="宋体" w:hAnsi="宋体" w:cs="宋体" w:eastAsia="宋体" w:hint="default"/>
                <w:sz w:val="16"/>
                <w:szCs w:val="16"/>
              </w:rPr>
            </w:pPr>
            <w:r>
              <w:rPr>
                <w:rFonts w:ascii="宋体" w:hAnsi="宋体" w:cs="宋体" w:eastAsia="宋体" w:hint="default"/>
                <w:sz w:val="16"/>
                <w:szCs w:val="16"/>
              </w:rPr>
              <w:t>南昌青云谱区发改委</w:t>
            </w:r>
            <w:r>
              <w:rPr>
                <w:rFonts w:ascii="宋体" w:hAnsi="宋体" w:cs="宋体" w:eastAsia="宋体" w:hint="default"/>
                <w:spacing w:val="-63"/>
                <w:sz w:val="16"/>
                <w:szCs w:val="16"/>
              </w:rPr>
              <w:t> </w:t>
            </w:r>
            <w:r>
              <w:rPr>
                <w:rFonts w:ascii="Times New Roman" w:hAnsi="Times New Roman" w:cs="Times New Roman" w:eastAsia="Times New Roman" w:hint="default"/>
                <w:sz w:val="16"/>
                <w:szCs w:val="16"/>
              </w:rPr>
              <w:t>2015-2016</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年度服务业发展引导</w:t>
            </w:r>
            <w:r>
              <w:rPr>
                <w:rFonts w:ascii="宋体" w:hAnsi="宋体" w:cs="宋体" w:eastAsia="宋体" w:hint="default"/>
                <w:w w:val="100"/>
                <w:sz w:val="16"/>
                <w:szCs w:val="16"/>
              </w:rPr>
              <w:t> </w:t>
            </w:r>
            <w:r>
              <w:rPr>
                <w:rFonts w:ascii="宋体" w:hAnsi="宋体" w:cs="宋体" w:eastAsia="宋体" w:hint="default"/>
                <w:sz w:val="16"/>
                <w:szCs w:val="16"/>
              </w:rPr>
              <w:t>项目资金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天津韩家墅示范快检室建设经费补贴</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260,000.00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长春冬春蔬菜储备补贴</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广西商业税金减免补助</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221,000.00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年度服务业考核奖励资金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宁夏自治区服务业发展引导资金补助</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0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95"/>
              <w:jc w:val="left"/>
              <w:rPr>
                <w:rFonts w:ascii="宋体" w:hAnsi="宋体" w:cs="宋体" w:eastAsia="宋体" w:hint="default"/>
                <w:sz w:val="16"/>
                <w:szCs w:val="16"/>
              </w:rPr>
            </w:pPr>
            <w:r>
              <w:rPr>
                <w:rFonts w:ascii="宋体" w:hAnsi="宋体" w:cs="宋体" w:eastAsia="宋体" w:hint="default"/>
                <w:spacing w:val="-1"/>
                <w:sz w:val="16"/>
                <w:szCs w:val="16"/>
              </w:rPr>
              <w:t>新柳邕柳州市商务委员会下发柳州市首批现代服务</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业集聚区认定补助</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1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91" w:lineRule="auto"/>
              <w:ind w:left="122" w:right="116"/>
              <w:jc w:val="left"/>
              <w:rPr>
                <w:rFonts w:ascii="宋体" w:hAnsi="宋体" w:cs="宋体" w:eastAsia="宋体" w:hint="default"/>
                <w:sz w:val="16"/>
                <w:szCs w:val="16"/>
              </w:rPr>
            </w:pPr>
            <w:r>
              <w:rPr>
                <w:rFonts w:ascii="宋体" w:hAnsi="宋体" w:cs="宋体" w:eastAsia="宋体" w:hint="default"/>
                <w:sz w:val="16"/>
                <w:szCs w:val="16"/>
              </w:rPr>
              <w:t>深圳海吉星</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年深圳市龙岗区支持农业发展专项</w:t>
            </w:r>
            <w:r>
              <w:rPr>
                <w:rFonts w:ascii="宋体" w:hAnsi="宋体" w:cs="宋体" w:eastAsia="宋体" w:hint="default"/>
                <w:w w:val="100"/>
                <w:sz w:val="16"/>
                <w:szCs w:val="16"/>
              </w:rPr>
              <w:t> </w:t>
            </w:r>
            <w:r>
              <w:rPr>
                <w:rFonts w:ascii="宋体" w:hAnsi="宋体" w:cs="宋体" w:eastAsia="宋体" w:hint="default"/>
                <w:sz w:val="16"/>
                <w:szCs w:val="16"/>
              </w:rPr>
              <w:t>资金项目申报书</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150,000.00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深圳海吉星农产品质量安全风险检测资金</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150,000.00</w:t>
            </w:r>
          </w:p>
        </w:tc>
        <w:tc>
          <w:tcPr>
            <w:tcW w:w="1232" w:type="dxa"/>
            <w:tcBorders>
              <w:top w:val="dotted" w:sz="4" w:space="0" w:color="000000"/>
              <w:left w:val="dotted" w:sz="4" w:space="0" w:color="000000"/>
              <w:bottom w:val="dotted" w:sz="4" w:space="0" w:color="000000"/>
              <w:right w:val="dotted" w:sz="4" w:space="0" w:color="000000"/>
            </w:tcBorders>
          </w:tcPr>
          <w:p>
            <w:pP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年关于食品安全质量检测神话项目补助款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5,263,700.00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年关于农产品数据采集及检测项目补助款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3,499,400.00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12"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91" w:lineRule="auto"/>
              <w:ind w:left="122" w:right="154"/>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年海吉星电子结算经营平台推广营用项目补助</w:t>
            </w:r>
            <w:r>
              <w:rPr>
                <w:rFonts w:ascii="宋体" w:hAnsi="宋体" w:cs="宋体" w:eastAsia="宋体" w:hint="default"/>
                <w:w w:val="100"/>
                <w:sz w:val="16"/>
                <w:szCs w:val="16"/>
              </w:rPr>
              <w:t> </w:t>
            </w:r>
            <w:r>
              <w:rPr>
                <w:rFonts w:ascii="宋体" w:hAnsi="宋体" w:cs="宋体" w:eastAsia="宋体" w:hint="default"/>
                <w:sz w:val="16"/>
                <w:szCs w:val="16"/>
              </w:rPr>
              <w:t>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2,440,000.00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经信为农产品产销对接服务平台补助金</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1,821,900.00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农产品流通信息规模化采集系统补助款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500,000.00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61" w:hRule="exact"/>
        </w:trPr>
        <w:tc>
          <w:tcPr>
            <w:tcW w:w="38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年电子商务发展专项资金</w:t>
            </w:r>
          </w:p>
        </w:tc>
        <w:tc>
          <w:tcPr>
            <w:tcW w:w="1388" w:type="dxa"/>
            <w:tcBorders>
              <w:top w:val="dotted" w:sz="4" w:space="0" w:color="000000"/>
              <w:left w:val="dotted" w:sz="4" w:space="0" w:color="000000"/>
              <w:bottom w:val="single" w:sz="12" w:space="0" w:color="000000"/>
              <w:right w:val="dotted" w:sz="4" w:space="0" w:color="000000"/>
            </w:tcBorders>
          </w:tcPr>
          <w:p>
            <w:pPr/>
          </w:p>
        </w:tc>
        <w:tc>
          <w:tcPr>
            <w:tcW w:w="12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469,400.00</w:t>
            </w:r>
          </w:p>
        </w:tc>
        <w:tc>
          <w:tcPr>
            <w:tcW w:w="13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left"/>
        <w:rPr>
          <w:rFonts w:ascii="宋体" w:hAnsi="宋体" w:cs="宋体" w:eastAsia="宋体" w:hint="default"/>
          <w:sz w:val="16"/>
          <w:szCs w:val="16"/>
        </w:rPr>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769" w:type="dxa"/>
        <w:tblLayout w:type="fixed"/>
        <w:tblCellMar>
          <w:top w:w="0" w:type="dxa"/>
          <w:left w:w="0" w:type="dxa"/>
          <w:bottom w:w="0" w:type="dxa"/>
          <w:right w:w="0" w:type="dxa"/>
        </w:tblCellMar>
        <w:tblLook w:val="01E0"/>
      </w:tblPr>
      <w:tblGrid>
        <w:gridCol w:w="3848"/>
        <w:gridCol w:w="1388"/>
        <w:gridCol w:w="1232"/>
        <w:gridCol w:w="1310"/>
      </w:tblGrid>
      <w:tr>
        <w:trPr>
          <w:trHeight w:val="821" w:hRule="exact"/>
        </w:trPr>
        <w:tc>
          <w:tcPr>
            <w:tcW w:w="384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center"/>
              <w:rPr>
                <w:rFonts w:ascii="宋体" w:hAnsi="宋体" w:cs="宋体" w:eastAsia="宋体" w:hint="default"/>
                <w:sz w:val="16"/>
                <w:szCs w:val="16"/>
              </w:rPr>
            </w:pPr>
            <w:r>
              <w:rPr>
                <w:rFonts w:ascii="宋体" w:hAnsi="宋体" w:cs="宋体" w:eastAsia="宋体" w:hint="default"/>
                <w:sz w:val="16"/>
                <w:szCs w:val="16"/>
              </w:rPr>
              <w:t>补助项目</w:t>
            </w:r>
          </w:p>
        </w:tc>
        <w:tc>
          <w:tcPr>
            <w:tcW w:w="13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8" w:right="0"/>
              <w:jc w:val="left"/>
              <w:rPr>
                <w:rFonts w:ascii="宋体" w:hAnsi="宋体" w:cs="宋体" w:eastAsia="宋体" w:hint="default"/>
                <w:sz w:val="16"/>
                <w:szCs w:val="16"/>
              </w:rPr>
            </w:pPr>
            <w:r>
              <w:rPr>
                <w:rFonts w:ascii="宋体" w:hAnsi="宋体" w:cs="宋体" w:eastAsia="宋体" w:hint="default"/>
                <w:sz w:val="16"/>
                <w:szCs w:val="16"/>
              </w:rPr>
              <w:t>本期发生额</w:t>
            </w:r>
          </w:p>
        </w:tc>
        <w:tc>
          <w:tcPr>
            <w:tcW w:w="12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08" w:right="0"/>
              <w:jc w:val="left"/>
              <w:rPr>
                <w:rFonts w:ascii="宋体" w:hAnsi="宋体" w:cs="宋体" w:eastAsia="宋体" w:hint="default"/>
                <w:sz w:val="16"/>
                <w:szCs w:val="16"/>
              </w:rPr>
            </w:pPr>
            <w:r>
              <w:rPr>
                <w:rFonts w:ascii="宋体" w:hAnsi="宋体" w:cs="宋体" w:eastAsia="宋体" w:hint="default"/>
                <w:sz w:val="16"/>
                <w:szCs w:val="16"/>
              </w:rPr>
              <w:t>上期发生额</w:t>
            </w:r>
          </w:p>
        </w:tc>
        <w:tc>
          <w:tcPr>
            <w:tcW w:w="13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86" w:lineRule="auto"/>
              <w:ind w:left="328" w:right="149" w:hanging="183"/>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宋体" w:hAnsi="宋体" w:cs="宋体" w:eastAsia="宋体" w:hint="default"/>
                <w:sz w:val="16"/>
                <w:szCs w:val="16"/>
              </w:rPr>
              <w:t>与</w:t>
            </w:r>
            <w:r>
              <w:rPr>
                <w:rFonts w:ascii="宋体" w:hAnsi="宋体" w:cs="宋体" w:eastAsia="宋体" w:hint="default"/>
                <w:spacing w:val="-78"/>
                <w:sz w:val="16"/>
                <w:szCs w:val="16"/>
              </w:rPr>
              <w:t> </w:t>
            </w:r>
            <w:r>
              <w:rPr>
                <w:rFonts w:ascii="宋体" w:hAnsi="宋体" w:cs="宋体" w:eastAsia="宋体" w:hint="default"/>
                <w:sz w:val="16"/>
                <w:szCs w:val="16"/>
              </w:rPr>
              <w:t>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2016-2017</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年先市场冬春储备菜财政补贴款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330,000.00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长沙市场拆迁补贴款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299,140.80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岳阳市场安置补偿款</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150,000.00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1"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商务部市场监测信息报送补贴</w:t>
            </w:r>
          </w:p>
        </w:tc>
        <w:tc>
          <w:tcPr>
            <w:tcW w:w="1388" w:type="dxa"/>
            <w:tcBorders>
              <w:top w:val="dotted" w:sz="4" w:space="0" w:color="000000"/>
              <w:left w:val="dotted" w:sz="4" w:space="0" w:color="000000"/>
              <w:bottom w:val="dotted" w:sz="4" w:space="0" w:color="000000"/>
              <w:right w:val="dotted" w:sz="4" w:space="0" w:color="000000"/>
            </w:tcBorders>
          </w:tcPr>
          <w:p>
            <w:pP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146,000.00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38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2,489,682.78</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3,808,367.53</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61" w:hRule="exact"/>
        </w:trPr>
        <w:tc>
          <w:tcPr>
            <w:tcW w:w="38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155,264,564.49</w:t>
            </w:r>
          </w:p>
        </w:tc>
        <w:tc>
          <w:tcPr>
            <w:tcW w:w="12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59,433,350.11</w:t>
            </w:r>
          </w:p>
        </w:tc>
        <w:tc>
          <w:tcPr>
            <w:tcW w:w="131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投资收益</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4479"/>
        <w:gridCol w:w="1649"/>
        <w:gridCol w:w="1649"/>
      </w:tblGrid>
      <w:tr>
        <w:trPr>
          <w:trHeight w:val="461" w:hRule="exact"/>
        </w:trPr>
        <w:tc>
          <w:tcPr>
            <w:tcW w:w="44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3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4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6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47,988,251.08</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54,990,359.60</w:t>
            </w:r>
          </w:p>
        </w:tc>
      </w:tr>
      <w:tr>
        <w:trPr>
          <w:trHeight w:val="451" w:hRule="exact"/>
        </w:trPr>
        <w:tc>
          <w:tcPr>
            <w:tcW w:w="4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6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104,996,226.74</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45,776,598.61</w:t>
            </w:r>
          </w:p>
        </w:tc>
      </w:tr>
      <w:tr>
        <w:trPr>
          <w:trHeight w:val="449" w:hRule="exact"/>
        </w:trPr>
        <w:tc>
          <w:tcPr>
            <w:tcW w:w="4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6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7,853,901.32</w:t>
            </w: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10,268,098.35</w:t>
            </w:r>
          </w:p>
        </w:tc>
      </w:tr>
      <w:tr>
        <w:trPr>
          <w:trHeight w:val="451" w:hRule="exact"/>
        </w:trPr>
        <w:tc>
          <w:tcPr>
            <w:tcW w:w="4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649" w:type="dxa"/>
            <w:tcBorders>
              <w:top w:val="dotted" w:sz="4" w:space="0" w:color="000000"/>
              <w:left w:val="dotted" w:sz="4" w:space="0" w:color="000000"/>
              <w:bottom w:val="dotted" w:sz="4" w:space="0" w:color="000000"/>
              <w:right w:val="dotted" w:sz="4" w:space="0" w:color="000000"/>
            </w:tcBorders>
          </w:tcPr>
          <w:p>
            <w:pPr/>
          </w:p>
        </w:tc>
        <w:tc>
          <w:tcPr>
            <w:tcW w:w="16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4,146,546.64</w:t>
            </w:r>
          </w:p>
        </w:tc>
      </w:tr>
      <w:tr>
        <w:trPr>
          <w:trHeight w:val="461" w:hRule="exact"/>
        </w:trPr>
        <w:tc>
          <w:tcPr>
            <w:tcW w:w="44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160,838,379.14</w:t>
            </w:r>
          </w:p>
        </w:tc>
        <w:tc>
          <w:tcPr>
            <w:tcW w:w="16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115,181,603.20</w:t>
            </w:r>
          </w:p>
        </w:tc>
      </w:tr>
    </w:tbl>
    <w:p>
      <w:pPr>
        <w:spacing w:line="240" w:lineRule="auto" w:before="12"/>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资产处置收益</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868"/>
        <w:gridCol w:w="1562"/>
        <w:gridCol w:w="1637"/>
        <w:gridCol w:w="2710"/>
      </w:tblGrid>
      <w:tr>
        <w:trPr>
          <w:trHeight w:val="461" w:hRule="exact"/>
        </w:trPr>
        <w:tc>
          <w:tcPr>
            <w:tcW w:w="18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6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17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49" w:hRule="exact"/>
        </w:trPr>
        <w:tc>
          <w:tcPr>
            <w:tcW w:w="18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处置非流动资产利得</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2,942,735.37</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5,926,127.55</w:t>
            </w:r>
          </w:p>
        </w:tc>
        <w:tc>
          <w:tcPr>
            <w:tcW w:w="27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2,942,735.37</w:t>
            </w:r>
          </w:p>
        </w:tc>
      </w:tr>
      <w:tr>
        <w:trPr>
          <w:trHeight w:val="461" w:hRule="exact"/>
        </w:trPr>
        <w:tc>
          <w:tcPr>
            <w:tcW w:w="18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2,942,735.37</w:t>
            </w:r>
          </w:p>
        </w:tc>
        <w:tc>
          <w:tcPr>
            <w:tcW w:w="16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5,926,127.55</w:t>
            </w:r>
          </w:p>
        </w:tc>
        <w:tc>
          <w:tcPr>
            <w:tcW w:w="27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2,942,735.37</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营业外收入</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535"/>
        <w:gridCol w:w="1748"/>
        <w:gridCol w:w="1747"/>
        <w:gridCol w:w="1748"/>
      </w:tblGrid>
      <w:tr>
        <w:trPr>
          <w:trHeight w:val="818" w:hRule="exact"/>
        </w:trPr>
        <w:tc>
          <w:tcPr>
            <w:tcW w:w="25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48" w:type="dxa"/>
            <w:tcBorders>
              <w:top w:val="single" w:sz="12" w:space="0" w:color="000000"/>
              <w:left w:val="dotted" w:sz="4" w:space="0" w:color="000000"/>
              <w:bottom w:val="dotted" w:sz="4" w:space="0" w:color="000000"/>
              <w:right w:val="nil" w:sz="6" w:space="0" w:color="auto"/>
            </w:tcBorders>
          </w:tcPr>
          <w:p>
            <w:pPr>
              <w:pStyle w:val="TableParagraph"/>
              <w:spacing w:line="367" w:lineRule="auto" w:before="135"/>
              <w:ind w:left="418" w:right="152"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51"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罚金及违约金收入</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4,513,430.46</w:t>
            </w:r>
          </w:p>
        </w:tc>
        <w:tc>
          <w:tcPr>
            <w:tcW w:w="17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1,312,267.79</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4,513,430.46</w:t>
            </w:r>
          </w:p>
        </w:tc>
      </w:tr>
      <w:tr>
        <w:trPr>
          <w:trHeight w:val="449" w:hRule="exact"/>
        </w:trPr>
        <w:tc>
          <w:tcPr>
            <w:tcW w:w="25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3,222,224.13</w:t>
            </w:r>
          </w:p>
        </w:tc>
        <w:tc>
          <w:tcPr>
            <w:tcW w:w="17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7,605,071.40</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3,222,224.13</w:t>
            </w:r>
          </w:p>
        </w:tc>
      </w:tr>
      <w:tr>
        <w:trPr>
          <w:trHeight w:val="461" w:hRule="exact"/>
        </w:trPr>
        <w:tc>
          <w:tcPr>
            <w:tcW w:w="25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8"/>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7,735,654.59</w:t>
            </w:r>
          </w:p>
        </w:tc>
        <w:tc>
          <w:tcPr>
            <w:tcW w:w="17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8,917,339.19</w:t>
            </w:r>
          </w:p>
        </w:tc>
        <w:tc>
          <w:tcPr>
            <w:tcW w:w="17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7,735,654.59</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营业外支出</w:t>
      </w:r>
      <w:r>
        <w:rPr>
          <w:b w:val="0"/>
          <w:bCs w:val="0"/>
        </w:rPr>
      </w:r>
    </w:p>
    <w:p>
      <w:pPr>
        <w:spacing w:after="0" w:line="335" w:lineRule="exact"/>
        <w:jc w:val="left"/>
        <w:sectPr>
          <w:pgSz w:w="11910" w:h="16840"/>
          <w:pgMar w:header="0"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2626"/>
        <w:gridCol w:w="1716"/>
        <w:gridCol w:w="1716"/>
        <w:gridCol w:w="1719"/>
      </w:tblGrid>
      <w:tr>
        <w:trPr>
          <w:trHeight w:val="821" w:hRule="exact"/>
        </w:trPr>
        <w:tc>
          <w:tcPr>
            <w:tcW w:w="26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19" w:type="dxa"/>
            <w:tcBorders>
              <w:top w:val="single" w:sz="12" w:space="0" w:color="000000"/>
              <w:left w:val="dotted" w:sz="4" w:space="0" w:color="000000"/>
              <w:bottom w:val="dotted" w:sz="4" w:space="0" w:color="000000"/>
              <w:right w:val="nil" w:sz="6" w:space="0" w:color="auto"/>
            </w:tcBorders>
          </w:tcPr>
          <w:p>
            <w:pPr>
              <w:pStyle w:val="TableParagraph"/>
              <w:spacing w:line="364" w:lineRule="auto" w:before="138"/>
              <w:ind w:left="403" w:right="140" w:hanging="272"/>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49"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295,783.47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121,991.77</w:t>
            </w:r>
          </w:p>
        </w:tc>
        <w:tc>
          <w:tcPr>
            <w:tcW w:w="17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295,783.47</w:t>
            </w:r>
          </w:p>
        </w:tc>
      </w:tr>
      <w:tr>
        <w:trPr>
          <w:trHeight w:val="451"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889,457.19</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3,394,679.75</w:t>
            </w:r>
          </w:p>
        </w:tc>
        <w:tc>
          <w:tcPr>
            <w:tcW w:w="17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889,457.19</w:t>
            </w:r>
          </w:p>
        </w:tc>
      </w:tr>
      <w:tr>
        <w:trPr>
          <w:trHeight w:val="449"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21,242,610.46</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465,858.34</w:t>
            </w:r>
          </w:p>
        </w:tc>
        <w:tc>
          <w:tcPr>
            <w:tcW w:w="17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21,242,610.46</w:t>
            </w:r>
          </w:p>
        </w:tc>
      </w:tr>
      <w:tr>
        <w:trPr>
          <w:trHeight w:val="451"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违约金、滞纳金、赔</w:t>
            </w:r>
            <w:r>
              <w:rPr>
                <w:rFonts w:ascii="Times New Roman" w:hAnsi="Times New Roman" w:cs="Times New Roman" w:eastAsia="Times New Roman" w:hint="default"/>
                <w:sz w:val="18"/>
                <w:szCs w:val="18"/>
              </w:rPr>
              <w:t>(</w:t>
            </w:r>
            <w:r>
              <w:rPr>
                <w:rFonts w:ascii="宋体" w:hAnsi="宋体" w:cs="宋体" w:eastAsia="宋体" w:hint="default"/>
                <w:sz w:val="18"/>
                <w:szCs w:val="18"/>
              </w:rPr>
              <w:t>补</w:t>
            </w:r>
            <w:r>
              <w:rPr>
                <w:rFonts w:ascii="Times New Roman" w:hAnsi="Times New Roman" w:cs="Times New Roman" w:eastAsia="Times New Roman" w:hint="default"/>
                <w:sz w:val="18"/>
                <w:szCs w:val="18"/>
              </w:rPr>
              <w:t>)</w:t>
            </w:r>
            <w:r>
              <w:rPr>
                <w:rFonts w:ascii="宋体" w:hAnsi="宋体" w:cs="宋体" w:eastAsia="宋体" w:hint="default"/>
                <w:sz w:val="18"/>
                <w:szCs w:val="18"/>
              </w:rPr>
              <w:t>偿金</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8,230,637.24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2,410,956.45</w:t>
            </w:r>
          </w:p>
        </w:tc>
        <w:tc>
          <w:tcPr>
            <w:tcW w:w="17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8,230,637.24</w:t>
            </w:r>
          </w:p>
        </w:tc>
      </w:tr>
      <w:tr>
        <w:trPr>
          <w:trHeight w:val="449"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6,900,626.40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777,772.44</w:t>
            </w:r>
          </w:p>
        </w:tc>
        <w:tc>
          <w:tcPr>
            <w:tcW w:w="17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6,900,626.40</w:t>
            </w:r>
          </w:p>
        </w:tc>
      </w:tr>
      <w:tr>
        <w:trPr>
          <w:trHeight w:val="461" w:hRule="exact"/>
        </w:trPr>
        <w:tc>
          <w:tcPr>
            <w:tcW w:w="26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37,559,114.76</w:t>
            </w:r>
          </w:p>
        </w:tc>
        <w:tc>
          <w:tcPr>
            <w:tcW w:w="1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7,171,258.75</w:t>
            </w:r>
          </w:p>
        </w:tc>
        <w:tc>
          <w:tcPr>
            <w:tcW w:w="17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37,559,114.76</w:t>
            </w:r>
          </w:p>
        </w:tc>
      </w:tr>
    </w:tbl>
    <w:p>
      <w:pPr>
        <w:spacing w:line="240" w:lineRule="auto" w:before="5"/>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所得税费用</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所得税费用表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14"/>
        <w:gridCol w:w="2280"/>
        <w:gridCol w:w="2283"/>
      </w:tblGrid>
      <w:tr>
        <w:trPr>
          <w:trHeight w:val="461" w:hRule="exact"/>
        </w:trPr>
        <w:tc>
          <w:tcPr>
            <w:tcW w:w="32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151,773,191.45</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131,900,076.66</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-13,437,853.83</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3,387,620.75</w:t>
            </w: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138,335,337.62</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135,287,697.41</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会计利润与所得税费用调整过程</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5835"/>
        <w:gridCol w:w="1942"/>
      </w:tblGrid>
      <w:tr>
        <w:trPr>
          <w:trHeight w:val="458" w:hRule="exact"/>
        </w:trPr>
        <w:tc>
          <w:tcPr>
            <w:tcW w:w="58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13"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51"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238,561,252.93</w:t>
            </w:r>
          </w:p>
        </w:tc>
      </w:tr>
      <w:tr>
        <w:trPr>
          <w:trHeight w:val="449"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59,640,313.23</w:t>
            </w:r>
          </w:p>
        </w:tc>
      </w:tr>
      <w:tr>
        <w:trPr>
          <w:trHeight w:val="452"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-619,051.49</w:t>
            </w:r>
          </w:p>
        </w:tc>
      </w:tr>
      <w:tr>
        <w:trPr>
          <w:trHeight w:val="449"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1,361,957.09</w:t>
            </w:r>
          </w:p>
        </w:tc>
      </w:tr>
      <w:tr>
        <w:trPr>
          <w:trHeight w:val="451"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-13,960,538.10</w:t>
            </w:r>
          </w:p>
        </w:tc>
      </w:tr>
      <w:tr>
        <w:trPr>
          <w:trHeight w:val="449"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8,233,620.76</w:t>
            </w:r>
          </w:p>
        </w:tc>
      </w:tr>
      <w:tr>
        <w:trPr>
          <w:trHeight w:val="451"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-342,866.72</w:t>
            </w:r>
          </w:p>
        </w:tc>
      </w:tr>
      <w:tr>
        <w:trPr>
          <w:trHeight w:val="449"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73,076,879.92</w:t>
            </w:r>
          </w:p>
        </w:tc>
      </w:tr>
      <w:tr>
        <w:trPr>
          <w:trHeight w:val="451" w:hRule="exact"/>
        </w:trPr>
        <w:tc>
          <w:tcPr>
            <w:tcW w:w="5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转回前期因可抵扣亏损确认的递延所得税资产的影响</w:t>
            </w:r>
          </w:p>
        </w:tc>
        <w:tc>
          <w:tcPr>
            <w:tcW w:w="19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10,945,022.93</w:t>
            </w:r>
          </w:p>
        </w:tc>
      </w:tr>
      <w:tr>
        <w:trPr>
          <w:trHeight w:val="461" w:hRule="exact"/>
        </w:trPr>
        <w:tc>
          <w:tcPr>
            <w:tcW w:w="5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9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138,335,337.62</w:t>
            </w:r>
          </w:p>
        </w:tc>
      </w:tr>
    </w:tbl>
    <w:p>
      <w:pPr>
        <w:spacing w:line="240" w:lineRule="auto" w:before="14"/>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四十八</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现金流量表项目</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收到的其他与经营活动有关的现金</w:t>
      </w:r>
      <w:r>
        <w:rPr>
          <w:b w:val="0"/>
          <w:bCs w:val="0"/>
        </w:rPr>
      </w:r>
    </w:p>
    <w:p>
      <w:pPr>
        <w:spacing w:after="0" w:line="240" w:lineRule="auto"/>
        <w:jc w:val="left"/>
        <w:sectPr>
          <w:pgSz w:w="11910" w:h="16840"/>
          <w:pgMar w:header="0"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668"/>
        <w:gridCol w:w="2055"/>
        <w:gridCol w:w="2055"/>
      </w:tblGrid>
      <w:tr>
        <w:trPr>
          <w:trHeight w:val="461" w:hRule="exact"/>
        </w:trPr>
        <w:tc>
          <w:tcPr>
            <w:tcW w:w="36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5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310,571,196.69</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351,391,341.68</w:t>
            </w:r>
          </w:p>
        </w:tc>
      </w:tr>
      <w:tr>
        <w:trPr>
          <w:trHeight w:val="451"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20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72,439,370.65</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90,058,603.39</w:t>
            </w:r>
          </w:p>
        </w:tc>
      </w:tr>
      <w:tr>
        <w:trPr>
          <w:trHeight w:val="449"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0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12,942,979.19</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15,919,309.65</w:t>
            </w:r>
          </w:p>
        </w:tc>
      </w:tr>
      <w:tr>
        <w:trPr>
          <w:trHeight w:val="451"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收取的罚款、赔偿金收入</w:t>
            </w:r>
          </w:p>
        </w:tc>
        <w:tc>
          <w:tcPr>
            <w:tcW w:w="20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3,127,265.15</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1,312,267.79</w:t>
            </w:r>
          </w:p>
        </w:tc>
      </w:tr>
      <w:tr>
        <w:trPr>
          <w:trHeight w:val="449"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财政经营性补贴</w:t>
            </w:r>
          </w:p>
        </w:tc>
        <w:tc>
          <w:tcPr>
            <w:tcW w:w="20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32,975,434.10</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31,102,402.61</w:t>
            </w:r>
          </w:p>
        </w:tc>
      </w:tr>
      <w:tr>
        <w:trPr>
          <w:trHeight w:val="452"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贷款收回</w:t>
            </w:r>
          </w:p>
        </w:tc>
        <w:tc>
          <w:tcPr>
            <w:tcW w:w="20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405,568,726.14</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382,019,254.74</w:t>
            </w:r>
          </w:p>
        </w:tc>
      </w:tr>
      <w:tr>
        <w:trPr>
          <w:trHeight w:val="461" w:hRule="exact"/>
        </w:trPr>
        <w:tc>
          <w:tcPr>
            <w:tcW w:w="36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837,624,971.92</w:t>
            </w:r>
          </w:p>
        </w:tc>
        <w:tc>
          <w:tcPr>
            <w:tcW w:w="20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871,803,179.86</w:t>
            </w:r>
          </w:p>
        </w:tc>
      </w:tr>
    </w:tbl>
    <w:p>
      <w:pPr>
        <w:pStyle w:val="BodyText"/>
        <w:spacing w:line="350" w:lineRule="auto" w:before="93"/>
        <w:ind w:left="754" w:right="1675"/>
        <w:jc w:val="left"/>
      </w:pPr>
      <w:r>
        <w:rPr/>
        <w:t>收到的其他与经营活动有关的现金说明：</w:t>
      </w:r>
      <w:r>
        <w:rPr>
          <w:w w:val="100"/>
        </w:rPr>
        <w:t> </w:t>
      </w:r>
      <w:r>
        <w:rPr>
          <w:spacing w:val="-2"/>
        </w:rPr>
        <w:t>贷款收回主要是子公司深圳市农产品小额贷款有限公司收回的贷款。</w:t>
      </w:r>
    </w:p>
    <w:p>
      <w:pPr>
        <w:spacing w:line="240" w:lineRule="auto" w:before="8"/>
        <w:rPr>
          <w:rFonts w:ascii="宋体" w:hAnsi="宋体" w:cs="宋体" w:eastAsia="宋体" w:hint="default"/>
          <w:sz w:val="27"/>
          <w:szCs w:val="27"/>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支付的其他与经营活动有关的现金</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725"/>
        <w:gridCol w:w="2026"/>
        <w:gridCol w:w="2026"/>
      </w:tblGrid>
      <w:tr>
        <w:trPr>
          <w:trHeight w:val="458" w:hRule="exact"/>
        </w:trPr>
        <w:tc>
          <w:tcPr>
            <w:tcW w:w="37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668"/>
              <w:jc w:val="right"/>
              <w:rPr>
                <w:rFonts w:ascii="宋体" w:hAnsi="宋体" w:cs="宋体" w:eastAsia="宋体" w:hint="default"/>
                <w:sz w:val="18"/>
                <w:szCs w:val="18"/>
              </w:rPr>
            </w:pPr>
            <w:r>
              <w:rPr>
                <w:rFonts w:ascii="宋体" w:hAnsi="宋体" w:cs="宋体" w:eastAsia="宋体" w:hint="default"/>
                <w:sz w:val="18"/>
                <w:szCs w:val="18"/>
              </w:rPr>
              <w:t>项目</w:t>
            </w:r>
          </w:p>
        </w:tc>
        <w:tc>
          <w:tcPr>
            <w:tcW w:w="20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2"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122,442,844.11</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162,108,736.12</w:t>
            </w:r>
          </w:p>
        </w:tc>
      </w:tr>
      <w:tr>
        <w:trPr>
          <w:trHeight w:val="449"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其他经营性预付款</w:t>
            </w:r>
          </w:p>
        </w:tc>
        <w:tc>
          <w:tcPr>
            <w:tcW w:w="2026" w:type="dxa"/>
            <w:tcBorders>
              <w:top w:val="dotted" w:sz="4" w:space="0" w:color="000000"/>
              <w:left w:val="dotted" w:sz="4" w:space="0" w:color="000000"/>
              <w:bottom w:val="dotted" w:sz="4" w:space="0" w:color="000000"/>
              <w:right w:val="dotted" w:sz="4" w:space="0" w:color="000000"/>
            </w:tcBorders>
          </w:tcPr>
          <w:p>
            <w:pP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7,124,945.86</w:t>
            </w:r>
          </w:p>
        </w:tc>
      </w:tr>
      <w:tr>
        <w:trPr>
          <w:trHeight w:val="451"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60,998,767.14</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112,995,771.30</w:t>
            </w:r>
          </w:p>
        </w:tc>
      </w:tr>
      <w:tr>
        <w:trPr>
          <w:trHeight w:val="449"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99,538,862.36</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100,579,367.12</w:t>
            </w:r>
          </w:p>
        </w:tc>
      </w:tr>
      <w:tr>
        <w:trPr>
          <w:trHeight w:val="451"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13,619,655.35</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28,555,718.67</w:t>
            </w:r>
          </w:p>
        </w:tc>
      </w:tr>
      <w:tr>
        <w:trPr>
          <w:trHeight w:val="449"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罚款、赔偿支出</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8,427,570.23</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2,532,948.22</w:t>
            </w:r>
          </w:p>
        </w:tc>
      </w:tr>
      <w:tr>
        <w:trPr>
          <w:trHeight w:val="451"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贷款发放</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295,480,000.00</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427,670,000.00</w:t>
            </w:r>
          </w:p>
        </w:tc>
      </w:tr>
      <w:tr>
        <w:trPr>
          <w:trHeight w:val="449"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1,466,926.29</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2,124,641.56</w:t>
            </w:r>
          </w:p>
        </w:tc>
      </w:tr>
      <w:tr>
        <w:trPr>
          <w:trHeight w:val="461" w:hRule="exact"/>
        </w:trPr>
        <w:tc>
          <w:tcPr>
            <w:tcW w:w="37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1668"/>
              <w:jc w:val="right"/>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601,974,625.48</w:t>
            </w:r>
          </w:p>
        </w:tc>
        <w:tc>
          <w:tcPr>
            <w:tcW w:w="20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843,692,128.85</w:t>
            </w: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收到的其他与投资活动有关的现金</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725"/>
        <w:gridCol w:w="2026"/>
        <w:gridCol w:w="2026"/>
      </w:tblGrid>
      <w:tr>
        <w:trPr>
          <w:trHeight w:val="461" w:hRule="exact"/>
        </w:trPr>
        <w:tc>
          <w:tcPr>
            <w:tcW w:w="37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026" w:type="dxa"/>
            <w:tcBorders>
              <w:top w:val="dotted" w:sz="4" w:space="0" w:color="000000"/>
              <w:left w:val="dotted" w:sz="4" w:space="0" w:color="000000"/>
              <w:bottom w:val="dotted" w:sz="4" w:space="0" w:color="000000"/>
              <w:right w:val="dotted" w:sz="4" w:space="0" w:color="000000"/>
            </w:tcBorders>
          </w:tcPr>
          <w:p>
            <w:pP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18,735,122.00</w:t>
            </w:r>
          </w:p>
        </w:tc>
      </w:tr>
      <w:tr>
        <w:trPr>
          <w:trHeight w:val="451"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收回向关联方拆出的本金及利息</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43,539,092.42</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27,688,652.83</w:t>
            </w:r>
          </w:p>
        </w:tc>
      </w:tr>
      <w:tr>
        <w:trPr>
          <w:trHeight w:val="461" w:hRule="exact"/>
        </w:trPr>
        <w:tc>
          <w:tcPr>
            <w:tcW w:w="37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43,539,092.42</w:t>
            </w:r>
          </w:p>
        </w:tc>
        <w:tc>
          <w:tcPr>
            <w:tcW w:w="20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46,423,774.83</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4</w:t>
      </w:r>
      <w:r>
        <w:rPr/>
        <w:t>、</w:t>
        <w:tab/>
        <w:t>支付的其他与投资活动有关的现金</w:t>
      </w:r>
      <w:r>
        <w:rPr>
          <w:b w:val="0"/>
          <w:bCs w:val="0"/>
        </w:rPr>
      </w:r>
    </w:p>
    <w:tbl>
      <w:tblPr>
        <w:tblW w:w="0" w:type="auto"/>
        <w:jc w:val="left"/>
        <w:tblInd w:w="783" w:type="dxa"/>
        <w:tblLayout w:type="fixed"/>
        <w:tblCellMar>
          <w:top w:w="0" w:type="dxa"/>
          <w:left w:w="0" w:type="dxa"/>
          <w:bottom w:w="0" w:type="dxa"/>
          <w:right w:w="0" w:type="dxa"/>
        </w:tblCellMar>
        <w:tblLook w:val="01E0"/>
      </w:tblPr>
      <w:tblGrid>
        <w:gridCol w:w="3778"/>
        <w:gridCol w:w="1971"/>
        <w:gridCol w:w="2028"/>
      </w:tblGrid>
      <w:tr>
        <w:trPr>
          <w:trHeight w:val="470" w:hRule="exact"/>
        </w:trPr>
        <w:tc>
          <w:tcPr>
            <w:tcW w:w="3778"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1"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35"/>
              <w:ind w:left="5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8"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35"/>
              <w:ind w:left="5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0"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3778"/>
        <w:gridCol w:w="1971"/>
        <w:gridCol w:w="2029"/>
      </w:tblGrid>
      <w:tr>
        <w:trPr>
          <w:trHeight w:val="461" w:hRule="exact"/>
        </w:trPr>
        <w:tc>
          <w:tcPr>
            <w:tcW w:w="37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694"/>
              <w:jc w:val="right"/>
              <w:rPr>
                <w:rFonts w:ascii="宋体" w:hAnsi="宋体" w:cs="宋体" w:eastAsia="宋体" w:hint="default"/>
                <w:sz w:val="18"/>
                <w:szCs w:val="18"/>
              </w:rPr>
            </w:pPr>
            <w:r>
              <w:rPr>
                <w:rFonts w:ascii="宋体" w:hAnsi="宋体" w:cs="宋体" w:eastAsia="宋体" w:hint="default"/>
                <w:sz w:val="18"/>
                <w:szCs w:val="18"/>
              </w:rPr>
              <w:t>项目</w:t>
            </w:r>
          </w:p>
        </w:tc>
        <w:tc>
          <w:tcPr>
            <w:tcW w:w="19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5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固定资产清理支出</w:t>
            </w:r>
          </w:p>
        </w:tc>
        <w:tc>
          <w:tcPr>
            <w:tcW w:w="1971" w:type="dxa"/>
            <w:tcBorders>
              <w:top w:val="dotted" w:sz="4" w:space="0" w:color="000000"/>
              <w:left w:val="dotted" w:sz="4" w:space="0" w:color="000000"/>
              <w:bottom w:val="dotted" w:sz="4" w:space="0" w:color="000000"/>
              <w:right w:val="dotted" w:sz="4" w:space="0" w:color="000000"/>
            </w:tcBorders>
          </w:tcPr>
          <w:p>
            <w:pPr/>
          </w:p>
        </w:tc>
        <w:tc>
          <w:tcPr>
            <w:tcW w:w="2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22,141,880.04</w:t>
            </w:r>
          </w:p>
        </w:tc>
      </w:tr>
      <w:tr>
        <w:trPr>
          <w:trHeight w:val="451"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向关联方拆出资金</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91,752,000.77</w:t>
            </w:r>
          </w:p>
        </w:tc>
        <w:tc>
          <w:tcPr>
            <w:tcW w:w="2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45,593,220.00</w:t>
            </w:r>
          </w:p>
        </w:tc>
      </w:tr>
      <w:tr>
        <w:trPr>
          <w:trHeight w:val="449" w:hRule="exact"/>
        </w:trPr>
        <w:tc>
          <w:tcPr>
            <w:tcW w:w="37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返还政府补助款</w:t>
            </w:r>
          </w:p>
        </w:tc>
        <w:tc>
          <w:tcPr>
            <w:tcW w:w="1971" w:type="dxa"/>
            <w:tcBorders>
              <w:top w:val="dotted" w:sz="4" w:space="0" w:color="000000"/>
              <w:left w:val="dotted" w:sz="4" w:space="0" w:color="000000"/>
              <w:bottom w:val="dotted" w:sz="4" w:space="0" w:color="000000"/>
              <w:right w:val="dotted" w:sz="4" w:space="0" w:color="000000"/>
            </w:tcBorders>
          </w:tcPr>
          <w:p>
            <w:pPr/>
          </w:p>
        </w:tc>
        <w:tc>
          <w:tcPr>
            <w:tcW w:w="2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61" w:hRule="exact"/>
        </w:trPr>
        <w:tc>
          <w:tcPr>
            <w:tcW w:w="37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1694"/>
              <w:jc w:val="right"/>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91,752,000.77</w:t>
            </w:r>
          </w:p>
        </w:tc>
        <w:tc>
          <w:tcPr>
            <w:tcW w:w="20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72,235,100.04</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5</w:t>
      </w:r>
      <w:r>
        <w:rPr/>
        <w:t>、</w:t>
        <w:tab/>
        <w:t>收到的其他与筹资活动有关的现金</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725"/>
        <w:gridCol w:w="2026"/>
        <w:gridCol w:w="2026"/>
      </w:tblGrid>
      <w:tr>
        <w:trPr>
          <w:trHeight w:val="461" w:hRule="exact"/>
        </w:trPr>
        <w:tc>
          <w:tcPr>
            <w:tcW w:w="37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668"/>
              <w:jc w:val="right"/>
              <w:rPr>
                <w:rFonts w:ascii="宋体" w:hAnsi="宋体" w:cs="宋体" w:eastAsia="宋体" w:hint="default"/>
                <w:sz w:val="18"/>
                <w:szCs w:val="18"/>
              </w:rPr>
            </w:pPr>
            <w:r>
              <w:rPr>
                <w:rFonts w:ascii="宋体" w:hAnsi="宋体" w:cs="宋体" w:eastAsia="宋体" w:hint="default"/>
                <w:sz w:val="18"/>
                <w:szCs w:val="18"/>
              </w:rPr>
              <w:t>项目</w:t>
            </w:r>
          </w:p>
        </w:tc>
        <w:tc>
          <w:tcPr>
            <w:tcW w:w="20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61" w:hRule="exact"/>
        </w:trPr>
        <w:tc>
          <w:tcPr>
            <w:tcW w:w="37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668"/>
              <w:jc w:val="right"/>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20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370,000,000.00</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6</w:t>
      </w:r>
      <w:r>
        <w:rPr/>
        <w:t>、</w:t>
        <w:tab/>
        <w:t>支付的其他与筹资活动有关的现金</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725"/>
        <w:gridCol w:w="2026"/>
        <w:gridCol w:w="2026"/>
      </w:tblGrid>
      <w:tr>
        <w:trPr>
          <w:trHeight w:val="461" w:hRule="exact"/>
        </w:trPr>
        <w:tc>
          <w:tcPr>
            <w:tcW w:w="37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668"/>
              <w:jc w:val="right"/>
              <w:rPr>
                <w:rFonts w:ascii="宋体" w:hAnsi="宋体" w:cs="宋体" w:eastAsia="宋体" w:hint="default"/>
                <w:sz w:val="18"/>
                <w:szCs w:val="18"/>
              </w:rPr>
            </w:pPr>
            <w:r>
              <w:rPr>
                <w:rFonts w:ascii="宋体" w:hAnsi="宋体" w:cs="宋体" w:eastAsia="宋体" w:hint="default"/>
                <w:sz w:val="18"/>
                <w:szCs w:val="18"/>
              </w:rPr>
              <w:t>项目</w:t>
            </w:r>
          </w:p>
        </w:tc>
        <w:tc>
          <w:tcPr>
            <w:tcW w:w="20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5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2" w:hRule="exact"/>
        </w:trPr>
        <w:tc>
          <w:tcPr>
            <w:tcW w:w="3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归还关联方拆入资金</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237,602,916.67</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44,675,000.08</w:t>
            </w:r>
          </w:p>
        </w:tc>
      </w:tr>
      <w:tr>
        <w:trPr>
          <w:trHeight w:val="461" w:hRule="exact"/>
        </w:trPr>
        <w:tc>
          <w:tcPr>
            <w:tcW w:w="37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668"/>
              <w:jc w:val="right"/>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237,602,916.67</w:t>
            </w:r>
          </w:p>
        </w:tc>
        <w:tc>
          <w:tcPr>
            <w:tcW w:w="20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44,675,000.08</w:t>
            </w:r>
          </w:p>
        </w:tc>
      </w:tr>
    </w:tbl>
    <w:p>
      <w:pPr>
        <w:spacing w:line="240" w:lineRule="auto" w:before="9"/>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现金流量表补充资料</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现金流量表补充资料</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4311"/>
        <w:gridCol w:w="1733"/>
        <w:gridCol w:w="1733"/>
      </w:tblGrid>
      <w:tr>
        <w:trPr>
          <w:trHeight w:val="461" w:hRule="exact"/>
        </w:trPr>
        <w:tc>
          <w:tcPr>
            <w:tcW w:w="43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0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0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100,225,915.31</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61,172,541.52</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49,175,514.38</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2,392,608.57</w:t>
            </w: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356,181,022.37</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338,660,119.95</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64,431,789.38</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68,703,330.04</w:t>
            </w: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41,657,759.34</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32,348,348.50</w:t>
            </w:r>
          </w:p>
        </w:tc>
      </w:tr>
      <w:tr>
        <w:trPr>
          <w:trHeight w:val="80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p>
            <w:pPr>
              <w:pStyle w:val="TableParagraph"/>
              <w:spacing w:line="240" w:lineRule="auto" w:before="122"/>
              <w:ind w:left="122"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-2,942,735.37</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-5,926,127.55</w:t>
            </w:r>
          </w:p>
        </w:tc>
      </w:tr>
      <w:tr>
        <w:trPr>
          <w:trHeight w:val="452"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603"/>
              <w:jc w:val="right"/>
              <w:rPr>
                <w:rFonts w:ascii="宋体" w:hAnsi="宋体" w:cs="宋体" w:eastAsia="宋体" w:hint="default"/>
                <w:sz w:val="18"/>
                <w:szCs w:val="18"/>
              </w:rPr>
            </w:pPr>
            <w:r>
              <w:rPr>
                <w:rFonts w:ascii="宋体" w:hAnsi="宋体" w:cs="宋体" w:eastAsia="宋体" w:hint="default"/>
                <w:spacing w:val="-1"/>
                <w:sz w:val="18"/>
                <w:szCs w:val="18"/>
              </w:rPr>
              <w:t>固定资产报废损失（收益以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21,242,610.46</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465,858.34</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603"/>
              <w:jc w:val="right"/>
              <w:rPr>
                <w:rFonts w:ascii="宋体" w:hAnsi="宋体" w:cs="宋体" w:eastAsia="宋体" w:hint="default"/>
                <w:sz w:val="18"/>
                <w:szCs w:val="18"/>
              </w:rPr>
            </w:pPr>
            <w:r>
              <w:rPr>
                <w:rFonts w:ascii="宋体" w:hAnsi="宋体" w:cs="宋体" w:eastAsia="宋体" w:hint="default"/>
                <w:spacing w:val="-1"/>
                <w:sz w:val="18"/>
                <w:szCs w:val="18"/>
              </w:rPr>
              <w:t>公允价值变动损失（收益以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315,929,524.49</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285,167,206.34</w:t>
            </w:r>
          </w:p>
        </w:tc>
      </w:tr>
      <w:tr>
        <w:trPr>
          <w:trHeight w:val="461" w:hRule="exact"/>
        </w:trPr>
        <w:tc>
          <w:tcPr>
            <w:tcW w:w="43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-160,838,379.14</w:t>
            </w:r>
          </w:p>
        </w:tc>
        <w:tc>
          <w:tcPr>
            <w:tcW w:w="17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-115,181,603.20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4311"/>
        <w:gridCol w:w="1733"/>
        <w:gridCol w:w="1733"/>
      </w:tblGrid>
      <w:tr>
        <w:trPr>
          <w:trHeight w:val="461" w:hRule="exact"/>
        </w:trPr>
        <w:tc>
          <w:tcPr>
            <w:tcW w:w="43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50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0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13,437,853.83</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-6,472,673.65</w:t>
            </w: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8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-215,326.49</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9,860,294.40</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-83,812,727.70</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-103,941,176.98</w:t>
            </w: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right="243"/>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99,460,661.71</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346,741,263.56</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43"/>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433,489,777.73</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-107,811,523.83</w:t>
            </w:r>
          </w:p>
        </w:tc>
      </w:tr>
      <w:tr>
        <w:trPr>
          <w:trHeight w:val="452"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-34,405,441.78</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1,247,423,260.30</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771,773,024.23</w:t>
            </w: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1,860,317,522.24</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1,822,758,284.40</w:t>
            </w: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1,822,758,284.40</w:t>
            </w:r>
          </w:p>
        </w:tc>
        <w:tc>
          <w:tcPr>
            <w:tcW w:w="17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1,178,152,642.09</w:t>
            </w:r>
          </w:p>
        </w:tc>
      </w:tr>
      <w:tr>
        <w:trPr>
          <w:trHeight w:val="449"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3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3"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43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37,559,237.84</w:t>
            </w:r>
          </w:p>
        </w:tc>
        <w:tc>
          <w:tcPr>
            <w:tcW w:w="17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644,605,642.31</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本期收到的处置子公司及其他营业单位的现金净额</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6186"/>
        <w:gridCol w:w="1592"/>
      </w:tblGrid>
      <w:tr>
        <w:trPr>
          <w:trHeight w:val="461" w:hRule="exact"/>
        </w:trPr>
        <w:tc>
          <w:tcPr>
            <w:tcW w:w="61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51" w:hRule="exact"/>
        </w:trPr>
        <w:tc>
          <w:tcPr>
            <w:tcW w:w="61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本期处置子公司及其他营业单位于本期收到的现金或现金等价物</w:t>
            </w:r>
          </w:p>
        </w:tc>
        <w:tc>
          <w:tcPr>
            <w:tcW w:w="15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112,168,200.00</w:t>
            </w:r>
          </w:p>
        </w:tc>
      </w:tr>
      <w:tr>
        <w:trPr>
          <w:trHeight w:val="449" w:hRule="exact"/>
        </w:trPr>
        <w:tc>
          <w:tcPr>
            <w:tcW w:w="61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减：丧失控制权日子公司及其他营业单位持有的现金及现金等价物</w:t>
            </w:r>
          </w:p>
        </w:tc>
        <w:tc>
          <w:tcPr>
            <w:tcW w:w="15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179,824.75</w:t>
            </w:r>
          </w:p>
        </w:tc>
      </w:tr>
      <w:tr>
        <w:trPr>
          <w:trHeight w:val="451" w:hRule="exact"/>
        </w:trPr>
        <w:tc>
          <w:tcPr>
            <w:tcW w:w="61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加：以前期间处置子公司及其他营业单位于本期收到的现金或现金等价物</w:t>
            </w:r>
          </w:p>
        </w:tc>
        <w:tc>
          <w:tcPr>
            <w:tcW w:w="159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61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111,988,375.25</w:t>
            </w:r>
          </w:p>
        </w:tc>
      </w:tr>
    </w:tbl>
    <w:p>
      <w:pPr>
        <w:spacing w:line="240" w:lineRule="auto" w:before="9"/>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现金和现金等价物的构成</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4203"/>
        <w:gridCol w:w="1786"/>
        <w:gridCol w:w="1789"/>
      </w:tblGrid>
      <w:tr>
        <w:trPr>
          <w:trHeight w:val="461" w:hRule="exact"/>
        </w:trPr>
        <w:tc>
          <w:tcPr>
            <w:tcW w:w="42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2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1,860,317,522.24</w:t>
            </w:r>
          </w:p>
        </w:tc>
        <w:tc>
          <w:tcPr>
            <w:tcW w:w="17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1,822,758,284.40</w:t>
            </w:r>
          </w:p>
        </w:tc>
      </w:tr>
      <w:tr>
        <w:trPr>
          <w:trHeight w:val="451"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2,028,184.88</w:t>
            </w:r>
          </w:p>
        </w:tc>
        <w:tc>
          <w:tcPr>
            <w:tcW w:w="17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2,498,766.89</w:t>
            </w:r>
          </w:p>
        </w:tc>
      </w:tr>
      <w:tr>
        <w:trPr>
          <w:trHeight w:val="461" w:hRule="exact"/>
        </w:trPr>
        <w:tc>
          <w:tcPr>
            <w:tcW w:w="42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1,858,082,228.32</w:t>
            </w:r>
          </w:p>
        </w:tc>
        <w:tc>
          <w:tcPr>
            <w:tcW w:w="17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1,815,583,575.76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line="240" w:lineRule="auto" w:before="5"/>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4203"/>
        <w:gridCol w:w="1786"/>
        <w:gridCol w:w="1789"/>
      </w:tblGrid>
      <w:tr>
        <w:trPr>
          <w:trHeight w:val="461" w:hRule="exact"/>
        </w:trPr>
        <w:tc>
          <w:tcPr>
            <w:tcW w:w="42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5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2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1014"/>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207,109.04</w:t>
            </w:r>
          </w:p>
        </w:tc>
        <w:tc>
          <w:tcPr>
            <w:tcW w:w="17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4,675,941.75</w:t>
            </w:r>
          </w:p>
        </w:tc>
      </w:tr>
      <w:tr>
        <w:trPr>
          <w:trHeight w:val="451"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right="1014"/>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786" w:type="dxa"/>
            <w:tcBorders>
              <w:top w:val="dotted" w:sz="4" w:space="0" w:color="000000"/>
              <w:left w:val="dotted" w:sz="4" w:space="0" w:color="000000"/>
              <w:bottom w:val="dotted" w:sz="4" w:space="0" w:color="000000"/>
              <w:right w:val="dotted" w:sz="4" w:space="0" w:color="000000"/>
            </w:tcBorders>
          </w:tcPr>
          <w:p>
            <w:pPr/>
          </w:p>
        </w:tc>
        <w:tc>
          <w:tcPr>
            <w:tcW w:w="178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786" w:type="dxa"/>
            <w:tcBorders>
              <w:top w:val="dotted" w:sz="4" w:space="0" w:color="000000"/>
              <w:left w:val="dotted" w:sz="4" w:space="0" w:color="000000"/>
              <w:bottom w:val="dotted" w:sz="4" w:space="0" w:color="000000"/>
              <w:right w:val="dotted" w:sz="4" w:space="0" w:color="000000"/>
            </w:tcBorders>
          </w:tcPr>
          <w:p>
            <w:pPr/>
          </w:p>
        </w:tc>
        <w:tc>
          <w:tcPr>
            <w:tcW w:w="1789"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66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786" w:type="dxa"/>
            <w:tcBorders>
              <w:top w:val="dotted" w:sz="4" w:space="0" w:color="000000"/>
              <w:left w:val="dotted" w:sz="4" w:space="0" w:color="000000"/>
              <w:bottom w:val="dotted" w:sz="4" w:space="0" w:color="000000"/>
              <w:right w:val="dotted" w:sz="4" w:space="0" w:color="000000"/>
            </w:tcBorders>
          </w:tcPr>
          <w:p>
            <w:pPr/>
          </w:p>
        </w:tc>
        <w:tc>
          <w:tcPr>
            <w:tcW w:w="178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86" w:type="dxa"/>
            <w:tcBorders>
              <w:top w:val="dotted" w:sz="4" w:space="0" w:color="000000"/>
              <w:left w:val="dotted" w:sz="4" w:space="0" w:color="000000"/>
              <w:bottom w:val="dotted" w:sz="4" w:space="0" w:color="000000"/>
              <w:right w:val="dotted" w:sz="4" w:space="0" w:color="000000"/>
            </w:tcBorders>
          </w:tcPr>
          <w:p>
            <w:pPr/>
          </w:p>
        </w:tc>
        <w:tc>
          <w:tcPr>
            <w:tcW w:w="1789"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86" w:type="dxa"/>
            <w:tcBorders>
              <w:top w:val="dotted" w:sz="4" w:space="0" w:color="000000"/>
              <w:left w:val="dotted" w:sz="4" w:space="0" w:color="000000"/>
              <w:bottom w:val="dotted" w:sz="4" w:space="0" w:color="000000"/>
              <w:right w:val="dotted" w:sz="4" w:space="0" w:color="000000"/>
            </w:tcBorders>
          </w:tcPr>
          <w:p>
            <w:pPr/>
          </w:p>
        </w:tc>
        <w:tc>
          <w:tcPr>
            <w:tcW w:w="178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2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7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1,860,317,522.24</w:t>
            </w:r>
          </w:p>
        </w:tc>
        <w:tc>
          <w:tcPr>
            <w:tcW w:w="17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1,822,758,284.40</w:t>
            </w:r>
          </w:p>
        </w:tc>
      </w:tr>
      <w:tr>
        <w:trPr>
          <w:trHeight w:val="821" w:hRule="exact"/>
        </w:trPr>
        <w:tc>
          <w:tcPr>
            <w:tcW w:w="4203" w:type="dxa"/>
            <w:tcBorders>
              <w:top w:val="dotted" w:sz="4" w:space="0" w:color="000000"/>
              <w:left w:val="nil" w:sz="6" w:space="0" w:color="auto"/>
              <w:bottom w:val="single" w:sz="12" w:space="0" w:color="000000"/>
              <w:right w:val="dotted" w:sz="4" w:space="0" w:color="000000"/>
            </w:tcBorders>
          </w:tcPr>
          <w:p>
            <w:pPr>
              <w:pStyle w:val="TableParagraph"/>
              <w:spacing w:line="364" w:lineRule="auto" w:before="137"/>
              <w:ind w:left="122" w:right="11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 现金等价物</w:t>
            </w:r>
          </w:p>
        </w:tc>
        <w:tc>
          <w:tcPr>
            <w:tcW w:w="1786" w:type="dxa"/>
            <w:tcBorders>
              <w:top w:val="dotted" w:sz="4" w:space="0" w:color="000000"/>
              <w:left w:val="dotted" w:sz="4" w:space="0" w:color="000000"/>
              <w:bottom w:val="single" w:sz="12" w:space="0" w:color="000000"/>
              <w:right w:val="dotted" w:sz="4" w:space="0" w:color="000000"/>
            </w:tcBorders>
          </w:tcPr>
          <w:p>
            <w:pPr/>
          </w:p>
        </w:tc>
        <w:tc>
          <w:tcPr>
            <w:tcW w:w="178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6"/>
        <w:spacing w:line="335" w:lineRule="exact"/>
        <w:ind w:left="126" w:right="1675"/>
        <w:jc w:val="left"/>
        <w:rPr>
          <w:b w:val="0"/>
          <w:bCs w:val="0"/>
        </w:rPr>
      </w:pPr>
      <w:r>
        <w:rPr>
          <w:rFonts w:ascii="Times New Roman" w:hAnsi="Times New Roman" w:cs="Times New Roman" w:eastAsia="Times New Roman" w:hint="default"/>
        </w:rPr>
        <w:t>(</w:t>
      </w:r>
      <w:r>
        <w:rPr/>
        <w:t>五十</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所有权或使用权受到限制的资产</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230"/>
        <w:gridCol w:w="1832"/>
        <w:gridCol w:w="3716"/>
      </w:tblGrid>
      <w:tr>
        <w:trPr>
          <w:trHeight w:val="461" w:hRule="exact"/>
        </w:trPr>
        <w:tc>
          <w:tcPr>
            <w:tcW w:w="22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922"/>
              <w:jc w:val="right"/>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6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49"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2,593,429.21</w:t>
            </w:r>
          </w:p>
        </w:tc>
        <w:tc>
          <w:tcPr>
            <w:tcW w:w="37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5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321,744,756.41</w:t>
            </w:r>
          </w:p>
        </w:tc>
        <w:tc>
          <w:tcPr>
            <w:tcW w:w="37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49"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43,450,179.51</w:t>
            </w:r>
          </w:p>
        </w:tc>
        <w:tc>
          <w:tcPr>
            <w:tcW w:w="37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5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1,079,197,901.30</w:t>
            </w:r>
          </w:p>
        </w:tc>
        <w:tc>
          <w:tcPr>
            <w:tcW w:w="37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49"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599,521,776.83</w:t>
            </w:r>
          </w:p>
        </w:tc>
        <w:tc>
          <w:tcPr>
            <w:tcW w:w="37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61" w:hRule="exact"/>
        </w:trPr>
        <w:tc>
          <w:tcPr>
            <w:tcW w:w="22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922"/>
              <w:jc w:val="righ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2,046,508,043.26</w:t>
            </w:r>
          </w:p>
        </w:tc>
        <w:tc>
          <w:tcPr>
            <w:tcW w:w="371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40" w:lineRule="auto"/>
        <w:ind w:left="754" w:right="1748"/>
        <w:jc w:val="left"/>
        <w:rPr>
          <w:rFonts w:ascii="Times New Roman" w:hAnsi="Times New Roman" w:cs="Times New Roman" w:eastAsia="Times New Roman" w:hint="default"/>
        </w:rPr>
      </w:pPr>
      <w:r>
        <w:rPr/>
        <w:t>主要抵押借款项目的说明：</w:t>
      </w:r>
      <w:r>
        <w:rPr>
          <w:w w:val="100"/>
        </w:rPr>
        <w:t> </w:t>
      </w:r>
      <w:r>
        <w:rPr>
          <w:rFonts w:ascii="Times New Roman" w:hAnsi="Times New Roman" w:cs="Times New Roman" w:eastAsia="Times New Roman" w:hint="default"/>
          <w:spacing w:val="-2"/>
        </w:rPr>
        <w:t>1</w:t>
      </w:r>
      <w:r>
        <w:rPr>
          <w:spacing w:val="-2"/>
        </w:rPr>
        <w:t>、子公司南昌深圳农产品中心批发市场有限公司以投资性房地产</w:t>
      </w:r>
      <w:r>
        <w:rPr>
          <w:rFonts w:ascii="Times New Roman" w:hAnsi="Times New Roman" w:cs="Times New Roman" w:eastAsia="Times New Roman" w:hint="default"/>
          <w:spacing w:val="-2"/>
        </w:rPr>
        <w:t>-</w:t>
      </w:r>
      <w:r>
        <w:rPr>
          <w:spacing w:val="-2"/>
        </w:rPr>
        <w:t>土地使用权抵押，</w:t>
      </w:r>
      <w:r>
        <w:rPr>
          <w:spacing w:val="-34"/>
        </w:rPr>
        <w:t> </w:t>
      </w:r>
      <w:r>
        <w:rPr>
          <w:spacing w:val="-34"/>
        </w:rPr>
      </w:r>
      <w:r>
        <w:rPr/>
        <w:t>向中国农业银行南昌分行昌南支行取得借款人民币 </w:t>
      </w:r>
      <w:r>
        <w:rPr>
          <w:rFonts w:ascii="Times New Roman" w:hAnsi="Times New Roman" w:cs="Times New Roman" w:eastAsia="Times New Roman" w:hint="default"/>
        </w:rPr>
        <w:t>2,200.00 </w:t>
      </w:r>
      <w:r>
        <w:rPr/>
        <w:t>万元，借款期限为</w:t>
      </w:r>
      <w:r>
        <w:rPr>
          <w:spacing w:val="-29"/>
        </w:rPr>
        <w:t> </w:t>
      </w:r>
      <w:r>
        <w:rPr>
          <w:rFonts w:ascii="Times New Roman" w:hAnsi="Times New Roman" w:cs="Times New Roman" w:eastAsia="Times New Roman" w:hint="default"/>
        </w:rPr>
        <w:t>2018</w:t>
      </w:r>
    </w:p>
    <w:p>
      <w:pPr>
        <w:pStyle w:val="BodyText"/>
        <w:spacing w:line="240" w:lineRule="auto" w:before="12"/>
        <w:ind w:left="754" w:right="1675"/>
        <w:jc w:val="left"/>
        <w:rPr>
          <w:rFonts w:ascii="Times New Roman" w:hAnsi="Times New Roman" w:cs="Times New Roman" w:eastAsia="Times New Roman" w:hint="default"/>
        </w:rPr>
      </w:pPr>
      <w:r>
        <w:rPr>
          <w:w w:val="100"/>
        </w:rPr>
        <w:t>年</w:t>
      </w:r>
      <w:r>
        <w:rPr>
          <w:spacing w:val="-7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2"/>
        </w:rPr>
        <w:t> </w:t>
      </w:r>
      <w:r>
        <w:rPr>
          <w:w w:val="100"/>
        </w:rPr>
        <w:t>月</w:t>
      </w:r>
      <w:r>
        <w:rPr>
          <w:spacing w:val="-74"/>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9"/>
        </w:rPr>
        <w:t> </w:t>
      </w:r>
      <w:r>
        <w:rPr>
          <w:spacing w:val="-3"/>
          <w:w w:val="100"/>
        </w:rPr>
        <w:t>日</w:t>
      </w:r>
      <w:r>
        <w:rPr>
          <w:w w:val="100"/>
        </w:rPr>
        <w:t>至</w:t>
      </w:r>
      <w:r>
        <w:rPr>
          <w:spacing w:val="-7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9"/>
        </w:rPr>
        <w:t> </w:t>
      </w:r>
      <w:r>
        <w:rPr>
          <w:w w:val="100"/>
        </w:rPr>
        <w:t>年</w:t>
      </w:r>
      <w:r>
        <w:rPr>
          <w:spacing w:val="-74"/>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2"/>
        </w:rPr>
        <w:t> </w:t>
      </w:r>
      <w:r>
        <w:rPr>
          <w:w w:val="100"/>
        </w:rPr>
        <w:t>月</w:t>
      </w:r>
      <w:r>
        <w:rPr>
          <w:spacing w:val="-7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9"/>
        </w:rPr>
        <w:t> </w:t>
      </w:r>
      <w:r>
        <w:rPr>
          <w:w w:val="100"/>
        </w:rPr>
        <w:t>日</w:t>
      </w:r>
      <w:r>
        <w:rPr>
          <w:spacing w:val="-108"/>
          <w:w w:val="100"/>
        </w:rPr>
        <w:t>，</w:t>
      </w:r>
      <w:r>
        <w:rPr>
          <w:spacing w:val="-3"/>
          <w:w w:val="100"/>
        </w:rPr>
        <w:t>截</w:t>
      </w:r>
      <w:r>
        <w:rPr>
          <w:w w:val="100"/>
        </w:rPr>
        <w:t>至</w:t>
      </w:r>
      <w:r>
        <w:rPr>
          <w:spacing w:val="-7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22"/>
        </w:rPr>
        <w:t> </w:t>
      </w:r>
      <w:r>
        <w:rPr>
          <w:w w:val="100"/>
        </w:rPr>
        <w:t>年</w:t>
      </w:r>
      <w:r>
        <w:rPr>
          <w:spacing w:val="-71"/>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2"/>
        </w:rPr>
        <w:t> </w:t>
      </w:r>
      <w:r>
        <w:rPr>
          <w:w w:val="100"/>
        </w:rPr>
        <w:t>月</w:t>
      </w:r>
      <w:r>
        <w:rPr>
          <w:spacing w:val="-72"/>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2"/>
        </w:rPr>
        <w:t> </w:t>
      </w:r>
      <w:r>
        <w:rPr>
          <w:w w:val="100"/>
        </w:rPr>
        <w:t>日</w:t>
      </w:r>
      <w:r>
        <w:rPr>
          <w:spacing w:val="-106"/>
          <w:w w:val="100"/>
        </w:rPr>
        <w:t>，</w:t>
      </w:r>
      <w:r>
        <w:rPr>
          <w:spacing w:val="-3"/>
          <w:w w:val="100"/>
        </w:rPr>
        <w:t>该</w:t>
      </w:r>
      <w:r>
        <w:rPr>
          <w:w w:val="100"/>
        </w:rPr>
        <w:t>借</w:t>
      </w:r>
      <w:r>
        <w:rPr>
          <w:spacing w:val="-3"/>
          <w:w w:val="100"/>
        </w:rPr>
        <w:t>款</w:t>
      </w:r>
      <w:r>
        <w:rPr>
          <w:w w:val="100"/>
        </w:rPr>
        <w:t>余</w:t>
      </w:r>
      <w:r>
        <w:rPr>
          <w:spacing w:val="-3"/>
          <w:w w:val="100"/>
        </w:rPr>
        <w:t>额</w:t>
      </w:r>
      <w:r>
        <w:rPr>
          <w:w w:val="100"/>
        </w:rPr>
        <w:t>为</w:t>
      </w:r>
      <w:r>
        <w:rPr>
          <w:spacing w:val="-3"/>
          <w:w w:val="100"/>
        </w:rPr>
        <w:t>人民</w:t>
      </w:r>
      <w:r>
        <w:rPr>
          <w:w w:val="100"/>
        </w:rPr>
        <w:t>币</w:t>
      </w:r>
      <w:r>
        <w:rPr>
          <w:spacing w:val="-7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200.00</w:t>
      </w:r>
    </w:p>
    <w:p>
      <w:pPr>
        <w:pStyle w:val="BodyText"/>
        <w:spacing w:line="240" w:lineRule="auto" w:before="110"/>
        <w:ind w:left="754" w:right="1675"/>
        <w:jc w:val="left"/>
      </w:pPr>
      <w:r>
        <w:rPr/>
        <w:t>万元。</w:t>
      </w:r>
    </w:p>
    <w:p>
      <w:pPr>
        <w:pStyle w:val="BodyText"/>
        <w:spacing w:line="331" w:lineRule="auto" w:before="123"/>
        <w:ind w:left="754" w:right="1785"/>
        <w:jc w:val="left"/>
        <w:rPr>
          <w:rFonts w:ascii="Times New Roman" w:hAnsi="Times New Roman" w:cs="Times New Roman" w:eastAsia="Times New Roman" w:hint="default"/>
        </w:rPr>
      </w:pPr>
      <w:r>
        <w:rPr/>
        <w:t>子公司南昌深圳农产品中心批发市场有限公司以投资性房地产</w:t>
      </w:r>
      <w:r>
        <w:rPr>
          <w:rFonts w:ascii="Times New Roman" w:hAnsi="Times New Roman" w:cs="Times New Roman" w:eastAsia="Times New Roman" w:hint="default"/>
        </w:rPr>
        <w:t>-</w:t>
      </w:r>
      <w:r>
        <w:rPr/>
        <w:t>土地使用权抵押，向</w:t>
      </w:r>
      <w:r>
        <w:rPr>
          <w:spacing w:val="-38"/>
        </w:rPr>
        <w:t> </w:t>
      </w:r>
      <w:r>
        <w:rPr>
          <w:spacing w:val="-38"/>
        </w:rPr>
      </w:r>
      <w:r>
        <w:rPr/>
        <w:t>中国建设银行南昌井冈山大道支行长期借款人民币</w:t>
      </w:r>
      <w:r>
        <w:rPr>
          <w:spacing w:val="-5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spacing w:val="-11"/>
        </w:rPr>
        <w:t>万元，借款期限为</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p>
    <w:p>
      <w:pPr>
        <w:pStyle w:val="BodyText"/>
        <w:spacing w:line="240" w:lineRule="auto" w:before="21"/>
        <w:ind w:left="754" w:right="1675"/>
        <w:jc w:val="left"/>
      </w:pP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7"/>
        </w:rPr>
        <w:t>日，截止</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日，借款余额</w:t>
      </w:r>
      <w:r>
        <w:rPr>
          <w:spacing w:val="-52"/>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1"/>
        </w:rPr>
        <w:t> </w:t>
      </w:r>
      <w:r>
        <w:rPr>
          <w:spacing w:val="-8"/>
        </w:rPr>
        <w:t>万元，其</w:t>
      </w:r>
    </w:p>
    <w:p>
      <w:pPr>
        <w:pStyle w:val="BodyText"/>
        <w:spacing w:line="340" w:lineRule="auto" w:before="107"/>
        <w:ind w:left="754" w:right="1675"/>
        <w:jc w:val="left"/>
        <w:rPr>
          <w:rFonts w:ascii="Times New Roman" w:hAnsi="Times New Roman" w:cs="Times New Roman" w:eastAsia="Times New Roman" w:hint="default"/>
        </w:rPr>
      </w:pPr>
      <w:r>
        <w:rPr/>
        <w:t>中一年内到期的长期借款余额为人民币</w:t>
      </w:r>
      <w:r>
        <w:rPr>
          <w:spacing w:val="-53"/>
        </w:rPr>
        <w:t> </w:t>
      </w:r>
      <w:r>
        <w:rPr>
          <w:rFonts w:ascii="Times New Roman" w:hAnsi="Times New Roman" w:cs="Times New Roman" w:eastAsia="Times New Roman" w:hint="default"/>
        </w:rPr>
        <w:t>2,500.00 </w:t>
      </w:r>
      <w:r>
        <w:rPr>
          <w:spacing w:val="-3"/>
        </w:rPr>
        <w:t>万元</w:t>
      </w:r>
      <w:r>
        <w:rPr>
          <w:spacing w:val="-3"/>
          <w:w w:val="100"/>
        </w:rPr>
        <w:t> </w:t>
      </w:r>
      <w:r>
        <w:rPr>
          <w:spacing w:val="2"/>
        </w:rPr>
        <w:t>子公司南昌深圳农产品中心批发市场有限公司以自建房产及土地抵押向九江银行青</w:t>
      </w:r>
      <w:r>
        <w:rPr>
          <w:spacing w:val="-53"/>
        </w:rPr>
        <w:t> </w:t>
      </w:r>
      <w:r>
        <w:rPr>
          <w:spacing w:val="-53"/>
        </w:rPr>
      </w:r>
      <w:r>
        <w:rPr/>
        <w:t>云支行取得长期借款人民币</w:t>
      </w:r>
      <w:r>
        <w:rPr>
          <w:spacing w:val="-4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9"/>
        </w:rPr>
        <w:t> </w:t>
      </w:r>
      <w:r>
        <w:rPr/>
        <w:t>万元，借款期限为</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日至</w:t>
      </w:r>
      <w:r>
        <w:rPr>
          <w:spacing w:val="-40"/>
        </w:rPr>
        <w:t> </w:t>
      </w:r>
      <w:r>
        <w:rPr>
          <w:rFonts w:ascii="Times New Roman" w:hAnsi="Times New Roman" w:cs="Times New Roman" w:eastAsia="Times New Roman" w:hint="default"/>
        </w:rPr>
        <w:t>2022</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5</w:t>
      </w:r>
    </w:p>
    <w:p>
      <w:pPr>
        <w:pStyle w:val="BodyText"/>
        <w:spacing w:line="240" w:lineRule="auto" w:before="10"/>
        <w:ind w:left="754" w:right="1675"/>
        <w:jc w:val="left"/>
      </w:pPr>
      <w:r>
        <w:rPr/>
        <w:t>月</w:t>
      </w:r>
      <w:r>
        <w:rPr>
          <w:spacing w:val="-50"/>
        </w:rPr>
        <w:t> </w:t>
      </w:r>
      <w:r>
        <w:rPr>
          <w:rFonts w:ascii="Times New Roman" w:hAnsi="Times New Roman" w:cs="Times New Roman" w:eastAsia="Times New Roman" w:hint="default"/>
        </w:rPr>
        <w:t>31 </w:t>
      </w:r>
      <w:r>
        <w:rPr>
          <w:spacing w:val="-7"/>
        </w:rPr>
        <w:t>日。截止</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spacing w:val="-4"/>
        </w:rPr>
        <w:t>日，借款余额为人民币</w:t>
      </w:r>
      <w:r>
        <w:rPr>
          <w:spacing w:val="-50"/>
        </w:rPr>
        <w:t> </w:t>
      </w:r>
      <w:r>
        <w:rPr>
          <w:rFonts w:ascii="Times New Roman" w:hAnsi="Times New Roman" w:cs="Times New Roman" w:eastAsia="Times New Roman" w:hint="default"/>
        </w:rPr>
        <w:t>3,400.00 </w:t>
      </w:r>
      <w:r>
        <w:rPr>
          <w:spacing w:val="-4"/>
        </w:rPr>
        <w:t>万元，其中一年内到</w:t>
      </w:r>
    </w:p>
    <w:p>
      <w:pPr>
        <w:pStyle w:val="BodyText"/>
        <w:spacing w:line="240" w:lineRule="auto" w:before="110"/>
        <w:ind w:left="754" w:right="1675"/>
        <w:jc w:val="left"/>
      </w:pPr>
      <w:r>
        <w:rPr/>
        <w:t>期的长期借款余额为人民币</w:t>
      </w:r>
      <w:r>
        <w:rPr>
          <w:spacing w:val="-52"/>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3"/>
        </w:rPr>
        <w:t> </w:t>
      </w:r>
      <w:r>
        <w:rPr/>
        <w:t>万元。</w:t>
      </w:r>
    </w:p>
    <w:p>
      <w:pPr>
        <w:spacing w:after="0" w:line="240" w:lineRule="auto"/>
        <w:jc w:val="left"/>
        <w:sectPr>
          <w:pgSz w:w="11910" w:h="16840"/>
          <w:pgMar w:header="0" w:footer="996" w:top="1000" w:bottom="1180" w:left="1660" w:right="0"/>
        </w:sectPr>
      </w:pPr>
    </w:p>
    <w:p>
      <w:pPr>
        <w:spacing w:line="240" w:lineRule="auto" w:before="5"/>
        <w:rPr>
          <w:rFonts w:ascii="宋体" w:hAnsi="宋体" w:cs="宋体" w:eastAsia="宋体" w:hint="default"/>
          <w:sz w:val="29"/>
          <w:szCs w:val="29"/>
        </w:rPr>
      </w:pPr>
    </w:p>
    <w:p>
      <w:pPr>
        <w:pStyle w:val="BodyText"/>
        <w:spacing w:line="328" w:lineRule="auto"/>
        <w:ind w:left="754" w:right="1786"/>
        <w:jc w:val="both"/>
      </w:pPr>
      <w:r>
        <w:rPr/>
        <w:pict>
          <v:group style="position:absolute;margin-left:88.463997pt;margin-top:-24.236347pt;width:416.85pt;height:.1pt;mso-position-horizontal-relative:page;mso-position-vertical-relative:paragraph;z-index:3160" coordorigin="1769,-485" coordsize="8337,2">
            <v:shape style="position:absolute;left:1769;top:-485;width:8337;height:2" coordorigin="1769,-485" coordsize="8337,0" path="m1769,-485l10106,-485e" filled="false" stroked="true" strokeweight=".48pt" strokecolor="#000000">
              <v:path arrowok="t"/>
            </v:shape>
            <w10:wrap type="none"/>
          </v:group>
        </w:pict>
      </w:r>
      <w:r>
        <w:rPr>
          <w:rFonts w:ascii="Times New Roman" w:hAnsi="Times New Roman" w:cs="Times New Roman" w:eastAsia="Times New Roman" w:hint="default"/>
          <w:spacing w:val="-3"/>
        </w:rPr>
        <w:t>2</w:t>
      </w:r>
      <w:r>
        <w:rPr>
          <w:spacing w:val="-3"/>
        </w:rPr>
        <w:t>、子公司广西新柳邕农产品批发市场有限公司以投资性房地产</w:t>
      </w:r>
      <w:r>
        <w:rPr>
          <w:rFonts w:ascii="Times New Roman" w:hAnsi="Times New Roman" w:cs="Times New Roman" w:eastAsia="Times New Roman" w:hint="default"/>
          <w:spacing w:val="-3"/>
        </w:rPr>
        <w:t>-</w:t>
      </w:r>
      <w:r>
        <w:rPr>
          <w:spacing w:val="-3"/>
        </w:rPr>
        <w:t>土地使用权、无形资</w:t>
      </w:r>
      <w:r>
        <w:rPr>
          <w:spacing w:val="-35"/>
        </w:rPr>
        <w:t> </w:t>
      </w:r>
      <w:r>
        <w:rPr>
          <w:spacing w:val="-35"/>
        </w:rPr>
      </w:r>
      <w:r>
        <w:rPr>
          <w:spacing w:val="-2"/>
        </w:rPr>
        <w:t>产</w:t>
      </w:r>
      <w:r>
        <w:rPr>
          <w:rFonts w:ascii="Times New Roman" w:hAnsi="Times New Roman" w:cs="Times New Roman" w:eastAsia="Times New Roman" w:hint="default"/>
          <w:spacing w:val="-2"/>
        </w:rPr>
        <w:t>-</w:t>
      </w:r>
      <w:r>
        <w:rPr>
          <w:spacing w:val="-2"/>
        </w:rPr>
        <w:t>土地使用权、存货、固定资产</w:t>
      </w:r>
      <w:r>
        <w:rPr>
          <w:rFonts w:ascii="Times New Roman" w:hAnsi="Times New Roman" w:cs="Times New Roman" w:eastAsia="Times New Roman" w:hint="default"/>
          <w:spacing w:val="-2"/>
        </w:rPr>
        <w:t>-</w:t>
      </w:r>
      <w:r>
        <w:rPr>
          <w:spacing w:val="-2"/>
        </w:rPr>
        <w:t>冷库地上建筑物为抵押，向工商银行柳州分行龙城</w:t>
      </w:r>
      <w:r>
        <w:rPr>
          <w:spacing w:val="-38"/>
        </w:rPr>
        <w:t> </w:t>
      </w:r>
      <w:r>
        <w:rPr>
          <w:spacing w:val="-38"/>
        </w:rPr>
      </w:r>
      <w:r>
        <w:rPr/>
        <w:t>支行取得长期借款人民币</w:t>
      </w:r>
      <w:r>
        <w:rPr>
          <w:spacing w:val="-50"/>
        </w:rPr>
        <w:t> </w:t>
      </w:r>
      <w:r>
        <w:rPr>
          <w:rFonts w:ascii="Times New Roman" w:hAnsi="Times New Roman" w:cs="Times New Roman" w:eastAsia="Times New Roman" w:hint="default"/>
        </w:rPr>
        <w:t>12,569.00</w:t>
      </w:r>
      <w:r>
        <w:rPr>
          <w:rFonts w:ascii="Times New Roman" w:hAnsi="Times New Roman" w:cs="Times New Roman" w:eastAsia="Times New Roman" w:hint="default"/>
          <w:spacing w:val="2"/>
        </w:rPr>
        <w:t> </w:t>
      </w:r>
      <w:r>
        <w:rPr/>
        <w:t>万元，借款期限为自</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日起在额度</w:t>
      </w:r>
    </w:p>
    <w:p>
      <w:pPr>
        <w:pStyle w:val="BodyText"/>
        <w:spacing w:line="240" w:lineRule="auto" w:before="24"/>
        <w:ind w:left="754" w:right="1675"/>
        <w:jc w:val="left"/>
        <w:rPr>
          <w:rFonts w:ascii="Times New Roman" w:hAnsi="Times New Roman" w:cs="Times New Roman" w:eastAsia="Times New Roman" w:hint="default"/>
        </w:rPr>
      </w:pPr>
      <w:r>
        <w:rPr/>
        <w:t>内滚动借款及还款</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年，前期已累计归还</w:t>
      </w:r>
      <w:r>
        <w:rPr>
          <w:spacing w:val="-46"/>
        </w:rPr>
        <w:t> </w:t>
      </w:r>
      <w:r>
        <w:rPr>
          <w:rFonts w:ascii="Times New Roman" w:hAnsi="Times New Roman" w:cs="Times New Roman" w:eastAsia="Times New Roman" w:hint="default"/>
        </w:rPr>
        <w:t>3,329.00</w:t>
      </w:r>
      <w:r>
        <w:rPr>
          <w:rFonts w:ascii="Times New Roman" w:hAnsi="Times New Roman" w:cs="Times New Roman" w:eastAsia="Times New Roman" w:hint="default"/>
          <w:spacing w:val="5"/>
        </w:rPr>
        <w:t> </w:t>
      </w:r>
      <w:r>
        <w:rPr>
          <w:spacing w:val="-3"/>
        </w:rPr>
        <w:t>万元，本期已归还人民币</w:t>
      </w:r>
      <w:r>
        <w:rPr>
          <w:spacing w:val="-48"/>
        </w:rPr>
        <w:t> </w:t>
      </w:r>
      <w:r>
        <w:rPr>
          <w:rFonts w:ascii="Times New Roman" w:hAnsi="Times New Roman" w:cs="Times New Roman" w:eastAsia="Times New Roman" w:hint="default"/>
        </w:rPr>
        <w:t>1,540.00</w:t>
      </w:r>
    </w:p>
    <w:p>
      <w:pPr>
        <w:pStyle w:val="BodyText"/>
        <w:spacing w:line="336" w:lineRule="auto" w:before="110"/>
        <w:ind w:left="754" w:right="1784"/>
        <w:jc w:val="left"/>
        <w:rPr>
          <w:rFonts w:ascii="Times New Roman" w:hAnsi="Times New Roman" w:cs="Times New Roman" w:eastAsia="Times New Roman" w:hint="default"/>
        </w:rPr>
      </w:pPr>
      <w:r>
        <w:rPr/>
        <w:t>万元，截止</w:t>
      </w:r>
      <w:r>
        <w:rPr>
          <w:spacing w:val="-55"/>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日，该借款余额为人民币</w:t>
      </w:r>
      <w:r>
        <w:rPr>
          <w:spacing w:val="-53"/>
        </w:rPr>
        <w:t> </w:t>
      </w:r>
      <w:r>
        <w:rPr>
          <w:rFonts w:ascii="Times New Roman" w:hAnsi="Times New Roman" w:cs="Times New Roman" w:eastAsia="Times New Roman" w:hint="default"/>
        </w:rPr>
        <w:t>7,700 </w:t>
      </w:r>
      <w:r>
        <w:rPr>
          <w:spacing w:val="-3"/>
        </w:rPr>
        <w:t>万元，其中人民币</w:t>
      </w:r>
      <w:r>
        <w:rPr>
          <w:spacing w:val="-52"/>
        </w:rPr>
        <w:t> </w:t>
      </w:r>
      <w:r>
        <w:rPr>
          <w:rFonts w:ascii="Times New Roman" w:hAnsi="Times New Roman" w:cs="Times New Roman" w:eastAsia="Times New Roman" w:hint="default"/>
        </w:rPr>
        <w:t>1,760</w:t>
      </w:r>
      <w:r>
        <w:rPr>
          <w:rFonts w:ascii="Times New Roman" w:hAnsi="Times New Roman" w:cs="Times New Roman" w:eastAsia="Times New Roman" w:hint="default"/>
          <w:w w:val="100"/>
        </w:rPr>
        <w:t> </w:t>
      </w:r>
      <w:r>
        <w:rPr/>
        <w:t>万元重分类至一年内到期的非流动负债。</w:t>
      </w:r>
      <w:r>
        <w:rPr>
          <w:w w:val="100"/>
        </w:rPr>
        <w:t> </w:t>
      </w:r>
      <w:r>
        <w:rPr>
          <w:rFonts w:ascii="Times New Roman" w:hAnsi="Times New Roman" w:cs="Times New Roman" w:eastAsia="Times New Roman" w:hint="default"/>
          <w:spacing w:val="-1"/>
        </w:rPr>
        <w:t>3</w:t>
      </w:r>
      <w:r>
        <w:rPr>
          <w:spacing w:val="-1"/>
        </w:rPr>
        <w:t>、子公司长沙马王堆农产品股份有限公司以投资性房地产作为抵押物，向中国工商</w:t>
      </w:r>
      <w:r>
        <w:rPr>
          <w:spacing w:val="-34"/>
        </w:rPr>
        <w:t> </w:t>
      </w:r>
      <w:r>
        <w:rPr>
          <w:spacing w:val="-34"/>
        </w:rPr>
      </w:r>
      <w:r>
        <w:rPr/>
        <w:t>银行长沙全通支行取得</w:t>
      </w:r>
      <w:r>
        <w:rPr>
          <w:spacing w:val="-52"/>
        </w:rPr>
        <w:t> </w:t>
      </w:r>
      <w:r>
        <w:rPr>
          <w:rFonts w:ascii="Times New Roman" w:hAnsi="Times New Roman" w:cs="Times New Roman" w:eastAsia="Times New Roman" w:hint="default"/>
        </w:rPr>
        <w:t>3.20 </w:t>
      </w:r>
      <w:r>
        <w:rPr>
          <w:spacing w:val="-12"/>
        </w:rPr>
        <w:t>亿元借款，截至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日借款余额为</w:t>
      </w:r>
      <w:r>
        <w:rPr>
          <w:spacing w:val="-52"/>
        </w:rPr>
        <w:t> </w:t>
      </w:r>
      <w:r>
        <w:rPr>
          <w:rFonts w:ascii="Times New Roman" w:hAnsi="Times New Roman" w:cs="Times New Roman" w:eastAsia="Times New Roman" w:hint="default"/>
        </w:rPr>
        <w:t>31,280.00</w:t>
      </w:r>
    </w:p>
    <w:p>
      <w:pPr>
        <w:pStyle w:val="BodyText"/>
        <w:spacing w:line="240" w:lineRule="auto" w:before="14"/>
        <w:ind w:left="754" w:right="0"/>
        <w:jc w:val="left"/>
      </w:pPr>
      <w:r>
        <w:rPr>
          <w:spacing w:val="-3"/>
        </w:rPr>
        <w:t>万元；以土地使用权作为抵押物，取得中国工商银行长沙全通支行 </w:t>
      </w:r>
      <w:r>
        <w:rPr>
          <w:rFonts w:ascii="Times New Roman" w:hAnsi="Times New Roman" w:cs="Times New Roman" w:eastAsia="Times New Roman" w:hint="default"/>
        </w:rPr>
        <w:t>1.30</w:t>
      </w:r>
      <w:r>
        <w:rPr>
          <w:rFonts w:ascii="Times New Roman" w:hAnsi="Times New Roman" w:cs="Times New Roman" w:eastAsia="Times New Roman" w:hint="default"/>
          <w:spacing w:val="4"/>
        </w:rPr>
        <w:t> </w:t>
      </w:r>
      <w:r>
        <w:rPr/>
        <w:t>亿元的借款，</w:t>
      </w:r>
    </w:p>
    <w:p>
      <w:pPr>
        <w:pStyle w:val="BodyText"/>
        <w:spacing w:line="328" w:lineRule="auto" w:before="110"/>
        <w:ind w:left="754" w:right="1748"/>
        <w:jc w:val="left"/>
      </w:pP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日借款余额</w:t>
      </w:r>
      <w:r>
        <w:rPr>
          <w:spacing w:val="-53"/>
        </w:rPr>
        <w:t> </w:t>
      </w:r>
      <w:r>
        <w:rPr>
          <w:rFonts w:ascii="Times New Roman" w:hAnsi="Times New Roman" w:cs="Times New Roman" w:eastAsia="Times New Roman" w:hint="default"/>
        </w:rPr>
        <w:t>12,720.00 </w:t>
      </w:r>
      <w:r>
        <w:rPr/>
        <w:t>万元。</w:t>
      </w:r>
      <w:r>
        <w:rPr>
          <w:w w:val="100"/>
        </w:rPr>
        <w:t> </w:t>
      </w:r>
      <w:r>
        <w:rPr>
          <w:rFonts w:ascii="Times New Roman" w:hAnsi="Times New Roman" w:cs="Times New Roman" w:eastAsia="Times New Roman" w:hint="default"/>
          <w:spacing w:val="-2"/>
        </w:rPr>
        <w:t>4</w:t>
      </w:r>
      <w:r>
        <w:rPr>
          <w:spacing w:val="-2"/>
        </w:rPr>
        <w:t>、子公司岳阳海吉星国际农产品物流发展有限公司以无形资产</w:t>
      </w:r>
      <w:r>
        <w:rPr>
          <w:rFonts w:ascii="Times New Roman" w:hAnsi="Times New Roman" w:cs="Times New Roman" w:eastAsia="Times New Roman" w:hint="default"/>
          <w:spacing w:val="-2"/>
        </w:rPr>
        <w:t>-</w:t>
      </w:r>
      <w:r>
        <w:rPr>
          <w:spacing w:val="-2"/>
        </w:rPr>
        <w:t>土地使用权为抵押，</w:t>
      </w:r>
      <w:r>
        <w:rPr>
          <w:spacing w:val="-34"/>
        </w:rPr>
        <w:t> </w:t>
      </w:r>
      <w:r>
        <w:rPr>
          <w:spacing w:val="-34"/>
        </w:rPr>
      </w:r>
      <w:r>
        <w:rPr/>
        <w:t>取得建行岳阳城陵矶支行长期借款人民币</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亿元，其中人民币</w:t>
      </w:r>
      <w:r>
        <w:rPr>
          <w:spacing w:val="-48"/>
        </w:rPr>
        <w:t> </w:t>
      </w:r>
      <w:r>
        <w:rPr>
          <w:rFonts w:ascii="Times New Roman" w:hAnsi="Times New Roman" w:cs="Times New Roman" w:eastAsia="Times New Roman" w:hint="default"/>
        </w:rPr>
        <w:t>6,500</w:t>
      </w:r>
      <w:r>
        <w:rPr>
          <w:rFonts w:ascii="Times New Roman" w:hAnsi="Times New Roman" w:cs="Times New Roman" w:eastAsia="Times New Roman" w:hint="default"/>
          <w:spacing w:val="5"/>
        </w:rPr>
        <w:t> </w:t>
      </w:r>
      <w:r>
        <w:rPr/>
        <w:t>万元借款期限</w:t>
      </w:r>
    </w:p>
    <w:p>
      <w:pPr>
        <w:pStyle w:val="BodyText"/>
        <w:spacing w:line="240" w:lineRule="auto" w:before="24"/>
        <w:ind w:left="754" w:right="1675"/>
        <w:jc w:val="left"/>
      </w:pPr>
      <w:r>
        <w:rPr/>
        <w:t>为自</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日起在额度内滚动借款及还款</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6"/>
        </w:rPr>
        <w:t>年，人民币</w:t>
      </w:r>
      <w:r>
        <w:rPr>
          <w:spacing w:val="-52"/>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
        </w:rPr>
        <w:t> </w:t>
      </w:r>
      <w:r>
        <w:rPr/>
        <w:t>万元借款期限</w:t>
      </w:r>
    </w:p>
    <w:p>
      <w:pPr>
        <w:pStyle w:val="BodyText"/>
        <w:spacing w:line="331" w:lineRule="auto" w:before="110"/>
        <w:ind w:left="754" w:right="1680"/>
        <w:jc w:val="left"/>
        <w:rPr>
          <w:rFonts w:ascii="Times New Roman" w:hAnsi="Times New Roman" w:cs="Times New Roman" w:eastAsia="Times New Roman" w:hint="default"/>
        </w:rPr>
      </w:pPr>
      <w:r>
        <w:rPr/>
        <w:t>为</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-2024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 </w:t>
      </w:r>
      <w:r>
        <w:rPr>
          <w:spacing w:val="-3"/>
        </w:rPr>
        <w:t>日。</w:t>
      </w:r>
      <w:r>
        <w:rPr>
          <w:spacing w:val="-98"/>
        </w:rPr>
        <w:t> </w:t>
      </w:r>
      <w:r>
        <w:rPr>
          <w:rFonts w:ascii="Times New Roman" w:hAnsi="Times New Roman" w:cs="Times New Roman" w:eastAsia="Times New Roman" w:hint="default"/>
          <w:spacing w:val="-5"/>
        </w:rPr>
        <w:t>5</w:t>
      </w:r>
      <w:r>
        <w:rPr>
          <w:spacing w:val="-5"/>
        </w:rPr>
        <w:t>、子公司深圳市南方物流有限公司（以下简称</w:t>
      </w:r>
      <w:r>
        <w:rPr>
          <w:rFonts w:ascii="Times New Roman" w:hAnsi="Times New Roman" w:cs="Times New Roman" w:eastAsia="Times New Roman" w:hint="default"/>
          <w:spacing w:val="-5"/>
        </w:rPr>
        <w:t>“</w:t>
      </w:r>
      <w:r>
        <w:rPr>
          <w:spacing w:val="-5"/>
        </w:rPr>
        <w:t>南方物流</w:t>
      </w:r>
      <w:r>
        <w:rPr>
          <w:rFonts w:ascii="Times New Roman" w:hAnsi="Times New Roman" w:cs="Times New Roman" w:eastAsia="Times New Roman" w:hint="default"/>
          <w:spacing w:val="-5"/>
        </w:rPr>
        <w:t>”</w:t>
      </w:r>
      <w:r>
        <w:rPr>
          <w:spacing w:val="-5"/>
        </w:rPr>
        <w:t>）以无形资产</w:t>
      </w:r>
      <w:r>
        <w:rPr>
          <w:rFonts w:ascii="Times New Roman" w:hAnsi="Times New Roman" w:cs="Times New Roman" w:eastAsia="Times New Roman" w:hint="default"/>
          <w:spacing w:val="-5"/>
        </w:rPr>
        <w:t>-</w:t>
      </w:r>
      <w:r>
        <w:rPr>
          <w:spacing w:val="-5"/>
        </w:rPr>
        <w:t>土地使用权、</w:t>
      </w:r>
      <w:r>
        <w:rPr>
          <w:spacing w:val="-31"/>
        </w:rPr>
        <w:t> </w:t>
      </w:r>
      <w:r>
        <w:rPr>
          <w:spacing w:val="-31"/>
        </w:rPr>
      </w:r>
      <w:r>
        <w:rPr/>
        <w:t>在建工程为抵押，取得国家开发银行深圳分行长期借款，分别为贷款期限</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40" w:lineRule="auto" w:before="21"/>
        <w:ind w:left="754" w:right="1675"/>
        <w:jc w:val="left"/>
      </w:pP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日至</w:t>
      </w:r>
      <w:r>
        <w:rPr>
          <w:spacing w:val="-55"/>
        </w:rPr>
        <w:t> </w:t>
      </w:r>
      <w:r>
        <w:rPr>
          <w:rFonts w:ascii="Times New Roman" w:hAnsi="Times New Roman" w:cs="Times New Roman" w:eastAsia="Times New Roman" w:hint="default"/>
        </w:rPr>
        <w:t>2032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 </w:t>
      </w:r>
      <w:r>
        <w:rPr/>
        <w:t>日金额为人民币</w:t>
      </w:r>
      <w:r>
        <w:rPr>
          <w:spacing w:val="-53"/>
        </w:rPr>
        <w:t> </w:t>
      </w:r>
      <w:r>
        <w:rPr>
          <w:rFonts w:ascii="Times New Roman" w:hAnsi="Times New Roman" w:cs="Times New Roman" w:eastAsia="Times New Roman" w:hint="default"/>
        </w:rPr>
        <w:t>1.20 </w:t>
      </w:r>
      <w:r>
        <w:rPr/>
        <w:t>亿元、贷款期限</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w:t>
      </w:r>
    </w:p>
    <w:p>
      <w:pPr>
        <w:pStyle w:val="BodyText"/>
        <w:spacing w:line="240" w:lineRule="auto" w:before="107"/>
        <w:ind w:left="754" w:right="1675"/>
        <w:jc w:val="left"/>
        <w:rPr>
          <w:rFonts w:ascii="Times New Roman" w:hAnsi="Times New Roman" w:cs="Times New Roman" w:eastAsia="Times New Roman" w:hint="default"/>
        </w:rPr>
      </w:pPr>
      <w:r>
        <w:rPr/>
        <w:t>至</w:t>
      </w:r>
      <w:r>
        <w:rPr>
          <w:spacing w:val="-67"/>
        </w:rPr>
        <w:t> </w:t>
      </w:r>
      <w:r>
        <w:rPr>
          <w:rFonts w:ascii="Times New Roman" w:hAnsi="Times New Roman" w:cs="Times New Roman" w:eastAsia="Times New Roman" w:hint="default"/>
        </w:rPr>
        <w:t>2033</w:t>
      </w:r>
      <w:r>
        <w:rPr>
          <w:rFonts w:ascii="Times New Roman" w:hAnsi="Times New Roman" w:cs="Times New Roman" w:eastAsia="Times New Roman" w:hint="default"/>
          <w:spacing w:val="-17"/>
        </w:rPr>
        <w:t> </w:t>
      </w:r>
      <w:r>
        <w:rPr/>
        <w:t>年</w:t>
      </w:r>
      <w:r>
        <w:rPr>
          <w:spacing w:val="-6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w:t>
      </w:r>
      <w:r>
        <w:rPr>
          <w:spacing w:val="-66"/>
        </w:rPr>
        <w:t> </w:t>
      </w:r>
      <w:r>
        <w:rPr>
          <w:rFonts w:ascii="Times New Roman" w:hAnsi="Times New Roman" w:cs="Times New Roman" w:eastAsia="Times New Roman" w:hint="default"/>
        </w:rPr>
        <w:t>29</w:t>
      </w:r>
      <w:r>
        <w:rPr>
          <w:rFonts w:ascii="Times New Roman" w:hAnsi="Times New Roman" w:cs="Times New Roman" w:eastAsia="Times New Roman" w:hint="default"/>
          <w:spacing w:val="-15"/>
        </w:rPr>
        <w:t> </w:t>
      </w:r>
      <w:r>
        <w:rPr/>
        <w:t>日金额为人民币</w:t>
      </w:r>
      <w:r>
        <w:rPr>
          <w:spacing w:val="-70"/>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7"/>
        </w:rPr>
        <w:t> </w:t>
      </w:r>
      <w:r>
        <w:rPr/>
        <w:t>万元及贷款期限</w:t>
      </w:r>
      <w:r>
        <w:rPr>
          <w:spacing w:val="-7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月</w:t>
      </w:r>
      <w:r>
        <w:rPr>
          <w:spacing w:val="-66"/>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日至</w:t>
      </w:r>
      <w:r>
        <w:rPr>
          <w:spacing w:val="-67"/>
        </w:rPr>
        <w:t> </w:t>
      </w:r>
      <w:r>
        <w:rPr>
          <w:rFonts w:ascii="Times New Roman" w:hAnsi="Times New Roman" w:cs="Times New Roman" w:eastAsia="Times New Roman" w:hint="default"/>
        </w:rPr>
        <w:t>2033</w:t>
      </w:r>
    </w:p>
    <w:p>
      <w:pPr>
        <w:pStyle w:val="BodyText"/>
        <w:spacing w:line="240" w:lineRule="auto" w:before="110"/>
        <w:ind w:left="754" w:right="1675"/>
        <w:jc w:val="left"/>
        <w:rPr>
          <w:rFonts w:ascii="Times New Roman" w:hAnsi="Times New Roman" w:cs="Times New Roman" w:eastAsia="Times New Roman" w:hint="default"/>
        </w:rPr>
      </w:pP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日金额为</w:t>
      </w:r>
      <w:r>
        <w:rPr>
          <w:spacing w:val="-46"/>
        </w:rPr>
        <w:t> </w:t>
      </w:r>
      <w:r>
        <w:rPr>
          <w:rFonts w:ascii="Times New Roman" w:hAnsi="Times New Roman" w:cs="Times New Roman" w:eastAsia="Times New Roman" w:hint="default"/>
        </w:rPr>
        <w:t>1.50</w:t>
      </w:r>
      <w:r>
        <w:rPr>
          <w:rFonts w:ascii="Times New Roman" w:hAnsi="Times New Roman" w:cs="Times New Roman" w:eastAsia="Times New Roman" w:hint="default"/>
          <w:spacing w:val="4"/>
        </w:rPr>
        <w:t> </w:t>
      </w:r>
      <w:r>
        <w:rPr/>
        <w:t>亿元；截止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日，该借款余额为人民币</w:t>
      </w:r>
      <w:r>
        <w:rPr>
          <w:spacing w:val="-46"/>
        </w:rPr>
        <w:t> </w:t>
      </w:r>
      <w:r>
        <w:rPr>
          <w:rFonts w:ascii="Times New Roman" w:hAnsi="Times New Roman" w:cs="Times New Roman" w:eastAsia="Times New Roman" w:hint="default"/>
        </w:rPr>
        <w:t>3.00</w:t>
      </w:r>
    </w:p>
    <w:p>
      <w:pPr>
        <w:pStyle w:val="BodyText"/>
        <w:spacing w:line="240" w:lineRule="auto" w:before="110"/>
        <w:ind w:left="754" w:right="1675"/>
        <w:jc w:val="left"/>
      </w:pPr>
      <w:r>
        <w:rPr/>
        <w:t>亿元。</w:t>
      </w:r>
    </w:p>
    <w:p>
      <w:pPr>
        <w:pStyle w:val="BodyText"/>
        <w:spacing w:line="331" w:lineRule="auto" w:before="123"/>
        <w:ind w:left="754" w:right="1786"/>
        <w:jc w:val="left"/>
      </w:pPr>
      <w:r>
        <w:rPr>
          <w:rFonts w:ascii="Times New Roman" w:hAnsi="Times New Roman" w:cs="Times New Roman" w:eastAsia="Times New Roman" w:hint="default"/>
          <w:spacing w:val="-3"/>
        </w:rPr>
        <w:t>6</w:t>
      </w:r>
      <w:r>
        <w:rPr>
          <w:spacing w:val="-3"/>
        </w:rPr>
        <w:t>、子公司惠州海吉星农产品国际物流有限公司以投资性房地产</w:t>
      </w:r>
      <w:r>
        <w:rPr>
          <w:rFonts w:ascii="Times New Roman" w:hAnsi="Times New Roman" w:cs="Times New Roman" w:eastAsia="Times New Roman" w:hint="default"/>
          <w:spacing w:val="-3"/>
        </w:rPr>
        <w:t>-</w:t>
      </w:r>
      <w:r>
        <w:rPr>
          <w:spacing w:val="-3"/>
        </w:rPr>
        <w:t>土地使用权、固定资</w:t>
      </w:r>
      <w:r>
        <w:rPr>
          <w:spacing w:val="-35"/>
        </w:rPr>
        <w:t> </w:t>
      </w:r>
      <w:r>
        <w:rPr>
          <w:spacing w:val="-35"/>
        </w:rPr>
      </w:r>
      <w:r>
        <w:rPr/>
        <w:t>产</w:t>
      </w:r>
      <w:r>
        <w:rPr>
          <w:rFonts w:ascii="Times New Roman" w:hAnsi="Times New Roman" w:cs="Times New Roman" w:eastAsia="Times New Roman" w:hint="default"/>
        </w:rPr>
        <w:t>-</w:t>
      </w:r>
      <w:r>
        <w:rPr/>
        <w:t>房屋及建筑物为抵押，取得珠海华润银行股份有限公司长期借款人民币</w:t>
      </w:r>
      <w:r>
        <w:rPr>
          <w:spacing w:val="-56"/>
        </w:rPr>
        <w:t> </w:t>
      </w:r>
      <w:r>
        <w:rPr>
          <w:rFonts w:ascii="Times New Roman" w:hAnsi="Times New Roman" w:cs="Times New Roman" w:eastAsia="Times New Roman" w:hint="default"/>
        </w:rPr>
        <w:t>4,600</w:t>
      </w:r>
      <w:r>
        <w:rPr>
          <w:rFonts w:ascii="Times New Roman" w:hAnsi="Times New Roman" w:cs="Times New Roman" w:eastAsia="Times New Roman" w:hint="default"/>
          <w:spacing w:val="-4"/>
        </w:rPr>
        <w:t> </w:t>
      </w:r>
      <w:r>
        <w:rPr/>
        <w:t>万</w:t>
      </w:r>
    </w:p>
    <w:p>
      <w:pPr>
        <w:pStyle w:val="BodyText"/>
        <w:spacing w:line="240" w:lineRule="auto" w:before="22"/>
        <w:ind w:left="754" w:right="1675"/>
        <w:jc w:val="left"/>
      </w:pPr>
      <w:r>
        <w:rPr/>
        <w:t>元，借款期限为</w:t>
      </w:r>
      <w:r>
        <w:rPr>
          <w:spacing w:val="-52"/>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日至</w:t>
      </w:r>
      <w:r>
        <w:rPr>
          <w:spacing w:val="-55"/>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日，截止</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pStyle w:val="BodyText"/>
        <w:spacing w:line="240" w:lineRule="auto" w:before="107"/>
        <w:ind w:left="754" w:right="1675"/>
        <w:jc w:val="left"/>
      </w:pPr>
      <w:r>
        <w:rPr/>
        <w:t>该借款余额为人民币</w:t>
      </w:r>
      <w:r>
        <w:rPr>
          <w:spacing w:val="-54"/>
        </w:rPr>
        <w:t> </w:t>
      </w:r>
      <w:r>
        <w:rPr>
          <w:rFonts w:ascii="Times New Roman" w:hAnsi="Times New Roman" w:cs="Times New Roman" w:eastAsia="Times New Roman" w:hint="default"/>
        </w:rPr>
        <w:t>3,373.33</w:t>
      </w:r>
      <w:r>
        <w:rPr>
          <w:rFonts w:ascii="Times New Roman" w:hAnsi="Times New Roman" w:cs="Times New Roman" w:eastAsia="Times New Roman" w:hint="default"/>
          <w:spacing w:val="-2"/>
        </w:rPr>
        <w:t> </w:t>
      </w:r>
      <w:r>
        <w:rPr/>
        <w:t>万元。</w:t>
      </w:r>
    </w:p>
    <w:p>
      <w:pPr>
        <w:spacing w:line="240" w:lineRule="auto" w:before="0"/>
        <w:rPr>
          <w:rFonts w:ascii="宋体" w:hAnsi="宋体" w:cs="宋体" w:eastAsia="宋体" w:hint="default"/>
          <w:sz w:val="22"/>
          <w:szCs w:val="22"/>
        </w:rPr>
      </w:pPr>
    </w:p>
    <w:p>
      <w:pPr>
        <w:pStyle w:val="Heading6"/>
        <w:tabs>
          <w:tab w:pos="850" w:val="left" w:leader="none"/>
        </w:tabs>
        <w:spacing w:line="240" w:lineRule="auto" w:before="156"/>
        <w:ind w:left="138" w:right="1675"/>
        <w:jc w:val="left"/>
        <w:rPr>
          <w:b w:val="0"/>
          <w:bCs w:val="0"/>
        </w:rPr>
      </w:pPr>
      <w:r>
        <w:rPr/>
        <w:t>六、</w:t>
        <w:tab/>
        <w:t>合并范围的变更</w:t>
      </w:r>
      <w:r>
        <w:rPr>
          <w:b w:val="0"/>
          <w:bCs w:val="0"/>
        </w:rPr>
      </w:r>
    </w:p>
    <w:p>
      <w:pPr>
        <w:tabs>
          <w:tab w:pos="850" w:val="left" w:leader="none"/>
        </w:tabs>
        <w:spacing w:line="307" w:lineRule="auto" w:before="33"/>
        <w:ind w:left="850" w:right="5188"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公司本期不存在非同一控制下企业合并事项。</w:t>
      </w:r>
    </w:p>
    <w:p>
      <w:pPr>
        <w:spacing w:line="240" w:lineRule="auto" w:before="0"/>
        <w:rPr>
          <w:rFonts w:ascii="宋体" w:hAnsi="宋体" w:cs="宋体" w:eastAsia="宋体" w:hint="default"/>
          <w:sz w:val="20"/>
          <w:szCs w:val="20"/>
        </w:rPr>
      </w:pPr>
    </w:p>
    <w:p>
      <w:pPr>
        <w:tabs>
          <w:tab w:pos="850" w:val="left" w:leader="none"/>
        </w:tabs>
        <w:spacing w:line="307" w:lineRule="auto" w:before="137"/>
        <w:ind w:left="850" w:right="5399"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同一控制下企业合并</w:t>
      </w:r>
      <w:r>
        <w:rPr>
          <w:rFonts w:ascii="Microsoft JhengHei" w:hAnsi="Microsoft JhengHei" w:cs="Microsoft JhengHei" w:eastAsia="Microsoft JhengHei" w:hint="default"/>
          <w:b/>
          <w:bCs/>
          <w:spacing w:val="-42"/>
          <w:sz w:val="21"/>
          <w:szCs w:val="21"/>
        </w:rPr>
        <w:t> </w:t>
      </w:r>
      <w:r>
        <w:rPr>
          <w:rFonts w:ascii="宋体" w:hAnsi="宋体" w:cs="宋体" w:eastAsia="宋体" w:hint="default"/>
          <w:spacing w:val="-2"/>
          <w:sz w:val="21"/>
          <w:szCs w:val="21"/>
        </w:rPr>
        <w:t>公司本期不存在同一控制下企业合并事项。</w:t>
      </w:r>
    </w:p>
    <w:p>
      <w:pPr>
        <w:spacing w:after="0" w:line="307" w:lineRule="auto"/>
        <w:jc w:val="left"/>
        <w:rPr>
          <w:rFonts w:ascii="宋体" w:hAnsi="宋体" w:cs="宋体" w:eastAsia="宋体" w:hint="default"/>
          <w:sz w:val="21"/>
          <w:szCs w:val="21"/>
        </w:rPr>
        <w:sectPr>
          <w:headerReference w:type="default" r:id="rId121"/>
          <w:pgSz w:w="11910" w:h="16840"/>
          <w:pgMar w:header="779" w:footer="996" w:top="1100" w:bottom="1180" w:left="1660" w:right="0"/>
        </w:sectPr>
      </w:pPr>
    </w:p>
    <w:p>
      <w:pPr>
        <w:spacing w:before="17"/>
        <w:ind w:left="0" w:right="419"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699.6pt;height:.5pt;mso-position-horizontal-relative:char;mso-position-vertical-relative:line" coordorigin="0,0" coordsize="13992,10">
            <v:group style="position:absolute;left:5;top:5;width:13983;height:2" coordorigin="5,5" coordsize="13983,2">
              <v:shape style="position:absolute;left:5;top:5;width:13983;height:2" coordorigin="5,5" coordsize="13983,0" path="m5,5l1398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6"/>
        <w:tabs>
          <w:tab w:pos="853" w:val="left" w:leader="none"/>
        </w:tabs>
        <w:spacing w:line="335" w:lineRule="exact"/>
        <w:ind w:left="128" w:right="23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处置子公司</w:t>
      </w:r>
      <w:r>
        <w:rPr>
          <w:b w:val="0"/>
          <w:bCs w:val="0"/>
        </w:rPr>
      </w:r>
    </w:p>
    <w:p>
      <w:pPr>
        <w:pStyle w:val="Heading6"/>
        <w:tabs>
          <w:tab w:pos="1400" w:val="left" w:leader="none"/>
        </w:tabs>
        <w:spacing w:line="240" w:lineRule="auto" w:before="33"/>
        <w:ind w:left="848" w:right="230"/>
        <w:jc w:val="left"/>
        <w:rPr>
          <w:b w:val="0"/>
          <w:bCs w:val="0"/>
        </w:rPr>
      </w:pPr>
      <w:r>
        <w:rPr>
          <w:rFonts w:ascii="Times New Roman" w:hAnsi="Times New Roman" w:cs="Times New Roman" w:eastAsia="Times New Roman" w:hint="default"/>
        </w:rPr>
        <w:t>1</w:t>
      </w:r>
      <w:r>
        <w:rPr/>
        <w:t>、</w:t>
        <w:tab/>
        <w:t>单次处置对子公司投资即丧失控制权的情形</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1802"/>
        <w:gridCol w:w="1143"/>
        <w:gridCol w:w="713"/>
        <w:gridCol w:w="672"/>
        <w:gridCol w:w="1136"/>
        <w:gridCol w:w="799"/>
        <w:gridCol w:w="1166"/>
        <w:gridCol w:w="953"/>
        <w:gridCol w:w="917"/>
        <w:gridCol w:w="991"/>
        <w:gridCol w:w="994"/>
        <w:gridCol w:w="1049"/>
        <w:gridCol w:w="1006"/>
      </w:tblGrid>
      <w:tr>
        <w:trPr>
          <w:trHeight w:val="2554" w:hRule="exact"/>
        </w:trPr>
        <w:tc>
          <w:tcPr>
            <w:tcW w:w="180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583" w:right="0"/>
              <w:jc w:val="left"/>
              <w:rPr>
                <w:rFonts w:ascii="宋体" w:hAnsi="宋体" w:cs="宋体" w:eastAsia="宋体" w:hint="default"/>
                <w:sz w:val="13"/>
                <w:szCs w:val="13"/>
              </w:rPr>
            </w:pPr>
            <w:r>
              <w:rPr>
                <w:rFonts w:ascii="宋体" w:hAnsi="宋体" w:cs="宋体" w:eastAsia="宋体" w:hint="default"/>
                <w:sz w:val="13"/>
                <w:szCs w:val="13"/>
              </w:rPr>
              <w:t>子公司名称</w:t>
            </w:r>
          </w:p>
        </w:tc>
        <w:tc>
          <w:tcPr>
            <w:tcW w:w="11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75" w:right="0"/>
              <w:jc w:val="left"/>
              <w:rPr>
                <w:rFonts w:ascii="宋体" w:hAnsi="宋体" w:cs="宋体" w:eastAsia="宋体" w:hint="default"/>
                <w:sz w:val="13"/>
                <w:szCs w:val="13"/>
              </w:rPr>
            </w:pPr>
            <w:r>
              <w:rPr>
                <w:rFonts w:ascii="宋体" w:hAnsi="宋体" w:cs="宋体" w:eastAsia="宋体" w:hint="default"/>
                <w:sz w:val="13"/>
                <w:szCs w:val="13"/>
              </w:rPr>
              <w:t>股权处置价款</w:t>
            </w:r>
          </w:p>
        </w:tc>
        <w:tc>
          <w:tcPr>
            <w:tcW w:w="7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508" w:lineRule="auto"/>
              <w:ind w:left="155" w:right="156"/>
              <w:jc w:val="left"/>
              <w:rPr>
                <w:rFonts w:ascii="宋体" w:hAnsi="宋体" w:cs="宋体" w:eastAsia="宋体" w:hint="default"/>
                <w:sz w:val="13"/>
                <w:szCs w:val="13"/>
              </w:rPr>
            </w:pPr>
            <w:r>
              <w:rPr>
                <w:rFonts w:ascii="宋体" w:hAnsi="宋体" w:cs="宋体" w:eastAsia="宋体" w:hint="default"/>
                <w:sz w:val="13"/>
                <w:szCs w:val="13"/>
              </w:rPr>
              <w:t>股权处</w:t>
            </w:r>
            <w:r>
              <w:rPr>
                <w:rFonts w:ascii="宋体" w:hAnsi="宋体" w:cs="宋体" w:eastAsia="宋体" w:hint="default"/>
                <w:w w:val="99"/>
                <w:sz w:val="13"/>
                <w:szCs w:val="13"/>
              </w:rPr>
              <w:t> </w:t>
            </w:r>
            <w:r>
              <w:rPr>
                <w:rFonts w:ascii="宋体" w:hAnsi="宋体" w:cs="宋体" w:eastAsia="宋体" w:hint="default"/>
                <w:sz w:val="13"/>
                <w:szCs w:val="13"/>
              </w:rPr>
              <w:t>置比例</w:t>
            </w:r>
          </w:p>
          <w:p>
            <w:pPr>
              <w:pStyle w:val="TableParagraph"/>
              <w:spacing w:line="240" w:lineRule="auto" w:before="42"/>
              <w:ind w:left="168"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6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504" w:lineRule="auto"/>
              <w:ind w:left="134" w:right="137"/>
              <w:jc w:val="left"/>
              <w:rPr>
                <w:rFonts w:ascii="宋体" w:hAnsi="宋体" w:cs="宋体" w:eastAsia="宋体" w:hint="default"/>
                <w:sz w:val="13"/>
                <w:szCs w:val="13"/>
              </w:rPr>
            </w:pPr>
            <w:r>
              <w:rPr>
                <w:rFonts w:ascii="宋体" w:hAnsi="宋体" w:cs="宋体" w:eastAsia="宋体" w:hint="default"/>
                <w:sz w:val="13"/>
                <w:szCs w:val="13"/>
              </w:rPr>
              <w:t>股权处</w:t>
            </w:r>
            <w:r>
              <w:rPr>
                <w:rFonts w:ascii="宋体" w:hAnsi="宋体" w:cs="宋体" w:eastAsia="宋体" w:hint="default"/>
                <w:w w:val="99"/>
                <w:sz w:val="13"/>
                <w:szCs w:val="13"/>
              </w:rPr>
              <w:t> </w:t>
            </w:r>
            <w:r>
              <w:rPr>
                <w:rFonts w:ascii="宋体" w:hAnsi="宋体" w:cs="宋体" w:eastAsia="宋体" w:hint="default"/>
                <w:sz w:val="13"/>
                <w:szCs w:val="13"/>
              </w:rPr>
              <w:t>置方式</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504" w:lineRule="auto"/>
              <w:ind w:left="499" w:right="108" w:hanging="392"/>
              <w:jc w:val="left"/>
              <w:rPr>
                <w:rFonts w:ascii="宋体" w:hAnsi="宋体" w:cs="宋体" w:eastAsia="宋体" w:hint="default"/>
                <w:sz w:val="13"/>
                <w:szCs w:val="13"/>
              </w:rPr>
            </w:pPr>
            <w:r>
              <w:rPr>
                <w:rFonts w:ascii="宋体" w:hAnsi="宋体" w:cs="宋体" w:eastAsia="宋体" w:hint="default"/>
                <w:sz w:val="13"/>
                <w:szCs w:val="13"/>
              </w:rPr>
              <w:t>丧失控制权的时</w:t>
            </w:r>
            <w:r>
              <w:rPr>
                <w:rFonts w:ascii="宋体" w:hAnsi="宋体" w:cs="宋体" w:eastAsia="宋体" w:hint="default"/>
                <w:w w:val="99"/>
                <w:sz w:val="13"/>
                <w:szCs w:val="13"/>
              </w:rPr>
              <w:t> </w:t>
            </w:r>
            <w:r>
              <w:rPr>
                <w:rFonts w:ascii="宋体" w:hAnsi="宋体" w:cs="宋体" w:eastAsia="宋体" w:hint="default"/>
                <w:sz w:val="13"/>
                <w:szCs w:val="13"/>
              </w:rPr>
              <w:t>点</w:t>
            </w:r>
          </w:p>
        </w:tc>
        <w:tc>
          <w:tcPr>
            <w:tcW w:w="7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506" w:lineRule="auto"/>
              <w:ind w:left="134" w:right="134"/>
              <w:jc w:val="both"/>
              <w:rPr>
                <w:rFonts w:ascii="宋体" w:hAnsi="宋体" w:cs="宋体" w:eastAsia="宋体" w:hint="default"/>
                <w:sz w:val="13"/>
                <w:szCs w:val="13"/>
              </w:rPr>
            </w:pPr>
            <w:r>
              <w:rPr>
                <w:rFonts w:ascii="宋体" w:hAnsi="宋体" w:cs="宋体" w:eastAsia="宋体" w:hint="default"/>
                <w:sz w:val="13"/>
                <w:szCs w:val="13"/>
              </w:rPr>
              <w:t>丧失控制</w:t>
            </w:r>
            <w:r>
              <w:rPr>
                <w:rFonts w:ascii="宋体" w:hAnsi="宋体" w:cs="宋体" w:eastAsia="宋体" w:hint="default"/>
                <w:w w:val="99"/>
                <w:sz w:val="13"/>
                <w:szCs w:val="13"/>
              </w:rPr>
              <w:t> </w:t>
            </w:r>
            <w:r>
              <w:rPr>
                <w:rFonts w:ascii="宋体" w:hAnsi="宋体" w:cs="宋体" w:eastAsia="宋体" w:hint="default"/>
                <w:sz w:val="13"/>
                <w:szCs w:val="13"/>
              </w:rPr>
              <w:t>权时点的</w:t>
            </w:r>
            <w:r>
              <w:rPr>
                <w:rFonts w:ascii="宋体" w:hAnsi="宋体" w:cs="宋体" w:eastAsia="宋体" w:hint="default"/>
                <w:w w:val="99"/>
                <w:sz w:val="13"/>
                <w:szCs w:val="13"/>
              </w:rPr>
              <w:t> </w:t>
            </w:r>
            <w:r>
              <w:rPr>
                <w:rFonts w:ascii="宋体" w:hAnsi="宋体" w:cs="宋体" w:eastAsia="宋体" w:hint="default"/>
                <w:sz w:val="13"/>
                <w:szCs w:val="13"/>
              </w:rPr>
              <w:t>确定依据</w:t>
            </w:r>
          </w:p>
        </w:tc>
        <w:tc>
          <w:tcPr>
            <w:tcW w:w="11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6"/>
                <w:szCs w:val="6"/>
              </w:rPr>
            </w:pPr>
          </w:p>
          <w:p>
            <w:pPr>
              <w:pStyle w:val="TableParagraph"/>
              <w:spacing w:line="506" w:lineRule="auto"/>
              <w:ind w:left="122" w:right="125"/>
              <w:jc w:val="both"/>
              <w:rPr>
                <w:rFonts w:ascii="宋体" w:hAnsi="宋体" w:cs="宋体" w:eastAsia="宋体" w:hint="default"/>
                <w:sz w:val="13"/>
                <w:szCs w:val="13"/>
              </w:rPr>
            </w:pPr>
            <w:r>
              <w:rPr>
                <w:rFonts w:ascii="宋体" w:hAnsi="宋体" w:cs="宋体" w:eastAsia="宋体" w:hint="default"/>
                <w:sz w:val="13"/>
                <w:szCs w:val="13"/>
              </w:rPr>
              <w:t>处置价款与处置</w:t>
            </w:r>
            <w:r>
              <w:rPr>
                <w:rFonts w:ascii="宋体" w:hAnsi="宋体" w:cs="宋体" w:eastAsia="宋体" w:hint="default"/>
                <w:w w:val="99"/>
                <w:sz w:val="13"/>
                <w:szCs w:val="13"/>
              </w:rPr>
              <w:t> </w:t>
            </w:r>
            <w:r>
              <w:rPr>
                <w:rFonts w:ascii="宋体" w:hAnsi="宋体" w:cs="宋体" w:eastAsia="宋体" w:hint="default"/>
                <w:sz w:val="13"/>
                <w:szCs w:val="13"/>
              </w:rPr>
              <w:t>投资对应的合并</w:t>
            </w:r>
            <w:r>
              <w:rPr>
                <w:rFonts w:ascii="宋体" w:hAnsi="宋体" w:cs="宋体" w:eastAsia="宋体" w:hint="default"/>
                <w:w w:val="99"/>
                <w:sz w:val="13"/>
                <w:szCs w:val="13"/>
              </w:rPr>
              <w:t> </w:t>
            </w:r>
            <w:r>
              <w:rPr>
                <w:rFonts w:ascii="宋体" w:hAnsi="宋体" w:cs="宋体" w:eastAsia="宋体" w:hint="default"/>
                <w:sz w:val="13"/>
                <w:szCs w:val="13"/>
              </w:rPr>
              <w:t>财务报表层面享</w:t>
            </w:r>
            <w:r>
              <w:rPr>
                <w:rFonts w:ascii="宋体" w:hAnsi="宋体" w:cs="宋体" w:eastAsia="宋体" w:hint="default"/>
                <w:w w:val="99"/>
                <w:sz w:val="13"/>
                <w:szCs w:val="13"/>
              </w:rPr>
              <w:t> </w:t>
            </w:r>
            <w:r>
              <w:rPr>
                <w:rFonts w:ascii="宋体" w:hAnsi="宋体" w:cs="宋体" w:eastAsia="宋体" w:hint="default"/>
                <w:sz w:val="13"/>
                <w:szCs w:val="13"/>
              </w:rPr>
              <w:t>有该子公司净资</w:t>
            </w:r>
            <w:r>
              <w:rPr>
                <w:rFonts w:ascii="宋体" w:hAnsi="宋体" w:cs="宋体" w:eastAsia="宋体" w:hint="default"/>
                <w:w w:val="99"/>
                <w:sz w:val="13"/>
                <w:szCs w:val="13"/>
              </w:rPr>
              <w:t> </w:t>
            </w:r>
            <w:r>
              <w:rPr>
                <w:rFonts w:ascii="宋体" w:hAnsi="宋体" w:cs="宋体" w:eastAsia="宋体" w:hint="default"/>
                <w:sz w:val="13"/>
                <w:szCs w:val="13"/>
              </w:rPr>
              <w:t>产份额的差额</w:t>
            </w:r>
          </w:p>
        </w:tc>
        <w:tc>
          <w:tcPr>
            <w:tcW w:w="9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506" w:lineRule="auto"/>
              <w:ind w:left="146" w:right="146"/>
              <w:jc w:val="both"/>
              <w:rPr>
                <w:rFonts w:ascii="宋体" w:hAnsi="宋体" w:cs="宋体" w:eastAsia="宋体" w:hint="default"/>
                <w:sz w:val="13"/>
                <w:szCs w:val="13"/>
              </w:rPr>
            </w:pPr>
            <w:r>
              <w:rPr>
                <w:rFonts w:ascii="宋体" w:hAnsi="宋体" w:cs="宋体" w:eastAsia="宋体" w:hint="default"/>
                <w:sz w:val="13"/>
                <w:szCs w:val="13"/>
              </w:rPr>
              <w:t>丧失控制权</w:t>
            </w:r>
            <w:r>
              <w:rPr>
                <w:rFonts w:ascii="宋体" w:hAnsi="宋体" w:cs="宋体" w:eastAsia="宋体" w:hint="default"/>
                <w:w w:val="99"/>
                <w:sz w:val="13"/>
                <w:szCs w:val="13"/>
              </w:rPr>
              <w:t> </w:t>
            </w:r>
            <w:r>
              <w:rPr>
                <w:rFonts w:ascii="宋体" w:hAnsi="宋体" w:cs="宋体" w:eastAsia="宋体" w:hint="default"/>
                <w:sz w:val="13"/>
                <w:szCs w:val="13"/>
              </w:rPr>
              <w:t>之日剩余股</w:t>
            </w:r>
            <w:r>
              <w:rPr>
                <w:rFonts w:ascii="宋体" w:hAnsi="宋体" w:cs="宋体" w:eastAsia="宋体" w:hint="default"/>
                <w:w w:val="99"/>
                <w:sz w:val="13"/>
                <w:szCs w:val="13"/>
              </w:rPr>
              <w:t> </w:t>
            </w:r>
            <w:r>
              <w:rPr>
                <w:rFonts w:ascii="宋体" w:hAnsi="宋体" w:cs="宋体" w:eastAsia="宋体" w:hint="default"/>
                <w:sz w:val="13"/>
                <w:szCs w:val="13"/>
              </w:rPr>
              <w:t>权的比例</w:t>
            </w:r>
          </w:p>
        </w:tc>
        <w:tc>
          <w:tcPr>
            <w:tcW w:w="9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506" w:lineRule="auto"/>
              <w:ind w:left="127" w:right="131"/>
              <w:jc w:val="center"/>
              <w:rPr>
                <w:rFonts w:ascii="宋体" w:hAnsi="宋体" w:cs="宋体" w:eastAsia="宋体" w:hint="default"/>
                <w:sz w:val="13"/>
                <w:szCs w:val="13"/>
              </w:rPr>
            </w:pPr>
            <w:r>
              <w:rPr>
                <w:rFonts w:ascii="宋体" w:hAnsi="宋体" w:cs="宋体" w:eastAsia="宋体" w:hint="default"/>
                <w:sz w:val="13"/>
                <w:szCs w:val="13"/>
              </w:rPr>
              <w:t>丧失控制权</w:t>
            </w:r>
            <w:r>
              <w:rPr>
                <w:rFonts w:ascii="宋体" w:hAnsi="宋体" w:cs="宋体" w:eastAsia="宋体" w:hint="default"/>
                <w:w w:val="99"/>
                <w:sz w:val="13"/>
                <w:szCs w:val="13"/>
              </w:rPr>
              <w:t> </w:t>
            </w:r>
            <w:r>
              <w:rPr>
                <w:rFonts w:ascii="宋体" w:hAnsi="宋体" w:cs="宋体" w:eastAsia="宋体" w:hint="default"/>
                <w:sz w:val="13"/>
                <w:szCs w:val="13"/>
              </w:rPr>
              <w:t>之日剩余股</w:t>
            </w:r>
            <w:r>
              <w:rPr>
                <w:rFonts w:ascii="宋体" w:hAnsi="宋体" w:cs="宋体" w:eastAsia="宋体" w:hint="default"/>
                <w:w w:val="99"/>
                <w:sz w:val="13"/>
                <w:szCs w:val="13"/>
              </w:rPr>
              <w:t> </w:t>
            </w:r>
            <w:r>
              <w:rPr>
                <w:rFonts w:ascii="宋体" w:hAnsi="宋体" w:cs="宋体" w:eastAsia="宋体" w:hint="default"/>
                <w:sz w:val="13"/>
                <w:szCs w:val="13"/>
              </w:rPr>
              <w:t>权的账面价</w:t>
            </w:r>
            <w:r>
              <w:rPr>
                <w:rFonts w:ascii="宋体" w:hAnsi="宋体" w:cs="宋体" w:eastAsia="宋体" w:hint="default"/>
                <w:w w:val="99"/>
                <w:sz w:val="13"/>
                <w:szCs w:val="13"/>
              </w:rPr>
              <w:t> </w:t>
            </w:r>
            <w:r>
              <w:rPr>
                <w:rFonts w:ascii="宋体" w:hAnsi="宋体" w:cs="宋体" w:eastAsia="宋体" w:hint="default"/>
                <w:sz w:val="13"/>
                <w:szCs w:val="13"/>
              </w:rPr>
              <w:t>值</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506" w:lineRule="auto"/>
              <w:ind w:left="165" w:right="167"/>
              <w:jc w:val="center"/>
              <w:rPr>
                <w:rFonts w:ascii="宋体" w:hAnsi="宋体" w:cs="宋体" w:eastAsia="宋体" w:hint="default"/>
                <w:sz w:val="13"/>
                <w:szCs w:val="13"/>
              </w:rPr>
            </w:pPr>
            <w:r>
              <w:rPr>
                <w:rFonts w:ascii="宋体" w:hAnsi="宋体" w:cs="宋体" w:eastAsia="宋体" w:hint="default"/>
                <w:sz w:val="13"/>
                <w:szCs w:val="13"/>
              </w:rPr>
              <w:t>丧失控制权</w:t>
            </w:r>
            <w:r>
              <w:rPr>
                <w:rFonts w:ascii="宋体" w:hAnsi="宋体" w:cs="宋体" w:eastAsia="宋体" w:hint="default"/>
                <w:w w:val="99"/>
                <w:sz w:val="13"/>
                <w:szCs w:val="13"/>
              </w:rPr>
              <w:t> </w:t>
            </w:r>
            <w:r>
              <w:rPr>
                <w:rFonts w:ascii="宋体" w:hAnsi="宋体" w:cs="宋体" w:eastAsia="宋体" w:hint="default"/>
                <w:sz w:val="13"/>
                <w:szCs w:val="13"/>
              </w:rPr>
              <w:t>之日剩余股</w:t>
            </w:r>
            <w:r>
              <w:rPr>
                <w:rFonts w:ascii="宋体" w:hAnsi="宋体" w:cs="宋体" w:eastAsia="宋体" w:hint="default"/>
                <w:w w:val="99"/>
                <w:sz w:val="13"/>
                <w:szCs w:val="13"/>
              </w:rPr>
              <w:t> </w:t>
            </w:r>
            <w:r>
              <w:rPr>
                <w:rFonts w:ascii="宋体" w:hAnsi="宋体" w:cs="宋体" w:eastAsia="宋体" w:hint="default"/>
                <w:sz w:val="13"/>
                <w:szCs w:val="13"/>
              </w:rPr>
              <w:t>权的公允价</w:t>
            </w:r>
            <w:r>
              <w:rPr>
                <w:rFonts w:ascii="宋体" w:hAnsi="宋体" w:cs="宋体" w:eastAsia="宋体" w:hint="default"/>
                <w:w w:val="99"/>
                <w:sz w:val="13"/>
                <w:szCs w:val="13"/>
              </w:rPr>
              <w:t> </w:t>
            </w:r>
            <w:r>
              <w:rPr>
                <w:rFonts w:ascii="宋体" w:hAnsi="宋体" w:cs="宋体" w:eastAsia="宋体" w:hint="default"/>
                <w:sz w:val="13"/>
                <w:szCs w:val="13"/>
              </w:rPr>
              <w:t>值</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6"/>
                <w:szCs w:val="6"/>
              </w:rPr>
            </w:pPr>
          </w:p>
          <w:p>
            <w:pPr>
              <w:pStyle w:val="TableParagraph"/>
              <w:spacing w:line="506" w:lineRule="auto"/>
              <w:ind w:left="165" w:right="168"/>
              <w:jc w:val="center"/>
              <w:rPr>
                <w:rFonts w:ascii="宋体" w:hAnsi="宋体" w:cs="宋体" w:eastAsia="宋体" w:hint="default"/>
                <w:sz w:val="13"/>
                <w:szCs w:val="13"/>
              </w:rPr>
            </w:pPr>
            <w:r>
              <w:rPr>
                <w:rFonts w:ascii="宋体" w:hAnsi="宋体" w:cs="宋体" w:eastAsia="宋体" w:hint="default"/>
                <w:sz w:val="13"/>
                <w:szCs w:val="13"/>
              </w:rPr>
              <w:t>按照公允价</w:t>
            </w:r>
            <w:r>
              <w:rPr>
                <w:rFonts w:ascii="宋体" w:hAnsi="宋体" w:cs="宋体" w:eastAsia="宋体" w:hint="default"/>
                <w:w w:val="99"/>
                <w:sz w:val="13"/>
                <w:szCs w:val="13"/>
              </w:rPr>
              <w:t> </w:t>
            </w:r>
            <w:r>
              <w:rPr>
                <w:rFonts w:ascii="宋体" w:hAnsi="宋体" w:cs="宋体" w:eastAsia="宋体" w:hint="default"/>
                <w:sz w:val="13"/>
                <w:szCs w:val="13"/>
              </w:rPr>
              <w:t>值重新计量</w:t>
            </w:r>
            <w:r>
              <w:rPr>
                <w:rFonts w:ascii="宋体" w:hAnsi="宋体" w:cs="宋体" w:eastAsia="宋体" w:hint="default"/>
                <w:w w:val="99"/>
                <w:sz w:val="13"/>
                <w:szCs w:val="13"/>
              </w:rPr>
              <w:t> </w:t>
            </w:r>
            <w:r>
              <w:rPr>
                <w:rFonts w:ascii="宋体" w:hAnsi="宋体" w:cs="宋体" w:eastAsia="宋体" w:hint="default"/>
                <w:sz w:val="13"/>
                <w:szCs w:val="13"/>
              </w:rPr>
              <w:t>剩余股权产</w:t>
            </w:r>
            <w:r>
              <w:rPr>
                <w:rFonts w:ascii="宋体" w:hAnsi="宋体" w:cs="宋体" w:eastAsia="宋体" w:hint="default"/>
                <w:w w:val="99"/>
                <w:sz w:val="13"/>
                <w:szCs w:val="13"/>
              </w:rPr>
              <w:t> </w:t>
            </w:r>
            <w:r>
              <w:rPr>
                <w:rFonts w:ascii="宋体" w:hAnsi="宋体" w:cs="宋体" w:eastAsia="宋体" w:hint="default"/>
                <w:sz w:val="13"/>
                <w:szCs w:val="13"/>
              </w:rPr>
              <w:t>生的利得或</w:t>
            </w:r>
            <w:r>
              <w:rPr>
                <w:rFonts w:ascii="宋体" w:hAnsi="宋体" w:cs="宋体" w:eastAsia="宋体" w:hint="default"/>
                <w:w w:val="99"/>
                <w:sz w:val="13"/>
                <w:szCs w:val="13"/>
              </w:rPr>
              <w:t> </w:t>
            </w:r>
            <w:r>
              <w:rPr>
                <w:rFonts w:ascii="宋体" w:hAnsi="宋体" w:cs="宋体" w:eastAsia="宋体" w:hint="default"/>
                <w:sz w:val="13"/>
                <w:szCs w:val="13"/>
              </w:rPr>
              <w:t>损失</w:t>
            </w:r>
          </w:p>
        </w:tc>
        <w:tc>
          <w:tcPr>
            <w:tcW w:w="10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6"/>
                <w:szCs w:val="6"/>
              </w:rPr>
            </w:pPr>
          </w:p>
          <w:p>
            <w:pPr>
              <w:pStyle w:val="TableParagraph"/>
              <w:spacing w:line="506" w:lineRule="auto"/>
              <w:ind w:left="130" w:right="131"/>
              <w:jc w:val="center"/>
              <w:rPr>
                <w:rFonts w:ascii="宋体" w:hAnsi="宋体" w:cs="宋体" w:eastAsia="宋体" w:hint="default"/>
                <w:sz w:val="13"/>
                <w:szCs w:val="13"/>
              </w:rPr>
            </w:pPr>
            <w:r>
              <w:rPr>
                <w:rFonts w:ascii="宋体" w:hAnsi="宋体" w:cs="宋体" w:eastAsia="宋体" w:hint="default"/>
                <w:sz w:val="13"/>
                <w:szCs w:val="13"/>
              </w:rPr>
              <w:t>丧失控制权之</w:t>
            </w:r>
            <w:r>
              <w:rPr>
                <w:rFonts w:ascii="宋体" w:hAnsi="宋体" w:cs="宋体" w:eastAsia="宋体" w:hint="default"/>
                <w:w w:val="99"/>
                <w:sz w:val="13"/>
                <w:szCs w:val="13"/>
              </w:rPr>
              <w:t> </w:t>
            </w:r>
            <w:r>
              <w:rPr>
                <w:rFonts w:ascii="宋体" w:hAnsi="宋体" w:cs="宋体" w:eastAsia="宋体" w:hint="default"/>
                <w:sz w:val="13"/>
                <w:szCs w:val="13"/>
              </w:rPr>
              <w:t>日剩余股权公</w:t>
            </w:r>
            <w:r>
              <w:rPr>
                <w:rFonts w:ascii="宋体" w:hAnsi="宋体" w:cs="宋体" w:eastAsia="宋体" w:hint="default"/>
                <w:w w:val="99"/>
                <w:sz w:val="13"/>
                <w:szCs w:val="13"/>
              </w:rPr>
              <w:t> </w:t>
            </w:r>
            <w:r>
              <w:rPr>
                <w:rFonts w:ascii="宋体" w:hAnsi="宋体" w:cs="宋体" w:eastAsia="宋体" w:hint="default"/>
                <w:sz w:val="13"/>
                <w:szCs w:val="13"/>
              </w:rPr>
              <w:t>允价值的确定</w:t>
            </w:r>
            <w:r>
              <w:rPr>
                <w:rFonts w:ascii="宋体" w:hAnsi="宋体" w:cs="宋体" w:eastAsia="宋体" w:hint="default"/>
                <w:w w:val="99"/>
                <w:sz w:val="13"/>
                <w:szCs w:val="13"/>
              </w:rPr>
              <w:t> </w:t>
            </w:r>
            <w:r>
              <w:rPr>
                <w:rFonts w:ascii="宋体" w:hAnsi="宋体" w:cs="宋体" w:eastAsia="宋体" w:hint="default"/>
                <w:sz w:val="13"/>
                <w:szCs w:val="13"/>
              </w:rPr>
              <w:t>方法及主要假</w:t>
            </w:r>
            <w:r>
              <w:rPr>
                <w:rFonts w:ascii="宋体" w:hAnsi="宋体" w:cs="宋体" w:eastAsia="宋体" w:hint="default"/>
                <w:w w:val="99"/>
                <w:sz w:val="13"/>
                <w:szCs w:val="13"/>
              </w:rPr>
              <w:t> </w:t>
            </w:r>
            <w:r>
              <w:rPr>
                <w:rFonts w:ascii="宋体" w:hAnsi="宋体" w:cs="宋体" w:eastAsia="宋体" w:hint="default"/>
                <w:sz w:val="13"/>
                <w:szCs w:val="13"/>
              </w:rPr>
              <w:t>设</w:t>
            </w:r>
          </w:p>
        </w:tc>
        <w:tc>
          <w:tcPr>
            <w:tcW w:w="1006"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6"/>
                <w:szCs w:val="6"/>
              </w:rPr>
            </w:pPr>
          </w:p>
          <w:p>
            <w:pPr>
              <w:pStyle w:val="TableParagraph"/>
              <w:spacing w:line="506" w:lineRule="auto"/>
              <w:ind w:left="107" w:right="113"/>
              <w:jc w:val="center"/>
              <w:rPr>
                <w:rFonts w:ascii="宋体" w:hAnsi="宋体" w:cs="宋体" w:eastAsia="宋体" w:hint="default"/>
                <w:sz w:val="13"/>
                <w:szCs w:val="13"/>
              </w:rPr>
            </w:pPr>
            <w:r>
              <w:rPr>
                <w:rFonts w:ascii="宋体" w:hAnsi="宋体" w:cs="宋体" w:eastAsia="宋体" w:hint="default"/>
                <w:sz w:val="13"/>
                <w:szCs w:val="13"/>
              </w:rPr>
              <w:t>与原子公司股</w:t>
            </w:r>
            <w:r>
              <w:rPr>
                <w:rFonts w:ascii="宋体" w:hAnsi="宋体" w:cs="宋体" w:eastAsia="宋体" w:hint="default"/>
                <w:w w:val="99"/>
                <w:sz w:val="13"/>
                <w:szCs w:val="13"/>
              </w:rPr>
              <w:t> </w:t>
            </w:r>
            <w:r>
              <w:rPr>
                <w:rFonts w:ascii="宋体" w:hAnsi="宋体" w:cs="宋体" w:eastAsia="宋体" w:hint="default"/>
                <w:sz w:val="13"/>
                <w:szCs w:val="13"/>
              </w:rPr>
              <w:t>权投资相关的</w:t>
            </w:r>
            <w:r>
              <w:rPr>
                <w:rFonts w:ascii="宋体" w:hAnsi="宋体" w:cs="宋体" w:eastAsia="宋体" w:hint="default"/>
                <w:w w:val="99"/>
                <w:sz w:val="13"/>
                <w:szCs w:val="13"/>
              </w:rPr>
              <w:t> </w:t>
            </w:r>
            <w:r>
              <w:rPr>
                <w:rFonts w:ascii="宋体" w:hAnsi="宋体" w:cs="宋体" w:eastAsia="宋体" w:hint="default"/>
                <w:sz w:val="13"/>
                <w:szCs w:val="13"/>
              </w:rPr>
              <w:t>其他综合收益</w:t>
            </w:r>
            <w:r>
              <w:rPr>
                <w:rFonts w:ascii="宋体" w:hAnsi="宋体" w:cs="宋体" w:eastAsia="宋体" w:hint="default"/>
                <w:w w:val="99"/>
                <w:sz w:val="13"/>
                <w:szCs w:val="13"/>
              </w:rPr>
              <w:t> </w:t>
            </w:r>
            <w:r>
              <w:rPr>
                <w:rFonts w:ascii="宋体" w:hAnsi="宋体" w:cs="宋体" w:eastAsia="宋体" w:hint="default"/>
                <w:sz w:val="13"/>
                <w:szCs w:val="13"/>
              </w:rPr>
              <w:t>转入投资损益</w:t>
            </w:r>
            <w:r>
              <w:rPr>
                <w:rFonts w:ascii="宋体" w:hAnsi="宋体" w:cs="宋体" w:eastAsia="宋体" w:hint="default"/>
                <w:w w:val="99"/>
                <w:sz w:val="13"/>
                <w:szCs w:val="13"/>
              </w:rPr>
              <w:t> </w:t>
            </w:r>
            <w:r>
              <w:rPr>
                <w:rFonts w:ascii="宋体" w:hAnsi="宋体" w:cs="宋体" w:eastAsia="宋体" w:hint="default"/>
                <w:sz w:val="13"/>
                <w:szCs w:val="13"/>
              </w:rPr>
              <w:t>的金额</w:t>
            </w:r>
          </w:p>
        </w:tc>
      </w:tr>
      <w:tr>
        <w:trPr>
          <w:trHeight w:val="811" w:hRule="exact"/>
        </w:trPr>
        <w:tc>
          <w:tcPr>
            <w:tcW w:w="180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15"/>
              <w:jc w:val="left"/>
              <w:rPr>
                <w:rFonts w:ascii="宋体" w:hAnsi="宋体" w:cs="宋体" w:eastAsia="宋体" w:hint="default"/>
                <w:sz w:val="13"/>
                <w:szCs w:val="13"/>
              </w:rPr>
            </w:pPr>
            <w:r>
              <w:rPr>
                <w:rFonts w:ascii="宋体" w:hAnsi="宋体" w:cs="宋体" w:eastAsia="宋体" w:hint="default"/>
                <w:sz w:val="13"/>
                <w:szCs w:val="13"/>
              </w:rPr>
              <w:t>天津海吉星农产品电子商务</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143"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220" w:right="0"/>
              <w:jc w:val="left"/>
              <w:rPr>
                <w:rFonts w:ascii="Times New Roman" w:hAnsi="Times New Roman" w:cs="Times New Roman" w:eastAsia="Times New Roman" w:hint="default"/>
                <w:sz w:val="13"/>
                <w:szCs w:val="13"/>
              </w:rPr>
            </w:pPr>
            <w:r>
              <w:rPr>
                <w:rFonts w:ascii="Times New Roman"/>
                <w:sz w:val="13"/>
              </w:rPr>
              <w:t>112,168,200.00</w:t>
            </w:r>
          </w:p>
        </w:tc>
        <w:tc>
          <w:tcPr>
            <w:tcW w:w="7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100.00</w:t>
            </w:r>
          </w:p>
        </w:tc>
        <w:tc>
          <w:tcPr>
            <w:tcW w:w="672"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480" w:lineRule="auto"/>
              <w:ind w:left="103" w:right="103"/>
              <w:jc w:val="left"/>
              <w:rPr>
                <w:rFonts w:ascii="Times New Roman" w:hAnsi="Times New Roman" w:cs="Times New Roman" w:eastAsia="Times New Roman" w:hint="default"/>
                <w:sz w:val="13"/>
                <w:szCs w:val="13"/>
              </w:rPr>
            </w:pPr>
            <w:r>
              <w:rPr>
                <w:rFonts w:ascii="宋体" w:hAnsi="宋体" w:cs="宋体" w:eastAsia="宋体" w:hint="default"/>
                <w:spacing w:val="5"/>
                <w:sz w:val="13"/>
                <w:szCs w:val="13"/>
              </w:rPr>
              <w:t>挂牌</w:t>
            </w:r>
            <w:r>
              <w:rPr>
                <w:rFonts w:ascii="Times New Roman" w:hAnsi="Times New Roman" w:cs="Times New Roman" w:eastAsia="Times New Roman" w:hint="default"/>
                <w:spacing w:val="5"/>
                <w:sz w:val="13"/>
                <w:szCs w:val="13"/>
              </w:rPr>
              <w:t>(</w:t>
            </w:r>
            <w:r>
              <w:rPr>
                <w:rFonts w:ascii="宋体" w:hAnsi="宋体" w:cs="宋体" w:eastAsia="宋体" w:hint="default"/>
                <w:spacing w:val="5"/>
                <w:sz w:val="13"/>
                <w:szCs w:val="13"/>
              </w:rPr>
              <w:t>协</w:t>
            </w:r>
            <w:r>
              <w:rPr>
                <w:rFonts w:ascii="宋体" w:hAnsi="宋体" w:cs="宋体" w:eastAsia="宋体" w:hint="default"/>
                <w:w w:val="99"/>
                <w:sz w:val="13"/>
                <w:szCs w:val="13"/>
              </w:rPr>
              <w:t> </w:t>
            </w:r>
            <w:r>
              <w:rPr>
                <w:rFonts w:ascii="宋体" w:hAnsi="宋体" w:cs="宋体" w:eastAsia="宋体" w:hint="default"/>
                <w:sz w:val="13"/>
                <w:szCs w:val="13"/>
              </w:rPr>
              <w:t>定转让</w:t>
            </w:r>
            <w:r>
              <w:rPr>
                <w:rFonts w:ascii="Times New Roman" w:hAnsi="Times New Roman" w:cs="Times New Roman" w:eastAsia="Times New Roman" w:hint="default"/>
                <w:sz w:val="13"/>
                <w:szCs w:val="13"/>
              </w:rPr>
              <w:t>)</w:t>
            </w:r>
          </w:p>
        </w:tc>
        <w:tc>
          <w:tcPr>
            <w:tcW w:w="113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9 </w:t>
            </w:r>
            <w:r>
              <w:rPr>
                <w:rFonts w:ascii="宋体" w:hAnsi="宋体" w:cs="宋体" w:eastAsia="宋体" w:hint="default"/>
                <w:sz w:val="13"/>
                <w:szCs w:val="13"/>
              </w:rPr>
              <w:t>月</w:t>
            </w:r>
          </w:p>
        </w:tc>
        <w:tc>
          <w:tcPr>
            <w:tcW w:w="79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506" w:lineRule="auto"/>
              <w:ind w:left="103" w:right="167"/>
              <w:jc w:val="both"/>
              <w:rPr>
                <w:rFonts w:ascii="宋体" w:hAnsi="宋体" w:cs="宋体" w:eastAsia="宋体" w:hint="default"/>
                <w:sz w:val="13"/>
                <w:szCs w:val="13"/>
              </w:rPr>
            </w:pPr>
            <w:r>
              <w:rPr>
                <w:rFonts w:ascii="宋体" w:hAnsi="宋体" w:cs="宋体" w:eastAsia="宋体" w:hint="default"/>
                <w:sz w:val="13"/>
                <w:szCs w:val="13"/>
              </w:rPr>
              <w:t>受让方支</w:t>
            </w:r>
            <w:r>
              <w:rPr>
                <w:rFonts w:ascii="宋体" w:hAnsi="宋体" w:cs="宋体" w:eastAsia="宋体" w:hint="default"/>
                <w:w w:val="99"/>
                <w:sz w:val="13"/>
                <w:szCs w:val="13"/>
              </w:rPr>
              <w:t> </w:t>
            </w:r>
            <w:r>
              <w:rPr>
                <w:rFonts w:ascii="宋体" w:hAnsi="宋体" w:cs="宋体" w:eastAsia="宋体" w:hint="default"/>
                <w:sz w:val="13"/>
                <w:szCs w:val="13"/>
              </w:rPr>
              <w:t>付股权价</w:t>
            </w:r>
            <w:r>
              <w:rPr>
                <w:rFonts w:ascii="宋体" w:hAnsi="宋体" w:cs="宋体" w:eastAsia="宋体" w:hint="default"/>
                <w:w w:val="99"/>
                <w:sz w:val="13"/>
                <w:szCs w:val="13"/>
              </w:rPr>
              <w:t> </w:t>
            </w:r>
            <w:r>
              <w:rPr>
                <w:rFonts w:ascii="宋体" w:hAnsi="宋体" w:cs="宋体" w:eastAsia="宋体" w:hint="default"/>
                <w:sz w:val="13"/>
                <w:szCs w:val="13"/>
              </w:rPr>
              <w:t>款</w:t>
            </w:r>
          </w:p>
        </w:tc>
        <w:tc>
          <w:tcPr>
            <w:tcW w:w="116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Times New Roman" w:hAnsi="Times New Roman" w:cs="Times New Roman" w:eastAsia="Times New Roman" w:hint="default"/>
                <w:sz w:val="13"/>
                <w:szCs w:val="13"/>
              </w:rPr>
            </w:pPr>
            <w:r>
              <w:rPr>
                <w:rFonts w:ascii="Times New Roman"/>
                <w:sz w:val="13"/>
              </w:rPr>
              <w:t>95,851,608.03</w:t>
            </w:r>
          </w:p>
        </w:tc>
        <w:tc>
          <w:tcPr>
            <w:tcW w:w="953"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80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115"/>
              <w:jc w:val="left"/>
              <w:rPr>
                <w:rFonts w:ascii="宋体" w:hAnsi="宋体" w:cs="宋体" w:eastAsia="宋体" w:hint="default"/>
                <w:sz w:val="13"/>
                <w:szCs w:val="13"/>
              </w:rPr>
            </w:pPr>
            <w:r>
              <w:rPr>
                <w:rFonts w:ascii="宋体" w:hAnsi="宋体" w:cs="宋体" w:eastAsia="宋体" w:hint="default"/>
                <w:sz w:val="13"/>
                <w:szCs w:val="13"/>
              </w:rPr>
              <w:t>天津海吉星中央大厨房物流</w:t>
            </w:r>
            <w:r>
              <w:rPr>
                <w:rFonts w:ascii="宋体" w:hAnsi="宋体" w:cs="宋体" w:eastAsia="宋体" w:hint="default"/>
                <w:w w:val="99"/>
                <w:sz w:val="13"/>
                <w:szCs w:val="13"/>
              </w:rPr>
              <w:t> </w:t>
            </w:r>
            <w:r>
              <w:rPr>
                <w:rFonts w:ascii="宋体" w:hAnsi="宋体" w:cs="宋体" w:eastAsia="宋体" w:hint="default"/>
                <w:sz w:val="13"/>
                <w:szCs w:val="13"/>
              </w:rPr>
              <w:t>配送有限公司</w:t>
            </w:r>
          </w:p>
        </w:tc>
        <w:tc>
          <w:tcPr>
            <w:tcW w:w="1143" w:type="dxa"/>
            <w:vMerge/>
            <w:tcBorders>
              <w:left w:val="dotted" w:sz="4" w:space="0" w:color="000000"/>
              <w:right w:val="dotted" w:sz="4" w:space="0" w:color="000000"/>
            </w:tcBorders>
          </w:tcPr>
          <w:p>
            <w:pPr/>
          </w:p>
        </w:tc>
        <w:tc>
          <w:tcPr>
            <w:tcW w:w="7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100.00</w:t>
            </w:r>
          </w:p>
        </w:tc>
        <w:tc>
          <w:tcPr>
            <w:tcW w:w="672" w:type="dxa"/>
            <w:vMerge/>
            <w:tcBorders>
              <w:left w:val="dotted" w:sz="4" w:space="0" w:color="000000"/>
              <w:right w:val="dotted" w:sz="4" w:space="0" w:color="000000"/>
            </w:tcBorders>
          </w:tcPr>
          <w:p>
            <w:pPr/>
          </w:p>
        </w:tc>
        <w:tc>
          <w:tcPr>
            <w:tcW w:w="1136" w:type="dxa"/>
            <w:vMerge/>
            <w:tcBorders>
              <w:left w:val="dotted" w:sz="4" w:space="0" w:color="000000"/>
              <w:right w:val="dotted" w:sz="4" w:space="0" w:color="000000"/>
            </w:tcBorders>
          </w:tcPr>
          <w:p>
            <w:pPr/>
          </w:p>
        </w:tc>
        <w:tc>
          <w:tcPr>
            <w:tcW w:w="799" w:type="dxa"/>
            <w:vMerge/>
            <w:tcBorders>
              <w:left w:val="dotted" w:sz="4" w:space="0" w:color="000000"/>
              <w:right w:val="dotted" w:sz="4" w:space="0" w:color="000000"/>
            </w:tcBorders>
          </w:tcPr>
          <w:p>
            <w:pPr/>
          </w:p>
        </w:tc>
        <w:tc>
          <w:tcPr>
            <w:tcW w:w="1166" w:type="dxa"/>
            <w:vMerge/>
            <w:tcBorders>
              <w:left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80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15"/>
              <w:jc w:val="left"/>
              <w:rPr>
                <w:rFonts w:ascii="宋体" w:hAnsi="宋体" w:cs="宋体" w:eastAsia="宋体" w:hint="default"/>
                <w:sz w:val="13"/>
                <w:szCs w:val="13"/>
              </w:rPr>
            </w:pPr>
            <w:r>
              <w:rPr>
                <w:rFonts w:ascii="宋体" w:hAnsi="宋体" w:cs="宋体" w:eastAsia="宋体" w:hint="default"/>
                <w:sz w:val="13"/>
                <w:szCs w:val="13"/>
              </w:rPr>
              <w:t>天津海吉星冷链仓储有限公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143" w:type="dxa"/>
            <w:vMerge/>
            <w:tcBorders>
              <w:left w:val="dotted" w:sz="4" w:space="0" w:color="000000"/>
              <w:bottom w:val="dotted" w:sz="4" w:space="0" w:color="000000"/>
              <w:right w:val="dotted" w:sz="4" w:space="0" w:color="000000"/>
            </w:tcBorders>
          </w:tcPr>
          <w:p>
            <w:pPr/>
          </w:p>
        </w:tc>
        <w:tc>
          <w:tcPr>
            <w:tcW w:w="7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100.00</w:t>
            </w:r>
          </w:p>
        </w:tc>
        <w:tc>
          <w:tcPr>
            <w:tcW w:w="672" w:type="dxa"/>
            <w:vMerge/>
            <w:tcBorders>
              <w:left w:val="dotted" w:sz="4" w:space="0" w:color="000000"/>
              <w:bottom w:val="dotted" w:sz="4" w:space="0" w:color="000000"/>
              <w:right w:val="dotted" w:sz="4" w:space="0" w:color="000000"/>
            </w:tcBorders>
          </w:tcPr>
          <w:p>
            <w:pPr/>
          </w:p>
        </w:tc>
        <w:tc>
          <w:tcPr>
            <w:tcW w:w="1136" w:type="dxa"/>
            <w:vMerge/>
            <w:tcBorders>
              <w:left w:val="dotted" w:sz="4" w:space="0" w:color="000000"/>
              <w:bottom w:val="dotted" w:sz="4" w:space="0" w:color="000000"/>
              <w:right w:val="dotted" w:sz="4" w:space="0" w:color="000000"/>
            </w:tcBorders>
          </w:tcPr>
          <w:p>
            <w:pPr/>
          </w:p>
        </w:tc>
        <w:tc>
          <w:tcPr>
            <w:tcW w:w="799" w:type="dxa"/>
            <w:vMerge/>
            <w:tcBorders>
              <w:left w:val="dotted" w:sz="4" w:space="0" w:color="000000"/>
              <w:bottom w:val="dotted" w:sz="4" w:space="0" w:color="000000"/>
              <w:right w:val="dotted" w:sz="4" w:space="0" w:color="000000"/>
            </w:tcBorders>
          </w:tcPr>
          <w:p>
            <w:pPr/>
          </w:p>
        </w:tc>
        <w:tc>
          <w:tcPr>
            <w:tcW w:w="1166" w:type="dxa"/>
            <w:vMerge/>
            <w:tcBorders>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80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104"/>
              <w:jc w:val="left"/>
              <w:rPr>
                <w:rFonts w:ascii="宋体" w:hAnsi="宋体" w:cs="宋体" w:eastAsia="宋体" w:hint="default"/>
                <w:sz w:val="13"/>
                <w:szCs w:val="13"/>
              </w:rPr>
            </w:pPr>
            <w:r>
              <w:rPr>
                <w:rFonts w:ascii="宋体" w:hAnsi="宋体" w:cs="宋体" w:eastAsia="宋体" w:hint="default"/>
                <w:sz w:val="13"/>
                <w:szCs w:val="13"/>
              </w:rPr>
              <w:t>深圳市农安认证农产品有限</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公司</w:t>
            </w:r>
          </w:p>
        </w:tc>
        <w:tc>
          <w:tcPr>
            <w:tcW w:w="1143" w:type="dxa"/>
            <w:tcBorders>
              <w:top w:val="dotted" w:sz="4" w:space="0" w:color="000000"/>
              <w:left w:val="dotted" w:sz="4" w:space="0" w:color="000000"/>
              <w:bottom w:val="dotted" w:sz="4" w:space="0" w:color="000000"/>
              <w:right w:val="dotted" w:sz="4" w:space="0" w:color="000000"/>
            </w:tcBorders>
          </w:tcPr>
          <w:p>
            <w:pPr/>
          </w:p>
        </w:tc>
        <w:tc>
          <w:tcPr>
            <w:tcW w:w="7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100.00</w:t>
            </w:r>
          </w:p>
        </w:tc>
        <w:tc>
          <w:tcPr>
            <w:tcW w:w="6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注销</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85"/>
              <w:jc w:val="right"/>
              <w:rPr>
                <w:rFonts w:ascii="宋体" w:hAnsi="宋体" w:cs="宋体" w:eastAsia="宋体"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12 </w:t>
            </w:r>
            <w:r>
              <w:rPr>
                <w:rFonts w:ascii="宋体" w:hAnsi="宋体" w:cs="宋体" w:eastAsia="宋体" w:hint="default"/>
                <w:sz w:val="13"/>
                <w:szCs w:val="13"/>
              </w:rPr>
              <w:t>月</w:t>
            </w:r>
          </w:p>
        </w:tc>
        <w:tc>
          <w:tcPr>
            <w:tcW w:w="799"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103" w:right="79"/>
              <w:jc w:val="left"/>
              <w:rPr>
                <w:rFonts w:ascii="宋体" w:hAnsi="宋体" w:cs="宋体" w:eastAsia="宋体" w:hint="default"/>
                <w:sz w:val="13"/>
                <w:szCs w:val="13"/>
              </w:rPr>
            </w:pPr>
            <w:r>
              <w:rPr>
                <w:rFonts w:ascii="宋体" w:hAnsi="宋体" w:cs="宋体" w:eastAsia="宋体" w:hint="default"/>
                <w:spacing w:val="15"/>
                <w:sz w:val="13"/>
                <w:szCs w:val="13"/>
              </w:rPr>
              <w:t>完成注销</w:t>
            </w:r>
            <w:r>
              <w:rPr>
                <w:rFonts w:ascii="宋体" w:hAnsi="宋体" w:cs="宋体" w:eastAsia="宋体" w:hint="default"/>
                <w:spacing w:val="-44"/>
                <w:sz w:val="13"/>
                <w:szCs w:val="13"/>
              </w:rPr>
              <w:t> </w:t>
            </w:r>
            <w:r>
              <w:rPr>
                <w:rFonts w:ascii="宋体" w:hAnsi="宋体" w:cs="宋体" w:eastAsia="宋体" w:hint="default"/>
                <w:sz w:val="13"/>
                <w:szCs w:val="13"/>
              </w:rPr>
              <w:t>手续</w:t>
            </w:r>
          </w:p>
        </w:tc>
        <w:tc>
          <w:tcPr>
            <w:tcW w:w="1166"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80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宁夏安顺货运有限公司</w:t>
            </w:r>
          </w:p>
        </w:tc>
        <w:tc>
          <w:tcPr>
            <w:tcW w:w="1143" w:type="dxa"/>
            <w:tcBorders>
              <w:top w:val="dotted" w:sz="4" w:space="0" w:color="000000"/>
              <w:left w:val="dotted" w:sz="4" w:space="0" w:color="000000"/>
              <w:bottom w:val="single" w:sz="12" w:space="0" w:color="000000"/>
              <w:right w:val="dotted" w:sz="4" w:space="0" w:color="000000"/>
            </w:tcBorders>
          </w:tcPr>
          <w:p>
            <w:pPr/>
          </w:p>
        </w:tc>
        <w:tc>
          <w:tcPr>
            <w:tcW w:w="7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03" w:right="0"/>
              <w:jc w:val="left"/>
              <w:rPr>
                <w:rFonts w:ascii="Times New Roman" w:hAnsi="Times New Roman" w:cs="Times New Roman" w:eastAsia="Times New Roman" w:hint="default"/>
                <w:sz w:val="13"/>
                <w:szCs w:val="13"/>
              </w:rPr>
            </w:pPr>
            <w:r>
              <w:rPr>
                <w:rFonts w:ascii="Times New Roman"/>
                <w:sz w:val="13"/>
              </w:rPr>
              <w:t>99.00</w:t>
            </w:r>
          </w:p>
        </w:tc>
        <w:tc>
          <w:tcPr>
            <w:tcW w:w="6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注销</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216"/>
              <w:jc w:val="right"/>
              <w:rPr>
                <w:rFonts w:ascii="宋体" w:hAnsi="宋体" w:cs="宋体" w:eastAsia="宋体"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6 </w:t>
            </w:r>
            <w:r>
              <w:rPr>
                <w:rFonts w:ascii="宋体" w:hAnsi="宋体" w:cs="宋体" w:eastAsia="宋体" w:hint="default"/>
                <w:sz w:val="13"/>
                <w:szCs w:val="13"/>
              </w:rPr>
              <w:t>月</w:t>
            </w:r>
          </w:p>
        </w:tc>
        <w:tc>
          <w:tcPr>
            <w:tcW w:w="799" w:type="dxa"/>
            <w:tcBorders>
              <w:top w:val="dotted" w:sz="4" w:space="0" w:color="000000"/>
              <w:left w:val="dotted" w:sz="4" w:space="0" w:color="000000"/>
              <w:bottom w:val="single" w:sz="12" w:space="0" w:color="000000"/>
              <w:right w:val="dotted" w:sz="4" w:space="0" w:color="000000"/>
            </w:tcBorders>
          </w:tcPr>
          <w:p>
            <w:pPr>
              <w:pStyle w:val="TableParagraph"/>
              <w:spacing w:line="360" w:lineRule="atLeast" w:before="16"/>
              <w:ind w:left="103" w:right="79"/>
              <w:jc w:val="left"/>
              <w:rPr>
                <w:rFonts w:ascii="宋体" w:hAnsi="宋体" w:cs="宋体" w:eastAsia="宋体" w:hint="default"/>
                <w:sz w:val="13"/>
                <w:szCs w:val="13"/>
              </w:rPr>
            </w:pPr>
            <w:r>
              <w:rPr>
                <w:rFonts w:ascii="宋体" w:hAnsi="宋体" w:cs="宋体" w:eastAsia="宋体" w:hint="default"/>
                <w:spacing w:val="15"/>
                <w:sz w:val="13"/>
                <w:szCs w:val="13"/>
              </w:rPr>
              <w:t>完成注销</w:t>
            </w:r>
            <w:r>
              <w:rPr>
                <w:rFonts w:ascii="宋体" w:hAnsi="宋体" w:cs="宋体" w:eastAsia="宋体" w:hint="default"/>
                <w:spacing w:val="-44"/>
                <w:sz w:val="13"/>
                <w:szCs w:val="13"/>
              </w:rPr>
              <w:t> </w:t>
            </w:r>
            <w:r>
              <w:rPr>
                <w:rFonts w:ascii="宋体" w:hAnsi="宋体" w:cs="宋体" w:eastAsia="宋体" w:hint="default"/>
                <w:sz w:val="13"/>
                <w:szCs w:val="13"/>
              </w:rPr>
              <w:t>手续</w:t>
            </w:r>
          </w:p>
        </w:tc>
        <w:tc>
          <w:tcPr>
            <w:tcW w:w="1166" w:type="dxa"/>
            <w:tcBorders>
              <w:top w:val="dotted" w:sz="4" w:space="0" w:color="000000"/>
              <w:left w:val="dotted" w:sz="4" w:space="0" w:color="000000"/>
              <w:bottom w:val="single" w:sz="12" w:space="0" w:color="000000"/>
              <w:right w:val="dotted" w:sz="4" w:space="0" w:color="000000"/>
            </w:tcBorders>
          </w:tcPr>
          <w:p>
            <w:pPr/>
          </w:p>
        </w:tc>
        <w:tc>
          <w:tcPr>
            <w:tcW w:w="953" w:type="dxa"/>
            <w:tcBorders>
              <w:top w:val="dotted" w:sz="4" w:space="0" w:color="000000"/>
              <w:left w:val="dotted" w:sz="4" w:space="0" w:color="000000"/>
              <w:bottom w:val="single" w:sz="12" w:space="0" w:color="000000"/>
              <w:right w:val="dotted" w:sz="4" w:space="0" w:color="000000"/>
            </w:tcBorders>
          </w:tcPr>
          <w:p>
            <w:pPr/>
          </w:p>
        </w:tc>
        <w:tc>
          <w:tcPr>
            <w:tcW w:w="917"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049" w:type="dxa"/>
            <w:tcBorders>
              <w:top w:val="dotted" w:sz="4" w:space="0" w:color="000000"/>
              <w:left w:val="dotted" w:sz="4" w:space="0" w:color="000000"/>
              <w:bottom w:val="single" w:sz="12" w:space="0" w:color="000000"/>
              <w:right w:val="dotted" w:sz="4" w:space="0" w:color="000000"/>
            </w:tcBorders>
          </w:tcPr>
          <w:p>
            <w:pPr/>
          </w:p>
        </w:tc>
        <w:tc>
          <w:tcPr>
            <w:tcW w:w="100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9"/>
          <w:szCs w:val="19"/>
        </w:rPr>
      </w:pPr>
    </w:p>
    <w:p>
      <w:pPr>
        <w:spacing w:before="44"/>
        <w:ind w:left="6158" w:right="625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93"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122"/>
          <w:footerReference w:type="default" r:id="rId123"/>
          <w:pgSz w:w="16840" w:h="11910" w:orient="landscape"/>
          <w:pgMar w:header="0" w:footer="0" w:top="700" w:bottom="0" w:left="1300" w:right="12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7.35pt;height:.5pt;mso-position-horizontal-relative:char;mso-position-vertical-relative:line" coordorigin="0,0" coordsize="8347,10">
            <v:group style="position:absolute;left:5;top:5;width:8337;height:2" coordorigin="5,5" coordsize="8337,2">
              <v:shape style="position:absolute;left:5;top:5;width:8337;height:2" coordorigin="5,5" coordsize="8337,0" path="m5,5l8341,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5"/>
          <w:szCs w:val="25"/>
        </w:rPr>
      </w:pPr>
    </w:p>
    <w:p>
      <w:pPr>
        <w:pStyle w:val="BodyText"/>
        <w:spacing w:line="333" w:lineRule="auto"/>
        <w:ind w:left="850" w:right="1786"/>
        <w:jc w:val="both"/>
      </w:pPr>
      <w:r>
        <w:rPr/>
        <w:t>说明：</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月，本公司的子公司天津海吉星农产品物流有限公司（简称</w:t>
      </w:r>
      <w:r>
        <w:rPr>
          <w:rFonts w:ascii="Times New Roman" w:hAnsi="Times New Roman" w:cs="Times New Roman" w:eastAsia="Times New Roman" w:hint="default"/>
        </w:rPr>
        <w:t>“</w:t>
      </w:r>
      <w:r>
        <w:rPr/>
        <w:t>天</w:t>
      </w:r>
      <w:r>
        <w:rPr>
          <w:w w:val="100"/>
        </w:rPr>
        <w:t> </w:t>
      </w:r>
      <w:r>
        <w:rPr>
          <w:spacing w:val="-3"/>
        </w:rPr>
        <w:t>津海吉星</w:t>
      </w:r>
      <w:r>
        <w:rPr>
          <w:rFonts w:ascii="Times New Roman" w:hAnsi="Times New Roman" w:cs="Times New Roman" w:eastAsia="Times New Roman" w:hint="default"/>
          <w:spacing w:val="-3"/>
        </w:rPr>
        <w:t>”</w:t>
      </w:r>
      <w:r>
        <w:rPr>
          <w:spacing w:val="-3"/>
        </w:rPr>
        <w:t>）通过深圳联合产权交易所挂牌整体转让天津海吉星农产品电子商务有限</w:t>
      </w:r>
      <w:r>
        <w:rPr>
          <w:spacing w:val="-52"/>
        </w:rPr>
        <w:t> </w:t>
      </w:r>
      <w:r>
        <w:rPr>
          <w:spacing w:val="-52"/>
        </w:rPr>
      </w:r>
      <w:r>
        <w:rPr>
          <w:spacing w:val="4"/>
        </w:rPr>
        <w:t>公司、天津海吉星中央大厨房物流配送有限公司、天津海吉星冷链仓储有限公司</w:t>
      </w:r>
      <w:r>
        <w:rPr>
          <w:spacing w:val="-30"/>
        </w:rPr>
        <w:t> </w:t>
      </w:r>
      <w:r>
        <w:rPr>
          <w:spacing w:val="-30"/>
        </w:rPr>
      </w:r>
      <w:r>
        <w:rPr>
          <w:rFonts w:ascii="Times New Roman" w:hAnsi="Times New Roman" w:cs="Times New Roman" w:eastAsia="Times New Roman" w:hint="default"/>
          <w:spacing w:val="-2"/>
        </w:rPr>
        <w:t>100%</w:t>
      </w:r>
      <w:r>
        <w:rPr>
          <w:spacing w:val="-2"/>
        </w:rPr>
        <w:t>股权。深圳市万科物流投资有限公司（</w:t>
      </w:r>
      <w:r>
        <w:rPr>
          <w:rFonts w:ascii="Times New Roman" w:hAnsi="Times New Roman" w:cs="Times New Roman" w:eastAsia="Times New Roman" w:hint="default"/>
          <w:spacing w:val="-2"/>
        </w:rPr>
        <w:t>“</w:t>
      </w:r>
      <w:r>
        <w:rPr>
          <w:spacing w:val="-2"/>
        </w:rPr>
        <w:t>受让方</w:t>
      </w:r>
      <w:r>
        <w:rPr>
          <w:rFonts w:ascii="Times New Roman" w:hAnsi="Times New Roman" w:cs="Times New Roman" w:eastAsia="Times New Roman" w:hint="default"/>
          <w:spacing w:val="-2"/>
        </w:rPr>
        <w:t>”</w:t>
      </w:r>
      <w:r>
        <w:rPr>
          <w:spacing w:val="-2"/>
        </w:rPr>
        <w:t>）与天津海吉星签订股权转让</w:t>
      </w:r>
      <w:r>
        <w:rPr>
          <w:spacing w:val="-44"/>
        </w:rPr>
        <w:t> </w:t>
      </w:r>
      <w:r>
        <w:rPr>
          <w:spacing w:val="-44"/>
        </w:rPr>
      </w:r>
      <w:r>
        <w:rPr/>
        <w:t>及债务代偿协议书，成交价为 </w:t>
      </w:r>
      <w:r>
        <w:rPr>
          <w:rFonts w:ascii="Times New Roman" w:hAnsi="Times New Roman" w:cs="Times New Roman" w:eastAsia="Times New Roman" w:hint="default"/>
        </w:rPr>
        <w:t>181,806,366.05</w:t>
      </w:r>
      <w:r>
        <w:rPr>
          <w:rFonts w:ascii="Times New Roman" w:hAnsi="Times New Roman" w:cs="Times New Roman" w:eastAsia="Times New Roman" w:hint="default"/>
          <w:spacing w:val="36"/>
        </w:rPr>
        <w:t> </w:t>
      </w:r>
      <w:r>
        <w:rPr/>
        <w:t>元，其中三家公司股权成交价为人民</w:t>
      </w:r>
      <w:r>
        <w:rPr>
          <w:w w:val="100"/>
        </w:rPr>
        <w:t> </w:t>
      </w:r>
      <w:r>
        <w:rPr/>
        <w:t>币</w:t>
      </w:r>
      <w:r>
        <w:rPr>
          <w:spacing w:val="36"/>
        </w:rPr>
        <w:t> </w:t>
      </w:r>
      <w:r>
        <w:rPr>
          <w:rFonts w:ascii="Times New Roman" w:hAnsi="Times New Roman" w:cs="Times New Roman" w:eastAsia="Times New Roman" w:hint="default"/>
        </w:rPr>
        <w:t>112,168,200.00</w:t>
      </w:r>
      <w:r>
        <w:rPr>
          <w:rFonts w:ascii="Times New Roman" w:hAnsi="Times New Roman" w:cs="Times New Roman" w:eastAsia="Times New Roman" w:hint="default"/>
          <w:spacing w:val="36"/>
        </w:rPr>
        <w:t> </w:t>
      </w:r>
      <w:r>
        <w:rPr/>
        <w:t>元</w:t>
      </w:r>
      <w:r>
        <w:rPr>
          <w:spacing w:val="-74"/>
        </w:rPr>
        <w:t> </w:t>
      </w:r>
      <w:r>
        <w:rPr/>
        <w:t>，</w:t>
      </w:r>
      <w:r>
        <w:rPr>
          <w:spacing w:val="-74"/>
        </w:rPr>
        <w:t> </w:t>
      </w:r>
      <w:r>
        <w:rPr/>
        <w:t>另</w:t>
      </w:r>
      <w:r>
        <w:rPr>
          <w:spacing w:val="-72"/>
        </w:rPr>
        <w:t> </w:t>
      </w:r>
      <w:r>
        <w:rPr/>
        <w:t>由</w:t>
      </w:r>
      <w:r>
        <w:rPr>
          <w:spacing w:val="-74"/>
        </w:rPr>
        <w:t> </w:t>
      </w:r>
      <w:r>
        <w:rPr/>
        <w:t>受</w:t>
      </w:r>
      <w:r>
        <w:rPr>
          <w:spacing w:val="-72"/>
        </w:rPr>
        <w:t> </w:t>
      </w:r>
      <w:r>
        <w:rPr/>
        <w:t>让</w:t>
      </w:r>
      <w:r>
        <w:rPr>
          <w:spacing w:val="-74"/>
        </w:rPr>
        <w:t> </w:t>
      </w:r>
      <w:r>
        <w:rPr/>
        <w:t>方</w:t>
      </w:r>
      <w:r>
        <w:rPr>
          <w:spacing w:val="-74"/>
        </w:rPr>
        <w:t> </w:t>
      </w:r>
      <w:r>
        <w:rPr/>
        <w:t>代</w:t>
      </w:r>
      <w:r>
        <w:rPr>
          <w:spacing w:val="-72"/>
        </w:rPr>
        <w:t> </w:t>
      </w:r>
      <w:r>
        <w:rPr/>
        <w:t>三</w:t>
      </w:r>
      <w:r>
        <w:rPr>
          <w:spacing w:val="-74"/>
        </w:rPr>
        <w:t> </w:t>
      </w:r>
      <w:r>
        <w:rPr/>
        <w:t>家</w:t>
      </w:r>
      <w:r>
        <w:rPr>
          <w:spacing w:val="-72"/>
        </w:rPr>
        <w:t> </w:t>
      </w:r>
      <w:r>
        <w:rPr/>
        <w:t>公</w:t>
      </w:r>
      <w:r>
        <w:rPr>
          <w:spacing w:val="-74"/>
        </w:rPr>
        <w:t> </w:t>
      </w:r>
      <w:r>
        <w:rPr/>
        <w:t>司</w:t>
      </w:r>
      <w:r>
        <w:rPr>
          <w:spacing w:val="-74"/>
        </w:rPr>
        <w:t> </w:t>
      </w:r>
      <w:r>
        <w:rPr/>
        <w:t>向</w:t>
      </w:r>
      <w:r>
        <w:rPr>
          <w:spacing w:val="-72"/>
        </w:rPr>
        <w:t> </w:t>
      </w:r>
      <w:r>
        <w:rPr/>
        <w:t>天</w:t>
      </w:r>
      <w:r>
        <w:rPr>
          <w:spacing w:val="-74"/>
        </w:rPr>
        <w:t> </w:t>
      </w:r>
      <w:r>
        <w:rPr/>
        <w:t>津</w:t>
      </w:r>
      <w:r>
        <w:rPr>
          <w:spacing w:val="-72"/>
        </w:rPr>
        <w:t> </w:t>
      </w:r>
      <w:r>
        <w:rPr/>
        <w:t>海</w:t>
      </w:r>
      <w:r>
        <w:rPr>
          <w:spacing w:val="-74"/>
        </w:rPr>
        <w:t> </w:t>
      </w:r>
      <w:r>
        <w:rPr/>
        <w:t>吉</w:t>
      </w:r>
      <w:r>
        <w:rPr>
          <w:spacing w:val="-74"/>
        </w:rPr>
        <w:t> </w:t>
      </w:r>
      <w:r>
        <w:rPr/>
        <w:t>星</w:t>
      </w:r>
      <w:r>
        <w:rPr>
          <w:spacing w:val="-72"/>
        </w:rPr>
        <w:t> </w:t>
      </w:r>
      <w:r>
        <w:rPr/>
        <w:t>偿</w:t>
      </w:r>
      <w:r>
        <w:rPr>
          <w:spacing w:val="-74"/>
        </w:rPr>
        <w:t> </w:t>
      </w:r>
      <w:r>
        <w:rPr/>
        <w:t>还</w:t>
      </w:r>
      <w:r>
        <w:rPr>
          <w:spacing w:val="-72"/>
        </w:rPr>
        <w:t> </w:t>
      </w:r>
      <w:r>
        <w:rPr/>
        <w:t>债</w:t>
      </w:r>
      <w:r>
        <w:rPr>
          <w:spacing w:val="-74"/>
        </w:rPr>
        <w:t> </w:t>
      </w:r>
      <w:r>
        <w:rPr/>
        <w:t>务</w:t>
      </w:r>
      <w:r>
        <w:rPr>
          <w:spacing w:val="-74"/>
        </w:rPr>
        <w:t> </w:t>
      </w:r>
      <w:r>
        <w:rPr/>
        <w:t>本</w:t>
      </w:r>
      <w:r>
        <w:rPr>
          <w:spacing w:val="-72"/>
        </w:rPr>
        <w:t> </w:t>
      </w:r>
      <w:r>
        <w:rPr/>
        <w:t>息</w:t>
      </w:r>
      <w:r>
        <w:rPr>
          <w:w w:val="100"/>
        </w:rPr>
        <w:t> </w:t>
      </w:r>
      <w:r>
        <w:rPr>
          <w:rFonts w:ascii="Times New Roman" w:hAnsi="Times New Roman" w:cs="Times New Roman" w:eastAsia="Times New Roman" w:hint="default"/>
        </w:rPr>
        <w:t>69,638,166.05</w:t>
      </w:r>
      <w:r>
        <w:rPr>
          <w:rFonts w:ascii="Times New Roman" w:hAnsi="Times New Roman" w:cs="Times New Roman" w:eastAsia="Times New Roman" w:hint="default"/>
          <w:spacing w:val="3"/>
        </w:rPr>
        <w:t> </w:t>
      </w:r>
      <w:r>
        <w:rPr>
          <w:spacing w:val="-3"/>
        </w:rPr>
        <w:t>元。</w:t>
      </w:r>
      <w:r>
        <w:rPr/>
      </w:r>
    </w:p>
    <w:p>
      <w:pPr>
        <w:pStyle w:val="BodyText"/>
        <w:spacing w:line="328" w:lineRule="auto" w:before="20"/>
        <w:ind w:left="850" w:right="1786"/>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月，子公司深圳市农安认证农产品有限公司注销，不再纳入企业的合</w:t>
      </w:r>
      <w:r>
        <w:rPr>
          <w:w w:val="100"/>
        </w:rPr>
        <w:t> </w:t>
      </w:r>
      <w:r>
        <w:rPr/>
        <w:t>并范围。</w:t>
      </w:r>
    </w:p>
    <w:p>
      <w:pPr>
        <w:pStyle w:val="BodyText"/>
        <w:spacing w:line="240" w:lineRule="auto" w:before="48"/>
        <w:ind w:left="850" w:right="167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6 </w:t>
      </w:r>
      <w:r>
        <w:rPr/>
        <w:t>月，子公司宁夏安顺货运有限公司注销，不再纳入企业的合并范围。</w:t>
      </w:r>
    </w:p>
    <w:p>
      <w:pPr>
        <w:spacing w:line="240" w:lineRule="auto" w:before="2"/>
        <w:rPr>
          <w:rFonts w:ascii="宋体" w:hAnsi="宋体" w:cs="宋体" w:eastAsia="宋体" w:hint="default"/>
          <w:sz w:val="25"/>
          <w:szCs w:val="25"/>
        </w:rPr>
      </w:pPr>
    </w:p>
    <w:p>
      <w:pPr>
        <w:tabs>
          <w:tab w:pos="1397" w:val="left" w:leader="none"/>
        </w:tabs>
        <w:spacing w:line="328" w:lineRule="auto" w:before="0"/>
        <w:ind w:left="1414" w:right="180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通过多次交易分步处置对子公司投资且在本期丧失控制权的情形</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pacing w:val="-31"/>
          <w:sz w:val="21"/>
          <w:szCs w:val="21"/>
        </w:rPr>
      </w:r>
      <w:r>
        <w:rPr>
          <w:rFonts w:ascii="宋体" w:hAnsi="宋体" w:cs="宋体" w:eastAsia="宋体" w:hint="default"/>
          <w:sz w:val="21"/>
          <w:szCs w:val="21"/>
        </w:rPr>
        <w:t>公司本期不存在通过多次交易分步处置对子公司投资且在本期丧失控制权的</w:t>
      </w:r>
      <w:r>
        <w:rPr>
          <w:rFonts w:ascii="宋体" w:hAnsi="宋体" w:cs="宋体" w:eastAsia="宋体" w:hint="default"/>
          <w:w w:val="100"/>
          <w:sz w:val="21"/>
          <w:szCs w:val="21"/>
        </w:rPr>
        <w:t> </w:t>
      </w:r>
      <w:r>
        <w:rPr>
          <w:rFonts w:ascii="宋体" w:hAnsi="宋体" w:cs="宋体" w:eastAsia="宋体" w:hint="default"/>
          <w:sz w:val="21"/>
          <w:szCs w:val="21"/>
        </w:rPr>
        <w:t>情形。</w:t>
      </w:r>
    </w:p>
    <w:p>
      <w:pPr>
        <w:spacing w:line="240" w:lineRule="auto" w:before="1"/>
        <w:rPr>
          <w:rFonts w:ascii="宋体" w:hAnsi="宋体" w:cs="宋体" w:eastAsia="宋体" w:hint="default"/>
          <w:sz w:val="29"/>
          <w:szCs w:val="29"/>
        </w:rPr>
      </w:pPr>
    </w:p>
    <w:p>
      <w:pPr>
        <w:tabs>
          <w:tab w:pos="850" w:val="left" w:leader="none"/>
        </w:tabs>
        <w:spacing w:line="307" w:lineRule="auto" w:before="0"/>
        <w:ind w:left="850" w:right="4559"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其他原因的合并范围变动</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公司本期不存在其他原因导致合并范围变动的事项。</w:t>
      </w:r>
    </w:p>
    <w:p>
      <w:pPr>
        <w:spacing w:line="240" w:lineRule="auto" w:before="0"/>
        <w:rPr>
          <w:rFonts w:ascii="宋体" w:hAnsi="宋体" w:cs="宋体" w:eastAsia="宋体" w:hint="default"/>
          <w:sz w:val="20"/>
          <w:szCs w:val="20"/>
        </w:rPr>
      </w:pPr>
    </w:p>
    <w:p>
      <w:pPr>
        <w:pStyle w:val="Heading6"/>
        <w:tabs>
          <w:tab w:pos="850" w:val="left" w:leader="none"/>
        </w:tabs>
        <w:spacing w:line="240" w:lineRule="auto" w:before="137"/>
        <w:ind w:left="138" w:right="1675"/>
        <w:jc w:val="left"/>
        <w:rPr>
          <w:b w:val="0"/>
          <w:bCs w:val="0"/>
        </w:rPr>
      </w:pPr>
      <w:r>
        <w:rPr/>
        <w:t>七、</w:t>
        <w:tab/>
        <w:t>在其他主体中的权益</w:t>
      </w:r>
      <w:r>
        <w:rPr>
          <w:b w:val="0"/>
          <w:bCs w:val="0"/>
        </w:rPr>
      </w:r>
    </w:p>
    <w:p>
      <w:pPr>
        <w:pStyle w:val="Heading6"/>
        <w:tabs>
          <w:tab w:pos="850" w:val="left" w:leader="none"/>
        </w:tabs>
        <w:spacing w:line="240" w:lineRule="auto" w:before="35"/>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在子公司中的权益</w:t>
      </w:r>
      <w:r>
        <w:rPr>
          <w:b w:val="0"/>
          <w:bCs w:val="0"/>
        </w:rPr>
      </w:r>
    </w:p>
    <w:p>
      <w:pPr>
        <w:pStyle w:val="Heading6"/>
        <w:tabs>
          <w:tab w:pos="1397" w:val="left" w:leader="none"/>
        </w:tabs>
        <w:spacing w:line="240" w:lineRule="auto" w:before="33"/>
        <w:ind w:right="1675"/>
        <w:jc w:val="left"/>
        <w:rPr>
          <w:b w:val="0"/>
          <w:bCs w:val="0"/>
        </w:rPr>
      </w:pPr>
      <w:r>
        <w:rPr>
          <w:rFonts w:ascii="Times New Roman" w:hAnsi="Times New Roman" w:cs="Times New Roman" w:eastAsia="Times New Roman" w:hint="default"/>
        </w:rPr>
        <w:t>1</w:t>
      </w:r>
      <w:r>
        <w:rPr/>
        <w:t>、</w:t>
        <w:tab/>
        <w:t>企业集团的构成</w:t>
      </w:r>
      <w:r>
        <w:rPr>
          <w:b w:val="0"/>
          <w:bCs w:val="0"/>
        </w:rPr>
      </w:r>
    </w:p>
    <w:tbl>
      <w:tblPr>
        <w:tblW w:w="0" w:type="auto"/>
        <w:jc w:val="left"/>
        <w:tblInd w:w="834" w:type="dxa"/>
        <w:tblLayout w:type="fixed"/>
        <w:tblCellMar>
          <w:top w:w="0" w:type="dxa"/>
          <w:left w:w="0" w:type="dxa"/>
          <w:bottom w:w="0" w:type="dxa"/>
          <w:right w:w="0" w:type="dxa"/>
        </w:tblCellMar>
        <w:tblLook w:val="01E0"/>
      </w:tblPr>
      <w:tblGrid>
        <w:gridCol w:w="2117"/>
        <w:gridCol w:w="936"/>
        <w:gridCol w:w="807"/>
        <w:gridCol w:w="950"/>
        <w:gridCol w:w="778"/>
        <w:gridCol w:w="788"/>
        <w:gridCol w:w="1255"/>
      </w:tblGrid>
      <w:tr>
        <w:trPr>
          <w:trHeight w:val="379" w:hRule="exact"/>
        </w:trPr>
        <w:tc>
          <w:tcPr>
            <w:tcW w:w="2117"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6" w:type="dxa"/>
            <w:vMerge w:val="restart"/>
            <w:tcBorders>
              <w:top w:val="single" w:sz="12" w:space="0" w:color="000000"/>
              <w:left w:val="dotted" w:sz="4" w:space="0" w:color="000000"/>
              <w:right w:val="dotted" w:sz="4" w:space="0" w:color="000000"/>
            </w:tcBorders>
          </w:tcPr>
          <w:p>
            <w:pPr>
              <w:pStyle w:val="TableParagraph"/>
              <w:spacing w:line="360" w:lineRule="exact" w:before="24"/>
              <w:ind w:left="371" w:right="101"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7"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0"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55"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72" w:hRule="exact"/>
        </w:trPr>
        <w:tc>
          <w:tcPr>
            <w:tcW w:w="2117" w:type="dxa"/>
            <w:vMerge/>
            <w:tcBorders>
              <w:left w:val="nil" w:sz="6" w:space="0" w:color="auto"/>
              <w:bottom w:val="dotted" w:sz="4" w:space="0" w:color="000000"/>
              <w:right w:val="dotted" w:sz="4" w:space="0" w:color="000000"/>
            </w:tcBorders>
          </w:tcPr>
          <w:p>
            <w:pPr/>
          </w:p>
        </w:tc>
        <w:tc>
          <w:tcPr>
            <w:tcW w:w="936" w:type="dxa"/>
            <w:vMerge/>
            <w:tcBorders>
              <w:left w:val="dotted" w:sz="4" w:space="0" w:color="000000"/>
              <w:bottom w:val="dotted" w:sz="4" w:space="0" w:color="000000"/>
              <w:right w:val="dotted" w:sz="4" w:space="0" w:color="000000"/>
            </w:tcBorders>
          </w:tcPr>
          <w:p>
            <w:pPr/>
          </w:p>
        </w:tc>
        <w:tc>
          <w:tcPr>
            <w:tcW w:w="807" w:type="dxa"/>
            <w:vMerge/>
            <w:tcBorders>
              <w:left w:val="dotted" w:sz="4" w:space="0" w:color="000000"/>
              <w:bottom w:val="dotted" w:sz="4" w:space="0" w:color="000000"/>
              <w:right w:val="dotted" w:sz="4" w:space="0" w:color="000000"/>
            </w:tcBorders>
          </w:tcPr>
          <w:p>
            <w:pPr/>
          </w:p>
        </w:tc>
        <w:tc>
          <w:tcPr>
            <w:tcW w:w="950" w:type="dxa"/>
            <w:vMerge/>
            <w:tcBorders>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right="3"/>
              <w:jc w:val="center"/>
              <w:rPr>
                <w:rFonts w:ascii="宋体" w:hAnsi="宋体" w:cs="宋体" w:eastAsia="宋体" w:hint="default"/>
                <w:sz w:val="18"/>
                <w:szCs w:val="18"/>
              </w:rPr>
            </w:pPr>
            <w:r>
              <w:rPr>
                <w:rFonts w:ascii="宋体" w:hAnsi="宋体" w:cs="宋体" w:eastAsia="宋体" w:hint="default"/>
                <w:sz w:val="18"/>
                <w:szCs w:val="18"/>
              </w:rPr>
              <w:t>间接</w:t>
            </w:r>
          </w:p>
        </w:tc>
        <w:tc>
          <w:tcPr>
            <w:tcW w:w="1255" w:type="dxa"/>
            <w:vMerge/>
            <w:tcBorders>
              <w:left w:val="dotted" w:sz="4" w:space="0" w:color="000000"/>
              <w:bottom w:val="dotted" w:sz="4" w:space="0" w:color="000000"/>
              <w:right w:val="nil" w:sz="6" w:space="0" w:color="auto"/>
            </w:tcBorders>
          </w:tcPr>
          <w:p>
            <w:pP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6"/>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深圳市福田农产品批发市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72.99</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5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44"/>
              <w:jc w:val="center"/>
              <w:rPr>
                <w:rFonts w:ascii="宋体" w:hAnsi="宋体" w:cs="宋体" w:eastAsia="宋体" w:hint="default"/>
                <w:sz w:val="18"/>
                <w:szCs w:val="18"/>
              </w:rPr>
            </w:pPr>
            <w:r>
              <w:rPr>
                <w:rFonts w:ascii="宋体" w:hAnsi="宋体" w:cs="宋体" w:eastAsia="宋体" w:hint="default"/>
                <w:sz w:val="18"/>
                <w:szCs w:val="18"/>
              </w:rPr>
              <w:t>深圳市大来拍卖有限公司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深圳市布吉海鲜市场有限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51.22</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深圳市农产品运输服务有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86.50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4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44"/>
              <w:jc w:val="center"/>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深圳市海吉星国际农产品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物流管理有限公司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61" w:hRule="exact"/>
        </w:trPr>
        <w:tc>
          <w:tcPr>
            <w:tcW w:w="21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left="19" w:right="0"/>
              <w:jc w:val="center"/>
              <w:rPr>
                <w:rFonts w:ascii="宋体" w:hAnsi="宋体" w:cs="宋体" w:eastAsia="宋体" w:hint="default"/>
                <w:sz w:val="18"/>
                <w:szCs w:val="18"/>
              </w:rPr>
            </w:pPr>
            <w:r>
              <w:rPr>
                <w:rFonts w:ascii="宋体" w:hAnsi="宋体" w:cs="宋体" w:eastAsia="宋体" w:hint="default"/>
                <w:spacing w:val="5"/>
                <w:sz w:val="18"/>
                <w:szCs w:val="18"/>
              </w:rPr>
              <w:t>深圳市海吉星国际食品产</w:t>
            </w: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footerReference w:type="default" r:id="rId124"/>
          <w:pgSz w:w="11910" w:h="16840"/>
          <w:pgMar w:footer="996" w:header="0" w:top="1100" w:bottom="1180" w:left="1660" w:right="0"/>
          <w:pgNumType w:start="94"/>
        </w:sectPr>
      </w:pPr>
    </w:p>
    <w:p>
      <w:pPr>
        <w:spacing w:line="240" w:lineRule="auto" w:before="5"/>
        <w:rPr>
          <w:rFonts w:ascii="Times New Roman" w:hAnsi="Times New Roman" w:cs="Times New Roman" w:eastAsia="Times New Roman" w:hint="default"/>
          <w:sz w:val="28"/>
          <w:szCs w:val="28"/>
        </w:rPr>
      </w:pPr>
    </w:p>
    <w:tbl>
      <w:tblPr>
        <w:tblW w:w="0" w:type="auto"/>
        <w:jc w:val="left"/>
        <w:tblInd w:w="834" w:type="dxa"/>
        <w:tblLayout w:type="fixed"/>
        <w:tblCellMar>
          <w:top w:w="0" w:type="dxa"/>
          <w:left w:w="0" w:type="dxa"/>
          <w:bottom w:w="0" w:type="dxa"/>
          <w:right w:w="0" w:type="dxa"/>
        </w:tblCellMar>
        <w:tblLook w:val="01E0"/>
      </w:tblPr>
      <w:tblGrid>
        <w:gridCol w:w="2117"/>
        <w:gridCol w:w="936"/>
        <w:gridCol w:w="807"/>
        <w:gridCol w:w="950"/>
        <w:gridCol w:w="778"/>
        <w:gridCol w:w="788"/>
        <w:gridCol w:w="1255"/>
      </w:tblGrid>
      <w:tr>
        <w:trPr>
          <w:trHeight w:val="382" w:hRule="exact"/>
        </w:trPr>
        <w:tc>
          <w:tcPr>
            <w:tcW w:w="2117"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6" w:type="dxa"/>
            <w:vMerge w:val="restart"/>
            <w:tcBorders>
              <w:top w:val="single" w:sz="12" w:space="0" w:color="000000"/>
              <w:left w:val="dotted" w:sz="4" w:space="0" w:color="000000"/>
              <w:right w:val="dotted" w:sz="4" w:space="0" w:color="000000"/>
            </w:tcBorders>
          </w:tcPr>
          <w:p>
            <w:pPr>
              <w:pStyle w:val="TableParagraph"/>
              <w:spacing w:line="360" w:lineRule="exact" w:before="27"/>
              <w:ind w:left="371" w:right="101"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0"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55"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70" w:hRule="exact"/>
        </w:trPr>
        <w:tc>
          <w:tcPr>
            <w:tcW w:w="2117" w:type="dxa"/>
            <w:vMerge/>
            <w:tcBorders>
              <w:left w:val="nil" w:sz="6" w:space="0" w:color="auto"/>
              <w:bottom w:val="dotted" w:sz="4" w:space="0" w:color="000000"/>
              <w:right w:val="dotted" w:sz="4" w:space="0" w:color="000000"/>
            </w:tcBorders>
          </w:tcPr>
          <w:p>
            <w:pPr/>
          </w:p>
        </w:tc>
        <w:tc>
          <w:tcPr>
            <w:tcW w:w="936" w:type="dxa"/>
            <w:vMerge/>
            <w:tcBorders>
              <w:left w:val="dotted" w:sz="4" w:space="0" w:color="000000"/>
              <w:bottom w:val="dotted" w:sz="4" w:space="0" w:color="000000"/>
              <w:right w:val="dotted" w:sz="4" w:space="0" w:color="000000"/>
            </w:tcBorders>
          </w:tcPr>
          <w:p>
            <w:pPr/>
          </w:p>
        </w:tc>
        <w:tc>
          <w:tcPr>
            <w:tcW w:w="807" w:type="dxa"/>
            <w:vMerge/>
            <w:tcBorders>
              <w:left w:val="dotted" w:sz="4" w:space="0" w:color="000000"/>
              <w:bottom w:val="dotted" w:sz="4" w:space="0" w:color="000000"/>
              <w:right w:val="dotted" w:sz="4" w:space="0" w:color="000000"/>
            </w:tcBorders>
          </w:tcPr>
          <w:p>
            <w:pPr/>
          </w:p>
        </w:tc>
        <w:tc>
          <w:tcPr>
            <w:tcW w:w="950" w:type="dxa"/>
            <w:vMerge/>
            <w:tcBorders>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间接</w:t>
            </w:r>
          </w:p>
        </w:tc>
        <w:tc>
          <w:tcPr>
            <w:tcW w:w="1255" w:type="dxa"/>
            <w:vMerge/>
            <w:tcBorders>
              <w:left w:val="dotted" w:sz="4" w:space="0" w:color="000000"/>
              <w:bottom w:val="dotted" w:sz="4" w:space="0" w:color="000000"/>
              <w:right w:val="nil" w:sz="6" w:space="0" w:color="auto"/>
            </w:tcBorders>
          </w:tcPr>
          <w:p>
            <w:pPr/>
          </w:p>
        </w:tc>
      </w:tr>
      <w:tr>
        <w:trPr>
          <w:trHeight w:val="410"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43" w:right="0"/>
              <w:jc w:val="left"/>
              <w:rPr>
                <w:rFonts w:ascii="宋体" w:hAnsi="宋体" w:cs="宋体" w:eastAsia="宋体" w:hint="default"/>
                <w:sz w:val="18"/>
                <w:szCs w:val="18"/>
              </w:rPr>
            </w:pPr>
            <w:r>
              <w:rPr>
                <w:rFonts w:ascii="宋体" w:hAnsi="宋体" w:cs="宋体" w:eastAsia="宋体" w:hint="default"/>
                <w:sz w:val="18"/>
                <w:szCs w:val="18"/>
              </w:rPr>
              <w:t>业发展有限公司</w:t>
            </w:r>
          </w:p>
        </w:tc>
        <w:tc>
          <w:tcPr>
            <w:tcW w:w="936" w:type="dxa"/>
            <w:tcBorders>
              <w:top w:val="dotted" w:sz="4" w:space="0" w:color="000000"/>
              <w:left w:val="dotted" w:sz="4" w:space="0" w:color="000000"/>
              <w:bottom w:val="dotted" w:sz="4" w:space="0" w:color="000000"/>
              <w:right w:val="dotted" w:sz="4" w:space="0" w:color="000000"/>
            </w:tcBorders>
          </w:tcPr>
          <w:p>
            <w:pPr/>
          </w:p>
        </w:tc>
        <w:tc>
          <w:tcPr>
            <w:tcW w:w="807"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55"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20"/>
              <w:jc w:val="left"/>
              <w:rPr>
                <w:rFonts w:ascii="宋体" w:hAnsi="宋体" w:cs="宋体" w:eastAsia="宋体" w:hint="default"/>
                <w:sz w:val="18"/>
                <w:szCs w:val="18"/>
              </w:rPr>
            </w:pPr>
            <w:r>
              <w:rPr>
                <w:rFonts w:ascii="宋体" w:hAnsi="宋体" w:cs="宋体" w:eastAsia="宋体" w:hint="default"/>
                <w:spacing w:val="5"/>
                <w:sz w:val="18"/>
                <w:szCs w:val="18"/>
              </w:rPr>
              <w:t>深圳市海吉星投资管理股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97.65</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2.35</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惠州海吉星农产品国际物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6"/>
              <w:ind w:left="43" w:right="21"/>
              <w:jc w:val="left"/>
              <w:rPr>
                <w:rFonts w:ascii="宋体" w:hAnsi="宋体" w:cs="宋体" w:eastAsia="宋体" w:hint="default"/>
                <w:sz w:val="18"/>
                <w:szCs w:val="18"/>
              </w:rPr>
            </w:pPr>
            <w:r>
              <w:rPr>
                <w:rFonts w:ascii="宋体" w:hAnsi="宋体" w:cs="宋体" w:eastAsia="宋体" w:hint="default"/>
                <w:spacing w:val="5"/>
                <w:sz w:val="18"/>
                <w:szCs w:val="18"/>
              </w:rPr>
              <w:t>九江市琵琶湖农产品物流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8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8"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55.00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广西海吉星农产品国际物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95.95</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4.05</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广西新柳邕农产品批发市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65.00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云南东盟国际农产品物流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9.00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天津韩家墅海吉星农产品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物流有限公司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沈阳海吉星农产品物流有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95.00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长春海吉星农产品物流有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78.20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2"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宁夏海吉星国际农产品物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55.48</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4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深圳市水投贸易有限公司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江西省运通汽配市场有限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51.00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12"/>
              <w:jc w:val="left"/>
              <w:rPr>
                <w:rFonts w:ascii="宋体" w:hAnsi="宋体" w:cs="宋体" w:eastAsia="宋体" w:hint="default"/>
                <w:sz w:val="18"/>
                <w:szCs w:val="18"/>
              </w:rPr>
            </w:pPr>
            <w:r>
              <w:rPr>
                <w:rFonts w:ascii="宋体" w:hAnsi="宋体" w:cs="宋体" w:eastAsia="宋体" w:hint="default"/>
                <w:spacing w:val="6"/>
                <w:sz w:val="18"/>
                <w:szCs w:val="18"/>
              </w:rPr>
              <w:t>南昌海吉星物业管理有限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51.00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2"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江西省海吉星农产品电子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商务有限公司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51.00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深圳前海农产品交易所股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10" w:right="108"/>
              <w:jc w:val="left"/>
              <w:rPr>
                <w:rFonts w:ascii="宋体" w:hAnsi="宋体" w:cs="宋体" w:eastAsia="宋体" w:hint="default"/>
                <w:sz w:val="18"/>
                <w:szCs w:val="18"/>
              </w:rPr>
            </w:pPr>
            <w:r>
              <w:rPr>
                <w:rFonts w:ascii="宋体" w:hAnsi="宋体" w:cs="宋体" w:eastAsia="宋体" w:hint="default"/>
                <w:sz w:val="18"/>
                <w:szCs w:val="18"/>
              </w:rPr>
              <w:t>大宗商品 电子交易</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70.00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30.00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21" w:hRule="exact"/>
        </w:trPr>
        <w:tc>
          <w:tcPr>
            <w:tcW w:w="2117"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深圳市田地绿园农业开发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single" w:sz="12" w:space="0" w:color="000000"/>
              <w:right w:val="dotted" w:sz="4" w:space="0" w:color="000000"/>
            </w:tcBorders>
          </w:tcPr>
          <w:p>
            <w:pPr>
              <w:pStyle w:val="TableParagraph"/>
              <w:spacing w:line="367" w:lineRule="auto" w:before="135"/>
              <w:ind w:left="201" w:right="108" w:hanging="92"/>
              <w:jc w:val="left"/>
              <w:rPr>
                <w:rFonts w:ascii="宋体" w:hAnsi="宋体" w:cs="宋体" w:eastAsia="宋体" w:hint="default"/>
                <w:sz w:val="18"/>
                <w:szCs w:val="18"/>
              </w:rPr>
            </w:pPr>
            <w:r>
              <w:rPr>
                <w:rFonts w:ascii="宋体" w:hAnsi="宋体" w:cs="宋体" w:eastAsia="宋体" w:hint="default"/>
                <w:sz w:val="18"/>
                <w:szCs w:val="18"/>
              </w:rPr>
              <w:t>农产品基 地开发</w:t>
            </w:r>
          </w:p>
        </w:tc>
        <w:tc>
          <w:tcPr>
            <w:tcW w:w="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0" w:footer="996" w:top="1100" w:bottom="1180" w:left="1660" w:right="0"/>
        </w:sectPr>
      </w:pPr>
    </w:p>
    <w:p>
      <w:pPr>
        <w:spacing w:line="240" w:lineRule="auto" w:before="5"/>
        <w:rPr>
          <w:rFonts w:ascii="Times New Roman" w:hAnsi="Times New Roman" w:cs="Times New Roman" w:eastAsia="Times New Roman" w:hint="default"/>
          <w:sz w:val="28"/>
          <w:szCs w:val="28"/>
        </w:rPr>
      </w:pPr>
    </w:p>
    <w:tbl>
      <w:tblPr>
        <w:tblW w:w="0" w:type="auto"/>
        <w:jc w:val="left"/>
        <w:tblInd w:w="834" w:type="dxa"/>
        <w:tblLayout w:type="fixed"/>
        <w:tblCellMar>
          <w:top w:w="0" w:type="dxa"/>
          <w:left w:w="0" w:type="dxa"/>
          <w:bottom w:w="0" w:type="dxa"/>
          <w:right w:w="0" w:type="dxa"/>
        </w:tblCellMar>
        <w:tblLook w:val="01E0"/>
      </w:tblPr>
      <w:tblGrid>
        <w:gridCol w:w="2117"/>
        <w:gridCol w:w="936"/>
        <w:gridCol w:w="807"/>
        <w:gridCol w:w="950"/>
        <w:gridCol w:w="778"/>
        <w:gridCol w:w="788"/>
        <w:gridCol w:w="1255"/>
      </w:tblGrid>
      <w:tr>
        <w:trPr>
          <w:trHeight w:val="382" w:hRule="exact"/>
        </w:trPr>
        <w:tc>
          <w:tcPr>
            <w:tcW w:w="2117"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6" w:type="dxa"/>
            <w:vMerge w:val="restart"/>
            <w:tcBorders>
              <w:top w:val="single" w:sz="12" w:space="0" w:color="000000"/>
              <w:left w:val="dotted" w:sz="4" w:space="0" w:color="000000"/>
              <w:right w:val="dotted" w:sz="4" w:space="0" w:color="000000"/>
            </w:tcBorders>
          </w:tcPr>
          <w:p>
            <w:pPr>
              <w:pStyle w:val="TableParagraph"/>
              <w:spacing w:line="360" w:lineRule="exact" w:before="27"/>
              <w:ind w:left="371" w:right="101"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0"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55"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70" w:hRule="exact"/>
        </w:trPr>
        <w:tc>
          <w:tcPr>
            <w:tcW w:w="2117" w:type="dxa"/>
            <w:vMerge/>
            <w:tcBorders>
              <w:left w:val="nil" w:sz="6" w:space="0" w:color="auto"/>
              <w:bottom w:val="dotted" w:sz="4" w:space="0" w:color="000000"/>
              <w:right w:val="dotted" w:sz="4" w:space="0" w:color="000000"/>
            </w:tcBorders>
          </w:tcPr>
          <w:p>
            <w:pPr/>
          </w:p>
        </w:tc>
        <w:tc>
          <w:tcPr>
            <w:tcW w:w="936" w:type="dxa"/>
            <w:vMerge/>
            <w:tcBorders>
              <w:left w:val="dotted" w:sz="4" w:space="0" w:color="000000"/>
              <w:bottom w:val="dotted" w:sz="4" w:space="0" w:color="000000"/>
              <w:right w:val="dotted" w:sz="4" w:space="0" w:color="000000"/>
            </w:tcBorders>
          </w:tcPr>
          <w:p>
            <w:pPr/>
          </w:p>
        </w:tc>
        <w:tc>
          <w:tcPr>
            <w:tcW w:w="807" w:type="dxa"/>
            <w:vMerge/>
            <w:tcBorders>
              <w:left w:val="dotted" w:sz="4" w:space="0" w:color="000000"/>
              <w:bottom w:val="dotted" w:sz="4" w:space="0" w:color="000000"/>
              <w:right w:val="dotted" w:sz="4" w:space="0" w:color="000000"/>
            </w:tcBorders>
          </w:tcPr>
          <w:p>
            <w:pPr/>
          </w:p>
        </w:tc>
        <w:tc>
          <w:tcPr>
            <w:tcW w:w="950" w:type="dxa"/>
            <w:vMerge/>
            <w:tcBorders>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间接</w:t>
            </w:r>
          </w:p>
        </w:tc>
        <w:tc>
          <w:tcPr>
            <w:tcW w:w="1255" w:type="dxa"/>
            <w:vMerge/>
            <w:tcBorders>
              <w:left w:val="dotted" w:sz="4" w:space="0" w:color="000000"/>
              <w:bottom w:val="dotted" w:sz="4" w:space="0" w:color="000000"/>
              <w:right w:val="nil" w:sz="6" w:space="0" w:color="auto"/>
            </w:tcBorders>
          </w:tcPr>
          <w:p>
            <w:pPr/>
          </w:p>
        </w:tc>
      </w:tr>
      <w:tr>
        <w:trPr>
          <w:trHeight w:val="850"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54"/>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深圳市农产品小额贷款有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27"/>
              <w:ind w:left="290" w:right="108" w:hanging="180"/>
              <w:jc w:val="left"/>
              <w:rPr>
                <w:rFonts w:ascii="宋体" w:hAnsi="宋体" w:cs="宋体" w:eastAsia="宋体" w:hint="default"/>
                <w:sz w:val="18"/>
                <w:szCs w:val="18"/>
              </w:rPr>
            </w:pPr>
            <w:r>
              <w:rPr>
                <w:rFonts w:ascii="宋体" w:hAnsi="宋体" w:cs="宋体" w:eastAsia="宋体" w:hint="default"/>
                <w:sz w:val="18"/>
                <w:szCs w:val="18"/>
              </w:rPr>
              <w:t>小额贷款 业务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深圳市星联国际供应链管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381" w:right="108" w:hanging="272"/>
              <w:jc w:val="left"/>
              <w:rPr>
                <w:rFonts w:ascii="宋体" w:hAnsi="宋体" w:cs="宋体" w:eastAsia="宋体" w:hint="default"/>
                <w:sz w:val="18"/>
                <w:szCs w:val="18"/>
              </w:rPr>
            </w:pPr>
            <w:r>
              <w:rPr>
                <w:rFonts w:ascii="宋体" w:hAnsi="宋体" w:cs="宋体" w:eastAsia="宋体" w:hint="default"/>
                <w:sz w:val="18"/>
                <w:szCs w:val="18"/>
              </w:rPr>
              <w:t>供应链管 理</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99.00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2"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深圳市海吉星置地有限公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企业分立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深圳市农产品电子商务有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21"/>
              <w:jc w:val="left"/>
              <w:rPr>
                <w:rFonts w:ascii="宋体" w:hAnsi="宋体" w:cs="宋体" w:eastAsia="宋体" w:hint="default"/>
                <w:sz w:val="18"/>
                <w:szCs w:val="18"/>
              </w:rPr>
            </w:pPr>
            <w:r>
              <w:rPr>
                <w:rFonts w:ascii="宋体" w:hAnsi="宋体" w:cs="宋体" w:eastAsia="宋体" w:hint="default"/>
                <w:spacing w:val="5"/>
                <w:sz w:val="18"/>
                <w:szCs w:val="18"/>
              </w:rPr>
              <w:t>天津海吉星农产品科技发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展有限公司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201" w:right="108" w:hanging="92"/>
              <w:jc w:val="left"/>
              <w:rPr>
                <w:rFonts w:ascii="宋体" w:hAnsi="宋体" w:cs="宋体" w:eastAsia="宋体" w:hint="default"/>
                <w:sz w:val="18"/>
                <w:szCs w:val="18"/>
              </w:rPr>
            </w:pPr>
            <w:r>
              <w:rPr>
                <w:rFonts w:ascii="宋体" w:hAnsi="宋体" w:cs="宋体" w:eastAsia="宋体" w:hint="default"/>
                <w:sz w:val="18"/>
                <w:szCs w:val="18"/>
              </w:rPr>
              <w:t>农产品技 术服务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86.16</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天津海吉星农产品加工有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381" w:right="108" w:hanging="272"/>
              <w:jc w:val="left"/>
              <w:rPr>
                <w:rFonts w:ascii="宋体" w:hAnsi="宋体" w:cs="宋体" w:eastAsia="宋体" w:hint="default"/>
                <w:sz w:val="18"/>
                <w:szCs w:val="18"/>
              </w:rPr>
            </w:pPr>
            <w:r>
              <w:rPr>
                <w:rFonts w:ascii="宋体" w:hAnsi="宋体" w:cs="宋体" w:eastAsia="宋体" w:hint="default"/>
                <w:sz w:val="18"/>
                <w:szCs w:val="18"/>
              </w:rPr>
              <w:t>农产品加 工</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86.16</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2"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21"/>
              <w:jc w:val="left"/>
              <w:rPr>
                <w:rFonts w:ascii="宋体" w:hAnsi="宋体" w:cs="宋体" w:eastAsia="宋体" w:hint="default"/>
                <w:sz w:val="18"/>
                <w:szCs w:val="18"/>
              </w:rPr>
            </w:pPr>
            <w:r>
              <w:rPr>
                <w:rFonts w:ascii="宋体" w:hAnsi="宋体" w:cs="宋体" w:eastAsia="宋体" w:hint="default"/>
                <w:spacing w:val="5"/>
                <w:sz w:val="18"/>
                <w:szCs w:val="18"/>
              </w:rPr>
              <w:t>天津海吉星进出口贸易有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8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1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381" w:right="108" w:hanging="272"/>
              <w:jc w:val="left"/>
              <w:rPr>
                <w:rFonts w:ascii="宋体" w:hAnsi="宋体" w:cs="宋体" w:eastAsia="宋体" w:hint="default"/>
                <w:sz w:val="18"/>
                <w:szCs w:val="18"/>
              </w:rPr>
            </w:pPr>
            <w:r>
              <w:rPr>
                <w:rFonts w:ascii="宋体" w:hAnsi="宋体" w:cs="宋体" w:eastAsia="宋体" w:hint="default"/>
                <w:sz w:val="18"/>
                <w:szCs w:val="18"/>
              </w:rPr>
              <w:t>农产品贸 易</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86.16</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深圳市测达农产品检测有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58.00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70" w:lineRule="atLeast" w:before="3"/>
              <w:ind w:left="43" w:right="2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武汉东海吉星农产品物流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管理有限公司</w:t>
            </w:r>
            <w:r>
              <w:rPr>
                <w:rFonts w:ascii="Times New Roman" w:hAnsi="Times New Roman" w:cs="Times New Roman" w:eastAsia="Times New Roman" w:hint="default"/>
                <w:sz w:val="18"/>
                <w:szCs w:val="18"/>
              </w:rPr>
              <w:t>*</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3" w:right="0"/>
              <w:jc w:val="left"/>
              <w:rPr>
                <w:rFonts w:ascii="宋体" w:hAnsi="宋体" w:cs="宋体" w:eastAsia="宋体" w:hint="default"/>
                <w:sz w:val="18"/>
                <w:szCs w:val="18"/>
              </w:rPr>
            </w:pPr>
            <w:r>
              <w:rPr>
                <w:rFonts w:ascii="宋体" w:hAnsi="宋体" w:cs="宋体" w:eastAsia="宋体" w:hint="default"/>
                <w:sz w:val="18"/>
                <w:szCs w:val="18"/>
              </w:rPr>
              <w:t>黄冈</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8" w:right="0"/>
              <w:jc w:val="left"/>
              <w:rPr>
                <w:rFonts w:ascii="宋体" w:hAnsi="宋体" w:cs="宋体" w:eastAsia="宋体" w:hint="default"/>
                <w:sz w:val="18"/>
                <w:szCs w:val="18"/>
              </w:rPr>
            </w:pPr>
            <w:r>
              <w:rPr>
                <w:rFonts w:ascii="宋体" w:hAnsi="宋体" w:cs="宋体" w:eastAsia="宋体" w:hint="default"/>
                <w:sz w:val="18"/>
                <w:szCs w:val="18"/>
              </w:rPr>
              <w:t>黄冈</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9.69</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深圳市大白菜科技有限公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60.00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40.00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2"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8"/>
              <w:ind w:left="43" w:right="21"/>
              <w:jc w:val="left"/>
              <w:rPr>
                <w:rFonts w:ascii="宋体" w:hAnsi="宋体" w:cs="宋体" w:eastAsia="宋体" w:hint="default"/>
                <w:sz w:val="18"/>
                <w:szCs w:val="18"/>
              </w:rPr>
            </w:pPr>
            <w:r>
              <w:rPr>
                <w:rFonts w:ascii="宋体" w:hAnsi="宋体" w:cs="宋体" w:eastAsia="宋体" w:hint="default"/>
                <w:spacing w:val="5"/>
                <w:sz w:val="18"/>
                <w:szCs w:val="18"/>
              </w:rPr>
              <w:t>上海泽善电子商务有限公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8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1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18.84</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深圳前海农迈天下电子商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95.00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21"/>
              <w:jc w:val="left"/>
              <w:rPr>
                <w:rFonts w:ascii="宋体" w:hAnsi="宋体" w:cs="宋体" w:eastAsia="宋体" w:hint="default"/>
                <w:sz w:val="18"/>
                <w:szCs w:val="18"/>
              </w:rPr>
            </w:pPr>
            <w:r>
              <w:rPr>
                <w:rFonts w:ascii="宋体" w:hAnsi="宋体" w:cs="宋体" w:eastAsia="宋体" w:hint="default"/>
                <w:spacing w:val="5"/>
                <w:sz w:val="18"/>
                <w:szCs w:val="18"/>
              </w:rPr>
              <w:t>济南海吉星国际农产品物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流发展有限公司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8"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岳阳海吉星国际农产品物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流发展有限公司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21"/>
              <w:jc w:val="left"/>
              <w:rPr>
                <w:rFonts w:ascii="宋体" w:hAnsi="宋体" w:cs="宋体" w:eastAsia="宋体" w:hint="default"/>
                <w:sz w:val="18"/>
                <w:szCs w:val="18"/>
              </w:rPr>
            </w:pPr>
            <w:r>
              <w:rPr>
                <w:rFonts w:ascii="宋体" w:hAnsi="宋体" w:cs="宋体" w:eastAsia="宋体" w:hint="default"/>
                <w:spacing w:val="5"/>
                <w:sz w:val="18"/>
                <w:szCs w:val="18"/>
              </w:rPr>
              <w:t>烟台海吉星国际农产品冷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链物流有限公司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8"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21" w:hRule="exact"/>
        </w:trPr>
        <w:tc>
          <w:tcPr>
            <w:tcW w:w="2117"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福建海吉星国际农产品物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流发展有限公司</w:t>
            </w: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8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莆田</w:t>
            </w:r>
          </w:p>
        </w:tc>
        <w:tc>
          <w:tcPr>
            <w:tcW w:w="9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8.93</w:t>
            </w:r>
          </w:p>
        </w:tc>
        <w:tc>
          <w:tcPr>
            <w:tcW w:w="7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0.91</w:t>
            </w:r>
          </w:p>
        </w:tc>
        <w:tc>
          <w:tcPr>
            <w:tcW w:w="1255"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0" w:footer="996" w:top="1100" w:bottom="1180" w:left="1660" w:right="0"/>
        </w:sectPr>
      </w:pPr>
    </w:p>
    <w:p>
      <w:pPr>
        <w:spacing w:line="240" w:lineRule="auto" w:before="5"/>
        <w:rPr>
          <w:rFonts w:ascii="Times New Roman" w:hAnsi="Times New Roman" w:cs="Times New Roman" w:eastAsia="Times New Roman" w:hint="default"/>
          <w:sz w:val="28"/>
          <w:szCs w:val="28"/>
        </w:rPr>
      </w:pPr>
    </w:p>
    <w:tbl>
      <w:tblPr>
        <w:tblW w:w="0" w:type="auto"/>
        <w:jc w:val="left"/>
        <w:tblInd w:w="834" w:type="dxa"/>
        <w:tblLayout w:type="fixed"/>
        <w:tblCellMar>
          <w:top w:w="0" w:type="dxa"/>
          <w:left w:w="0" w:type="dxa"/>
          <w:bottom w:w="0" w:type="dxa"/>
          <w:right w:w="0" w:type="dxa"/>
        </w:tblCellMar>
        <w:tblLook w:val="01E0"/>
      </w:tblPr>
      <w:tblGrid>
        <w:gridCol w:w="2117"/>
        <w:gridCol w:w="936"/>
        <w:gridCol w:w="807"/>
        <w:gridCol w:w="950"/>
        <w:gridCol w:w="778"/>
        <w:gridCol w:w="788"/>
        <w:gridCol w:w="1255"/>
      </w:tblGrid>
      <w:tr>
        <w:trPr>
          <w:trHeight w:val="382" w:hRule="exact"/>
        </w:trPr>
        <w:tc>
          <w:tcPr>
            <w:tcW w:w="2117"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6" w:type="dxa"/>
            <w:vMerge w:val="restart"/>
            <w:tcBorders>
              <w:top w:val="single" w:sz="12" w:space="0" w:color="000000"/>
              <w:left w:val="dotted" w:sz="4" w:space="0" w:color="000000"/>
              <w:right w:val="dotted" w:sz="4" w:space="0" w:color="000000"/>
            </w:tcBorders>
          </w:tcPr>
          <w:p>
            <w:pPr>
              <w:pStyle w:val="TableParagraph"/>
              <w:spacing w:line="360" w:lineRule="exact" w:before="27"/>
              <w:ind w:left="371" w:right="101"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0"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55"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70" w:hRule="exact"/>
        </w:trPr>
        <w:tc>
          <w:tcPr>
            <w:tcW w:w="2117" w:type="dxa"/>
            <w:vMerge/>
            <w:tcBorders>
              <w:left w:val="nil" w:sz="6" w:space="0" w:color="auto"/>
              <w:bottom w:val="dotted" w:sz="4" w:space="0" w:color="000000"/>
              <w:right w:val="dotted" w:sz="4" w:space="0" w:color="000000"/>
            </w:tcBorders>
          </w:tcPr>
          <w:p>
            <w:pPr/>
          </w:p>
        </w:tc>
        <w:tc>
          <w:tcPr>
            <w:tcW w:w="936" w:type="dxa"/>
            <w:vMerge/>
            <w:tcBorders>
              <w:left w:val="dotted" w:sz="4" w:space="0" w:color="000000"/>
              <w:bottom w:val="dotted" w:sz="4" w:space="0" w:color="000000"/>
              <w:right w:val="dotted" w:sz="4" w:space="0" w:color="000000"/>
            </w:tcBorders>
          </w:tcPr>
          <w:p>
            <w:pPr/>
          </w:p>
        </w:tc>
        <w:tc>
          <w:tcPr>
            <w:tcW w:w="807" w:type="dxa"/>
            <w:vMerge/>
            <w:tcBorders>
              <w:left w:val="dotted" w:sz="4" w:space="0" w:color="000000"/>
              <w:bottom w:val="dotted" w:sz="4" w:space="0" w:color="000000"/>
              <w:right w:val="dotted" w:sz="4" w:space="0" w:color="000000"/>
            </w:tcBorders>
          </w:tcPr>
          <w:p>
            <w:pPr/>
          </w:p>
        </w:tc>
        <w:tc>
          <w:tcPr>
            <w:tcW w:w="950" w:type="dxa"/>
            <w:vMerge/>
            <w:tcBorders>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间接</w:t>
            </w:r>
          </w:p>
        </w:tc>
        <w:tc>
          <w:tcPr>
            <w:tcW w:w="1255" w:type="dxa"/>
            <w:vMerge/>
            <w:tcBorders>
              <w:left w:val="dotted" w:sz="4" w:space="0" w:color="000000"/>
              <w:bottom w:val="dotted" w:sz="4" w:space="0" w:color="000000"/>
              <w:right w:val="nil" w:sz="6" w:space="0" w:color="auto"/>
            </w:tcBorders>
          </w:tcPr>
          <w:p>
            <w:pP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柳州市海吉星物业服务有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65.00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深圳市海吉星市场管理有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广西海吉星商业管理有限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青海海吉星国际农产品集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配中心有限公司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海东</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海东</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岳阳海吉星国际农产品市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场开发有限公司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38.25</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安庆海吉星农产品物流园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80.00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3"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381" w:right="108" w:hanging="272"/>
              <w:jc w:val="left"/>
              <w:rPr>
                <w:rFonts w:ascii="宋体" w:hAnsi="宋体" w:cs="宋体" w:eastAsia="宋体" w:hint="default"/>
                <w:sz w:val="18"/>
                <w:szCs w:val="18"/>
              </w:rPr>
            </w:pPr>
            <w:r>
              <w:rPr>
                <w:rFonts w:ascii="宋体" w:hAnsi="宋体" w:cs="宋体" w:eastAsia="宋体" w:hint="default"/>
                <w:sz w:val="18"/>
                <w:szCs w:val="18"/>
              </w:rPr>
              <w:t>农产品贸 易</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352" w:right="84" w:hanging="269"/>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深圳市田地蔬菜基地发展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01" w:right="108" w:hanging="92"/>
              <w:jc w:val="left"/>
              <w:rPr>
                <w:rFonts w:ascii="宋体" w:hAnsi="宋体" w:cs="宋体" w:eastAsia="宋体" w:hint="default"/>
                <w:sz w:val="18"/>
                <w:szCs w:val="18"/>
              </w:rPr>
            </w:pPr>
            <w:r>
              <w:rPr>
                <w:rFonts w:ascii="宋体" w:hAnsi="宋体" w:cs="宋体" w:eastAsia="宋体" w:hint="default"/>
                <w:sz w:val="18"/>
                <w:szCs w:val="18"/>
              </w:rPr>
              <w:t>农产品基 地开发</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352" w:right="84" w:hanging="269"/>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深圳市深港通果菜运输有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352" w:right="84" w:hanging="269"/>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19"/>
              <w:jc w:val="left"/>
              <w:rPr>
                <w:rFonts w:ascii="宋体" w:hAnsi="宋体" w:cs="宋体" w:eastAsia="宋体" w:hint="default"/>
                <w:sz w:val="18"/>
                <w:szCs w:val="18"/>
              </w:rPr>
            </w:pPr>
            <w:r>
              <w:rPr>
                <w:rFonts w:ascii="宋体" w:hAnsi="宋体" w:cs="宋体" w:eastAsia="宋体" w:hint="default"/>
                <w:spacing w:val="6"/>
                <w:sz w:val="18"/>
                <w:szCs w:val="18"/>
              </w:rPr>
              <w:t>（香港）深港蔬菜有限公</w:t>
            </w:r>
            <w:r>
              <w:rPr>
                <w:rFonts w:ascii="宋体" w:hAnsi="宋体" w:cs="宋体" w:eastAsia="宋体" w:hint="default"/>
                <w:sz w:val="18"/>
                <w:szCs w:val="18"/>
              </w:rPr>
              <w:t> 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381" w:right="108" w:hanging="272"/>
              <w:jc w:val="left"/>
              <w:rPr>
                <w:rFonts w:ascii="宋体" w:hAnsi="宋体" w:cs="宋体" w:eastAsia="宋体" w:hint="default"/>
                <w:sz w:val="18"/>
                <w:szCs w:val="18"/>
              </w:rPr>
            </w:pPr>
            <w:r>
              <w:rPr>
                <w:rFonts w:ascii="宋体" w:hAnsi="宋体" w:cs="宋体" w:eastAsia="宋体" w:hint="default"/>
                <w:sz w:val="18"/>
                <w:szCs w:val="18"/>
              </w:rPr>
              <w:t>农产品贸 易</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352" w:right="84" w:hanging="269"/>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43" w:right="21"/>
              <w:jc w:val="left"/>
              <w:rPr>
                <w:rFonts w:ascii="宋体" w:hAnsi="宋体" w:cs="宋体" w:eastAsia="宋体" w:hint="default"/>
                <w:sz w:val="18"/>
                <w:szCs w:val="18"/>
              </w:rPr>
            </w:pPr>
            <w:r>
              <w:rPr>
                <w:rFonts w:ascii="宋体" w:hAnsi="宋体" w:cs="宋体" w:eastAsia="宋体" w:hint="default"/>
                <w:spacing w:val="5"/>
                <w:sz w:val="18"/>
                <w:szCs w:val="18"/>
              </w:rPr>
              <w:t>南昌深圳农产品中心批发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市场有限公司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8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8"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6"/>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上海吉农创业投资有限公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上海农产品中心批发市场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经营管理有限公司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62.80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西安摩尔农产品有限责任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长沙马王堆农产品股份有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50.98</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21" w:hRule="exact"/>
        </w:trPr>
        <w:tc>
          <w:tcPr>
            <w:tcW w:w="2117"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湖南长沙毛家桥水果水产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禽类产品大市场有限公司</w:t>
            </w: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50.98</w:t>
            </w:r>
          </w:p>
        </w:tc>
        <w:tc>
          <w:tcPr>
            <w:tcW w:w="1255" w:type="dxa"/>
            <w:tcBorders>
              <w:top w:val="dotted" w:sz="4" w:space="0" w:color="000000"/>
              <w:left w:val="dotted" w:sz="4" w:space="0" w:color="000000"/>
              <w:bottom w:val="single" w:sz="12"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67" w:lineRule="auto"/>
        <w:jc w:val="left"/>
        <w:rPr>
          <w:rFonts w:ascii="宋体" w:hAnsi="宋体" w:cs="宋体" w:eastAsia="宋体" w:hint="default"/>
          <w:sz w:val="18"/>
          <w:szCs w:val="18"/>
        </w:rPr>
        <w:sectPr>
          <w:pgSz w:w="11910" w:h="16840"/>
          <w:pgMar w:header="0" w:footer="996" w:top="1100" w:bottom="1180" w:left="1660" w:right="0"/>
        </w:sectPr>
      </w:pPr>
    </w:p>
    <w:p>
      <w:pPr>
        <w:spacing w:line="240" w:lineRule="auto" w:before="5"/>
        <w:rPr>
          <w:rFonts w:ascii="Times New Roman" w:hAnsi="Times New Roman" w:cs="Times New Roman" w:eastAsia="Times New Roman" w:hint="default"/>
          <w:sz w:val="28"/>
          <w:szCs w:val="28"/>
        </w:rPr>
      </w:pPr>
    </w:p>
    <w:tbl>
      <w:tblPr>
        <w:tblW w:w="0" w:type="auto"/>
        <w:jc w:val="left"/>
        <w:tblInd w:w="834" w:type="dxa"/>
        <w:tblLayout w:type="fixed"/>
        <w:tblCellMar>
          <w:top w:w="0" w:type="dxa"/>
          <w:left w:w="0" w:type="dxa"/>
          <w:bottom w:w="0" w:type="dxa"/>
          <w:right w:w="0" w:type="dxa"/>
        </w:tblCellMar>
        <w:tblLook w:val="01E0"/>
      </w:tblPr>
      <w:tblGrid>
        <w:gridCol w:w="2117"/>
        <w:gridCol w:w="936"/>
        <w:gridCol w:w="807"/>
        <w:gridCol w:w="950"/>
        <w:gridCol w:w="778"/>
        <w:gridCol w:w="788"/>
        <w:gridCol w:w="1255"/>
      </w:tblGrid>
      <w:tr>
        <w:trPr>
          <w:trHeight w:val="382" w:hRule="exact"/>
        </w:trPr>
        <w:tc>
          <w:tcPr>
            <w:tcW w:w="2117"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6" w:type="dxa"/>
            <w:vMerge w:val="restart"/>
            <w:tcBorders>
              <w:top w:val="single" w:sz="12" w:space="0" w:color="000000"/>
              <w:left w:val="dotted" w:sz="4" w:space="0" w:color="000000"/>
              <w:right w:val="dotted" w:sz="4" w:space="0" w:color="000000"/>
            </w:tcBorders>
          </w:tcPr>
          <w:p>
            <w:pPr>
              <w:pStyle w:val="TableParagraph"/>
              <w:spacing w:line="360" w:lineRule="exact" w:before="27"/>
              <w:ind w:left="371" w:right="101"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0"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55"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70" w:hRule="exact"/>
        </w:trPr>
        <w:tc>
          <w:tcPr>
            <w:tcW w:w="2117" w:type="dxa"/>
            <w:vMerge/>
            <w:tcBorders>
              <w:left w:val="nil" w:sz="6" w:space="0" w:color="auto"/>
              <w:bottom w:val="dotted" w:sz="4" w:space="0" w:color="000000"/>
              <w:right w:val="dotted" w:sz="4" w:space="0" w:color="000000"/>
            </w:tcBorders>
          </w:tcPr>
          <w:p>
            <w:pPr/>
          </w:p>
        </w:tc>
        <w:tc>
          <w:tcPr>
            <w:tcW w:w="936" w:type="dxa"/>
            <w:vMerge/>
            <w:tcBorders>
              <w:left w:val="dotted" w:sz="4" w:space="0" w:color="000000"/>
              <w:bottom w:val="dotted" w:sz="4" w:space="0" w:color="000000"/>
              <w:right w:val="dotted" w:sz="4" w:space="0" w:color="000000"/>
            </w:tcBorders>
          </w:tcPr>
          <w:p>
            <w:pPr/>
          </w:p>
        </w:tc>
        <w:tc>
          <w:tcPr>
            <w:tcW w:w="807" w:type="dxa"/>
            <w:vMerge/>
            <w:tcBorders>
              <w:left w:val="dotted" w:sz="4" w:space="0" w:color="000000"/>
              <w:bottom w:val="dotted" w:sz="4" w:space="0" w:color="000000"/>
              <w:right w:val="dotted" w:sz="4" w:space="0" w:color="000000"/>
            </w:tcBorders>
          </w:tcPr>
          <w:p>
            <w:pPr/>
          </w:p>
        </w:tc>
        <w:tc>
          <w:tcPr>
            <w:tcW w:w="950" w:type="dxa"/>
            <w:vMerge/>
            <w:tcBorders>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间接</w:t>
            </w:r>
          </w:p>
        </w:tc>
        <w:tc>
          <w:tcPr>
            <w:tcW w:w="1255" w:type="dxa"/>
            <w:vMerge/>
            <w:tcBorders>
              <w:left w:val="dotted" w:sz="4" w:space="0" w:color="000000"/>
              <w:bottom w:val="dotted" w:sz="4" w:space="0" w:color="000000"/>
              <w:right w:val="nil" w:sz="6" w:space="0" w:color="auto"/>
            </w:tcBorders>
          </w:tcPr>
          <w:p>
            <w:pP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成都农产品中心批发市场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有限责任公司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成都市无公害蔬菜配送中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心有限责任公司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 w:right="0"/>
              <w:jc w:val="center"/>
              <w:rPr>
                <w:rFonts w:ascii="宋体" w:hAnsi="宋体" w:cs="宋体" w:eastAsia="宋体" w:hint="default"/>
                <w:sz w:val="18"/>
                <w:szCs w:val="18"/>
              </w:rPr>
            </w:pPr>
            <w:r>
              <w:rPr>
                <w:rFonts w:ascii="宋体" w:hAnsi="宋体" w:cs="宋体" w:eastAsia="宋体" w:hint="default"/>
                <w:sz w:val="18"/>
                <w:szCs w:val="18"/>
              </w:rPr>
              <w:t>物流业</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47.29</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深圳市南山农产品批发配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送有限公司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58.00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深圳银莱冷冻食品有限公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冷冻贮藏</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58.00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3" w:right="0"/>
              <w:jc w:val="left"/>
              <w:rPr>
                <w:rFonts w:ascii="宋体" w:hAnsi="宋体" w:cs="宋体" w:eastAsia="宋体" w:hint="default"/>
                <w:sz w:val="18"/>
                <w:szCs w:val="18"/>
              </w:rPr>
            </w:pPr>
            <w:r>
              <w:rPr>
                <w:rFonts w:ascii="宋体" w:hAnsi="宋体" w:cs="宋体" w:eastAsia="宋体" w:hint="default"/>
                <w:sz w:val="18"/>
                <w:szCs w:val="18"/>
              </w:rPr>
              <w:t>南宁市银通典当有限公司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典当</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11"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深圳市南方农产品物流有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51.00</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09" w:hRule="exact"/>
        </w:trPr>
        <w:tc>
          <w:tcPr>
            <w:tcW w:w="211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1"/>
              <w:jc w:val="left"/>
              <w:rPr>
                <w:rFonts w:ascii="宋体" w:hAnsi="宋体" w:cs="宋体" w:eastAsia="宋体" w:hint="default"/>
                <w:sz w:val="18"/>
                <w:szCs w:val="18"/>
              </w:rPr>
            </w:pPr>
            <w:r>
              <w:rPr>
                <w:rFonts w:ascii="宋体" w:hAnsi="宋体" w:cs="宋体" w:eastAsia="宋体" w:hint="default"/>
                <w:spacing w:val="5"/>
                <w:sz w:val="18"/>
                <w:szCs w:val="18"/>
              </w:rPr>
              <w:t>天津海吉星农产品物流有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Times New Roman" w:hAnsi="Times New Roman" w:cs="Times New Roman" w:eastAsia="Times New Roman" w:hint="default"/>
                <w:sz w:val="18"/>
                <w:szCs w:val="18"/>
              </w:rPr>
            </w:pPr>
            <w:r>
              <w:rPr>
                <w:rFonts w:ascii="Times New Roman"/>
                <w:sz w:val="18"/>
              </w:rPr>
              <w:t>86.16</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862" w:hRule="exact"/>
        </w:trPr>
        <w:tc>
          <w:tcPr>
            <w:tcW w:w="2117" w:type="dxa"/>
            <w:tcBorders>
              <w:top w:val="dotted" w:sz="4" w:space="0" w:color="000000"/>
              <w:left w:val="nil" w:sz="6" w:space="0" w:color="auto"/>
              <w:bottom w:val="single" w:sz="12" w:space="0" w:color="000000"/>
              <w:right w:val="dotted" w:sz="4" w:space="0" w:color="000000"/>
            </w:tcBorders>
          </w:tcPr>
          <w:p>
            <w:pPr>
              <w:pStyle w:val="TableParagraph"/>
              <w:spacing w:line="364" w:lineRule="auto" w:before="157"/>
              <w:ind w:left="43" w:right="21"/>
              <w:jc w:val="left"/>
              <w:rPr>
                <w:rFonts w:ascii="宋体" w:hAnsi="宋体" w:cs="宋体" w:eastAsia="宋体" w:hint="default"/>
                <w:sz w:val="18"/>
                <w:szCs w:val="18"/>
              </w:rPr>
            </w:pPr>
            <w:r>
              <w:rPr>
                <w:rFonts w:ascii="宋体" w:hAnsi="宋体" w:cs="宋体" w:eastAsia="宋体" w:hint="default"/>
                <w:spacing w:val="5"/>
                <w:sz w:val="18"/>
                <w:szCs w:val="18"/>
              </w:rPr>
              <w:t>上海海吉星马克市场管理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8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1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0" w:type="dxa"/>
            <w:tcBorders>
              <w:top w:val="dotted" w:sz="4" w:space="0" w:color="000000"/>
              <w:left w:val="dotted" w:sz="4" w:space="0" w:color="000000"/>
              <w:bottom w:val="single" w:sz="12" w:space="0" w:color="000000"/>
              <w:right w:val="dotted" w:sz="4" w:space="0" w:color="000000"/>
            </w:tcBorders>
          </w:tcPr>
          <w:p>
            <w:pPr>
              <w:pStyle w:val="TableParagraph"/>
              <w:spacing w:line="400" w:lineRule="exact" w:before="25"/>
              <w:ind w:left="290" w:right="108" w:hanging="180"/>
              <w:jc w:val="left"/>
              <w:rPr>
                <w:rFonts w:ascii="宋体" w:hAnsi="宋体" w:cs="宋体" w:eastAsia="宋体" w:hint="default"/>
                <w:sz w:val="18"/>
                <w:szCs w:val="18"/>
              </w:rPr>
            </w:pPr>
            <w:r>
              <w:rPr>
                <w:rFonts w:ascii="宋体" w:hAnsi="宋体" w:cs="宋体" w:eastAsia="宋体" w:hint="default"/>
                <w:sz w:val="18"/>
                <w:szCs w:val="18"/>
              </w:rPr>
              <w:t>市场管理 咨询</w:t>
            </w:r>
          </w:p>
        </w:tc>
        <w:tc>
          <w:tcPr>
            <w:tcW w:w="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46.50</w:t>
            </w:r>
          </w:p>
        </w:tc>
        <w:tc>
          <w:tcPr>
            <w:tcW w:w="7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w:t>
            </w:r>
          </w:p>
        </w:tc>
        <w:tc>
          <w:tcPr>
            <w:tcW w:w="1255" w:type="dxa"/>
            <w:tcBorders>
              <w:top w:val="dotted" w:sz="4" w:space="0" w:color="000000"/>
              <w:left w:val="dotted" w:sz="4" w:space="0" w:color="000000"/>
              <w:bottom w:val="single" w:sz="12" w:space="0" w:color="000000"/>
              <w:right w:val="nil" w:sz="6" w:space="0" w:color="auto"/>
            </w:tcBorders>
          </w:tcPr>
          <w:p>
            <w:pPr>
              <w:pStyle w:val="TableParagraph"/>
              <w:spacing w:line="364" w:lineRule="auto" w:before="157"/>
              <w:ind w:left="263" w:right="84"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pStyle w:val="BodyText"/>
        <w:spacing w:line="350" w:lineRule="auto" w:before="93"/>
        <w:ind w:left="754" w:right="1786"/>
        <w:jc w:val="both"/>
      </w:pPr>
      <w:r>
        <w:rPr>
          <w:spacing w:val="-4"/>
        </w:rPr>
        <w:t>持有半数或以下表决权但仍控制被投资单位、以及持有半数以上表决权但不控制被投</w:t>
      </w:r>
      <w:r>
        <w:rPr>
          <w:spacing w:val="-36"/>
        </w:rPr>
        <w:t> </w:t>
      </w:r>
      <w:r>
        <w:rPr>
          <w:spacing w:val="-36"/>
        </w:rPr>
      </w:r>
      <w:r>
        <w:rPr/>
        <w:t>资单位的依据：</w:t>
      </w:r>
    </w:p>
    <w:p>
      <w:pPr>
        <w:pStyle w:val="BodyText"/>
        <w:spacing w:line="336" w:lineRule="auto" w:before="27"/>
        <w:ind w:left="754" w:right="1786"/>
        <w:jc w:val="both"/>
      </w:pPr>
      <w:r>
        <w:rPr>
          <w:spacing w:val="2"/>
        </w:rPr>
        <w:t>（</w:t>
      </w:r>
      <w:r>
        <w:rPr>
          <w:rFonts w:ascii="Times New Roman" w:hAnsi="Times New Roman" w:cs="Times New Roman" w:eastAsia="Times New Roman" w:hint="default"/>
          <w:spacing w:val="2"/>
        </w:rPr>
        <w:t>1</w:t>
      </w:r>
      <w:r>
        <w:rPr>
          <w:spacing w:val="2"/>
        </w:rPr>
        <w:t>）本公司对武汉东海吉星农产品物流管理有限公司（以下简称</w:t>
      </w:r>
      <w:r>
        <w:rPr>
          <w:rFonts w:ascii="Times New Roman" w:hAnsi="Times New Roman" w:cs="Times New Roman" w:eastAsia="Times New Roman" w:hint="default"/>
          <w:spacing w:val="2"/>
        </w:rPr>
        <w:t>“</w:t>
      </w:r>
      <w:r>
        <w:rPr>
          <w:spacing w:val="2"/>
        </w:rPr>
        <w:t>武汉东海吉星公</w:t>
      </w:r>
      <w:r>
        <w:rPr>
          <w:spacing w:val="-38"/>
        </w:rPr>
        <w:t> </w:t>
      </w:r>
      <w:r>
        <w:rPr>
          <w:spacing w:val="-38"/>
        </w:rPr>
      </w:r>
      <w:r>
        <w:rPr/>
        <w:t>司</w:t>
      </w:r>
      <w:r>
        <w:rPr>
          <w:rFonts w:ascii="Times New Roman" w:hAnsi="Times New Roman" w:cs="Times New Roman" w:eastAsia="Times New Roman" w:hint="default"/>
        </w:rPr>
        <w:t>”</w:t>
      </w:r>
      <w:r>
        <w:rPr/>
        <w:t>）直接持股</w:t>
      </w:r>
      <w:r>
        <w:rPr>
          <w:spacing w:val="-52"/>
        </w:rPr>
        <w:t> </w:t>
      </w:r>
      <w:r>
        <w:rPr>
          <w:rFonts w:ascii="Times New Roman" w:hAnsi="Times New Roman" w:cs="Times New Roman" w:eastAsia="Times New Roman" w:hint="default"/>
        </w:rPr>
        <w:t>35%</w:t>
      </w:r>
      <w:r>
        <w:rPr/>
        <w:t>，控股子公司（控股</w:t>
      </w:r>
      <w:r>
        <w:rPr>
          <w:spacing w:val="-50"/>
        </w:rPr>
        <w:t> </w:t>
      </w:r>
      <w:r>
        <w:rPr>
          <w:rFonts w:ascii="Times New Roman" w:hAnsi="Times New Roman" w:cs="Times New Roman" w:eastAsia="Times New Roman" w:hint="default"/>
        </w:rPr>
        <w:t>51%</w:t>
      </w:r>
      <w:r>
        <w:rPr/>
        <w:t>）深圳市海吉星国际食品产业发展有限</w:t>
      </w:r>
      <w:r>
        <w:rPr>
          <w:w w:val="100"/>
        </w:rPr>
        <w:t> </w:t>
      </w:r>
      <w:r>
        <w:rPr/>
        <w:t>公司持股 </w:t>
      </w:r>
      <w:r>
        <w:rPr>
          <w:rFonts w:ascii="Times New Roman" w:hAnsi="Times New Roman" w:cs="Times New Roman" w:eastAsia="Times New Roman" w:hint="default"/>
        </w:rPr>
        <w:t>19%</w:t>
      </w:r>
      <w:r>
        <w:rPr/>
        <w:t>，公司通过直接与间接的方式合计持股</w:t>
      </w:r>
      <w:r>
        <w:rPr>
          <w:spacing w:val="-61"/>
        </w:rPr>
        <w:t> </w:t>
      </w:r>
      <w:r>
        <w:rPr>
          <w:rFonts w:ascii="Times New Roman" w:hAnsi="Times New Roman" w:cs="Times New Roman" w:eastAsia="Times New Roman" w:hint="default"/>
        </w:rPr>
        <w:t>44.69%</w:t>
      </w:r>
      <w:r>
        <w:rPr/>
        <w:t>。但是根据武汉东海吉</w:t>
      </w:r>
      <w:r>
        <w:rPr>
          <w:w w:val="100"/>
        </w:rPr>
        <w:t> </w:t>
      </w:r>
      <w:r>
        <w:rPr>
          <w:spacing w:val="-4"/>
        </w:rPr>
        <w:t>星公司公司章程的规定，董事会主要职责为决定公司经营计划及投资方案，为公司经</w:t>
      </w:r>
      <w:r>
        <w:rPr>
          <w:spacing w:val="-39"/>
        </w:rPr>
        <w:t> </w:t>
      </w:r>
      <w:r>
        <w:rPr>
          <w:spacing w:val="-39"/>
        </w:rPr>
      </w:r>
      <w:r>
        <w:rPr>
          <w:spacing w:val="-4"/>
        </w:rPr>
        <w:t>营、财务的决策机构。武汉东海吉星公司董事会共</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spacing w:val="-4"/>
        </w:rPr>
        <w:t>人，其中本公司委派</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6"/>
        </w:rPr>
        <w:t>人，控股</w:t>
      </w:r>
    </w:p>
    <w:p>
      <w:pPr>
        <w:pStyle w:val="BodyText"/>
        <w:spacing w:line="240" w:lineRule="auto" w:before="17"/>
        <w:ind w:left="754" w:right="0"/>
        <w:jc w:val="both"/>
      </w:pPr>
      <w:r>
        <w:rPr/>
        <w:t>子公司深圳市海吉星国际食品产业发展有限公司委派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8"/>
        </w:rPr>
        <w:t>人，议事规则为全体董事人数</w:t>
      </w:r>
    </w:p>
    <w:p>
      <w:pPr>
        <w:pStyle w:val="BodyText"/>
        <w:spacing w:line="336" w:lineRule="auto" w:before="107"/>
        <w:ind w:left="754" w:right="1786"/>
        <w:jc w:val="both"/>
      </w:pPr>
      <w:r>
        <w:rPr>
          <w:spacing w:val="-3"/>
        </w:rPr>
        <w:t>过半通过方为有效。公司通过直接及间接方式合计委派董事会人数共 </w:t>
      </w:r>
      <w:r>
        <w:rPr>
          <w:rFonts w:ascii="Times New Roman" w:hAnsi="Times New Roman" w:cs="Times New Roman" w:eastAsia="Times New Roman" w:hint="default"/>
        </w:rPr>
        <w:t>4 </w:t>
      </w:r>
      <w:r>
        <w:rPr>
          <w:spacing w:val="-8"/>
        </w:rPr>
        <w:t>人，能对董事</w:t>
      </w:r>
      <w:r>
        <w:rPr>
          <w:spacing w:val="-98"/>
        </w:rPr>
        <w:t> </w:t>
      </w:r>
      <w:r>
        <w:rPr>
          <w:spacing w:val="-98"/>
        </w:rPr>
      </w:r>
      <w:r>
        <w:rPr/>
        <w:t>会形成有效控制，因此，本公司拥有对武汉东海吉星公司的权力</w:t>
      </w:r>
      <w:r>
        <w:rPr>
          <w:rFonts w:ascii="Times New Roman" w:hAnsi="Times New Roman" w:cs="Times New Roman" w:eastAsia="Times New Roman" w:hint="default"/>
        </w:rPr>
        <w:t>,</w:t>
      </w:r>
      <w:r>
        <w:rPr/>
        <w:t>通过参与武汉东海</w:t>
      </w:r>
      <w:r>
        <w:rPr>
          <w:spacing w:val="-23"/>
        </w:rPr>
        <w:t> </w:t>
      </w:r>
      <w:r>
        <w:rPr>
          <w:spacing w:val="-23"/>
        </w:rPr>
      </w:r>
      <w:r>
        <w:rPr>
          <w:spacing w:val="-4"/>
        </w:rPr>
        <w:t>吉星公司的相关活动而享有可变回报，并且有能力运用对武汉东海吉星公司的权力影</w:t>
      </w:r>
      <w:r>
        <w:rPr>
          <w:spacing w:val="-36"/>
        </w:rPr>
        <w:t> </w:t>
      </w:r>
      <w:r>
        <w:rPr>
          <w:spacing w:val="-36"/>
        </w:rPr>
      </w:r>
      <w:r>
        <w:rPr/>
        <w:t>响其回报金额。根据企业会计准则的规定，本公司将其纳入合并报表。</w:t>
      </w:r>
    </w:p>
    <w:p>
      <w:pPr>
        <w:pStyle w:val="BodyText"/>
        <w:spacing w:line="331" w:lineRule="auto" w:before="42"/>
        <w:ind w:left="754" w:right="1675"/>
        <w:jc w:val="left"/>
      </w:pPr>
      <w:r>
        <w:rPr>
          <w:spacing w:val="-3"/>
        </w:rPr>
        <w:t>（</w:t>
      </w:r>
      <w:r>
        <w:rPr>
          <w:rFonts w:ascii="Times New Roman" w:hAnsi="Times New Roman" w:cs="Times New Roman" w:eastAsia="Times New Roman" w:hint="default"/>
          <w:spacing w:val="-3"/>
        </w:rPr>
        <w:t>2</w:t>
      </w:r>
      <w:r>
        <w:rPr>
          <w:spacing w:val="-3"/>
        </w:rPr>
        <w:t>）根据子公司福建海吉星国际农产品物流发展有限公司（以下简称</w:t>
      </w:r>
      <w:r>
        <w:rPr>
          <w:rFonts w:ascii="Times New Roman" w:hAnsi="Times New Roman" w:cs="Times New Roman" w:eastAsia="Times New Roman" w:hint="default"/>
          <w:spacing w:val="-3"/>
        </w:rPr>
        <w:t>“</w:t>
      </w:r>
      <w:r>
        <w:rPr>
          <w:spacing w:val="-3"/>
        </w:rPr>
        <w:t>福建海吉星</w:t>
      </w:r>
      <w:r>
        <w:rPr>
          <w:rFonts w:ascii="Times New Roman" w:hAnsi="Times New Roman" w:cs="Times New Roman" w:eastAsia="Times New Roman" w:hint="default"/>
          <w:spacing w:val="-3"/>
        </w:rPr>
        <w:t>”</w:t>
      </w:r>
      <w:r>
        <w:rPr>
          <w:spacing w:val="-3"/>
        </w:rPr>
        <w:t>）</w:t>
      </w:r>
      <w:r>
        <w:rPr>
          <w:spacing w:val="-44"/>
        </w:rPr>
        <w:t> </w:t>
      </w:r>
      <w:r>
        <w:rPr>
          <w:spacing w:val="-7"/>
          <w:w w:val="100"/>
        </w:rPr>
        <w:t>公司章程的规定，公司注册资本为人民币</w:t>
      </w:r>
      <w:r>
        <w:rPr>
          <w:spacing w:val="-49"/>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12"/>
          <w:w w:val="100"/>
        </w:rPr>
        <w:t>亿元，其中深圳市农产品股份有限公司（以</w:t>
      </w:r>
      <w:r>
        <w:rPr>
          <w:spacing w:val="-94"/>
          <w:w w:val="100"/>
        </w:rPr>
        <w:t> </w:t>
      </w:r>
      <w:r>
        <w:rPr>
          <w:spacing w:val="-94"/>
          <w:w w:val="100"/>
        </w:rPr>
      </w:r>
      <w:r>
        <w:rPr/>
        <w:t>下简称</w:t>
      </w:r>
      <w:r>
        <w:rPr>
          <w:rFonts w:ascii="Times New Roman" w:hAnsi="Times New Roman" w:cs="Times New Roman" w:eastAsia="Times New Roman" w:hint="default"/>
        </w:rPr>
        <w:t>“</w:t>
      </w:r>
      <w:r>
        <w:rPr/>
        <w:t>农产品公司</w:t>
      </w:r>
      <w:r>
        <w:rPr>
          <w:rFonts w:ascii="Times New Roman" w:hAnsi="Times New Roman" w:cs="Times New Roman" w:eastAsia="Times New Roman" w:hint="default"/>
        </w:rPr>
        <w:t>”</w:t>
      </w:r>
      <w:r>
        <w:rPr/>
        <w:t>）认缴出资比例为</w:t>
      </w:r>
      <w:r>
        <w:rPr>
          <w:spacing w:val="-56"/>
        </w:rPr>
        <w:t> </w:t>
      </w:r>
      <w:r>
        <w:rPr>
          <w:rFonts w:ascii="Times New Roman" w:hAnsi="Times New Roman" w:cs="Times New Roman" w:eastAsia="Times New Roman" w:hint="default"/>
        </w:rPr>
        <w:t>50%</w:t>
      </w:r>
      <w:r>
        <w:rPr/>
        <w:t>，农产品公司之控股子公司（控股</w:t>
      </w:r>
      <w:r>
        <w:rPr>
          <w:spacing w:val="-56"/>
        </w:rPr>
        <w:t> </w:t>
      </w:r>
      <w:r>
        <w:rPr>
          <w:rFonts w:ascii="Times New Roman" w:hAnsi="Times New Roman" w:cs="Times New Roman" w:eastAsia="Times New Roman" w:hint="default"/>
        </w:rPr>
        <w:t>51%</w:t>
      </w:r>
      <w:r>
        <w:rPr/>
        <w:t>）</w:t>
      </w:r>
      <w:r>
        <w:rPr>
          <w:w w:val="100"/>
        </w:rPr>
        <w:t> </w:t>
      </w:r>
      <w:r>
        <w:rPr>
          <w:spacing w:val="-3"/>
        </w:rPr>
        <w:t>深圳市海吉星国际食品产业发展有限公司（以下简称</w:t>
      </w:r>
      <w:r>
        <w:rPr>
          <w:rFonts w:ascii="Times New Roman" w:hAnsi="Times New Roman" w:cs="Times New Roman" w:eastAsia="Times New Roman" w:hint="default"/>
          <w:spacing w:val="-3"/>
        </w:rPr>
        <w:t>“</w:t>
      </w:r>
      <w:r>
        <w:rPr>
          <w:spacing w:val="-3"/>
        </w:rPr>
        <w:t>国际食品公司</w:t>
      </w:r>
      <w:r>
        <w:rPr>
          <w:rFonts w:ascii="Times New Roman" w:hAnsi="Times New Roman" w:cs="Times New Roman" w:eastAsia="Times New Roman" w:hint="default"/>
          <w:spacing w:val="-3"/>
        </w:rPr>
        <w:t>”</w:t>
      </w:r>
      <w:r>
        <w:rPr>
          <w:spacing w:val="-3"/>
        </w:rPr>
        <w:t>）认缴出资比例</w:t>
      </w:r>
    </w:p>
    <w:p>
      <w:pPr>
        <w:spacing w:after="0" w:line="331" w:lineRule="auto"/>
        <w:jc w:val="left"/>
        <w:sectPr>
          <w:pgSz w:w="11910" w:h="16840"/>
          <w:pgMar w:header="0" w:footer="996" w:top="1100" w:bottom="1180" w:left="1660" w:right="0"/>
        </w:sectPr>
      </w:pPr>
    </w:p>
    <w:p>
      <w:pPr>
        <w:spacing w:line="240" w:lineRule="auto" w:before="5"/>
        <w:rPr>
          <w:rFonts w:ascii="宋体" w:hAnsi="宋体" w:cs="宋体" w:eastAsia="宋体" w:hint="default"/>
          <w:sz w:val="29"/>
          <w:szCs w:val="29"/>
        </w:rPr>
      </w:pPr>
    </w:p>
    <w:p>
      <w:pPr>
        <w:pStyle w:val="BodyText"/>
        <w:spacing w:line="240" w:lineRule="auto"/>
        <w:ind w:left="754" w:right="1675"/>
        <w:jc w:val="left"/>
      </w:pPr>
      <w:r>
        <w:rPr/>
        <w:t>为</w:t>
      </w:r>
      <w:r>
        <w:rPr>
          <w:spacing w:val="-50"/>
        </w:rPr>
        <w:t> </w:t>
      </w:r>
      <w:r>
        <w:rPr>
          <w:rFonts w:ascii="Times New Roman" w:hAnsi="Times New Roman" w:cs="Times New Roman" w:eastAsia="Times New Roman" w:hint="default"/>
        </w:rPr>
        <w:t>10%</w:t>
      </w:r>
      <w:r>
        <w:rPr/>
        <w:t>，各股东按照认缴出资比例行使权力并分配利润。截至</w:t>
      </w:r>
      <w:r>
        <w:rPr>
          <w:spacing w:val="-50"/>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w:t>
      </w:r>
      <w:r>
        <w:rPr/>
      </w:r>
    </w:p>
    <w:p>
      <w:pPr>
        <w:pStyle w:val="BodyText"/>
        <w:spacing w:line="240" w:lineRule="auto" w:before="110"/>
        <w:ind w:left="754" w:right="1675"/>
        <w:jc w:val="left"/>
      </w:pPr>
      <w:r>
        <w:rPr>
          <w:spacing w:val="-3"/>
        </w:rPr>
        <w:t>因各股东实缴出资未同步到位等因素的影响，福建海吉星实收资本为人民币 </w:t>
      </w:r>
      <w:r>
        <w:rPr>
          <w:rFonts w:ascii="Times New Roman" w:hAnsi="Times New Roman" w:cs="Times New Roman" w:eastAsia="Times New Roman" w:hint="default"/>
        </w:rPr>
        <w:t>2,240</w:t>
      </w:r>
      <w:r>
        <w:rPr>
          <w:rFonts w:ascii="Times New Roman" w:hAnsi="Times New Roman" w:cs="Times New Roman" w:eastAsia="Times New Roman" w:hint="default"/>
          <w:spacing w:val="20"/>
        </w:rPr>
        <w:t> </w:t>
      </w:r>
      <w:r>
        <w:rPr/>
        <w:t>万</w:t>
      </w:r>
    </w:p>
    <w:p>
      <w:pPr>
        <w:pStyle w:val="BodyText"/>
        <w:spacing w:line="340" w:lineRule="auto" w:before="107"/>
        <w:ind w:left="754" w:right="1675"/>
        <w:jc w:val="left"/>
      </w:pPr>
      <w:r>
        <w:rPr/>
        <w:t>元，其中农产品公司出资人民币</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7"/>
        </w:rPr>
        <w:t> </w:t>
      </w:r>
      <w:r>
        <w:rPr/>
        <w:t>万元，国际食品公司出资人民币</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t>万元。但是</w:t>
      </w:r>
      <w:r>
        <w:rPr>
          <w:w w:val="100"/>
        </w:rPr>
        <w:t> </w:t>
      </w:r>
      <w:r>
        <w:rPr>
          <w:spacing w:val="-2"/>
        </w:rPr>
        <w:t>根据福建海吉星公司章程的规定，董事会主要职责为决定公司经营计划及投资方案，</w:t>
      </w:r>
      <w:r>
        <w:rPr>
          <w:spacing w:val="-38"/>
        </w:rPr>
        <w:t> </w:t>
      </w:r>
      <w:r>
        <w:rPr>
          <w:spacing w:val="-38"/>
        </w:rPr>
      </w:r>
      <w:r>
        <w:rPr>
          <w:spacing w:val="-4"/>
        </w:rPr>
        <w:t>为公司经营、财务的决策机构，公司董事会共</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spacing w:val="-4"/>
        </w:rPr>
        <w:t>人，其中本公司委派</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5"/>
        </w:rPr>
        <w:t>人，控股子公</w:t>
      </w:r>
    </w:p>
    <w:p>
      <w:pPr>
        <w:pStyle w:val="BodyText"/>
        <w:spacing w:line="240" w:lineRule="auto" w:before="10"/>
        <w:ind w:left="754" w:right="1675"/>
        <w:jc w:val="left"/>
      </w:pPr>
      <w:r>
        <w:rPr/>
        <w:t>司深圳市海吉星国际食品产业发展有限公司委派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人，议事规则为全体董事人数过半</w:t>
      </w:r>
    </w:p>
    <w:p>
      <w:pPr>
        <w:pStyle w:val="BodyText"/>
        <w:spacing w:line="336" w:lineRule="auto" w:before="110"/>
        <w:ind w:left="754" w:right="1790"/>
        <w:jc w:val="both"/>
      </w:pPr>
      <w:r>
        <w:rPr>
          <w:spacing w:val="-3"/>
        </w:rPr>
        <w:t>通过方为有效。公司通过直接及间接方式合计委派董事会人数共</w:t>
      </w:r>
      <w:r>
        <w:rPr>
          <w:spacing w:val="-30"/>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6"/>
        </w:rPr>
        <w:t>人，能对董事会形</w:t>
      </w:r>
      <w:r>
        <w:rPr>
          <w:spacing w:val="-97"/>
        </w:rPr>
        <w:t> </w:t>
      </w:r>
      <w:r>
        <w:rPr>
          <w:spacing w:val="-97"/>
        </w:rPr>
      </w:r>
      <w:r>
        <w:rPr/>
        <w:t>成有效控制，因此，农产品拥有对福建海吉星的权力</w:t>
      </w:r>
      <w:r>
        <w:rPr>
          <w:rFonts w:ascii="Times New Roman" w:hAnsi="Times New Roman" w:cs="Times New Roman" w:eastAsia="Times New Roman" w:hint="default"/>
        </w:rPr>
        <w:t>,</w:t>
      </w:r>
      <w:r>
        <w:rPr/>
        <w:t>通过参与福建海吉星的相关活</w:t>
      </w:r>
      <w:r>
        <w:rPr>
          <w:spacing w:val="-24"/>
        </w:rPr>
        <w:t> </w:t>
      </w:r>
      <w:r>
        <w:rPr>
          <w:spacing w:val="-24"/>
        </w:rPr>
      </w:r>
      <w:r>
        <w:rPr>
          <w:spacing w:val="-4"/>
        </w:rPr>
        <w:t>动而享有可变回报，并且有能力运用对福建海吉星的权力影响其回报金额。根据企业</w:t>
      </w:r>
      <w:r>
        <w:rPr>
          <w:spacing w:val="-39"/>
        </w:rPr>
        <w:t> </w:t>
      </w:r>
      <w:r>
        <w:rPr>
          <w:spacing w:val="-39"/>
        </w:rPr>
      </w:r>
      <w:r>
        <w:rPr/>
        <w:t>会计准则的规定，本公司将其纳入合并报表。</w:t>
      </w:r>
    </w:p>
    <w:p>
      <w:pPr>
        <w:spacing w:line="240" w:lineRule="auto" w:before="7"/>
        <w:rPr>
          <w:rFonts w:ascii="宋体" w:hAnsi="宋体" w:cs="宋体" w:eastAsia="宋体" w:hint="default"/>
          <w:sz w:val="28"/>
          <w:szCs w:val="28"/>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2</w:t>
      </w:r>
      <w:r>
        <w:rPr/>
        <w:t>、</w:t>
        <w:tab/>
        <w:t>重要的非全资子公司</w:t>
      </w:r>
      <w:r>
        <w:rPr>
          <w:b w:val="0"/>
          <w:bCs w:val="0"/>
        </w:rPr>
      </w:r>
    </w:p>
    <w:tbl>
      <w:tblPr>
        <w:tblW w:w="0" w:type="auto"/>
        <w:jc w:val="left"/>
        <w:tblInd w:w="834" w:type="dxa"/>
        <w:tblLayout w:type="fixed"/>
        <w:tblCellMar>
          <w:top w:w="0" w:type="dxa"/>
          <w:left w:w="0" w:type="dxa"/>
          <w:bottom w:w="0" w:type="dxa"/>
          <w:right w:w="0" w:type="dxa"/>
        </w:tblCellMar>
        <w:tblLook w:val="01E0"/>
      </w:tblPr>
      <w:tblGrid>
        <w:gridCol w:w="2377"/>
        <w:gridCol w:w="1066"/>
        <w:gridCol w:w="1388"/>
        <w:gridCol w:w="1390"/>
        <w:gridCol w:w="1412"/>
      </w:tblGrid>
      <w:tr>
        <w:trPr>
          <w:trHeight w:val="821" w:hRule="exact"/>
        </w:trPr>
        <w:tc>
          <w:tcPr>
            <w:tcW w:w="23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66" w:type="dxa"/>
            <w:tcBorders>
              <w:top w:val="single" w:sz="12" w:space="0" w:color="000000"/>
              <w:left w:val="dotted" w:sz="4" w:space="0" w:color="000000"/>
              <w:bottom w:val="dotted" w:sz="4" w:space="0" w:color="000000"/>
              <w:right w:val="dotted" w:sz="4" w:space="0" w:color="000000"/>
            </w:tcBorders>
          </w:tcPr>
          <w:p>
            <w:pPr>
              <w:pStyle w:val="TableParagraph"/>
              <w:spacing w:line="370" w:lineRule="atLeast" w:before="3"/>
              <w:ind w:left="122" w:right="7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少数股东持 股比例</w:t>
            </w:r>
            <w:r>
              <w:rPr>
                <w:rFonts w:ascii="Times New Roman" w:hAnsi="Times New Roman" w:cs="Times New Roman" w:eastAsia="Times New Roman" w:hint="default"/>
                <w:sz w:val="18"/>
                <w:szCs w:val="18"/>
              </w:rPr>
              <w:t>(%)</w:t>
            </w:r>
          </w:p>
        </w:tc>
        <w:tc>
          <w:tcPr>
            <w:tcW w:w="1388" w:type="dxa"/>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326" w:right="58" w:hanging="269"/>
              <w:jc w:val="left"/>
              <w:rPr>
                <w:rFonts w:ascii="宋体" w:hAnsi="宋体" w:cs="宋体" w:eastAsia="宋体" w:hint="default"/>
                <w:sz w:val="18"/>
                <w:szCs w:val="18"/>
              </w:rPr>
            </w:pPr>
            <w:r>
              <w:rPr>
                <w:rFonts w:ascii="宋体" w:hAnsi="宋体" w:cs="宋体" w:eastAsia="宋体" w:hint="default"/>
                <w:sz w:val="18"/>
                <w:szCs w:val="18"/>
              </w:rPr>
              <w:t>本期归属于少数 股东损益</w:t>
            </w:r>
          </w:p>
        </w:tc>
        <w:tc>
          <w:tcPr>
            <w:tcW w:w="1390" w:type="dxa"/>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328" w:right="59" w:hanging="269"/>
              <w:jc w:val="left"/>
              <w:rPr>
                <w:rFonts w:ascii="宋体" w:hAnsi="宋体" w:cs="宋体" w:eastAsia="宋体" w:hint="default"/>
                <w:sz w:val="18"/>
                <w:szCs w:val="18"/>
              </w:rPr>
            </w:pPr>
            <w:r>
              <w:rPr>
                <w:rFonts w:ascii="宋体" w:hAnsi="宋体" w:cs="宋体" w:eastAsia="宋体" w:hint="default"/>
                <w:sz w:val="18"/>
                <w:szCs w:val="18"/>
              </w:rPr>
              <w:t>本期向少数股东 支付股利</w:t>
            </w:r>
          </w:p>
        </w:tc>
        <w:tc>
          <w:tcPr>
            <w:tcW w:w="1412" w:type="dxa"/>
            <w:tcBorders>
              <w:top w:val="single" w:sz="12" w:space="0" w:color="000000"/>
              <w:left w:val="dotted" w:sz="4" w:space="0" w:color="000000"/>
              <w:bottom w:val="dotted" w:sz="4" w:space="0" w:color="000000"/>
              <w:right w:val="nil" w:sz="6" w:space="0" w:color="auto"/>
            </w:tcBorders>
          </w:tcPr>
          <w:p>
            <w:pPr>
              <w:pStyle w:val="TableParagraph"/>
              <w:spacing w:line="364" w:lineRule="auto" w:before="137"/>
              <w:ind w:left="430" w:right="75" w:hanging="361"/>
              <w:jc w:val="left"/>
              <w:rPr>
                <w:rFonts w:ascii="宋体" w:hAnsi="宋体" w:cs="宋体" w:eastAsia="宋体" w:hint="default"/>
                <w:sz w:val="18"/>
                <w:szCs w:val="18"/>
              </w:rPr>
            </w:pPr>
            <w:r>
              <w:rPr>
                <w:rFonts w:ascii="宋体" w:hAnsi="宋体" w:cs="宋体" w:eastAsia="宋体" w:hint="default"/>
                <w:sz w:val="18"/>
                <w:szCs w:val="18"/>
              </w:rPr>
              <w:t>期末累计少数股 东权益</w:t>
            </w:r>
          </w:p>
        </w:tc>
      </w:tr>
      <w:tr>
        <w:trPr>
          <w:trHeight w:val="809"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19"/>
              <w:jc w:val="left"/>
              <w:rPr>
                <w:rFonts w:ascii="宋体" w:hAnsi="宋体" w:cs="宋体" w:eastAsia="宋体" w:hint="default"/>
                <w:sz w:val="18"/>
                <w:szCs w:val="18"/>
              </w:rPr>
            </w:pPr>
            <w:r>
              <w:rPr>
                <w:rFonts w:ascii="宋体" w:hAnsi="宋体" w:cs="宋体" w:eastAsia="宋体" w:hint="default"/>
                <w:spacing w:val="11"/>
                <w:sz w:val="18"/>
                <w:szCs w:val="18"/>
              </w:rPr>
              <w:t>惠州海吉星农产品国际物流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10,115,938.78</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7,350,000.00</w:t>
            </w: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65,173,666.20</w:t>
            </w:r>
          </w:p>
        </w:tc>
      </w:tr>
      <w:tr>
        <w:trPr>
          <w:trHeight w:val="811"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19"/>
              <w:jc w:val="left"/>
              <w:rPr>
                <w:rFonts w:ascii="宋体" w:hAnsi="宋体" w:cs="宋体" w:eastAsia="宋体" w:hint="default"/>
                <w:sz w:val="18"/>
                <w:szCs w:val="18"/>
              </w:rPr>
            </w:pPr>
            <w:r>
              <w:rPr>
                <w:rFonts w:ascii="宋体" w:hAnsi="宋体" w:cs="宋体" w:eastAsia="宋体" w:hint="default"/>
                <w:spacing w:val="11"/>
                <w:sz w:val="18"/>
                <w:szCs w:val="18"/>
              </w:rPr>
              <w:t>天津韩家墅海吉星农产品物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流有限公司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1,262,380.12</w:t>
            </w:r>
          </w:p>
        </w:tc>
        <w:tc>
          <w:tcPr>
            <w:tcW w:w="1390"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82,728,093.85</w:t>
            </w:r>
          </w:p>
        </w:tc>
      </w:tr>
      <w:tr>
        <w:trPr>
          <w:trHeight w:val="809"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19"/>
              <w:jc w:val="left"/>
              <w:rPr>
                <w:rFonts w:ascii="宋体" w:hAnsi="宋体" w:cs="宋体" w:eastAsia="宋体" w:hint="default"/>
                <w:sz w:val="18"/>
                <w:szCs w:val="18"/>
              </w:rPr>
            </w:pPr>
            <w:r>
              <w:rPr>
                <w:rFonts w:ascii="宋体" w:hAnsi="宋体" w:cs="宋体" w:eastAsia="宋体" w:hint="default"/>
                <w:spacing w:val="11"/>
                <w:sz w:val="18"/>
                <w:szCs w:val="18"/>
              </w:rPr>
              <w:t>广西新柳邕农产品批发市场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35.00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14,028,517.36</w:t>
            </w:r>
          </w:p>
        </w:tc>
        <w:tc>
          <w:tcPr>
            <w:tcW w:w="1390"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131,020,134.99</w:t>
            </w:r>
          </w:p>
        </w:tc>
      </w:tr>
      <w:tr>
        <w:trPr>
          <w:trHeight w:val="811"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19"/>
              <w:jc w:val="left"/>
              <w:rPr>
                <w:rFonts w:ascii="宋体" w:hAnsi="宋体" w:cs="宋体" w:eastAsia="宋体" w:hint="default"/>
                <w:sz w:val="18"/>
                <w:szCs w:val="18"/>
              </w:rPr>
            </w:pPr>
            <w:r>
              <w:rPr>
                <w:rFonts w:ascii="宋体" w:hAnsi="宋体" w:cs="宋体" w:eastAsia="宋体" w:hint="default"/>
                <w:spacing w:val="11"/>
                <w:sz w:val="18"/>
                <w:szCs w:val="18"/>
              </w:rPr>
              <w:t>成都农产品中心批发市场有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限责任公司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32,197,152.03</w:t>
            </w:r>
          </w:p>
        </w:tc>
        <w:tc>
          <w:tcPr>
            <w:tcW w:w="1390"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187,593,237.28</w:t>
            </w:r>
          </w:p>
        </w:tc>
      </w:tr>
      <w:tr>
        <w:trPr>
          <w:trHeight w:val="809"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43" w:right="19"/>
              <w:jc w:val="left"/>
              <w:rPr>
                <w:rFonts w:ascii="宋体" w:hAnsi="宋体" w:cs="宋体" w:eastAsia="宋体" w:hint="default"/>
                <w:sz w:val="18"/>
                <w:szCs w:val="18"/>
              </w:rPr>
            </w:pPr>
            <w:r>
              <w:rPr>
                <w:rFonts w:ascii="宋体" w:hAnsi="宋体" w:cs="宋体" w:eastAsia="宋体" w:hint="default"/>
                <w:spacing w:val="11"/>
                <w:sz w:val="18"/>
                <w:szCs w:val="18"/>
              </w:rPr>
              <w:t>长沙马王堆农产品股份有限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49.02</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19,182,209.71</w:t>
            </w:r>
          </w:p>
        </w:tc>
        <w:tc>
          <w:tcPr>
            <w:tcW w:w="1390"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184,375,546.39</w:t>
            </w:r>
          </w:p>
        </w:tc>
      </w:tr>
      <w:tr>
        <w:trPr>
          <w:trHeight w:val="811"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19"/>
              <w:jc w:val="left"/>
              <w:rPr>
                <w:rFonts w:ascii="宋体" w:hAnsi="宋体" w:cs="宋体" w:eastAsia="宋体" w:hint="default"/>
                <w:sz w:val="18"/>
                <w:szCs w:val="18"/>
              </w:rPr>
            </w:pPr>
            <w:r>
              <w:rPr>
                <w:rFonts w:ascii="宋体" w:hAnsi="宋体" w:cs="宋体" w:eastAsia="宋体" w:hint="default"/>
                <w:spacing w:val="11"/>
                <w:sz w:val="18"/>
                <w:szCs w:val="18"/>
              </w:rPr>
              <w:t>南昌深圳农产品中心批发市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10,212,715.75</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201,770,774.85</w:t>
            </w:r>
          </w:p>
        </w:tc>
      </w:tr>
      <w:tr>
        <w:trPr>
          <w:trHeight w:val="809"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19"/>
              <w:jc w:val="left"/>
              <w:rPr>
                <w:rFonts w:ascii="宋体" w:hAnsi="宋体" w:cs="宋体" w:eastAsia="宋体" w:hint="default"/>
                <w:sz w:val="18"/>
                <w:szCs w:val="18"/>
              </w:rPr>
            </w:pPr>
            <w:r>
              <w:rPr>
                <w:rFonts w:ascii="宋体" w:hAnsi="宋体" w:cs="宋体" w:eastAsia="宋体" w:hint="default"/>
                <w:spacing w:val="11"/>
                <w:sz w:val="18"/>
                <w:szCs w:val="18"/>
              </w:rPr>
              <w:t>深圳市福田农产品批发市场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27.01</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7,042,724.05</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6,750,000.00</w:t>
            </w: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70,022,807.29</w:t>
            </w:r>
          </w:p>
        </w:tc>
      </w:tr>
      <w:tr>
        <w:trPr>
          <w:trHeight w:val="811"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19"/>
              <w:jc w:val="left"/>
              <w:rPr>
                <w:rFonts w:ascii="宋体" w:hAnsi="宋体" w:cs="宋体" w:eastAsia="宋体" w:hint="default"/>
                <w:sz w:val="18"/>
                <w:szCs w:val="18"/>
              </w:rPr>
            </w:pPr>
            <w:r>
              <w:rPr>
                <w:rFonts w:ascii="宋体" w:hAnsi="宋体" w:cs="宋体" w:eastAsia="宋体" w:hint="default"/>
                <w:spacing w:val="11"/>
                <w:sz w:val="18"/>
                <w:szCs w:val="18"/>
              </w:rPr>
              <w:t>深圳市南山农产品批发配送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42.00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2,957,415.42</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5,040,000.00</w:t>
            </w: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58,435,371.89</w:t>
            </w:r>
          </w:p>
        </w:tc>
      </w:tr>
      <w:tr>
        <w:trPr>
          <w:trHeight w:val="809"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19"/>
              <w:jc w:val="left"/>
              <w:rPr>
                <w:rFonts w:ascii="宋体" w:hAnsi="宋体" w:cs="宋体" w:eastAsia="宋体" w:hint="default"/>
                <w:sz w:val="18"/>
                <w:szCs w:val="18"/>
              </w:rPr>
            </w:pPr>
            <w:r>
              <w:rPr>
                <w:rFonts w:ascii="宋体" w:hAnsi="宋体" w:cs="宋体" w:eastAsia="宋体" w:hint="default"/>
                <w:spacing w:val="11"/>
                <w:sz w:val="18"/>
                <w:szCs w:val="18"/>
              </w:rPr>
              <w:t>上海农产品中心批发市场经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营管理有限公司</w:t>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37.20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24,311,004.50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11,160,000.00</w:t>
            </w:r>
          </w:p>
        </w:tc>
        <w:tc>
          <w:tcPr>
            <w:tcW w:w="14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245,636,765.58</w:t>
            </w:r>
          </w:p>
        </w:tc>
      </w:tr>
      <w:tr>
        <w:trPr>
          <w:trHeight w:val="821" w:hRule="exact"/>
        </w:trPr>
        <w:tc>
          <w:tcPr>
            <w:tcW w:w="2377" w:type="dxa"/>
            <w:tcBorders>
              <w:top w:val="dotted" w:sz="4" w:space="0" w:color="000000"/>
              <w:left w:val="nil" w:sz="6" w:space="0" w:color="auto"/>
              <w:bottom w:val="single" w:sz="12" w:space="0" w:color="000000"/>
              <w:right w:val="dotted" w:sz="4" w:space="0" w:color="000000"/>
            </w:tcBorders>
          </w:tcPr>
          <w:p>
            <w:pPr>
              <w:pStyle w:val="TableParagraph"/>
              <w:spacing w:line="364" w:lineRule="auto" w:before="137"/>
              <w:ind w:left="43" w:right="19"/>
              <w:jc w:val="left"/>
              <w:rPr>
                <w:rFonts w:ascii="宋体" w:hAnsi="宋体" w:cs="宋体" w:eastAsia="宋体" w:hint="default"/>
                <w:sz w:val="18"/>
                <w:szCs w:val="18"/>
              </w:rPr>
            </w:pPr>
            <w:r>
              <w:rPr>
                <w:rFonts w:ascii="宋体" w:hAnsi="宋体" w:cs="宋体" w:eastAsia="宋体" w:hint="default"/>
                <w:spacing w:val="11"/>
                <w:sz w:val="18"/>
                <w:szCs w:val="18"/>
              </w:rPr>
              <w:t>天津海吉星农产品物流有限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0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13.84</w:t>
            </w:r>
          </w:p>
        </w:tc>
        <w:tc>
          <w:tcPr>
            <w:tcW w:w="1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-788,446.14</w:t>
            </w:r>
          </w:p>
        </w:tc>
        <w:tc>
          <w:tcPr>
            <w:tcW w:w="1390" w:type="dxa"/>
            <w:tcBorders>
              <w:top w:val="dotted" w:sz="4" w:space="0" w:color="000000"/>
              <w:left w:val="dotted" w:sz="4" w:space="0" w:color="000000"/>
              <w:bottom w:val="single" w:sz="12" w:space="0" w:color="000000"/>
              <w:right w:val="dotted" w:sz="4" w:space="0" w:color="000000"/>
            </w:tcBorders>
          </w:tcPr>
          <w:p>
            <w:pPr/>
          </w:p>
        </w:tc>
        <w:tc>
          <w:tcPr>
            <w:tcW w:w="14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133,927,608.10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100" w:bottom="11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8"/>
          <w:szCs w:val="28"/>
        </w:rPr>
      </w:pPr>
    </w:p>
    <w:p>
      <w:pPr>
        <w:pStyle w:val="Heading6"/>
        <w:tabs>
          <w:tab w:pos="1400" w:val="left" w:leader="none"/>
        </w:tabs>
        <w:spacing w:line="335" w:lineRule="exact"/>
        <w:ind w:left="848" w:right="0"/>
        <w:jc w:val="left"/>
        <w:rPr>
          <w:b w:val="0"/>
          <w:bCs w:val="0"/>
        </w:rPr>
      </w:pPr>
      <w:r>
        <w:rPr>
          <w:rFonts w:ascii="Times New Roman" w:hAnsi="Times New Roman" w:cs="Times New Roman" w:eastAsia="Times New Roman" w:hint="default"/>
        </w:rPr>
        <w:t>3</w:t>
      </w:r>
      <w:r>
        <w:rPr/>
        <w:t>、</w:t>
        <w:tab/>
        <w:t>重要非全资子公司的主要财务信息</w:t>
      </w:r>
      <w:r>
        <w:rPr>
          <w:b w:val="0"/>
          <w:bCs w:val="0"/>
        </w:rPr>
      </w:r>
    </w:p>
    <w:p>
      <w:pPr>
        <w:pStyle w:val="BodyText"/>
        <w:spacing w:line="240" w:lineRule="auto" w:before="99"/>
        <w:ind w:left="1417" w:right="0"/>
        <w:jc w:val="left"/>
      </w:pPr>
      <w:r>
        <w:rPr/>
        <w:t>这些子公司的主要财务信息为本公司内各企业之间相互抵消前的金额：</w:t>
      </w:r>
    </w:p>
    <w:p>
      <w:pPr>
        <w:spacing w:line="240" w:lineRule="auto" w:before="7"/>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3833"/>
        <w:gridCol w:w="1944"/>
        <w:gridCol w:w="1620"/>
        <w:gridCol w:w="1630"/>
        <w:gridCol w:w="1406"/>
        <w:gridCol w:w="1404"/>
        <w:gridCol w:w="1351"/>
      </w:tblGrid>
      <w:tr>
        <w:trPr>
          <w:trHeight w:val="461" w:hRule="exact"/>
        </w:trPr>
        <w:tc>
          <w:tcPr>
            <w:tcW w:w="383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357"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3833" w:type="dxa"/>
            <w:vMerge/>
            <w:tcBorders>
              <w:left w:val="nil" w:sz="6" w:space="0" w:color="auto"/>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60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5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5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4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1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52"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0" w:right="0"/>
              <w:jc w:val="left"/>
              <w:rPr>
                <w:rFonts w:ascii="宋体" w:hAnsi="宋体" w:cs="宋体" w:eastAsia="宋体" w:hint="default"/>
                <w:sz w:val="18"/>
                <w:szCs w:val="18"/>
              </w:rPr>
            </w:pPr>
            <w:r>
              <w:rPr>
                <w:rFonts w:ascii="宋体" w:hAnsi="宋体" w:cs="宋体" w:eastAsia="宋体" w:hint="default"/>
                <w:sz w:val="18"/>
                <w:szCs w:val="18"/>
              </w:rPr>
              <w:t>惠州海吉星农产品国际物流有限公司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17,973,344.17</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224,962,984.84</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242,936,329.01</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53,692,192.33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56,236,654.63</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109,928,846.96</w:t>
            </w:r>
          </w:p>
        </w:tc>
      </w:tr>
      <w:tr>
        <w:trPr>
          <w:trHeight w:val="449"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40,207,468.53</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305,922,216.82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346,129,685.35</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175,883,544.31</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1,413,296.44</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177,296,840.75</w:t>
            </w:r>
          </w:p>
        </w:tc>
      </w:tr>
      <w:tr>
        <w:trPr>
          <w:trHeight w:val="451"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0"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546,886,847.12</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343,672,858.98</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890,559,706.10</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448,094,463.27</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68,122,000.00</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516,216,463.27</w:t>
            </w:r>
          </w:p>
        </w:tc>
      </w:tr>
      <w:tr>
        <w:trPr>
          <w:trHeight w:val="449"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172,843,810.04</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421,398,713.69</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594,242,523.73</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115,609,725.63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96,374,033.42</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211,983,759.05</w:t>
            </w:r>
          </w:p>
        </w:tc>
      </w:tr>
      <w:tr>
        <w:trPr>
          <w:trHeight w:val="451"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0"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128,019,885.22</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1,197,197,284.50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1,325,217,169.72</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252,851,189.04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696,242,875.03</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949,094,064.07</w:t>
            </w:r>
          </w:p>
        </w:tc>
      </w:tr>
      <w:tr>
        <w:trPr>
          <w:trHeight w:val="449"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43,056,474.79</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543,763,404.41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586,819,879.20</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116,472,626.45</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58,570,161.21</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175,042,787.66</w:t>
            </w:r>
          </w:p>
        </w:tc>
      </w:tr>
      <w:tr>
        <w:trPr>
          <w:trHeight w:val="452"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0"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24,591,394.85</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272,188,755.86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296,780,150.71</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33,503,805.72</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4,028,631.96</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37,532,437.68</w:t>
            </w:r>
          </w:p>
        </w:tc>
      </w:tr>
      <w:tr>
        <w:trPr>
          <w:trHeight w:val="449"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35,816,417.55</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91,294,590.67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127,111,008.22</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15,538,822.12</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5,728,456.42</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21,267,278.54</w:t>
            </w:r>
          </w:p>
        </w:tc>
      </w:tr>
      <w:tr>
        <w:trPr>
          <w:trHeight w:val="451" w:hRule="exact"/>
        </w:trPr>
        <w:tc>
          <w:tcPr>
            <w:tcW w:w="38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0"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134,777,958.83</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641,052,892.61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775,830,851.44</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110,116,036.38</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5,400,929.09</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115,516,965.47</w:t>
            </w:r>
          </w:p>
        </w:tc>
      </w:tr>
      <w:tr>
        <w:trPr>
          <w:trHeight w:val="461" w:hRule="exact"/>
        </w:trPr>
        <w:tc>
          <w:tcPr>
            <w:tcW w:w="38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9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307,523,590.79</w:t>
            </w:r>
          </w:p>
        </w:tc>
        <w:tc>
          <w:tcPr>
            <w:tcW w:w="16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1,424,535,663.84</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1,732,059,254.63</w:t>
            </w:r>
          </w:p>
        </w:tc>
        <w:tc>
          <w:tcPr>
            <w:tcW w:w="14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717,581,751.81</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46,792,473.21</w:t>
            </w:r>
          </w:p>
        </w:tc>
        <w:tc>
          <w:tcPr>
            <w:tcW w:w="13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764,374,225.02</w:t>
            </w:r>
          </w:p>
        </w:tc>
      </w:tr>
    </w:tbl>
    <w:p>
      <w:pPr>
        <w:pStyle w:val="BodyText"/>
        <w:spacing w:line="240" w:lineRule="auto" w:before="93"/>
        <w:ind w:left="1417" w:right="0"/>
        <w:jc w:val="left"/>
      </w:pPr>
      <w:r>
        <w:rPr>
          <w:w w:val="100"/>
        </w:rPr>
        <w:t>续</w:t>
      </w:r>
    </w:p>
    <w:p>
      <w:pPr>
        <w:spacing w:line="240" w:lineRule="auto" w:before="7"/>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4150"/>
        <w:gridCol w:w="1592"/>
        <w:gridCol w:w="1596"/>
        <w:gridCol w:w="1597"/>
        <w:gridCol w:w="1358"/>
        <w:gridCol w:w="1361"/>
        <w:gridCol w:w="1536"/>
      </w:tblGrid>
      <w:tr>
        <w:trPr>
          <w:trHeight w:val="459" w:hRule="exact"/>
        </w:trPr>
        <w:tc>
          <w:tcPr>
            <w:tcW w:w="415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040"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1" w:hRule="exact"/>
        </w:trPr>
        <w:tc>
          <w:tcPr>
            <w:tcW w:w="4150" w:type="dxa"/>
            <w:vMerge/>
            <w:tcBorders>
              <w:left w:val="nil" w:sz="6" w:space="0" w:color="auto"/>
              <w:bottom w:val="dotted" w:sz="4" w:space="0" w:color="000000"/>
              <w:right w:val="dotted" w:sz="4" w:space="0" w:color="000000"/>
            </w:tcBorders>
          </w:tcPr>
          <w:p>
            <w:pP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3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34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3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3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22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40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61" w:hRule="exact"/>
        </w:trPr>
        <w:tc>
          <w:tcPr>
            <w:tcW w:w="41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惠州海吉星农产品国际物流有限公司</w:t>
            </w:r>
          </w:p>
        </w:tc>
        <w:tc>
          <w:tcPr>
            <w:tcW w:w="15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14,551,711.53</w:t>
            </w:r>
          </w:p>
        </w:tc>
        <w:tc>
          <w:tcPr>
            <w:tcW w:w="15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224,308,669.52</w:t>
            </w:r>
          </w:p>
        </w:tc>
        <w:tc>
          <w:tcPr>
            <w:tcW w:w="15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238,860,381.05</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44,902,079.08</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66,595,592.95</w:t>
            </w:r>
          </w:p>
        </w:tc>
        <w:tc>
          <w:tcPr>
            <w:tcW w:w="15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111,497,672.03</w:t>
            </w:r>
          </w:p>
        </w:tc>
      </w:tr>
    </w:tbl>
    <w:p>
      <w:pPr>
        <w:spacing w:after="0" w:line="240" w:lineRule="auto"/>
        <w:jc w:val="left"/>
        <w:rPr>
          <w:rFonts w:ascii="Times New Roman" w:hAnsi="Times New Roman" w:cs="Times New Roman" w:eastAsia="Times New Roman" w:hint="default"/>
          <w:sz w:val="18"/>
          <w:szCs w:val="18"/>
        </w:rPr>
        <w:sectPr>
          <w:headerReference w:type="default" r:id="rId125"/>
          <w:footerReference w:type="default" r:id="rId126"/>
          <w:pgSz w:w="16840" w:h="11910" w:orient="landscape"/>
          <w:pgMar w:header="774" w:footer="997" w:top="1000" w:bottom="1180" w:left="1300" w:right="1260"/>
          <w:pgNumType w:star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tbl>
      <w:tblPr>
        <w:tblW w:w="0" w:type="auto"/>
        <w:jc w:val="left"/>
        <w:tblInd w:w="925" w:type="dxa"/>
        <w:tblLayout w:type="fixed"/>
        <w:tblCellMar>
          <w:top w:w="0" w:type="dxa"/>
          <w:left w:w="0" w:type="dxa"/>
          <w:bottom w:w="0" w:type="dxa"/>
          <w:right w:w="0" w:type="dxa"/>
        </w:tblCellMar>
        <w:tblLook w:val="01E0"/>
      </w:tblPr>
      <w:tblGrid>
        <w:gridCol w:w="4150"/>
        <w:gridCol w:w="1592"/>
        <w:gridCol w:w="1596"/>
        <w:gridCol w:w="1597"/>
        <w:gridCol w:w="1358"/>
        <w:gridCol w:w="1361"/>
        <w:gridCol w:w="1536"/>
      </w:tblGrid>
      <w:tr>
        <w:trPr>
          <w:trHeight w:val="461" w:hRule="exact"/>
        </w:trPr>
        <w:tc>
          <w:tcPr>
            <w:tcW w:w="415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040"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4150" w:type="dxa"/>
            <w:vMerge/>
            <w:tcBorders>
              <w:left w:val="nil" w:sz="6" w:space="0" w:color="auto"/>
              <w:bottom w:val="dotted" w:sz="4" w:space="0" w:color="000000"/>
              <w:right w:val="dotted" w:sz="4" w:space="0" w:color="000000"/>
            </w:tcBorders>
          </w:tcPr>
          <w:p>
            <w:pP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3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3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2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40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51"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30,950,409.87</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286,845,882.70</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317,796,292.57</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149,354,852.48</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2,184,881.44</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151,539,733.92</w:t>
            </w:r>
          </w:p>
        </w:tc>
      </w:tr>
      <w:tr>
        <w:trPr>
          <w:trHeight w:val="449"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331,548,413.41</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386,796,279.06</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718,344,692.47</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297,448,927.82</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86,634,000.00</w:t>
            </w:r>
            <w:r>
              <w:rPr>
                <w:rFonts w:ascii="Times New Roman"/>
                <w:sz w:val="18"/>
              </w:rPr>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384,082,927.82</w:t>
            </w:r>
          </w:p>
        </w:tc>
      </w:tr>
      <w:tr>
        <w:trPr>
          <w:trHeight w:val="452"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40"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88,880,138.60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430,295,808.60</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519,175,947.20</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108,773,894.99</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93,875,289.45</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202,649,184.44</w:t>
            </w:r>
          </w:p>
        </w:tc>
      </w:tr>
      <w:tr>
        <w:trPr>
          <w:trHeight w:val="449"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205,166,280.90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1,217,531,176.27</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1,422,697,457.17</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457,518,532.38</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628,187,213.89</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1,085,705,746.27</w:t>
            </w:r>
          </w:p>
        </w:tc>
      </w:tr>
      <w:tr>
        <w:trPr>
          <w:trHeight w:val="451"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85,107,713.87</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553,093,638.89</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638,201,352.76</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141,544,949.31</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75,721,588.95</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217,266,538.26</w:t>
            </w:r>
          </w:p>
        </w:tc>
      </w:tr>
      <w:tr>
        <w:trPr>
          <w:trHeight w:val="449"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29,311,685.90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276,756,296.29</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306,067,982.19</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44,379,357.55</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3,515,417.52</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47,894,775.07</w:t>
            </w:r>
          </w:p>
        </w:tc>
      </w:tr>
      <w:tr>
        <w:trPr>
          <w:trHeight w:val="451"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38,256,534.73</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90,910,281.26</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129,166,815.99</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13,228,240.11</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6,325,172.48</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19,553,412.59</w:t>
            </w:r>
          </w:p>
        </w:tc>
      </w:tr>
      <w:tr>
        <w:trPr>
          <w:trHeight w:val="449" w:hRule="exact"/>
        </w:trPr>
        <w:tc>
          <w:tcPr>
            <w:tcW w:w="4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95,772,535.84</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656,631,016.04</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752,403,551.88</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122,566,003.66</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4,875,824.88</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127,441,828.54</w:t>
            </w:r>
          </w:p>
        </w:tc>
      </w:tr>
      <w:tr>
        <w:trPr>
          <w:trHeight w:val="461" w:hRule="exact"/>
        </w:trPr>
        <w:tc>
          <w:tcPr>
            <w:tcW w:w="41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5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264,012,999.65</w:t>
            </w:r>
          </w:p>
        </w:tc>
        <w:tc>
          <w:tcPr>
            <w:tcW w:w="15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1,466,402,747.45</w:t>
            </w:r>
          </w:p>
        </w:tc>
        <w:tc>
          <w:tcPr>
            <w:tcW w:w="15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1,730,415,747.10</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726,934,432.13</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30,099,420.17</w:t>
            </w:r>
          </w:p>
        </w:tc>
        <w:tc>
          <w:tcPr>
            <w:tcW w:w="15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757,033,852.30</w:t>
            </w:r>
          </w:p>
        </w:tc>
      </w:tr>
    </w:tbl>
    <w:p>
      <w:pPr>
        <w:pStyle w:val="BodyText"/>
        <w:spacing w:line="240" w:lineRule="auto" w:before="93"/>
        <w:ind w:left="1417" w:right="0"/>
        <w:jc w:val="left"/>
      </w:pPr>
      <w:r>
        <w:rPr>
          <w:w w:val="100"/>
        </w:rPr>
        <w:t>续</w:t>
      </w:r>
    </w:p>
    <w:p>
      <w:pPr>
        <w:spacing w:line="240" w:lineRule="auto" w:before="7"/>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2710"/>
        <w:gridCol w:w="1404"/>
        <w:gridCol w:w="1263"/>
        <w:gridCol w:w="1404"/>
        <w:gridCol w:w="1265"/>
        <w:gridCol w:w="1265"/>
        <w:gridCol w:w="1262"/>
        <w:gridCol w:w="1404"/>
        <w:gridCol w:w="1212"/>
      </w:tblGrid>
      <w:tr>
        <w:trPr>
          <w:trHeight w:val="439" w:hRule="exact"/>
        </w:trPr>
        <w:tc>
          <w:tcPr>
            <w:tcW w:w="271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336"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14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70" w:hRule="exact"/>
        </w:trPr>
        <w:tc>
          <w:tcPr>
            <w:tcW w:w="2710" w:type="dxa"/>
            <w:vMerge/>
            <w:tcBorders>
              <w:left w:val="nil" w:sz="6" w:space="0" w:color="auto"/>
              <w:bottom w:val="dotted" w:sz="4" w:space="0" w:color="000000"/>
              <w:right w:val="dotted" w:sz="4" w:space="0" w:color="000000"/>
            </w:tcBorders>
          </w:tcPr>
          <w:p>
            <w:pP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348" w:lineRule="auto" w:before="116"/>
              <w:ind w:left="446" w:right="86"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348" w:lineRule="auto" w:before="116"/>
              <w:ind w:left="420" w:right="65"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惠州农产品物流配送中心有限公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74,437,939.90</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20,644,773.03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20,644,773.03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38,307,104.97</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77,336,288.97</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22,630,107.44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22,630,107.44</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-25,384,649.68</w:t>
            </w:r>
          </w:p>
        </w:tc>
      </w:tr>
      <w:tr>
        <w:trPr>
          <w:trHeight w:val="780"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345"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天津韩家墅海吉星农产品物流有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61,260,374.58</w:t>
            </w:r>
          </w:p>
        </w:tc>
        <w:tc>
          <w:tcPr>
            <w:tcW w:w="12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2,576,285.95</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2,576,285.95</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19,945,555.20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49,262,886.44</w:t>
            </w:r>
          </w:p>
        </w:tc>
        <w:tc>
          <w:tcPr>
            <w:tcW w:w="12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84,471.58</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84,471.58</w:t>
            </w:r>
          </w:p>
        </w:tc>
        <w:tc>
          <w:tcPr>
            <w:tcW w:w="12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6,264,117.57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74" w:footer="997" w:top="1000" w:bottom="1180" w:left="130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tbl>
      <w:tblPr>
        <w:tblW w:w="0" w:type="auto"/>
        <w:jc w:val="left"/>
        <w:tblInd w:w="925" w:type="dxa"/>
        <w:tblLayout w:type="fixed"/>
        <w:tblCellMar>
          <w:top w:w="0" w:type="dxa"/>
          <w:left w:w="0" w:type="dxa"/>
          <w:bottom w:w="0" w:type="dxa"/>
          <w:right w:w="0" w:type="dxa"/>
        </w:tblCellMar>
        <w:tblLook w:val="01E0"/>
      </w:tblPr>
      <w:tblGrid>
        <w:gridCol w:w="2710"/>
        <w:gridCol w:w="1404"/>
        <w:gridCol w:w="1263"/>
        <w:gridCol w:w="1404"/>
        <w:gridCol w:w="1265"/>
        <w:gridCol w:w="1265"/>
        <w:gridCol w:w="1262"/>
        <w:gridCol w:w="1404"/>
        <w:gridCol w:w="1212"/>
      </w:tblGrid>
      <w:tr>
        <w:trPr>
          <w:trHeight w:val="439" w:hRule="exact"/>
        </w:trPr>
        <w:tc>
          <w:tcPr>
            <w:tcW w:w="271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336"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14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70" w:hRule="exact"/>
        </w:trPr>
        <w:tc>
          <w:tcPr>
            <w:tcW w:w="2710" w:type="dxa"/>
            <w:vMerge/>
            <w:tcBorders>
              <w:left w:val="nil" w:sz="6" w:space="0" w:color="auto"/>
              <w:bottom w:val="dotted" w:sz="4" w:space="0" w:color="000000"/>
              <w:right w:val="dotted" w:sz="4" w:space="0" w:color="000000"/>
            </w:tcBorders>
          </w:tcPr>
          <w:p>
            <w:pP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348" w:lineRule="auto" w:before="116"/>
              <w:ind w:left="446" w:right="86"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348" w:lineRule="auto" w:before="116"/>
              <w:ind w:left="420" w:right="65"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广西新柳邕农产品批发市场有限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107,394,637.37</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40,081,478.18</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40,081,478.18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95,886,826.88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283,718,648.63</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58,423,298.08</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58,423,298.08</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84,573,718.66</w:t>
            </w:r>
          </w:p>
        </w:tc>
      </w:tr>
      <w:tr>
        <w:trPr>
          <w:trHeight w:val="7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成都农产品中心批发市场有限责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任公司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201,213,719.53</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65,732,001.92</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65,732,001.92</w:t>
            </w:r>
            <w:r>
              <w:rPr>
                <w:rFonts w:ascii="Times New Roman"/>
                <w:sz w:val="18"/>
              </w:rPr>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23,215,750.50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170,460,348.94</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50,468,726.67</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50,468,726.67</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49,098,579.64</w:t>
            </w:r>
          </w:p>
        </w:tc>
      </w:tr>
      <w:tr>
        <w:trPr>
          <w:trHeight w:val="43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40"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186,134,387.21</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39,131,394.75</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39,131,394.75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83,725,400.09</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173,840,555.82</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61,250,523.21</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61,250,523.21</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262,313,656.99</w:t>
            </w:r>
          </w:p>
        </w:tc>
      </w:tr>
      <w:tr>
        <w:trPr>
          <w:trHeight w:val="7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南昌深圳农产品中心批发市场有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142,643,300.84</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20,842,277.04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20,842,277.04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78,206,232.50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139,433,924.20</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10,262,360.33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10,262,360.33</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46,323,527.47</w:t>
            </w:r>
          </w:p>
        </w:tc>
      </w:tr>
      <w:tr>
        <w:trPr>
          <w:trHeight w:val="7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深圳市福田农产品批发市场有限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103,414,631.57</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26,074,505.91</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26,074,505.91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40,792,039.73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97,335,865.55</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25,886,567.93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25,886,567.93</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76,590,221.13</w:t>
            </w:r>
          </w:p>
        </w:tc>
      </w:tr>
      <w:tr>
        <w:trPr>
          <w:trHeight w:val="76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0" w:right="12"/>
              <w:jc w:val="left"/>
              <w:rPr>
                <w:rFonts w:ascii="宋体" w:hAnsi="宋体" w:cs="宋体" w:eastAsia="宋体" w:hint="default"/>
                <w:sz w:val="18"/>
                <w:szCs w:val="18"/>
              </w:rPr>
            </w:pPr>
            <w:r>
              <w:rPr>
                <w:rFonts w:ascii="宋体" w:hAnsi="宋体" w:cs="宋体" w:eastAsia="宋体" w:hint="default"/>
                <w:spacing w:val="8"/>
                <w:sz w:val="18"/>
                <w:szCs w:val="18"/>
              </w:rPr>
              <w:t>深圳市南山农产品批发配送有限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47,506,005.28</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8,230,326.28</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8,230,326.28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8,836,093.32</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44,106,832.02</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6,841,123.03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6,841,123.03</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7,310,541.50</w:t>
            </w:r>
          </w:p>
        </w:tc>
      </w:tr>
      <w:tr>
        <w:trPr>
          <w:trHeight w:val="7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8"/>
              <w:ind w:left="40" w:right="12"/>
              <w:jc w:val="left"/>
              <w:rPr>
                <w:rFonts w:ascii="宋体" w:hAnsi="宋体" w:cs="宋体" w:eastAsia="宋体" w:hint="default"/>
                <w:sz w:val="18"/>
                <w:szCs w:val="18"/>
              </w:rPr>
            </w:pPr>
            <w:r>
              <w:rPr>
                <w:rFonts w:ascii="宋体" w:hAnsi="宋体" w:cs="宋体" w:eastAsia="宋体" w:hint="default"/>
                <w:spacing w:val="8"/>
                <w:sz w:val="18"/>
                <w:szCs w:val="18"/>
              </w:rPr>
              <w:t>上海农产品中心批发市场经营管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理有限公司</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173,439,392.27</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65,352,162.63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65,352,162.63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36,764,251.75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165,270,721.46</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65,603,580.66</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65,603,580.66</w:t>
            </w:r>
          </w:p>
        </w:tc>
        <w:tc>
          <w:tcPr>
            <w:tcW w:w="1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80,378,902.22</w:t>
            </w:r>
          </w:p>
        </w:tc>
      </w:tr>
      <w:tr>
        <w:trPr>
          <w:trHeight w:val="442"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6"/>
              <w:ind w:left="40"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17,313,727.39</w:t>
            </w:r>
          </w:p>
        </w:tc>
        <w:tc>
          <w:tcPr>
            <w:tcW w:w="12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-5,696,865.19</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-5,696,865.19</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-99,578,340.42</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10,119,280.08</w:t>
            </w:r>
          </w:p>
        </w:tc>
        <w:tc>
          <w:tcPr>
            <w:tcW w:w="12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-119,347,872.21</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-119,347,872.21</w:t>
            </w:r>
          </w:p>
        </w:tc>
        <w:tc>
          <w:tcPr>
            <w:tcW w:w="12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8,499,934.90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6"/>
        <w:tabs>
          <w:tab w:pos="1400" w:val="left" w:leader="none"/>
        </w:tabs>
        <w:spacing w:line="335" w:lineRule="exact"/>
        <w:ind w:left="848" w:right="0"/>
        <w:jc w:val="left"/>
        <w:rPr>
          <w:b w:val="0"/>
          <w:bCs w:val="0"/>
        </w:rPr>
      </w:pPr>
      <w:r>
        <w:rPr>
          <w:rFonts w:ascii="Times New Roman" w:hAnsi="Times New Roman" w:cs="Times New Roman" w:eastAsia="Times New Roman" w:hint="default"/>
        </w:rPr>
        <w:t>4</w:t>
      </w:r>
      <w:r>
        <w:rPr/>
        <w:t>、</w:t>
        <w:tab/>
        <w:t>使用企业集团资产和清偿企业集团债务的重大限制：</w:t>
      </w:r>
      <w:r>
        <w:rPr>
          <w:b w:val="0"/>
          <w:bCs w:val="0"/>
        </w:rPr>
      </w:r>
    </w:p>
    <w:p>
      <w:pPr>
        <w:pStyle w:val="BodyText"/>
        <w:spacing w:line="240" w:lineRule="auto" w:before="99"/>
        <w:ind w:left="1417" w:right="0"/>
        <w:jc w:val="left"/>
      </w:pPr>
      <w:r>
        <w:rPr/>
        <w:t>公司本期不存在使用企业集团资产和清偿企业集团债务的重大限制。</w:t>
      </w:r>
    </w:p>
    <w:p>
      <w:pPr>
        <w:spacing w:after="0" w:line="240" w:lineRule="auto"/>
        <w:jc w:val="left"/>
        <w:sectPr>
          <w:pgSz w:w="16840" w:h="11910" w:orient="landscape"/>
          <w:pgMar w:header="774" w:footer="997" w:top="1000" w:bottom="1180" w:left="130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5</w:t>
      </w:r>
      <w:r>
        <w:rPr/>
        <w:t>、</w:t>
        <w:tab/>
        <w:t>向纳入合并财务报表范围的结构化主体提供的财务支持或其他支持：</w:t>
      </w:r>
      <w:r>
        <w:rPr>
          <w:b w:val="0"/>
          <w:bCs w:val="0"/>
        </w:rPr>
      </w:r>
    </w:p>
    <w:p>
      <w:pPr>
        <w:pStyle w:val="BodyText"/>
        <w:spacing w:line="240" w:lineRule="auto" w:before="102"/>
        <w:ind w:left="1417" w:right="230"/>
        <w:jc w:val="left"/>
      </w:pPr>
      <w:r>
        <w:rPr/>
        <w:t>公司本期不存在向纳入合并财务报表范围的结构化主体提供财务或其他支持。</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tabs>
          <w:tab w:pos="853" w:val="left" w:leader="none"/>
        </w:tabs>
        <w:spacing w:line="240" w:lineRule="auto"/>
        <w:ind w:left="128" w:right="23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在子公司的所有者权益份额发生变化且仍控制子公司的交易</w:t>
      </w:r>
      <w:r>
        <w:rPr>
          <w:b w:val="0"/>
          <w:bCs w:val="0"/>
        </w:rPr>
      </w:r>
    </w:p>
    <w:p>
      <w:pPr>
        <w:pStyle w:val="BodyText"/>
        <w:tabs>
          <w:tab w:pos="1400" w:val="left" w:leader="none"/>
        </w:tabs>
        <w:spacing w:line="328" w:lineRule="auto"/>
        <w:ind w:left="1417" w:right="230" w:hanging="56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w:t>
        <w:tab/>
        <w:t>在子公司所有者权益份额的变化情况的说明：</w:t>
      </w:r>
      <w:r>
        <w:rPr>
          <w:rFonts w:ascii="Microsoft JhengHei" w:hAnsi="Microsoft JhengHei" w:cs="Microsoft JhengHei" w:eastAsia="Microsoft JhengHei" w:hint="default"/>
          <w:b/>
          <w:bCs/>
          <w:spacing w:val="-35"/>
        </w:rPr>
        <w:t> </w:t>
      </w:r>
      <w:r>
        <w:rPr>
          <w:rFonts w:ascii="Microsoft JhengHei" w:hAnsi="Microsoft JhengHei" w:cs="Microsoft JhengHei" w:eastAsia="Microsoft JhengHei" w:hint="default"/>
          <w:b/>
          <w:bCs/>
          <w:spacing w:val="-35"/>
        </w:rPr>
      </w:r>
      <w:r>
        <w:rPr/>
        <w:t>本期公司下属全资子公司深圳前海农产品交易所股份有限公司以公司控股子公司深圳前海农迈天下电子商务有限公司股东全部权益价值评</w:t>
      </w:r>
      <w:r>
        <w:rPr>
          <w:w w:val="100"/>
        </w:rPr>
        <w:t> </w:t>
      </w:r>
      <w:r>
        <w:rPr>
          <w:spacing w:val="-3"/>
          <w:w w:val="100"/>
        </w:rPr>
        <w:t>估结果为依据（评估基准日为</w:t>
      </w:r>
      <w:r>
        <w:rPr>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w w:val="100"/>
        </w:rPr>
        <w:t> </w:t>
      </w:r>
      <w:r>
        <w:rPr>
          <w:w w:val="100"/>
        </w:rPr>
        <w:t>月 </w:t>
      </w:r>
      <w:r>
        <w:rPr>
          <w:rFonts w:ascii="Times New Roman" w:hAnsi="Times New Roman" w:cs="Times New Roman" w:eastAsia="Times New Roman" w:hint="default"/>
          <w:w w:val="100"/>
        </w:rPr>
        <w:t>31 </w:t>
      </w:r>
      <w:r>
        <w:rPr>
          <w:spacing w:val="-32"/>
          <w:w w:val="100"/>
        </w:rPr>
        <w:t>日），以</w:t>
      </w:r>
      <w:r>
        <w:rPr>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8"/>
          <w:w w:val="100"/>
        </w:rPr>
        <w:t> </w:t>
      </w:r>
      <w:r>
        <w:rPr>
          <w:spacing w:val="-3"/>
          <w:w w:val="100"/>
        </w:rPr>
        <w:t>元对价收购成都迈普创业投资合伙企业（有限合伙）所持有深圳前海农迈天下</w:t>
      </w:r>
      <w:r>
        <w:rPr>
          <w:w w:val="100"/>
        </w:rPr>
        <w:t> </w:t>
      </w:r>
      <w:r>
        <w:rPr/>
        <w:t>电子商务有限公司</w:t>
      </w:r>
      <w:r>
        <w:rPr>
          <w:spacing w:val="-56"/>
        </w:rPr>
        <w:t> </w:t>
      </w:r>
      <w:r>
        <w:rPr>
          <w:rFonts w:ascii="Times New Roman" w:hAnsi="Times New Roman" w:cs="Times New Roman" w:eastAsia="Times New Roman" w:hint="default"/>
        </w:rPr>
        <w:t>40%</w:t>
      </w:r>
      <w:r>
        <w:rPr/>
        <w:t>股份。交易完成后，公司在子公司深圳前海农迈天下电子商务有限公司的股份由</w:t>
      </w:r>
      <w:r>
        <w:rPr>
          <w:spacing w:val="-56"/>
        </w:rPr>
        <w:t> </w:t>
      </w:r>
      <w:r>
        <w:rPr>
          <w:rFonts w:ascii="Times New Roman" w:hAnsi="Times New Roman" w:cs="Times New Roman" w:eastAsia="Times New Roman" w:hint="default"/>
        </w:rPr>
        <w:t>55%</w:t>
      </w:r>
      <w:r>
        <w:rPr/>
        <w:t>变更为</w:t>
      </w:r>
      <w:r>
        <w:rPr>
          <w:spacing w:val="-56"/>
        </w:rPr>
        <w:t> </w:t>
      </w:r>
      <w:r>
        <w:rPr>
          <w:rFonts w:ascii="Times New Roman" w:hAnsi="Times New Roman" w:cs="Times New Roman" w:eastAsia="Times New Roman" w:hint="default"/>
        </w:rPr>
        <w:t>95%</w:t>
      </w:r>
      <w:r>
        <w:rPr/>
        <w:t>。</w:t>
      </w:r>
    </w:p>
    <w:p>
      <w:pPr>
        <w:spacing w:line="240" w:lineRule="auto" w:before="2"/>
        <w:rPr>
          <w:rFonts w:ascii="宋体" w:hAnsi="宋体" w:cs="宋体" w:eastAsia="宋体" w:hint="default"/>
          <w:sz w:val="27"/>
          <w:szCs w:val="27"/>
        </w:rPr>
      </w:pPr>
    </w:p>
    <w:p>
      <w:pPr>
        <w:pStyle w:val="Heading6"/>
        <w:tabs>
          <w:tab w:pos="1400" w:val="left" w:leader="none"/>
        </w:tabs>
        <w:spacing w:line="240" w:lineRule="auto"/>
        <w:ind w:left="848" w:right="230"/>
        <w:jc w:val="left"/>
        <w:rPr>
          <w:b w:val="0"/>
          <w:bCs w:val="0"/>
        </w:rPr>
      </w:pPr>
      <w:r>
        <w:rPr>
          <w:rFonts w:ascii="Times New Roman" w:hAnsi="Times New Roman" w:cs="Times New Roman" w:eastAsia="Times New Roman" w:hint="default"/>
        </w:rPr>
        <w:t>2</w:t>
      </w:r>
      <w:r>
        <w:rPr/>
        <w:t>、</w:t>
        <w:tab/>
        <w:t>交易对于少数股东权益及归属于母公司所有者权益的影响</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7885"/>
        <w:gridCol w:w="5456"/>
      </w:tblGrid>
      <w:tr>
        <w:trPr>
          <w:trHeight w:val="461" w:hRule="exact"/>
        </w:trPr>
        <w:tc>
          <w:tcPr>
            <w:tcW w:w="7885" w:type="dxa"/>
            <w:tcBorders>
              <w:top w:val="single" w:sz="12" w:space="0" w:color="000000"/>
              <w:left w:val="nil" w:sz="6" w:space="0" w:color="auto"/>
              <w:bottom w:val="dotted" w:sz="4" w:space="0" w:color="000000"/>
              <w:right w:val="dotted" w:sz="4" w:space="0" w:color="000000"/>
            </w:tcBorders>
          </w:tcPr>
          <w:p>
            <w:pPr/>
          </w:p>
        </w:tc>
        <w:tc>
          <w:tcPr>
            <w:tcW w:w="54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1282" w:right="0"/>
              <w:jc w:val="left"/>
              <w:rPr>
                <w:rFonts w:ascii="宋体" w:hAnsi="宋体" w:cs="宋体" w:eastAsia="宋体" w:hint="default"/>
                <w:sz w:val="18"/>
                <w:szCs w:val="18"/>
              </w:rPr>
            </w:pPr>
            <w:r>
              <w:rPr>
                <w:rFonts w:ascii="宋体" w:hAnsi="宋体" w:cs="宋体" w:eastAsia="宋体" w:hint="default"/>
                <w:sz w:val="18"/>
                <w:szCs w:val="18"/>
              </w:rPr>
              <w:t>深圳前海农迈天下电子商务有限公司</w:t>
            </w:r>
          </w:p>
        </w:tc>
      </w:tr>
      <w:tr>
        <w:trPr>
          <w:trHeight w:val="449" w:hRule="exact"/>
        </w:trPr>
        <w:tc>
          <w:tcPr>
            <w:tcW w:w="7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545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7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5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449" w:hRule="exact"/>
        </w:trPr>
        <w:tc>
          <w:tcPr>
            <w:tcW w:w="7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5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451" w:hRule="exact"/>
        </w:trPr>
        <w:tc>
          <w:tcPr>
            <w:tcW w:w="7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5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-16,982,133.66</w:t>
            </w:r>
          </w:p>
        </w:tc>
      </w:tr>
      <w:tr>
        <w:trPr>
          <w:trHeight w:val="449" w:hRule="exact"/>
        </w:trPr>
        <w:tc>
          <w:tcPr>
            <w:tcW w:w="7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5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16,982,134.66</w:t>
            </w:r>
          </w:p>
        </w:tc>
      </w:tr>
      <w:tr>
        <w:trPr>
          <w:trHeight w:val="451" w:hRule="exact"/>
        </w:trPr>
        <w:tc>
          <w:tcPr>
            <w:tcW w:w="7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54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16,982,134.66</w:t>
            </w:r>
          </w:p>
        </w:tc>
      </w:tr>
      <w:tr>
        <w:trPr>
          <w:trHeight w:val="461" w:hRule="exact"/>
        </w:trPr>
        <w:tc>
          <w:tcPr>
            <w:tcW w:w="78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5456"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4" w:footer="997" w:top="1000" w:bottom="1180" w:left="1300" w:right="12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5"/>
          <w:szCs w:val="25"/>
        </w:rPr>
      </w:pPr>
    </w:p>
    <w:tbl>
      <w:tblPr>
        <w:tblW w:w="0" w:type="auto"/>
        <w:jc w:val="left"/>
        <w:tblInd w:w="853" w:type="dxa"/>
        <w:tblLayout w:type="fixed"/>
        <w:tblCellMar>
          <w:top w:w="0" w:type="dxa"/>
          <w:left w:w="0" w:type="dxa"/>
          <w:bottom w:w="0" w:type="dxa"/>
          <w:right w:w="0" w:type="dxa"/>
        </w:tblCellMar>
        <w:tblLook w:val="01E0"/>
      </w:tblPr>
      <w:tblGrid>
        <w:gridCol w:w="7885"/>
        <w:gridCol w:w="5456"/>
      </w:tblGrid>
      <w:tr>
        <w:trPr>
          <w:trHeight w:val="461" w:hRule="exact"/>
        </w:trPr>
        <w:tc>
          <w:tcPr>
            <w:tcW w:w="7885" w:type="dxa"/>
            <w:tcBorders>
              <w:top w:val="single" w:sz="12" w:space="0" w:color="000000"/>
              <w:left w:val="nil" w:sz="6" w:space="0" w:color="auto"/>
              <w:bottom w:val="dotted" w:sz="4" w:space="0" w:color="000000"/>
              <w:right w:val="dotted" w:sz="4" w:space="0" w:color="000000"/>
            </w:tcBorders>
          </w:tcPr>
          <w:p>
            <w:pPr/>
          </w:p>
        </w:tc>
        <w:tc>
          <w:tcPr>
            <w:tcW w:w="54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1282" w:right="0"/>
              <w:jc w:val="left"/>
              <w:rPr>
                <w:rFonts w:ascii="宋体" w:hAnsi="宋体" w:cs="宋体" w:eastAsia="宋体" w:hint="default"/>
                <w:sz w:val="18"/>
                <w:szCs w:val="18"/>
              </w:rPr>
            </w:pPr>
            <w:r>
              <w:rPr>
                <w:rFonts w:ascii="宋体" w:hAnsi="宋体" w:cs="宋体" w:eastAsia="宋体" w:hint="default"/>
                <w:sz w:val="18"/>
                <w:szCs w:val="18"/>
              </w:rPr>
              <w:t>深圳前海农迈天下电子商务有限公司</w:t>
            </w:r>
          </w:p>
        </w:tc>
      </w:tr>
      <w:tr>
        <w:trPr>
          <w:trHeight w:val="461" w:hRule="exact"/>
        </w:trPr>
        <w:tc>
          <w:tcPr>
            <w:tcW w:w="78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545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6"/>
          <w:szCs w:val="26"/>
        </w:rPr>
      </w:pPr>
    </w:p>
    <w:p>
      <w:pPr>
        <w:pStyle w:val="Heading6"/>
        <w:tabs>
          <w:tab w:pos="853" w:val="left" w:leader="none"/>
        </w:tabs>
        <w:spacing w:line="335" w:lineRule="exact"/>
        <w:ind w:left="140" w:right="23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在合营安排或联营企业中的权益</w:t>
      </w:r>
      <w:r>
        <w:rPr>
          <w:b w:val="0"/>
          <w:bCs w:val="0"/>
        </w:rPr>
      </w:r>
    </w:p>
    <w:p>
      <w:pPr>
        <w:pStyle w:val="Heading6"/>
        <w:tabs>
          <w:tab w:pos="1400" w:val="left" w:leader="none"/>
        </w:tabs>
        <w:spacing w:line="240" w:lineRule="auto" w:before="36"/>
        <w:ind w:left="848" w:right="230"/>
        <w:jc w:val="left"/>
        <w:rPr>
          <w:b w:val="0"/>
          <w:bCs w:val="0"/>
        </w:rPr>
      </w:pPr>
      <w:r>
        <w:rPr>
          <w:rFonts w:ascii="Times New Roman" w:hAnsi="Times New Roman" w:cs="Times New Roman" w:eastAsia="Times New Roman" w:hint="default"/>
        </w:rPr>
        <w:t>1</w:t>
      </w:r>
      <w:r>
        <w:rPr/>
        <w:t>、</w:t>
        <w:tab/>
        <w:t>重要的合营企业或联营企业</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4189"/>
        <w:gridCol w:w="1265"/>
        <w:gridCol w:w="1123"/>
        <w:gridCol w:w="3087"/>
        <w:gridCol w:w="1123"/>
        <w:gridCol w:w="1124"/>
        <w:gridCol w:w="1430"/>
      </w:tblGrid>
      <w:tr>
        <w:trPr>
          <w:trHeight w:val="379" w:hRule="exact"/>
        </w:trPr>
        <w:tc>
          <w:tcPr>
            <w:tcW w:w="4189"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11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23"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087"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24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left="6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30"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会计处理方法</w:t>
            </w:r>
          </w:p>
        </w:tc>
      </w:tr>
      <w:tr>
        <w:trPr>
          <w:trHeight w:val="370" w:hRule="exact"/>
        </w:trPr>
        <w:tc>
          <w:tcPr>
            <w:tcW w:w="4189"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1123" w:type="dxa"/>
            <w:vMerge/>
            <w:tcBorders>
              <w:left w:val="dotted" w:sz="4" w:space="0" w:color="000000"/>
              <w:bottom w:val="dotted" w:sz="4" w:space="0" w:color="000000"/>
              <w:right w:val="dotted" w:sz="4" w:space="0" w:color="000000"/>
            </w:tcBorders>
          </w:tcPr>
          <w:p>
            <w:pPr/>
          </w:p>
        </w:tc>
        <w:tc>
          <w:tcPr>
            <w:tcW w:w="3087" w:type="dxa"/>
            <w:vMerge/>
            <w:tcBorders>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30" w:type="dxa"/>
            <w:vMerge/>
            <w:tcBorders>
              <w:left w:val="dotted" w:sz="4" w:space="0" w:color="000000"/>
              <w:bottom w:val="dotted" w:sz="4" w:space="0" w:color="000000"/>
              <w:right w:val="nil" w:sz="6" w:space="0" w:color="auto"/>
            </w:tcBorders>
          </w:tcPr>
          <w:p>
            <w:pPr/>
          </w:p>
        </w:tc>
      </w:tr>
      <w:tr>
        <w:trPr>
          <w:trHeight w:val="451" w:hRule="exact"/>
        </w:trPr>
        <w:tc>
          <w:tcPr>
            <w:tcW w:w="4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447"/>
              <w:jc w:val="right"/>
              <w:rPr>
                <w:rFonts w:ascii="宋体" w:hAnsi="宋体" w:cs="宋体" w:eastAsia="宋体" w:hint="default"/>
                <w:sz w:val="18"/>
                <w:szCs w:val="18"/>
              </w:rPr>
            </w:pPr>
            <w:r>
              <w:rPr>
                <w:rFonts w:ascii="宋体" w:hAnsi="宋体" w:cs="宋体" w:eastAsia="宋体" w:hint="default"/>
                <w:sz w:val="18"/>
                <w:szCs w:val="18"/>
              </w:rPr>
              <w:t>蚌埠</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74"/>
              <w:jc w:val="right"/>
              <w:rPr>
                <w:rFonts w:ascii="宋体" w:hAnsi="宋体" w:cs="宋体" w:eastAsia="宋体" w:hint="default"/>
                <w:sz w:val="18"/>
                <w:szCs w:val="18"/>
              </w:rPr>
            </w:pPr>
            <w:r>
              <w:rPr>
                <w:rFonts w:ascii="宋体" w:hAnsi="宋体" w:cs="宋体" w:eastAsia="宋体" w:hint="default"/>
                <w:sz w:val="18"/>
                <w:szCs w:val="18"/>
              </w:rPr>
              <w:t>蚌埠</w:t>
            </w:r>
          </w:p>
        </w:tc>
        <w:tc>
          <w:tcPr>
            <w:tcW w:w="30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45.00</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49" w:hRule="exact"/>
        </w:trPr>
        <w:tc>
          <w:tcPr>
            <w:tcW w:w="4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447"/>
              <w:jc w:val="right"/>
              <w:rPr>
                <w:rFonts w:ascii="宋体" w:hAnsi="宋体" w:cs="宋体" w:eastAsia="宋体" w:hint="default"/>
                <w:sz w:val="18"/>
                <w:szCs w:val="18"/>
              </w:rPr>
            </w:pPr>
            <w:r>
              <w:rPr>
                <w:rFonts w:ascii="宋体" w:hAnsi="宋体" w:cs="宋体" w:eastAsia="宋体" w:hint="default"/>
                <w:sz w:val="18"/>
                <w:szCs w:val="18"/>
              </w:rPr>
              <w:t>合肥</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74"/>
              <w:jc w:val="right"/>
              <w:rPr>
                <w:rFonts w:ascii="宋体" w:hAnsi="宋体" w:cs="宋体" w:eastAsia="宋体" w:hint="default"/>
                <w:sz w:val="18"/>
                <w:szCs w:val="18"/>
              </w:rPr>
            </w:pPr>
            <w:r>
              <w:rPr>
                <w:rFonts w:ascii="宋体" w:hAnsi="宋体" w:cs="宋体" w:eastAsia="宋体" w:hint="default"/>
                <w:sz w:val="18"/>
                <w:szCs w:val="18"/>
              </w:rPr>
              <w:t>合肥</w:t>
            </w:r>
          </w:p>
        </w:tc>
        <w:tc>
          <w:tcPr>
            <w:tcW w:w="30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44.675</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51" w:hRule="exact"/>
        </w:trPr>
        <w:tc>
          <w:tcPr>
            <w:tcW w:w="4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447"/>
              <w:jc w:val="right"/>
              <w:rPr>
                <w:rFonts w:ascii="宋体" w:hAnsi="宋体" w:cs="宋体" w:eastAsia="宋体" w:hint="default"/>
                <w:sz w:val="18"/>
                <w:szCs w:val="18"/>
              </w:rPr>
            </w:pPr>
            <w:r>
              <w:rPr>
                <w:rFonts w:ascii="宋体" w:hAnsi="宋体" w:cs="宋体" w:eastAsia="宋体" w:hint="default"/>
                <w:sz w:val="18"/>
                <w:szCs w:val="18"/>
              </w:rPr>
              <w:t>深圳</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74"/>
              <w:jc w:val="right"/>
              <w:rPr>
                <w:rFonts w:ascii="宋体" w:hAnsi="宋体" w:cs="宋体" w:eastAsia="宋体" w:hint="default"/>
                <w:sz w:val="18"/>
                <w:szCs w:val="18"/>
              </w:rPr>
            </w:pPr>
            <w:r>
              <w:rPr>
                <w:rFonts w:ascii="宋体" w:hAnsi="宋体" w:cs="宋体" w:eastAsia="宋体" w:hint="default"/>
                <w:sz w:val="18"/>
                <w:szCs w:val="18"/>
              </w:rPr>
              <w:t>深圳</w:t>
            </w:r>
          </w:p>
        </w:tc>
        <w:tc>
          <w:tcPr>
            <w:tcW w:w="30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贷款和担保</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809" w:hRule="exact"/>
        </w:trPr>
        <w:tc>
          <w:tcPr>
            <w:tcW w:w="4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深圳市深粮控股股份有限公司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447"/>
              <w:jc w:val="right"/>
              <w:rPr>
                <w:rFonts w:ascii="宋体" w:hAnsi="宋体" w:cs="宋体" w:eastAsia="宋体" w:hint="default"/>
                <w:sz w:val="18"/>
                <w:szCs w:val="18"/>
              </w:rPr>
            </w:pPr>
            <w:r>
              <w:rPr>
                <w:rFonts w:ascii="宋体" w:hAnsi="宋体" w:cs="宋体" w:eastAsia="宋体" w:hint="default"/>
                <w:sz w:val="18"/>
                <w:szCs w:val="18"/>
              </w:rPr>
              <w:t>深圳</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深圳</w:t>
            </w:r>
          </w:p>
        </w:tc>
        <w:tc>
          <w:tcPr>
            <w:tcW w:w="3087"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635" w:right="104" w:hanging="533"/>
              <w:jc w:val="left"/>
              <w:rPr>
                <w:rFonts w:ascii="宋体" w:hAnsi="宋体" w:cs="宋体" w:eastAsia="宋体" w:hint="default"/>
                <w:sz w:val="18"/>
                <w:szCs w:val="18"/>
              </w:rPr>
            </w:pPr>
            <w:r>
              <w:rPr>
                <w:rFonts w:ascii="宋体" w:hAnsi="宋体" w:cs="宋体" w:eastAsia="宋体" w:hint="default"/>
                <w:spacing w:val="-1"/>
                <w:sz w:val="18"/>
                <w:szCs w:val="18"/>
              </w:rPr>
              <w:t>饮料、茶饮料的生产和销售；粮油流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通及粮油储备服务业务</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8.23</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51" w:hRule="exact"/>
        </w:trPr>
        <w:tc>
          <w:tcPr>
            <w:tcW w:w="4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深圳市中农网有限公司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447"/>
              <w:jc w:val="right"/>
              <w:rPr>
                <w:rFonts w:ascii="宋体" w:hAnsi="宋体" w:cs="宋体" w:eastAsia="宋体" w:hint="default"/>
                <w:sz w:val="18"/>
                <w:szCs w:val="18"/>
              </w:rPr>
            </w:pPr>
            <w:r>
              <w:rPr>
                <w:rFonts w:ascii="宋体" w:hAnsi="宋体" w:cs="宋体" w:eastAsia="宋体" w:hint="default"/>
                <w:sz w:val="18"/>
                <w:szCs w:val="18"/>
              </w:rPr>
              <w:t>深圳</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74"/>
              <w:jc w:val="right"/>
              <w:rPr>
                <w:rFonts w:ascii="宋体" w:hAnsi="宋体" w:cs="宋体" w:eastAsia="宋体" w:hint="default"/>
                <w:sz w:val="18"/>
                <w:szCs w:val="18"/>
              </w:rPr>
            </w:pPr>
            <w:r>
              <w:rPr>
                <w:rFonts w:ascii="宋体" w:hAnsi="宋体" w:cs="宋体" w:eastAsia="宋体" w:hint="default"/>
                <w:sz w:val="18"/>
                <w:szCs w:val="18"/>
              </w:rPr>
              <w:t>深圳</w:t>
            </w:r>
          </w:p>
        </w:tc>
        <w:tc>
          <w:tcPr>
            <w:tcW w:w="30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37.328</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1.965</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49" w:hRule="exact"/>
        </w:trPr>
        <w:tc>
          <w:tcPr>
            <w:tcW w:w="4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北京大红门京深海鲜批发市场有限公司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447"/>
              <w:jc w:val="right"/>
              <w:rPr>
                <w:rFonts w:ascii="宋体" w:hAnsi="宋体" w:cs="宋体" w:eastAsia="宋体" w:hint="default"/>
                <w:sz w:val="18"/>
                <w:szCs w:val="18"/>
              </w:rPr>
            </w:pPr>
            <w:r>
              <w:rPr>
                <w:rFonts w:ascii="宋体" w:hAnsi="宋体" w:cs="宋体" w:eastAsia="宋体" w:hint="default"/>
                <w:sz w:val="18"/>
                <w:szCs w:val="18"/>
              </w:rPr>
              <w:t>北京</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74"/>
              <w:jc w:val="right"/>
              <w:rPr>
                <w:rFonts w:ascii="宋体" w:hAnsi="宋体" w:cs="宋体" w:eastAsia="宋体" w:hint="default"/>
                <w:sz w:val="18"/>
                <w:szCs w:val="18"/>
              </w:rPr>
            </w:pPr>
            <w:r>
              <w:rPr>
                <w:rFonts w:ascii="宋体" w:hAnsi="宋体" w:cs="宋体" w:eastAsia="宋体" w:hint="default"/>
                <w:sz w:val="18"/>
                <w:szCs w:val="18"/>
              </w:rPr>
              <w:t>北京</w:t>
            </w:r>
          </w:p>
        </w:tc>
        <w:tc>
          <w:tcPr>
            <w:tcW w:w="30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42.00</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61" w:hRule="exact"/>
        </w:trPr>
        <w:tc>
          <w:tcPr>
            <w:tcW w:w="41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深圳市农产品流通产业发展投资企业（有限合伙）</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447"/>
              <w:jc w:val="right"/>
              <w:rPr>
                <w:rFonts w:ascii="宋体" w:hAnsi="宋体" w:cs="宋体" w:eastAsia="宋体" w:hint="default"/>
                <w:sz w:val="18"/>
                <w:szCs w:val="18"/>
              </w:rPr>
            </w:pPr>
            <w:r>
              <w:rPr>
                <w:rFonts w:ascii="宋体" w:hAnsi="宋体" w:cs="宋体" w:eastAsia="宋体" w:hint="default"/>
                <w:sz w:val="18"/>
                <w:szCs w:val="18"/>
              </w:rPr>
              <w:t>深圳</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374"/>
              <w:jc w:val="right"/>
              <w:rPr>
                <w:rFonts w:ascii="宋体" w:hAnsi="宋体" w:cs="宋体" w:eastAsia="宋体" w:hint="default"/>
                <w:sz w:val="18"/>
                <w:szCs w:val="18"/>
              </w:rPr>
            </w:pPr>
            <w:r>
              <w:rPr>
                <w:rFonts w:ascii="宋体" w:hAnsi="宋体" w:cs="宋体" w:eastAsia="宋体" w:hint="default"/>
                <w:sz w:val="18"/>
                <w:szCs w:val="18"/>
              </w:rPr>
              <w:t>深圳</w:t>
            </w:r>
          </w:p>
        </w:tc>
        <w:tc>
          <w:tcPr>
            <w:tcW w:w="30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项目投资</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41.18</w:t>
            </w:r>
          </w:p>
        </w:tc>
        <w:tc>
          <w:tcPr>
            <w:tcW w:w="1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31" w:lineRule="auto"/>
        <w:ind w:left="757" w:right="0"/>
        <w:jc w:val="left"/>
      </w:pPr>
      <w:r>
        <w:rPr/>
        <w:t>持有</w:t>
      </w:r>
      <w:r>
        <w:rPr>
          <w:spacing w:val="-54"/>
        </w:rPr>
        <w:t> </w:t>
      </w:r>
      <w:r>
        <w:rPr>
          <w:rFonts w:ascii="Times New Roman" w:hAnsi="Times New Roman" w:cs="Times New Roman" w:eastAsia="Times New Roman" w:hint="default"/>
        </w:rPr>
        <w:t>20%</w:t>
      </w:r>
      <w:r>
        <w:rPr/>
        <w:t>以下表决权但具有重大影响，或者持有</w:t>
      </w:r>
      <w:r>
        <w:rPr>
          <w:spacing w:val="-54"/>
        </w:rPr>
        <w:t> </w:t>
      </w:r>
      <w:r>
        <w:rPr>
          <w:rFonts w:ascii="Times New Roman" w:hAnsi="Times New Roman" w:cs="Times New Roman" w:eastAsia="Times New Roman" w:hint="default"/>
        </w:rPr>
        <w:t>20%</w:t>
      </w:r>
      <w:r>
        <w:rPr/>
        <w:t>或以上表决权但不具有重大影响的依据：</w:t>
      </w:r>
      <w:r>
        <w:rPr>
          <w:w w:val="100"/>
        </w:rPr>
        <w:t> </w:t>
      </w:r>
      <w:r>
        <w:rPr>
          <w:spacing w:val="-4"/>
          <w:w w:val="100"/>
        </w:rPr>
        <w:t>经批准，本公司联营公司深圳市深粮控股股份有限公司（原名：深圳市深宝实业股份有限公司（以下简称</w:t>
      </w:r>
      <w:r>
        <w:rPr>
          <w:rFonts w:ascii="Times New Roman" w:hAnsi="Times New Roman" w:cs="Times New Roman" w:eastAsia="Times New Roman" w:hint="default"/>
          <w:spacing w:val="-4"/>
          <w:w w:val="100"/>
        </w:rPr>
        <w:t>“</w:t>
      </w:r>
      <w:r>
        <w:rPr>
          <w:spacing w:val="-4"/>
          <w:w w:val="100"/>
        </w:rPr>
        <w:t>深深宝</w:t>
      </w:r>
      <w:r>
        <w:rPr>
          <w:rFonts w:ascii="Times New Roman" w:hAnsi="Times New Roman" w:cs="Times New Roman" w:eastAsia="Times New Roman" w:hint="default"/>
          <w:spacing w:val="-4"/>
          <w:w w:val="100"/>
        </w:rPr>
        <w:t>”</w:t>
      </w:r>
      <w:r>
        <w:rPr>
          <w:spacing w:val="-4"/>
          <w:w w:val="100"/>
        </w:rPr>
        <w:t>））</w:t>
      </w:r>
      <w:r>
        <w:rPr>
          <w:rFonts w:ascii="Times New Roman" w:hAnsi="Times New Roman" w:cs="Times New Roman" w:eastAsia="Times New Roman" w:hint="default"/>
          <w:spacing w:val="-4"/>
          <w:w w:val="100"/>
        </w:rPr>
        <w:t>2018</w:t>
      </w:r>
      <w:r>
        <w:rPr>
          <w:rFonts w:ascii="Times New Roman" w:hAnsi="Times New Roman" w:cs="Times New Roman" w:eastAsia="Times New Roman" w:hint="default"/>
          <w:w w:val="100"/>
        </w:rPr>
        <w:t> </w:t>
      </w:r>
      <w:r>
        <w:rPr>
          <w:spacing w:val="-2"/>
          <w:w w:val="100"/>
        </w:rPr>
        <w:t>年通过发行股份购买深</w:t>
      </w:r>
      <w:r>
        <w:rPr>
          <w:spacing w:val="-78"/>
          <w:w w:val="100"/>
        </w:rPr>
        <w:t> </w:t>
      </w:r>
      <w:r>
        <w:rPr>
          <w:spacing w:val="-78"/>
          <w:w w:val="100"/>
        </w:rPr>
      </w:r>
      <w:r>
        <w:rPr/>
        <w:t>圳市福德国有资本有限公司（以下简称</w:t>
      </w:r>
      <w:r>
        <w:rPr>
          <w:rFonts w:ascii="Times New Roman" w:hAnsi="Times New Roman" w:cs="Times New Roman" w:eastAsia="Times New Roman" w:hint="default"/>
        </w:rPr>
        <w:t>“</w:t>
      </w:r>
      <w:r>
        <w:rPr/>
        <w:t>福德资本</w:t>
      </w:r>
      <w:r>
        <w:rPr>
          <w:rFonts w:ascii="Times New Roman" w:hAnsi="Times New Roman" w:cs="Times New Roman" w:eastAsia="Times New Roman" w:hint="default"/>
        </w:rPr>
        <w:t>”</w:t>
      </w:r>
      <w:r>
        <w:rPr/>
        <w:t>）持有深圳市粮食集团有限公司（以下简称</w:t>
      </w:r>
      <w:r>
        <w:rPr>
          <w:rFonts w:ascii="Times New Roman" w:hAnsi="Times New Roman" w:cs="Times New Roman" w:eastAsia="Times New Roman" w:hint="default"/>
        </w:rPr>
        <w:t>“</w:t>
      </w:r>
      <w:r>
        <w:rPr/>
        <w:t>粮食集团</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股权；重组完成后，粮食集团为</w:t>
      </w:r>
      <w:r>
        <w:rPr>
          <w:spacing w:val="-19"/>
        </w:rPr>
        <w:t> </w:t>
      </w:r>
      <w:r>
        <w:rPr>
          <w:spacing w:val="-19"/>
        </w:rPr>
      </w:r>
      <w:r>
        <w:rPr>
          <w:spacing w:val="-2"/>
        </w:rPr>
        <w:t>深深宝下属全资子公司，本公司对深深宝的股权由</w:t>
      </w:r>
      <w:r>
        <w:rPr/>
        <w:t> </w:t>
      </w:r>
      <w:r>
        <w:rPr>
          <w:rFonts w:ascii="Times New Roman" w:hAnsi="Times New Roman" w:cs="Times New Roman" w:eastAsia="Times New Roman" w:hint="default"/>
          <w:spacing w:val="-1"/>
        </w:rPr>
        <w:t>19.09%</w:t>
      </w:r>
      <w:r>
        <w:rPr>
          <w:spacing w:val="-1"/>
        </w:rPr>
        <w:t>下降为</w:t>
      </w:r>
      <w:r>
        <w:rPr>
          <w:spacing w:val="-9"/>
        </w:rPr>
        <w:t> </w:t>
      </w:r>
      <w:r>
        <w:rPr>
          <w:rFonts w:ascii="Times New Roman" w:hAnsi="Times New Roman" w:cs="Times New Roman" w:eastAsia="Times New Roman" w:hint="default"/>
          <w:spacing w:val="-2"/>
        </w:rPr>
        <w:t>8.23%</w:t>
      </w:r>
      <w:r>
        <w:rPr>
          <w:spacing w:val="-2"/>
        </w:rPr>
        <w:t>，下降后本公司为深深宝第二大股东。按照深深宝公司章程</w:t>
      </w:r>
      <w:r>
        <w:rPr>
          <w:rFonts w:ascii="Times New Roman" w:hAnsi="Times New Roman" w:cs="Times New Roman" w:eastAsia="Times New Roman" w:hint="default"/>
          <w:spacing w:val="-2"/>
        </w:rPr>
        <w:t>“</w:t>
      </w:r>
      <w:r>
        <w:rPr>
          <w:spacing w:val="-2"/>
        </w:rPr>
        <w:t>公司的重大决</w:t>
      </w:r>
    </w:p>
    <w:p>
      <w:pPr>
        <w:spacing w:after="0" w:line="331" w:lineRule="auto"/>
        <w:jc w:val="left"/>
        <w:sectPr>
          <w:pgSz w:w="16840" w:h="11910" w:orient="landscape"/>
          <w:pgMar w:header="774" w:footer="997" w:top="1000" w:bottom="11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331" w:lineRule="auto"/>
        <w:ind w:left="757" w:right="107"/>
        <w:jc w:val="both"/>
      </w:pPr>
      <w:r>
        <w:rPr>
          <w:spacing w:val="-3"/>
        </w:rPr>
        <w:t>策应由股东大会和董事会依法作出；股东大会作出普通决议，应当由出席股东大会的股东（包括股东代理人）所持表决权的 </w:t>
      </w:r>
      <w:r>
        <w:rPr>
          <w:rFonts w:ascii="Times New Roman" w:hAnsi="Times New Roman" w:cs="Times New Roman" w:eastAsia="Times New Roman" w:hint="default"/>
        </w:rPr>
        <w:t>1/2 </w:t>
      </w:r>
      <w:r>
        <w:rPr>
          <w:spacing w:val="-4"/>
        </w:rPr>
        <w:t>以上通过，股东大</w:t>
      </w:r>
      <w:r>
        <w:rPr>
          <w:spacing w:val="-80"/>
        </w:rPr>
        <w:t> </w:t>
      </w:r>
      <w:r>
        <w:rPr>
          <w:spacing w:val="-80"/>
        </w:rPr>
      </w:r>
      <w:r>
        <w:rPr/>
        <w:t>会作出特别决议，应当由出席股东大会的股东（包括股东代理人）所持表决权的 </w:t>
      </w:r>
      <w:r>
        <w:rPr>
          <w:rFonts w:ascii="Times New Roman" w:hAnsi="Times New Roman" w:cs="Times New Roman" w:eastAsia="Times New Roman" w:hint="default"/>
        </w:rPr>
        <w:t>2/3 </w:t>
      </w:r>
      <w:r>
        <w:rPr/>
        <w:t>以上通过。</w:t>
      </w:r>
      <w:r>
        <w:rPr>
          <w:rFonts w:ascii="Times New Roman" w:hAnsi="Times New Roman" w:cs="Times New Roman" w:eastAsia="Times New Roman" w:hint="default"/>
        </w:rPr>
        <w:t>”</w:t>
      </w:r>
      <w:r>
        <w:rPr/>
        <w:t>本公司持股</w:t>
      </w:r>
      <w:r>
        <w:rPr>
          <w:spacing w:val="-69"/>
        </w:rPr>
        <w:t> </w:t>
      </w:r>
      <w:r>
        <w:rPr>
          <w:rFonts w:ascii="Times New Roman" w:hAnsi="Times New Roman" w:cs="Times New Roman" w:eastAsia="Times New Roman" w:hint="default"/>
        </w:rPr>
        <w:t>8.23%</w:t>
      </w:r>
      <w:r>
        <w:rPr/>
        <w:t>为深深宝第二大股东，连同本</w:t>
      </w:r>
      <w:r>
        <w:rPr>
          <w:w w:val="100"/>
        </w:rPr>
        <w:t> </w:t>
      </w:r>
      <w:r>
        <w:rPr/>
        <w:t>公司之母公司福德资本持有的</w:t>
      </w:r>
      <w:r>
        <w:rPr>
          <w:spacing w:val="-27"/>
        </w:rPr>
        <w:t> </w:t>
      </w:r>
      <w:r>
        <w:rPr>
          <w:rFonts w:ascii="Times New Roman" w:hAnsi="Times New Roman" w:cs="Times New Roman" w:eastAsia="Times New Roman" w:hint="default"/>
        </w:rPr>
        <w:t>63.79%</w:t>
      </w:r>
      <w:r>
        <w:rPr/>
        <w:t>股比之和超过</w:t>
      </w:r>
      <w:r>
        <w:rPr>
          <w:spacing w:val="-27"/>
        </w:rPr>
        <w:t> </w:t>
      </w:r>
      <w:r>
        <w:rPr>
          <w:rFonts w:ascii="Times New Roman" w:hAnsi="Times New Roman" w:cs="Times New Roman" w:eastAsia="Times New Roman" w:hint="default"/>
        </w:rPr>
        <w:t>2/3</w:t>
      </w:r>
      <w:r>
        <w:rPr>
          <w:rFonts w:ascii="Times New Roman" w:hAnsi="Times New Roman" w:cs="Times New Roman" w:eastAsia="Times New Roman" w:hint="default"/>
          <w:spacing w:val="25"/>
        </w:rPr>
        <w:t> </w:t>
      </w:r>
      <w:r>
        <w:rPr/>
        <w:t>对深深宝有重大影响。深深宝、本公司、粮食集团均为福德资本下属控股子公司，本公司</w:t>
      </w:r>
      <w:r>
        <w:rPr>
          <w:w w:val="100"/>
        </w:rPr>
        <w:t> </w:t>
      </w:r>
      <w:r>
        <w:rPr>
          <w:spacing w:val="-5"/>
        </w:rPr>
        <w:t>作为深深宝第二大股东，在深深宝财务和经营政策决策方面具有一定的影响，参与深深宝财务和经营决策的权利未发生变化，继续按照权益法核算。</w:t>
      </w:r>
    </w:p>
    <w:p>
      <w:pPr>
        <w:spacing w:line="240" w:lineRule="auto" w:before="12"/>
        <w:rPr>
          <w:rFonts w:ascii="宋体" w:hAnsi="宋体" w:cs="宋体" w:eastAsia="宋体" w:hint="default"/>
          <w:sz w:val="28"/>
          <w:szCs w:val="28"/>
        </w:rPr>
      </w:pPr>
    </w:p>
    <w:p>
      <w:pPr>
        <w:pStyle w:val="Heading6"/>
        <w:spacing w:line="240" w:lineRule="auto"/>
        <w:ind w:left="848" w:right="0"/>
        <w:jc w:val="both"/>
        <w:rPr>
          <w:b w:val="0"/>
          <w:bCs w:val="0"/>
        </w:rPr>
      </w:pPr>
      <w:r>
        <w:rPr>
          <w:rFonts w:ascii="Times New Roman" w:hAnsi="Times New Roman" w:cs="Times New Roman" w:eastAsia="Times New Roman" w:hint="default"/>
        </w:rPr>
        <w:t>2</w:t>
      </w:r>
      <w:r>
        <w:rPr/>
        <w:t>、   </w:t>
      </w:r>
      <w:r>
        <w:rPr>
          <w:spacing w:val="42"/>
        </w:rPr>
        <w:t> </w:t>
      </w:r>
      <w:r>
        <w:rPr/>
        <w:t>重要合营企业和联营企业的主要财务信息</w:t>
      </w:r>
      <w:r>
        <w:rPr>
          <w:b w:val="0"/>
          <w:bCs w:val="0"/>
        </w:rPr>
      </w:r>
    </w:p>
    <w:tbl>
      <w:tblPr>
        <w:tblW w:w="0" w:type="auto"/>
        <w:jc w:val="left"/>
        <w:tblInd w:w="925" w:type="dxa"/>
        <w:tblLayout w:type="fixed"/>
        <w:tblCellMar>
          <w:top w:w="0" w:type="dxa"/>
          <w:left w:w="0" w:type="dxa"/>
          <w:bottom w:w="0" w:type="dxa"/>
          <w:right w:w="0" w:type="dxa"/>
        </w:tblCellMar>
        <w:tblLook w:val="01E0"/>
      </w:tblPr>
      <w:tblGrid>
        <w:gridCol w:w="1166"/>
        <w:gridCol w:w="1405"/>
        <w:gridCol w:w="1771"/>
        <w:gridCol w:w="1712"/>
        <w:gridCol w:w="1584"/>
        <w:gridCol w:w="2096"/>
        <w:gridCol w:w="1635"/>
        <w:gridCol w:w="1822"/>
      </w:tblGrid>
      <w:tr>
        <w:trPr>
          <w:trHeight w:val="461"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2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0"/>
              <w:jc w:val="center"/>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r>
      <w:tr>
        <w:trPr>
          <w:trHeight w:val="1169" w:hRule="exact"/>
        </w:trPr>
        <w:tc>
          <w:tcPr>
            <w:tcW w:w="1166"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86" w:lineRule="auto"/>
              <w:ind w:left="103" w:right="98"/>
              <w:jc w:val="left"/>
              <w:rPr>
                <w:rFonts w:ascii="宋体" w:hAnsi="宋体" w:cs="宋体" w:eastAsia="宋体" w:hint="default"/>
                <w:sz w:val="17"/>
                <w:szCs w:val="17"/>
              </w:rPr>
            </w:pPr>
            <w:r>
              <w:rPr>
                <w:rFonts w:ascii="宋体" w:hAnsi="宋体" w:cs="宋体" w:eastAsia="宋体" w:hint="default"/>
                <w:sz w:val="17"/>
                <w:szCs w:val="17"/>
              </w:rPr>
              <w:t>蚌埠海吉星农产</w:t>
            </w:r>
            <w:r>
              <w:rPr>
                <w:rFonts w:ascii="宋体" w:hAnsi="宋体" w:cs="宋体" w:eastAsia="宋体" w:hint="default"/>
                <w:spacing w:val="-83"/>
                <w:sz w:val="17"/>
                <w:szCs w:val="17"/>
              </w:rPr>
              <w:t> </w:t>
            </w:r>
            <w:r>
              <w:rPr>
                <w:rFonts w:ascii="宋体" w:hAnsi="宋体" w:cs="宋体" w:eastAsia="宋体" w:hint="default"/>
                <w:sz w:val="17"/>
                <w:szCs w:val="17"/>
              </w:rPr>
              <w:t>品物流有限公司</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86" w:lineRule="auto"/>
              <w:ind w:left="201" w:right="26"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86" w:lineRule="auto"/>
              <w:ind w:left="424" w:right="82"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86" w:lineRule="auto"/>
              <w:ind w:left="360" w:right="103"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91" w:right="0"/>
              <w:jc w:val="left"/>
              <w:rPr>
                <w:rFonts w:ascii="宋体" w:hAnsi="宋体" w:cs="宋体" w:eastAsia="宋体" w:hint="default"/>
                <w:sz w:val="17"/>
                <w:szCs w:val="17"/>
              </w:rPr>
            </w:pPr>
            <w:r>
              <w:rPr>
                <w:rFonts w:ascii="宋体" w:hAnsi="宋体" w:cs="宋体" w:eastAsia="宋体" w:hint="default"/>
                <w:sz w:val="17"/>
                <w:szCs w:val="17"/>
              </w:rPr>
              <w:t>深圳市中农网有限公司</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86" w:lineRule="auto"/>
              <w:ind w:left="129" w:right="45" w:hanging="84"/>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386" w:lineRule="auto"/>
              <w:ind w:left="55" w:right="59"/>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z w:val="17"/>
                <w:szCs w:val="17"/>
              </w:rPr>
              <w:t>伙）</w:t>
            </w: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475,193,201.73</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1,427,133,480.97</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151,043,095.09</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4,291,234,452.07</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11,220,632,579.74</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120,950,518.06</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66,916,423.49</w:t>
            </w: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169,818,839.15</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1,520,183,612.69</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60,625,122.21</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2,177,717,341.80</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342,501,902.96</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155,462,109.07</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1,637,024,927.65</w:t>
            </w: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249" w:right="0"/>
              <w:jc w:val="left"/>
              <w:rPr>
                <w:rFonts w:ascii="宋体" w:hAnsi="宋体" w:cs="宋体" w:eastAsia="宋体" w:hint="default"/>
                <w:sz w:val="17"/>
                <w:szCs w:val="17"/>
              </w:rPr>
            </w:pPr>
            <w:r>
              <w:rPr>
                <w:rFonts w:ascii="宋体" w:hAnsi="宋体" w:cs="宋体" w:eastAsia="宋体" w:hint="default"/>
                <w:sz w:val="17"/>
                <w:szCs w:val="17"/>
              </w:rPr>
              <w:t>资产合计</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645,012,040.88</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2,947,317,093.66</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2"/>
                <w:sz w:val="17"/>
              </w:rPr>
              <w:t>211,668,217.30</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6,468,951,793.87</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11,563,134,482.70</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276,412,627.13</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1,703,941,351.14</w:t>
            </w: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435,383,765.41</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1,506,401,668.93</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44,392,097.29</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1,485,378,330.77</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10,496,778,891.81</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124,880,582.13</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1,979,644.04</w:t>
            </w: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280,258,399.00</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4,755,869.33</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645,974,631.52</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48,579,783.62</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5,808,583.34</w:t>
            </w: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249"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435,383,765.41</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1,786,660,067.93</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49,147,966.62</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2,131,352,962.29</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10,545,358,675.43</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130,689,165.47</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1,979,644.04</w:t>
            </w:r>
          </w:p>
        </w:tc>
      </w:tr>
      <w:tr>
        <w:trPr>
          <w:trHeight w:val="45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165,096,296.47</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196,013,837.06</w:t>
            </w: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357,091,071.46</w:t>
            </w:r>
          </w:p>
        </w:tc>
      </w:tr>
      <w:tr>
        <w:trPr>
          <w:trHeight w:val="821"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386" w:lineRule="auto"/>
              <w:ind w:left="40" w:right="11"/>
              <w:jc w:val="left"/>
              <w:rPr>
                <w:rFonts w:ascii="宋体" w:hAnsi="宋体" w:cs="宋体" w:eastAsia="宋体" w:hint="default"/>
                <w:sz w:val="17"/>
                <w:szCs w:val="17"/>
              </w:rPr>
            </w:pPr>
            <w:r>
              <w:rPr>
                <w:rFonts w:ascii="宋体" w:hAnsi="宋体" w:cs="宋体" w:eastAsia="宋体" w:hint="default"/>
                <w:spacing w:val="13"/>
                <w:sz w:val="17"/>
                <w:szCs w:val="17"/>
              </w:rPr>
              <w:t>归属于母公司</w:t>
            </w:r>
            <w:r>
              <w:rPr>
                <w:rFonts w:ascii="宋体" w:hAnsi="宋体" w:cs="宋体" w:eastAsia="宋体" w:hint="default"/>
                <w:spacing w:val="-77"/>
                <w:sz w:val="17"/>
                <w:szCs w:val="17"/>
              </w:rPr>
              <w:t> </w:t>
            </w:r>
            <w:r>
              <w:rPr>
                <w:rFonts w:ascii="宋体" w:hAnsi="宋体" w:cs="宋体" w:eastAsia="宋体" w:hint="default"/>
                <w:sz w:val="17"/>
                <w:szCs w:val="17"/>
              </w:rPr>
              <w:t>股东权益</w:t>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209,628,275.47</w:t>
            </w: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1,160,657,025.73</w:t>
            </w:r>
          </w:p>
        </w:tc>
        <w:tc>
          <w:tcPr>
            <w:tcW w:w="1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154,297,302.08</w:t>
            </w:r>
          </w:p>
        </w:tc>
        <w:tc>
          <w:tcPr>
            <w:tcW w:w="15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4,172,502,535.11</w:t>
            </w:r>
          </w:p>
        </w:tc>
        <w:tc>
          <w:tcPr>
            <w:tcW w:w="20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821,761,970.21</w:t>
            </w:r>
          </w:p>
        </w:tc>
        <w:tc>
          <w:tcPr>
            <w:tcW w:w="16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145,723,461.66</w:t>
            </w:r>
          </w:p>
        </w:tc>
        <w:tc>
          <w:tcPr>
            <w:tcW w:w="18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1,344,870,635.64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74" w:footer="997" w:top="1000" w:bottom="11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925" w:type="dxa"/>
        <w:tblLayout w:type="fixed"/>
        <w:tblCellMar>
          <w:top w:w="0" w:type="dxa"/>
          <w:left w:w="0" w:type="dxa"/>
          <w:bottom w:w="0" w:type="dxa"/>
          <w:right w:w="0" w:type="dxa"/>
        </w:tblCellMar>
        <w:tblLook w:val="01E0"/>
      </w:tblPr>
      <w:tblGrid>
        <w:gridCol w:w="1166"/>
        <w:gridCol w:w="1405"/>
        <w:gridCol w:w="1771"/>
        <w:gridCol w:w="1712"/>
        <w:gridCol w:w="1584"/>
        <w:gridCol w:w="2096"/>
        <w:gridCol w:w="1635"/>
        <w:gridCol w:w="1822"/>
      </w:tblGrid>
      <w:tr>
        <w:trPr>
          <w:trHeight w:val="461"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2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0"/>
              <w:jc w:val="center"/>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r>
      <w:tr>
        <w:trPr>
          <w:trHeight w:val="1169" w:hRule="exact"/>
        </w:trPr>
        <w:tc>
          <w:tcPr>
            <w:tcW w:w="1166"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103" w:right="98"/>
              <w:jc w:val="left"/>
              <w:rPr>
                <w:rFonts w:ascii="宋体" w:hAnsi="宋体" w:cs="宋体" w:eastAsia="宋体" w:hint="default"/>
                <w:sz w:val="17"/>
                <w:szCs w:val="17"/>
              </w:rPr>
            </w:pPr>
            <w:r>
              <w:rPr>
                <w:rFonts w:ascii="宋体" w:hAnsi="宋体" w:cs="宋体" w:eastAsia="宋体" w:hint="default"/>
                <w:sz w:val="17"/>
                <w:szCs w:val="17"/>
              </w:rPr>
              <w:t>蚌埠海吉星农产</w:t>
            </w:r>
            <w:r>
              <w:rPr>
                <w:rFonts w:ascii="宋体" w:hAnsi="宋体" w:cs="宋体" w:eastAsia="宋体" w:hint="default"/>
                <w:spacing w:val="-83"/>
                <w:sz w:val="17"/>
                <w:szCs w:val="17"/>
              </w:rPr>
              <w:t> </w:t>
            </w:r>
            <w:r>
              <w:rPr>
                <w:rFonts w:ascii="宋体" w:hAnsi="宋体" w:cs="宋体" w:eastAsia="宋体" w:hint="default"/>
                <w:sz w:val="17"/>
                <w:szCs w:val="17"/>
              </w:rPr>
              <w:t>品物流有限公司</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201" w:right="26"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424" w:right="82"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360" w:right="103"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1"/>
              <w:ind w:left="191" w:right="0"/>
              <w:jc w:val="left"/>
              <w:rPr>
                <w:rFonts w:ascii="宋体" w:hAnsi="宋体" w:cs="宋体" w:eastAsia="宋体" w:hint="default"/>
                <w:sz w:val="17"/>
                <w:szCs w:val="17"/>
              </w:rPr>
            </w:pPr>
            <w:r>
              <w:rPr>
                <w:rFonts w:ascii="宋体" w:hAnsi="宋体" w:cs="宋体" w:eastAsia="宋体" w:hint="default"/>
                <w:sz w:val="17"/>
                <w:szCs w:val="17"/>
              </w:rPr>
              <w:t>深圳市中农网有限公司</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129" w:right="45" w:hanging="84"/>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55" w:right="59"/>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z w:val="17"/>
                <w:szCs w:val="17"/>
              </w:rPr>
              <w:t>伙）</w:t>
            </w:r>
          </w:p>
        </w:tc>
      </w:tr>
      <w:tr>
        <w:trPr>
          <w:trHeight w:val="117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8" w:lineRule="auto"/>
              <w:ind w:left="40" w:right="11"/>
              <w:jc w:val="both"/>
              <w:rPr>
                <w:rFonts w:ascii="宋体" w:hAnsi="宋体" w:cs="宋体" w:eastAsia="宋体" w:hint="default"/>
                <w:sz w:val="17"/>
                <w:szCs w:val="17"/>
              </w:rPr>
            </w:pPr>
            <w:r>
              <w:rPr>
                <w:rFonts w:ascii="宋体" w:hAnsi="宋体" w:cs="宋体" w:eastAsia="宋体" w:hint="default"/>
                <w:spacing w:val="13"/>
                <w:sz w:val="17"/>
                <w:szCs w:val="17"/>
              </w:rPr>
              <w:t>按持股比例计</w:t>
            </w:r>
            <w:r>
              <w:rPr>
                <w:rFonts w:ascii="宋体" w:hAnsi="宋体" w:cs="宋体" w:eastAsia="宋体" w:hint="default"/>
                <w:spacing w:val="-77"/>
                <w:sz w:val="17"/>
                <w:szCs w:val="17"/>
              </w:rPr>
              <w:t> </w:t>
            </w:r>
            <w:r>
              <w:rPr>
                <w:rFonts w:ascii="宋体" w:hAnsi="宋体" w:cs="宋体" w:eastAsia="宋体" w:hint="default"/>
                <w:spacing w:val="13"/>
                <w:sz w:val="17"/>
                <w:szCs w:val="17"/>
              </w:rPr>
              <w:t>算的净资产份</w:t>
            </w:r>
            <w:r>
              <w:rPr>
                <w:rFonts w:ascii="宋体" w:hAnsi="宋体" w:cs="宋体" w:eastAsia="宋体" w:hint="default"/>
                <w:spacing w:val="-77"/>
                <w:sz w:val="17"/>
                <w:szCs w:val="17"/>
              </w:rPr>
              <w:t> </w:t>
            </w:r>
            <w:r>
              <w:rPr>
                <w:rFonts w:ascii="宋体" w:hAnsi="宋体" w:cs="宋体" w:eastAsia="宋体" w:hint="default"/>
                <w:sz w:val="17"/>
                <w:szCs w:val="17"/>
              </w:rPr>
              <w:t>额</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94,332,723.96</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518,523,526.24</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61,718,920.83</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343,396,958.64</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322,894,930.95</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61,203,853.90</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553,817,727.76</w:t>
            </w: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调整事项</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4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商誉</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64" w:lineRule="auto"/>
              <w:ind w:left="40" w:right="11"/>
              <w:jc w:val="left"/>
              <w:rPr>
                <w:rFonts w:ascii="宋体" w:hAnsi="宋体" w:cs="宋体" w:eastAsia="宋体" w:hint="default"/>
                <w:sz w:val="17"/>
                <w:szCs w:val="17"/>
              </w:rPr>
            </w:pPr>
            <w:r>
              <w:rPr>
                <w:rFonts w:ascii="Times New Roman" w:hAnsi="Times New Roman" w:cs="Times New Roman" w:eastAsia="Times New Roman" w:hint="default"/>
                <w:spacing w:val="13"/>
                <w:sz w:val="17"/>
                <w:szCs w:val="17"/>
              </w:rPr>
              <w:t>—</w:t>
            </w:r>
            <w:r>
              <w:rPr>
                <w:rFonts w:ascii="宋体" w:hAnsi="宋体" w:cs="宋体" w:eastAsia="宋体" w:hint="default"/>
                <w:spacing w:val="13"/>
                <w:sz w:val="17"/>
                <w:szCs w:val="17"/>
              </w:rPr>
              <w:t>内部交易未</w:t>
            </w:r>
            <w:r>
              <w:rPr>
                <w:rFonts w:ascii="宋体" w:hAnsi="宋体" w:cs="宋体" w:eastAsia="宋体" w:hint="default"/>
                <w:spacing w:val="-77"/>
                <w:sz w:val="17"/>
                <w:szCs w:val="17"/>
              </w:rPr>
              <w:t> </w:t>
            </w:r>
            <w:r>
              <w:rPr>
                <w:rFonts w:ascii="宋体" w:hAnsi="宋体" w:cs="宋体" w:eastAsia="宋体" w:hint="default"/>
                <w:sz w:val="17"/>
                <w:szCs w:val="17"/>
              </w:rPr>
              <w:t>实现利润</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-24,892,309.40</w:t>
            </w: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4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其他</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17,850,327.99</w:t>
            </w: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40" w:right="11"/>
              <w:jc w:val="both"/>
              <w:rPr>
                <w:rFonts w:ascii="宋体" w:hAnsi="宋体" w:cs="宋体" w:eastAsia="宋体" w:hint="default"/>
                <w:sz w:val="17"/>
                <w:szCs w:val="17"/>
              </w:rPr>
            </w:pPr>
            <w:r>
              <w:rPr>
                <w:rFonts w:ascii="宋体" w:hAnsi="宋体" w:cs="宋体" w:eastAsia="宋体" w:hint="default"/>
                <w:spacing w:val="13"/>
                <w:sz w:val="17"/>
                <w:szCs w:val="17"/>
              </w:rPr>
              <w:t>对联营企业权</w:t>
            </w:r>
            <w:r>
              <w:rPr>
                <w:rFonts w:ascii="宋体" w:hAnsi="宋体" w:cs="宋体" w:eastAsia="宋体" w:hint="default"/>
                <w:spacing w:val="-77"/>
                <w:sz w:val="17"/>
                <w:szCs w:val="17"/>
              </w:rPr>
              <w:t> </w:t>
            </w:r>
            <w:r>
              <w:rPr>
                <w:rFonts w:ascii="宋体" w:hAnsi="宋体" w:cs="宋体" w:eastAsia="宋体" w:hint="default"/>
                <w:spacing w:val="13"/>
                <w:sz w:val="17"/>
                <w:szCs w:val="17"/>
              </w:rPr>
              <w:t>益投资的账面</w:t>
            </w:r>
            <w:r>
              <w:rPr>
                <w:rFonts w:ascii="宋体" w:hAnsi="宋体" w:cs="宋体" w:eastAsia="宋体" w:hint="default"/>
                <w:spacing w:val="-77"/>
                <w:sz w:val="17"/>
                <w:szCs w:val="17"/>
              </w:rPr>
              <w:t> </w:t>
            </w:r>
            <w:r>
              <w:rPr>
                <w:rFonts w:ascii="宋体" w:hAnsi="宋体" w:cs="宋体" w:eastAsia="宋体" w:hint="default"/>
                <w:sz w:val="17"/>
                <w:szCs w:val="17"/>
              </w:rPr>
              <w:t>价值</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94,633,113.63</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520,492,995.06</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62,084,114.05</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352,040,834.67</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331,639,018.87</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43,353,525.91</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553,769,727.76</w:t>
            </w:r>
          </w:p>
        </w:tc>
      </w:tr>
      <w:tr>
        <w:trPr>
          <w:trHeight w:val="117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8" w:lineRule="auto"/>
              <w:ind w:left="40" w:right="11"/>
              <w:jc w:val="both"/>
              <w:rPr>
                <w:rFonts w:ascii="宋体" w:hAnsi="宋体" w:cs="宋体" w:eastAsia="宋体" w:hint="default"/>
                <w:sz w:val="17"/>
                <w:szCs w:val="17"/>
              </w:rPr>
            </w:pPr>
            <w:r>
              <w:rPr>
                <w:rFonts w:ascii="宋体" w:hAnsi="宋体" w:cs="宋体" w:eastAsia="宋体" w:hint="default"/>
                <w:spacing w:val="13"/>
                <w:sz w:val="17"/>
                <w:szCs w:val="17"/>
              </w:rPr>
              <w:t>存在公开报价</w:t>
            </w:r>
            <w:r>
              <w:rPr>
                <w:rFonts w:ascii="宋体" w:hAnsi="宋体" w:cs="宋体" w:eastAsia="宋体" w:hint="default"/>
                <w:spacing w:val="-77"/>
                <w:sz w:val="17"/>
                <w:szCs w:val="17"/>
              </w:rPr>
              <w:t> </w:t>
            </w:r>
            <w:r>
              <w:rPr>
                <w:rFonts w:ascii="宋体" w:hAnsi="宋体" w:cs="宋体" w:eastAsia="宋体" w:hint="default"/>
                <w:spacing w:val="13"/>
                <w:sz w:val="17"/>
                <w:szCs w:val="17"/>
              </w:rPr>
              <w:t>的权益投资的</w:t>
            </w:r>
            <w:r>
              <w:rPr>
                <w:rFonts w:ascii="宋体" w:hAnsi="宋体" w:cs="宋体" w:eastAsia="宋体" w:hint="default"/>
                <w:spacing w:val="-77"/>
                <w:sz w:val="17"/>
                <w:szCs w:val="17"/>
              </w:rPr>
              <w:t> </w:t>
            </w:r>
            <w:r>
              <w:rPr>
                <w:rFonts w:ascii="宋体" w:hAnsi="宋体" w:cs="宋体" w:eastAsia="宋体" w:hint="default"/>
                <w:sz w:val="17"/>
                <w:szCs w:val="17"/>
              </w:rPr>
              <w:t>公允价值</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51,028,980.48</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556,223,757.89</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40,623,023.00</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10,758,782,838.14</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34,973,441,145.13</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146,502,072.27</w:t>
            </w: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1,709,227.67</w:t>
            </w: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172,865,948.52</w:t>
            </w:r>
          </w:p>
        </w:tc>
        <w:tc>
          <w:tcPr>
            <w:tcW w:w="1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3,814,997.49</w:t>
            </w:r>
          </w:p>
        </w:tc>
        <w:tc>
          <w:tcPr>
            <w:tcW w:w="15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320,855,724.38</w:t>
            </w:r>
          </w:p>
        </w:tc>
        <w:tc>
          <w:tcPr>
            <w:tcW w:w="20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55,824,367.88</w:t>
            </w:r>
          </w:p>
        </w:tc>
        <w:tc>
          <w:tcPr>
            <w:tcW w:w="16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13,856,437.14</w:t>
            </w:r>
          </w:p>
        </w:tc>
        <w:tc>
          <w:tcPr>
            <w:tcW w:w="18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179,252.88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74" w:footer="997" w:top="1000" w:bottom="1180" w:left="130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924" w:type="dxa"/>
        <w:tblLayout w:type="fixed"/>
        <w:tblCellMar>
          <w:top w:w="0" w:type="dxa"/>
          <w:left w:w="0" w:type="dxa"/>
          <w:bottom w:w="0" w:type="dxa"/>
          <w:right w:w="0" w:type="dxa"/>
        </w:tblCellMar>
        <w:tblLook w:val="01E0"/>
      </w:tblPr>
      <w:tblGrid>
        <w:gridCol w:w="1166"/>
        <w:gridCol w:w="1405"/>
        <w:gridCol w:w="1771"/>
        <w:gridCol w:w="1712"/>
        <w:gridCol w:w="1584"/>
        <w:gridCol w:w="2096"/>
        <w:gridCol w:w="1635"/>
        <w:gridCol w:w="1822"/>
      </w:tblGrid>
      <w:tr>
        <w:trPr>
          <w:trHeight w:val="461"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2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0"/>
              <w:jc w:val="center"/>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r>
      <w:tr>
        <w:trPr>
          <w:trHeight w:val="1169" w:hRule="exact"/>
        </w:trPr>
        <w:tc>
          <w:tcPr>
            <w:tcW w:w="1166"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103" w:right="98"/>
              <w:jc w:val="left"/>
              <w:rPr>
                <w:rFonts w:ascii="宋体" w:hAnsi="宋体" w:cs="宋体" w:eastAsia="宋体" w:hint="default"/>
                <w:sz w:val="17"/>
                <w:szCs w:val="17"/>
              </w:rPr>
            </w:pPr>
            <w:r>
              <w:rPr>
                <w:rFonts w:ascii="宋体" w:hAnsi="宋体" w:cs="宋体" w:eastAsia="宋体" w:hint="default"/>
                <w:sz w:val="17"/>
                <w:szCs w:val="17"/>
              </w:rPr>
              <w:t>蚌埠海吉星农产</w:t>
            </w:r>
            <w:r>
              <w:rPr>
                <w:rFonts w:ascii="宋体" w:hAnsi="宋体" w:cs="宋体" w:eastAsia="宋体" w:hint="default"/>
                <w:spacing w:val="-83"/>
                <w:sz w:val="17"/>
                <w:szCs w:val="17"/>
              </w:rPr>
              <w:t> </w:t>
            </w:r>
            <w:r>
              <w:rPr>
                <w:rFonts w:ascii="宋体" w:hAnsi="宋体" w:cs="宋体" w:eastAsia="宋体" w:hint="default"/>
                <w:sz w:val="17"/>
                <w:szCs w:val="17"/>
              </w:rPr>
              <w:t>品物流有限公司</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201" w:right="26"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424" w:right="82"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360" w:right="103"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1"/>
              <w:ind w:left="191" w:right="0"/>
              <w:jc w:val="left"/>
              <w:rPr>
                <w:rFonts w:ascii="宋体" w:hAnsi="宋体" w:cs="宋体" w:eastAsia="宋体" w:hint="default"/>
                <w:sz w:val="17"/>
                <w:szCs w:val="17"/>
              </w:rPr>
            </w:pPr>
            <w:r>
              <w:rPr>
                <w:rFonts w:ascii="宋体" w:hAnsi="宋体" w:cs="宋体" w:eastAsia="宋体" w:hint="default"/>
                <w:sz w:val="17"/>
                <w:szCs w:val="17"/>
              </w:rPr>
              <w:t>深圳市中农网有限公司</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129" w:right="45" w:hanging="84"/>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55" w:right="59"/>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z w:val="17"/>
                <w:szCs w:val="17"/>
              </w:rPr>
              <w:t>伙）</w:t>
            </w:r>
          </w:p>
        </w:tc>
      </w:tr>
      <w:tr>
        <w:trPr>
          <w:trHeight w:val="81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8" w:lineRule="auto"/>
              <w:ind w:left="40" w:right="11"/>
              <w:jc w:val="left"/>
              <w:rPr>
                <w:rFonts w:ascii="宋体" w:hAnsi="宋体" w:cs="宋体" w:eastAsia="宋体" w:hint="default"/>
                <w:sz w:val="17"/>
                <w:szCs w:val="17"/>
              </w:rPr>
            </w:pPr>
            <w:r>
              <w:rPr>
                <w:rFonts w:ascii="宋体" w:hAnsi="宋体" w:cs="宋体" w:eastAsia="宋体" w:hint="default"/>
                <w:spacing w:val="13"/>
                <w:sz w:val="17"/>
                <w:szCs w:val="17"/>
              </w:rPr>
              <w:t>终止经营的净</w:t>
            </w:r>
            <w:r>
              <w:rPr>
                <w:rFonts w:ascii="宋体" w:hAnsi="宋体" w:cs="宋体" w:eastAsia="宋体" w:hint="default"/>
                <w:spacing w:val="-77"/>
                <w:sz w:val="17"/>
                <w:szCs w:val="17"/>
              </w:rPr>
              <w:t> </w:t>
            </w:r>
            <w:r>
              <w:rPr>
                <w:rFonts w:ascii="宋体" w:hAnsi="宋体" w:cs="宋体" w:eastAsia="宋体" w:hint="default"/>
                <w:sz w:val="17"/>
                <w:szCs w:val="17"/>
              </w:rPr>
              <w:t>利润</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其他综合收益</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84"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dotted" w:sz="4" w:space="0" w:color="000000"/>
            </w:tcBorders>
          </w:tcPr>
          <w:p>
            <w:pPr/>
          </w:p>
        </w:tc>
        <w:tc>
          <w:tcPr>
            <w:tcW w:w="1635" w:type="dxa"/>
            <w:tcBorders>
              <w:top w:val="dotted" w:sz="4" w:space="0" w:color="000000"/>
              <w:left w:val="dotted" w:sz="4" w:space="0" w:color="000000"/>
              <w:bottom w:val="dotted" w:sz="4" w:space="0" w:color="000000"/>
              <w:right w:val="dotted" w:sz="4" w:space="0" w:color="000000"/>
            </w:tcBorders>
          </w:tcPr>
          <w:p>
            <w:pPr/>
          </w:p>
        </w:tc>
        <w:tc>
          <w:tcPr>
            <w:tcW w:w="1822"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综合收益总额</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9" w:right="0"/>
              <w:jc w:val="left"/>
              <w:rPr>
                <w:rFonts w:ascii="Times New Roman" w:hAnsi="Times New Roman" w:cs="Times New Roman" w:eastAsia="Times New Roman" w:hint="default"/>
                <w:sz w:val="17"/>
                <w:szCs w:val="17"/>
              </w:rPr>
            </w:pPr>
            <w:r>
              <w:rPr>
                <w:rFonts w:ascii="Times New Roman"/>
                <w:sz w:val="17"/>
              </w:rPr>
              <w:t>1,709,227.67</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172,865,948.52</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3,814,997.49</w:t>
            </w:r>
          </w:p>
        </w:tc>
        <w:tc>
          <w:tcPr>
            <w:tcW w:w="15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320,855,724.38</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85" w:right="0"/>
              <w:jc w:val="left"/>
              <w:rPr>
                <w:rFonts w:ascii="Times New Roman" w:hAnsi="Times New Roman" w:cs="Times New Roman" w:eastAsia="Times New Roman" w:hint="default"/>
                <w:sz w:val="17"/>
                <w:szCs w:val="17"/>
              </w:rPr>
            </w:pPr>
            <w:r>
              <w:rPr>
                <w:rFonts w:ascii="Times New Roman"/>
                <w:sz w:val="17"/>
              </w:rPr>
              <w:t>55,824,367.88</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13,856,437.14</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179,252.88</w:t>
            </w:r>
          </w:p>
        </w:tc>
      </w:tr>
      <w:tr>
        <w:trPr>
          <w:trHeight w:val="1181"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40" w:right="11"/>
              <w:jc w:val="both"/>
              <w:rPr>
                <w:rFonts w:ascii="宋体" w:hAnsi="宋体" w:cs="宋体" w:eastAsia="宋体" w:hint="default"/>
                <w:sz w:val="17"/>
                <w:szCs w:val="17"/>
              </w:rPr>
            </w:pPr>
            <w:r>
              <w:rPr>
                <w:rFonts w:ascii="宋体" w:hAnsi="宋体" w:cs="宋体" w:eastAsia="宋体" w:hint="default"/>
                <w:spacing w:val="13"/>
                <w:sz w:val="17"/>
                <w:szCs w:val="17"/>
              </w:rPr>
              <w:t>企业本期收到</w:t>
            </w:r>
            <w:r>
              <w:rPr>
                <w:rFonts w:ascii="宋体" w:hAnsi="宋体" w:cs="宋体" w:eastAsia="宋体" w:hint="default"/>
                <w:spacing w:val="-77"/>
                <w:sz w:val="17"/>
                <w:szCs w:val="17"/>
              </w:rPr>
              <w:t> </w:t>
            </w:r>
            <w:r>
              <w:rPr>
                <w:rFonts w:ascii="宋体" w:hAnsi="宋体" w:cs="宋体" w:eastAsia="宋体" w:hint="default"/>
                <w:spacing w:val="13"/>
                <w:sz w:val="17"/>
                <w:szCs w:val="17"/>
              </w:rPr>
              <w:t>的来自联营企</w:t>
            </w:r>
            <w:r>
              <w:rPr>
                <w:rFonts w:ascii="宋体" w:hAnsi="宋体" w:cs="宋体" w:eastAsia="宋体" w:hint="default"/>
                <w:spacing w:val="-77"/>
                <w:sz w:val="17"/>
                <w:szCs w:val="17"/>
              </w:rPr>
              <w:t> </w:t>
            </w:r>
            <w:r>
              <w:rPr>
                <w:rFonts w:ascii="宋体" w:hAnsi="宋体" w:cs="宋体" w:eastAsia="宋体" w:hint="default"/>
                <w:sz w:val="17"/>
                <w:szCs w:val="17"/>
              </w:rPr>
              <w:t>业的股利</w:t>
            </w:r>
          </w:p>
        </w:tc>
        <w:tc>
          <w:tcPr>
            <w:tcW w:w="1405" w:type="dxa"/>
            <w:tcBorders>
              <w:top w:val="dotted" w:sz="4" w:space="0" w:color="000000"/>
              <w:left w:val="dotted" w:sz="4" w:space="0" w:color="000000"/>
              <w:bottom w:val="single" w:sz="12" w:space="0" w:color="000000"/>
              <w:right w:val="dotted" w:sz="4" w:space="0" w:color="000000"/>
            </w:tcBorders>
          </w:tcPr>
          <w:p>
            <w:pP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26,805,000.00</w:t>
            </w:r>
          </w:p>
        </w:tc>
        <w:tc>
          <w:tcPr>
            <w:tcW w:w="1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12,000,000.00</w:t>
            </w:r>
          </w:p>
        </w:tc>
        <w:tc>
          <w:tcPr>
            <w:tcW w:w="1584" w:type="dxa"/>
            <w:tcBorders>
              <w:top w:val="dotted" w:sz="4" w:space="0" w:color="000000"/>
              <w:left w:val="dotted" w:sz="4" w:space="0" w:color="000000"/>
              <w:bottom w:val="single" w:sz="12" w:space="0" w:color="000000"/>
              <w:right w:val="dotted" w:sz="4" w:space="0" w:color="000000"/>
            </w:tcBorders>
          </w:tcPr>
          <w:p>
            <w:pPr/>
          </w:p>
        </w:tc>
        <w:tc>
          <w:tcPr>
            <w:tcW w:w="2096" w:type="dxa"/>
            <w:tcBorders>
              <w:top w:val="dotted" w:sz="4" w:space="0" w:color="000000"/>
              <w:left w:val="dotted" w:sz="4" w:space="0" w:color="000000"/>
              <w:bottom w:val="single" w:sz="12" w:space="0" w:color="000000"/>
              <w:right w:val="dotted" w:sz="4" w:space="0" w:color="000000"/>
            </w:tcBorders>
          </w:tcPr>
          <w:p>
            <w:pPr/>
          </w:p>
        </w:tc>
        <w:tc>
          <w:tcPr>
            <w:tcW w:w="16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20,172,856.01</w:t>
            </w:r>
          </w:p>
        </w:tc>
        <w:tc>
          <w:tcPr>
            <w:tcW w:w="1822"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3"/>
        <w:ind w:left="1417" w:right="0"/>
        <w:jc w:val="left"/>
      </w:pPr>
      <w:r>
        <w:rPr>
          <w:w w:val="100"/>
        </w:rPr>
        <w:t>续</w:t>
      </w:r>
    </w:p>
    <w:p>
      <w:pPr>
        <w:spacing w:line="240" w:lineRule="auto" w:before="4"/>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1166"/>
        <w:gridCol w:w="1405"/>
        <w:gridCol w:w="1771"/>
        <w:gridCol w:w="1712"/>
        <w:gridCol w:w="1546"/>
        <w:gridCol w:w="2134"/>
        <w:gridCol w:w="1536"/>
        <w:gridCol w:w="1920"/>
      </w:tblGrid>
      <w:tr>
        <w:trPr>
          <w:trHeight w:val="461"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left="14"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2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52"/>
              <w:ind w:right="0"/>
              <w:jc w:val="center"/>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171" w:hRule="exact"/>
        </w:trPr>
        <w:tc>
          <w:tcPr>
            <w:tcW w:w="1166"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20"/>
              <w:ind w:left="103" w:right="98"/>
              <w:jc w:val="left"/>
              <w:rPr>
                <w:rFonts w:ascii="宋体" w:hAnsi="宋体" w:cs="宋体" w:eastAsia="宋体" w:hint="default"/>
                <w:sz w:val="17"/>
                <w:szCs w:val="17"/>
              </w:rPr>
            </w:pPr>
            <w:r>
              <w:rPr>
                <w:rFonts w:ascii="宋体" w:hAnsi="宋体" w:cs="宋体" w:eastAsia="宋体" w:hint="default"/>
                <w:sz w:val="17"/>
                <w:szCs w:val="17"/>
              </w:rPr>
              <w:t>蚌埠海吉星农产</w:t>
            </w:r>
            <w:r>
              <w:rPr>
                <w:rFonts w:ascii="宋体" w:hAnsi="宋体" w:cs="宋体" w:eastAsia="宋体" w:hint="default"/>
                <w:spacing w:val="-83"/>
                <w:sz w:val="17"/>
                <w:szCs w:val="17"/>
              </w:rPr>
              <w:t> </w:t>
            </w:r>
            <w:r>
              <w:rPr>
                <w:rFonts w:ascii="宋体" w:hAnsi="宋体" w:cs="宋体" w:eastAsia="宋体" w:hint="default"/>
                <w:sz w:val="17"/>
                <w:szCs w:val="17"/>
              </w:rPr>
              <w:t>品物流有限公司</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20"/>
              <w:ind w:left="201" w:right="26"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20"/>
              <w:ind w:left="424" w:right="82"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20"/>
              <w:ind w:left="340" w:right="84"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17"/>
                <w:szCs w:val="17"/>
              </w:rPr>
            </w:pPr>
            <w:r>
              <w:rPr>
                <w:rFonts w:ascii="宋体" w:hAnsi="宋体" w:cs="宋体" w:eastAsia="宋体" w:hint="default"/>
                <w:sz w:val="17"/>
                <w:szCs w:val="17"/>
              </w:rPr>
              <w:t>深圳市中农网有限公司</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388" w:lineRule="auto"/>
              <w:ind w:left="81" w:right="79"/>
              <w:jc w:val="center"/>
              <w:rPr>
                <w:rFonts w:ascii="宋体" w:hAnsi="宋体" w:cs="宋体" w:eastAsia="宋体" w:hint="default"/>
                <w:sz w:val="17"/>
                <w:szCs w:val="17"/>
              </w:rPr>
            </w:pPr>
            <w:r>
              <w:rPr>
                <w:rFonts w:ascii="宋体" w:hAnsi="宋体" w:cs="宋体" w:eastAsia="宋体" w:hint="default"/>
                <w:sz w:val="17"/>
                <w:szCs w:val="17"/>
              </w:rPr>
              <w:t>北京大红门京深海</w:t>
            </w:r>
            <w:r>
              <w:rPr>
                <w:rFonts w:ascii="宋体" w:hAnsi="宋体" w:cs="宋体" w:eastAsia="宋体" w:hint="default"/>
                <w:w w:val="100"/>
                <w:sz w:val="17"/>
                <w:szCs w:val="17"/>
              </w:rPr>
              <w:t> </w:t>
            </w:r>
            <w:r>
              <w:rPr>
                <w:rFonts w:ascii="宋体" w:hAnsi="宋体" w:cs="宋体" w:eastAsia="宋体" w:hint="default"/>
                <w:sz w:val="17"/>
                <w:szCs w:val="17"/>
              </w:rPr>
              <w:t>鲜批发市场有限公</w:t>
            </w:r>
            <w:r>
              <w:rPr>
                <w:rFonts w:ascii="宋体" w:hAnsi="宋体" w:cs="宋体" w:eastAsia="宋体" w:hint="default"/>
                <w:w w:val="100"/>
                <w:sz w:val="17"/>
                <w:szCs w:val="17"/>
              </w:rPr>
              <w:t> </w:t>
            </w:r>
            <w:r>
              <w:rPr>
                <w:rFonts w:ascii="宋体" w:hAnsi="宋体" w:cs="宋体" w:eastAsia="宋体" w:hint="default"/>
                <w:sz w:val="17"/>
                <w:szCs w:val="17"/>
              </w:rPr>
              <w:t>司</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388" w:lineRule="auto"/>
              <w:ind w:left="103" w:right="108"/>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366,160,706.64</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1,350,974,319.93</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294,432,330.59</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527,918,023.06</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9,719,462,421.97</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69,019,326.78</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1,707,361,707.31</w:t>
            </w:r>
          </w:p>
        </w:tc>
      </w:tr>
      <w:tr>
        <w:trPr>
          <w:trHeight w:val="45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194,372,372.72</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1,463,640,844.14</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47,031,034.97</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542,468,197.49</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333,245,399.82</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168,936,898.23</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7"/>
                <w:szCs w:val="17"/>
              </w:rPr>
            </w:pPr>
            <w:r>
              <w:rPr>
                <w:rFonts w:ascii="Times New Roman"/>
                <w:spacing w:val="-1"/>
                <w:sz w:val="17"/>
              </w:rPr>
              <w:t>350,074.55</w:t>
            </w:r>
          </w:p>
        </w:tc>
      </w:tr>
      <w:tr>
        <w:trPr>
          <w:trHeight w:val="461"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49" w:right="0"/>
              <w:jc w:val="left"/>
              <w:rPr>
                <w:rFonts w:ascii="宋体" w:hAnsi="宋体" w:cs="宋体" w:eastAsia="宋体" w:hint="default"/>
                <w:sz w:val="17"/>
                <w:szCs w:val="17"/>
              </w:rPr>
            </w:pPr>
            <w:r>
              <w:rPr>
                <w:rFonts w:ascii="宋体" w:hAnsi="宋体" w:cs="宋体" w:eastAsia="宋体" w:hint="default"/>
                <w:sz w:val="17"/>
                <w:szCs w:val="17"/>
              </w:rPr>
              <w:t>资产合计</w:t>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560,533,079.36</w:t>
            </w: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2,814,615,164.07</w:t>
            </w:r>
          </w:p>
        </w:tc>
        <w:tc>
          <w:tcPr>
            <w:tcW w:w="1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341,463,365.56</w:t>
            </w: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1,070,386,220.55</w:t>
            </w:r>
          </w:p>
        </w:tc>
        <w:tc>
          <w:tcPr>
            <w:tcW w:w="21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10,052,707,821.79</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237,956,225.01</w:t>
            </w:r>
          </w:p>
        </w:tc>
        <w:tc>
          <w:tcPr>
            <w:tcW w:w="19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7"/>
                <w:szCs w:val="17"/>
              </w:rPr>
            </w:pPr>
            <w:r>
              <w:rPr>
                <w:rFonts w:ascii="Times New Roman"/>
                <w:spacing w:val="-2"/>
                <w:sz w:val="17"/>
              </w:rPr>
              <w:t>1,707,711,781.86</w:t>
            </w:r>
          </w:p>
        </w:tc>
      </w:tr>
    </w:tbl>
    <w:p>
      <w:pPr>
        <w:spacing w:after="0" w:line="240" w:lineRule="auto"/>
        <w:jc w:val="right"/>
        <w:rPr>
          <w:rFonts w:ascii="Times New Roman" w:hAnsi="Times New Roman" w:cs="Times New Roman" w:eastAsia="Times New Roman" w:hint="default"/>
          <w:sz w:val="17"/>
          <w:szCs w:val="17"/>
        </w:rPr>
        <w:sectPr>
          <w:pgSz w:w="16840" w:h="11910" w:orient="landscape"/>
          <w:pgMar w:header="774" w:footer="997" w:top="1000" w:bottom="1180" w:left="130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925" w:type="dxa"/>
        <w:tblLayout w:type="fixed"/>
        <w:tblCellMar>
          <w:top w:w="0" w:type="dxa"/>
          <w:left w:w="0" w:type="dxa"/>
          <w:bottom w:w="0" w:type="dxa"/>
          <w:right w:w="0" w:type="dxa"/>
        </w:tblCellMar>
        <w:tblLook w:val="01E0"/>
      </w:tblPr>
      <w:tblGrid>
        <w:gridCol w:w="1166"/>
        <w:gridCol w:w="1405"/>
        <w:gridCol w:w="1771"/>
        <w:gridCol w:w="1712"/>
        <w:gridCol w:w="1546"/>
        <w:gridCol w:w="2134"/>
        <w:gridCol w:w="1536"/>
        <w:gridCol w:w="1920"/>
      </w:tblGrid>
      <w:tr>
        <w:trPr>
          <w:trHeight w:val="461"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2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0"/>
              <w:jc w:val="center"/>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169" w:hRule="exact"/>
        </w:trPr>
        <w:tc>
          <w:tcPr>
            <w:tcW w:w="1166"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103" w:right="98"/>
              <w:jc w:val="left"/>
              <w:rPr>
                <w:rFonts w:ascii="宋体" w:hAnsi="宋体" w:cs="宋体" w:eastAsia="宋体" w:hint="default"/>
                <w:sz w:val="17"/>
                <w:szCs w:val="17"/>
              </w:rPr>
            </w:pPr>
            <w:r>
              <w:rPr>
                <w:rFonts w:ascii="宋体" w:hAnsi="宋体" w:cs="宋体" w:eastAsia="宋体" w:hint="default"/>
                <w:sz w:val="17"/>
                <w:szCs w:val="17"/>
              </w:rPr>
              <w:t>蚌埠海吉星农产</w:t>
            </w:r>
            <w:r>
              <w:rPr>
                <w:rFonts w:ascii="宋体" w:hAnsi="宋体" w:cs="宋体" w:eastAsia="宋体" w:hint="default"/>
                <w:spacing w:val="-83"/>
                <w:sz w:val="17"/>
                <w:szCs w:val="17"/>
              </w:rPr>
              <w:t> </w:t>
            </w:r>
            <w:r>
              <w:rPr>
                <w:rFonts w:ascii="宋体" w:hAnsi="宋体" w:cs="宋体" w:eastAsia="宋体" w:hint="default"/>
                <w:sz w:val="17"/>
                <w:szCs w:val="17"/>
              </w:rPr>
              <w:t>品物流有限公司</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201" w:right="26"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424" w:right="82"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340" w:right="84"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1"/>
              <w:ind w:left="211" w:right="0"/>
              <w:jc w:val="left"/>
              <w:rPr>
                <w:rFonts w:ascii="宋体" w:hAnsi="宋体" w:cs="宋体" w:eastAsia="宋体" w:hint="default"/>
                <w:sz w:val="17"/>
                <w:szCs w:val="17"/>
              </w:rPr>
            </w:pPr>
            <w:r>
              <w:rPr>
                <w:rFonts w:ascii="宋体" w:hAnsi="宋体" w:cs="宋体" w:eastAsia="宋体" w:hint="default"/>
                <w:sz w:val="17"/>
                <w:szCs w:val="17"/>
              </w:rPr>
              <w:t>深圳市中农网有限公司</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81" w:right="79"/>
              <w:jc w:val="center"/>
              <w:rPr>
                <w:rFonts w:ascii="宋体" w:hAnsi="宋体" w:cs="宋体" w:eastAsia="宋体" w:hint="default"/>
                <w:sz w:val="17"/>
                <w:szCs w:val="17"/>
              </w:rPr>
            </w:pPr>
            <w:r>
              <w:rPr>
                <w:rFonts w:ascii="宋体" w:hAnsi="宋体" w:cs="宋体" w:eastAsia="宋体" w:hint="default"/>
                <w:sz w:val="17"/>
                <w:szCs w:val="17"/>
              </w:rPr>
              <w:t>北京大红门京深海</w:t>
            </w:r>
            <w:r>
              <w:rPr>
                <w:rFonts w:ascii="宋体" w:hAnsi="宋体" w:cs="宋体" w:eastAsia="宋体" w:hint="default"/>
                <w:w w:val="100"/>
                <w:sz w:val="17"/>
                <w:szCs w:val="17"/>
              </w:rPr>
              <w:t> </w:t>
            </w:r>
            <w:r>
              <w:rPr>
                <w:rFonts w:ascii="宋体" w:hAnsi="宋体" w:cs="宋体" w:eastAsia="宋体" w:hint="default"/>
                <w:sz w:val="17"/>
                <w:szCs w:val="17"/>
              </w:rPr>
              <w:t>鲜批发市场有限公</w:t>
            </w:r>
            <w:r>
              <w:rPr>
                <w:rFonts w:ascii="宋体" w:hAnsi="宋体" w:cs="宋体" w:eastAsia="宋体" w:hint="default"/>
                <w:w w:val="100"/>
                <w:sz w:val="17"/>
                <w:szCs w:val="17"/>
              </w:rPr>
              <w:t> </w:t>
            </w:r>
            <w:r>
              <w:rPr>
                <w:rFonts w:ascii="宋体" w:hAnsi="宋体" w:cs="宋体" w:eastAsia="宋体" w:hint="default"/>
                <w:sz w:val="17"/>
                <w:szCs w:val="17"/>
              </w:rPr>
              <w:t>司</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103" w:right="108"/>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45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351,946,498.97</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1,446,174,144.86</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147,685,185.09</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93,125,003.45</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9,025,449,618.02</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99,827,486.65</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7"/>
                <w:szCs w:val="17"/>
              </w:rPr>
            </w:pPr>
            <w:r>
              <w:rPr>
                <w:rFonts w:ascii="Times New Roman"/>
                <w:spacing w:val="-1"/>
                <w:sz w:val="17"/>
              </w:rPr>
              <w:t>6,129,327.64</w:t>
            </w: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320,649,942.00</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5,072,927.28</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14,107,886.84</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25,065,005.18</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6,149,083.34</w:t>
            </w: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49"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351,946,498.97</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1,766,824,086.86</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152,758,112.37</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107,232,890.29</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9,050,514,623.20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105,976,569.99</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7"/>
                <w:szCs w:val="17"/>
              </w:rPr>
            </w:pPr>
            <w:r>
              <w:rPr>
                <w:rFonts w:ascii="Times New Roman"/>
                <w:spacing w:val="-1"/>
                <w:sz w:val="17"/>
              </w:rPr>
              <w:t>6,129,327.64</w:t>
            </w: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8,221,954.19</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16,232,752.93</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196,007,619.58</w:t>
            </w: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354,376,537.64</w:t>
            </w:r>
          </w:p>
        </w:tc>
      </w:tr>
      <w:tr>
        <w:trPr>
          <w:trHeight w:val="81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8" w:lineRule="auto"/>
              <w:ind w:left="40" w:right="11"/>
              <w:jc w:val="left"/>
              <w:rPr>
                <w:rFonts w:ascii="宋体" w:hAnsi="宋体" w:cs="宋体" w:eastAsia="宋体" w:hint="default"/>
                <w:sz w:val="17"/>
                <w:szCs w:val="17"/>
              </w:rPr>
            </w:pPr>
            <w:r>
              <w:rPr>
                <w:rFonts w:ascii="宋体" w:hAnsi="宋体" w:cs="宋体" w:eastAsia="宋体" w:hint="default"/>
                <w:spacing w:val="13"/>
                <w:sz w:val="17"/>
                <w:szCs w:val="17"/>
              </w:rPr>
              <w:t>归属于母公司</w:t>
            </w:r>
            <w:r>
              <w:rPr>
                <w:rFonts w:ascii="宋体" w:hAnsi="宋体" w:cs="宋体" w:eastAsia="宋体" w:hint="default"/>
                <w:spacing w:val="-77"/>
                <w:sz w:val="17"/>
                <w:szCs w:val="17"/>
              </w:rPr>
              <w:t> </w:t>
            </w:r>
            <w:r>
              <w:rPr>
                <w:rFonts w:ascii="宋体" w:hAnsi="宋体" w:cs="宋体" w:eastAsia="宋体" w:hint="default"/>
                <w:sz w:val="17"/>
                <w:szCs w:val="17"/>
              </w:rPr>
              <w:t>股东权益</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208,586,580.39</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1,047,791,077.21</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180,483,299.00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946,920,577.33</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806,185,579.01</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131,979,655.02</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1,347,205,916.58</w:t>
            </w:r>
          </w:p>
        </w:tc>
      </w:tr>
      <w:tr>
        <w:trPr>
          <w:trHeight w:val="116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386" w:lineRule="auto"/>
              <w:ind w:left="40" w:right="11"/>
              <w:jc w:val="both"/>
              <w:rPr>
                <w:rFonts w:ascii="宋体" w:hAnsi="宋体" w:cs="宋体" w:eastAsia="宋体" w:hint="default"/>
                <w:sz w:val="17"/>
                <w:szCs w:val="17"/>
              </w:rPr>
            </w:pPr>
            <w:r>
              <w:rPr>
                <w:rFonts w:ascii="宋体" w:hAnsi="宋体" w:cs="宋体" w:eastAsia="宋体" w:hint="default"/>
                <w:spacing w:val="13"/>
                <w:sz w:val="17"/>
                <w:szCs w:val="17"/>
              </w:rPr>
              <w:t>按持股比例计</w:t>
            </w:r>
            <w:r>
              <w:rPr>
                <w:rFonts w:ascii="宋体" w:hAnsi="宋体" w:cs="宋体" w:eastAsia="宋体" w:hint="default"/>
                <w:spacing w:val="-77"/>
                <w:sz w:val="17"/>
                <w:szCs w:val="17"/>
              </w:rPr>
              <w:t> </w:t>
            </w:r>
            <w:r>
              <w:rPr>
                <w:rFonts w:ascii="宋体" w:hAnsi="宋体" w:cs="宋体" w:eastAsia="宋体" w:hint="default"/>
                <w:spacing w:val="13"/>
                <w:sz w:val="17"/>
                <w:szCs w:val="17"/>
              </w:rPr>
              <w:t>算的净资产份</w:t>
            </w:r>
            <w:r>
              <w:rPr>
                <w:rFonts w:ascii="宋体" w:hAnsi="宋体" w:cs="宋体" w:eastAsia="宋体" w:hint="default"/>
                <w:spacing w:val="-77"/>
                <w:sz w:val="17"/>
                <w:szCs w:val="17"/>
              </w:rPr>
              <w:t> </w:t>
            </w:r>
            <w:r>
              <w:rPr>
                <w:rFonts w:ascii="宋体" w:hAnsi="宋体" w:cs="宋体" w:eastAsia="宋体" w:hint="default"/>
                <w:sz w:val="17"/>
                <w:szCs w:val="17"/>
              </w:rPr>
              <w:t>额</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93,863,961.18</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468,100,663.74</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72,221,225.60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180,767,138.21</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316,774,499.56</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55,431,455.11</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554,779,396.45</w:t>
            </w: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调整事项</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4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商誉</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67" w:lineRule="auto"/>
              <w:ind w:left="40" w:right="11"/>
              <w:jc w:val="left"/>
              <w:rPr>
                <w:rFonts w:ascii="宋体" w:hAnsi="宋体" w:cs="宋体" w:eastAsia="宋体" w:hint="default"/>
                <w:sz w:val="17"/>
                <w:szCs w:val="17"/>
              </w:rPr>
            </w:pPr>
            <w:r>
              <w:rPr>
                <w:rFonts w:ascii="Times New Roman" w:hAnsi="Times New Roman" w:cs="Times New Roman" w:eastAsia="Times New Roman" w:hint="default"/>
                <w:spacing w:val="13"/>
                <w:sz w:val="17"/>
                <w:szCs w:val="17"/>
              </w:rPr>
              <w:t>—</w:t>
            </w:r>
            <w:r>
              <w:rPr>
                <w:rFonts w:ascii="宋体" w:hAnsi="宋体" w:cs="宋体" w:eastAsia="宋体" w:hint="default"/>
                <w:spacing w:val="13"/>
                <w:sz w:val="17"/>
                <w:szCs w:val="17"/>
              </w:rPr>
              <w:t>内部交易未</w:t>
            </w:r>
            <w:r>
              <w:rPr>
                <w:rFonts w:ascii="宋体" w:hAnsi="宋体" w:cs="宋体" w:eastAsia="宋体" w:hint="default"/>
                <w:spacing w:val="-77"/>
                <w:sz w:val="17"/>
                <w:szCs w:val="17"/>
              </w:rPr>
              <w:t> </w:t>
            </w:r>
            <w:r>
              <w:rPr>
                <w:rFonts w:ascii="宋体" w:hAnsi="宋体" w:cs="宋体" w:eastAsia="宋体" w:hint="default"/>
                <w:sz w:val="17"/>
                <w:szCs w:val="17"/>
              </w:rPr>
              <w:t>实现利润</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4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其他</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pacing w:val="13"/>
                <w:sz w:val="17"/>
                <w:szCs w:val="17"/>
              </w:rPr>
              <w:t>对联营企业权</w:t>
            </w:r>
            <w:r>
              <w:rPr>
                <w:rFonts w:ascii="宋体" w:hAnsi="宋体" w:cs="宋体" w:eastAsia="宋体" w:hint="default"/>
                <w:sz w:val="17"/>
                <w:szCs w:val="17"/>
              </w:rPr>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93,863,961.18</w:t>
            </w: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470,070,132.56</w:t>
            </w:r>
          </w:p>
        </w:tc>
        <w:tc>
          <w:tcPr>
            <w:tcW w:w="1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72,558,512.82</w:t>
            </w: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193,022,976.53</w:t>
            </w:r>
          </w:p>
        </w:tc>
        <w:tc>
          <w:tcPr>
            <w:tcW w:w="21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315,210,158.42</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57,706,678.32</w:t>
            </w:r>
          </w:p>
        </w:tc>
        <w:tc>
          <w:tcPr>
            <w:tcW w:w="19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pacing w:val="-1"/>
                <w:sz w:val="17"/>
              </w:rPr>
              <w:t>554,731,396.45</w:t>
            </w:r>
          </w:p>
        </w:tc>
      </w:tr>
    </w:tbl>
    <w:p>
      <w:pPr>
        <w:spacing w:after="0" w:line="240" w:lineRule="auto"/>
        <w:jc w:val="right"/>
        <w:rPr>
          <w:rFonts w:ascii="Times New Roman" w:hAnsi="Times New Roman" w:cs="Times New Roman" w:eastAsia="Times New Roman" w:hint="default"/>
          <w:sz w:val="17"/>
          <w:szCs w:val="17"/>
        </w:rPr>
        <w:sectPr>
          <w:pgSz w:w="16840" w:h="11910" w:orient="landscape"/>
          <w:pgMar w:header="774" w:footer="997" w:top="1000" w:bottom="1180" w:left="130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925" w:type="dxa"/>
        <w:tblLayout w:type="fixed"/>
        <w:tblCellMar>
          <w:top w:w="0" w:type="dxa"/>
          <w:left w:w="0" w:type="dxa"/>
          <w:bottom w:w="0" w:type="dxa"/>
          <w:right w:w="0" w:type="dxa"/>
        </w:tblCellMar>
        <w:tblLook w:val="01E0"/>
      </w:tblPr>
      <w:tblGrid>
        <w:gridCol w:w="1166"/>
        <w:gridCol w:w="1405"/>
        <w:gridCol w:w="1771"/>
        <w:gridCol w:w="1712"/>
        <w:gridCol w:w="1546"/>
        <w:gridCol w:w="2134"/>
        <w:gridCol w:w="1536"/>
        <w:gridCol w:w="1920"/>
      </w:tblGrid>
      <w:tr>
        <w:trPr>
          <w:trHeight w:val="461"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2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0"/>
              <w:jc w:val="center"/>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169" w:hRule="exact"/>
        </w:trPr>
        <w:tc>
          <w:tcPr>
            <w:tcW w:w="1166"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103" w:right="98"/>
              <w:jc w:val="left"/>
              <w:rPr>
                <w:rFonts w:ascii="宋体" w:hAnsi="宋体" w:cs="宋体" w:eastAsia="宋体" w:hint="default"/>
                <w:sz w:val="17"/>
                <w:szCs w:val="17"/>
              </w:rPr>
            </w:pPr>
            <w:r>
              <w:rPr>
                <w:rFonts w:ascii="宋体" w:hAnsi="宋体" w:cs="宋体" w:eastAsia="宋体" w:hint="default"/>
                <w:sz w:val="17"/>
                <w:szCs w:val="17"/>
              </w:rPr>
              <w:t>蚌埠海吉星农产</w:t>
            </w:r>
            <w:r>
              <w:rPr>
                <w:rFonts w:ascii="宋体" w:hAnsi="宋体" w:cs="宋体" w:eastAsia="宋体" w:hint="default"/>
                <w:spacing w:val="-83"/>
                <w:sz w:val="17"/>
                <w:szCs w:val="17"/>
              </w:rPr>
              <w:t> </w:t>
            </w:r>
            <w:r>
              <w:rPr>
                <w:rFonts w:ascii="宋体" w:hAnsi="宋体" w:cs="宋体" w:eastAsia="宋体" w:hint="default"/>
                <w:sz w:val="17"/>
                <w:szCs w:val="17"/>
              </w:rPr>
              <w:t>品物流有限公司</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201" w:right="26"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424" w:right="82"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386" w:lineRule="auto"/>
              <w:ind w:left="340" w:right="84"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1"/>
              <w:ind w:left="211" w:right="0"/>
              <w:jc w:val="left"/>
              <w:rPr>
                <w:rFonts w:ascii="宋体" w:hAnsi="宋体" w:cs="宋体" w:eastAsia="宋体" w:hint="default"/>
                <w:sz w:val="17"/>
                <w:szCs w:val="17"/>
              </w:rPr>
            </w:pPr>
            <w:r>
              <w:rPr>
                <w:rFonts w:ascii="宋体" w:hAnsi="宋体" w:cs="宋体" w:eastAsia="宋体" w:hint="default"/>
                <w:sz w:val="17"/>
                <w:szCs w:val="17"/>
              </w:rPr>
              <w:t>深圳市中农网有限公司</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81" w:right="79"/>
              <w:jc w:val="center"/>
              <w:rPr>
                <w:rFonts w:ascii="宋体" w:hAnsi="宋体" w:cs="宋体" w:eastAsia="宋体" w:hint="default"/>
                <w:sz w:val="17"/>
                <w:szCs w:val="17"/>
              </w:rPr>
            </w:pPr>
            <w:r>
              <w:rPr>
                <w:rFonts w:ascii="宋体" w:hAnsi="宋体" w:cs="宋体" w:eastAsia="宋体" w:hint="default"/>
                <w:sz w:val="17"/>
                <w:szCs w:val="17"/>
              </w:rPr>
              <w:t>北京大红门京深海</w:t>
            </w:r>
            <w:r>
              <w:rPr>
                <w:rFonts w:ascii="宋体" w:hAnsi="宋体" w:cs="宋体" w:eastAsia="宋体" w:hint="default"/>
                <w:w w:val="100"/>
                <w:sz w:val="17"/>
                <w:szCs w:val="17"/>
              </w:rPr>
              <w:t> </w:t>
            </w:r>
            <w:r>
              <w:rPr>
                <w:rFonts w:ascii="宋体" w:hAnsi="宋体" w:cs="宋体" w:eastAsia="宋体" w:hint="default"/>
                <w:sz w:val="17"/>
                <w:szCs w:val="17"/>
              </w:rPr>
              <w:t>鲜批发市场有限公</w:t>
            </w:r>
            <w:r>
              <w:rPr>
                <w:rFonts w:ascii="宋体" w:hAnsi="宋体" w:cs="宋体" w:eastAsia="宋体" w:hint="default"/>
                <w:w w:val="100"/>
                <w:sz w:val="17"/>
                <w:szCs w:val="17"/>
              </w:rPr>
              <w:t> </w:t>
            </w:r>
            <w:r>
              <w:rPr>
                <w:rFonts w:ascii="宋体" w:hAnsi="宋体" w:cs="宋体" w:eastAsia="宋体" w:hint="default"/>
                <w:sz w:val="17"/>
                <w:szCs w:val="17"/>
              </w:rPr>
              <w:t>司</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6" w:lineRule="auto"/>
              <w:ind w:left="103" w:right="108"/>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77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386" w:lineRule="auto" w:before="111"/>
              <w:ind w:left="40" w:right="11"/>
              <w:jc w:val="left"/>
              <w:rPr>
                <w:rFonts w:ascii="宋体" w:hAnsi="宋体" w:cs="宋体" w:eastAsia="宋体" w:hint="default"/>
                <w:sz w:val="17"/>
                <w:szCs w:val="17"/>
              </w:rPr>
            </w:pPr>
            <w:r>
              <w:rPr>
                <w:rFonts w:ascii="宋体" w:hAnsi="宋体" w:cs="宋体" w:eastAsia="宋体" w:hint="default"/>
                <w:spacing w:val="13"/>
                <w:sz w:val="17"/>
                <w:szCs w:val="17"/>
              </w:rPr>
              <w:t>益投资的账面</w:t>
            </w:r>
            <w:r>
              <w:rPr>
                <w:rFonts w:ascii="宋体" w:hAnsi="宋体" w:cs="宋体" w:eastAsia="宋体" w:hint="default"/>
                <w:spacing w:val="-77"/>
                <w:sz w:val="17"/>
                <w:szCs w:val="17"/>
              </w:rPr>
              <w:t> </w:t>
            </w:r>
            <w:r>
              <w:rPr>
                <w:rFonts w:ascii="宋体" w:hAnsi="宋体" w:cs="宋体" w:eastAsia="宋体" w:hint="default"/>
                <w:sz w:val="17"/>
                <w:szCs w:val="17"/>
              </w:rPr>
              <w:t>价值</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pacing w:val="13"/>
                <w:sz w:val="17"/>
                <w:szCs w:val="17"/>
              </w:rPr>
              <w:t>存在公开报价</w:t>
            </w:r>
            <w:r>
              <w:rPr>
                <w:rFonts w:ascii="宋体" w:hAnsi="宋体" w:cs="宋体" w:eastAsia="宋体" w:hint="default"/>
                <w:sz w:val="17"/>
                <w:szCs w:val="17"/>
              </w:rPr>
            </w:r>
          </w:p>
          <w:p>
            <w:pPr>
              <w:pStyle w:val="TableParagraph"/>
              <w:spacing w:line="386" w:lineRule="auto" w:before="140"/>
              <w:ind w:left="40" w:right="11"/>
              <w:jc w:val="left"/>
              <w:rPr>
                <w:rFonts w:ascii="宋体" w:hAnsi="宋体" w:cs="宋体" w:eastAsia="宋体" w:hint="default"/>
                <w:sz w:val="17"/>
                <w:szCs w:val="17"/>
              </w:rPr>
            </w:pPr>
            <w:r>
              <w:rPr>
                <w:rFonts w:ascii="宋体" w:hAnsi="宋体" w:cs="宋体" w:eastAsia="宋体" w:hint="default"/>
                <w:spacing w:val="13"/>
                <w:sz w:val="17"/>
                <w:szCs w:val="17"/>
              </w:rPr>
              <w:t>的权益投资的</w:t>
            </w:r>
            <w:r>
              <w:rPr>
                <w:rFonts w:ascii="宋体" w:hAnsi="宋体" w:cs="宋体" w:eastAsia="宋体" w:hint="default"/>
                <w:spacing w:val="-77"/>
                <w:sz w:val="17"/>
                <w:szCs w:val="17"/>
              </w:rPr>
              <w:t> </w:t>
            </w:r>
            <w:r>
              <w:rPr>
                <w:rFonts w:ascii="宋体" w:hAnsi="宋体" w:cs="宋体" w:eastAsia="宋体" w:hint="default"/>
                <w:sz w:val="17"/>
                <w:szCs w:val="17"/>
              </w:rPr>
              <w:t>公允价值</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84,492,025.40</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514,231,152.39</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59,530,327.87</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315,762,708.35</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31,601,767,451.34</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129,166,899.13</w:t>
            </w: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14,430,142.11</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2"/>
                <w:sz w:val="17"/>
              </w:rPr>
              <w:t>157,118,890.40</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16,845,405.84</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-61,252,928.19</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104,618,276.04</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16,986,474.72</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7"/>
                <w:szCs w:val="17"/>
              </w:rPr>
            </w:pPr>
            <w:r>
              <w:rPr>
                <w:rFonts w:ascii="Times New Roman"/>
                <w:spacing w:val="-1"/>
                <w:sz w:val="17"/>
              </w:rPr>
              <w:t>-18,417,545.78</w:t>
            </w:r>
          </w:p>
        </w:tc>
      </w:tr>
      <w:tr>
        <w:trPr>
          <w:trHeight w:val="812"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386" w:lineRule="auto"/>
              <w:ind w:left="40" w:right="11"/>
              <w:jc w:val="left"/>
              <w:rPr>
                <w:rFonts w:ascii="宋体" w:hAnsi="宋体" w:cs="宋体" w:eastAsia="宋体" w:hint="default"/>
                <w:sz w:val="17"/>
                <w:szCs w:val="17"/>
              </w:rPr>
            </w:pPr>
            <w:r>
              <w:rPr>
                <w:rFonts w:ascii="宋体" w:hAnsi="宋体" w:cs="宋体" w:eastAsia="宋体" w:hint="default"/>
                <w:spacing w:val="13"/>
                <w:sz w:val="17"/>
                <w:szCs w:val="17"/>
              </w:rPr>
              <w:t>终止经营的净</w:t>
            </w:r>
            <w:r>
              <w:rPr>
                <w:rFonts w:ascii="宋体" w:hAnsi="宋体" w:cs="宋体" w:eastAsia="宋体" w:hint="default"/>
                <w:spacing w:val="-77"/>
                <w:sz w:val="17"/>
                <w:szCs w:val="17"/>
              </w:rPr>
              <w:t> </w:t>
            </w:r>
            <w:r>
              <w:rPr>
                <w:rFonts w:ascii="宋体" w:hAnsi="宋体" w:cs="宋体" w:eastAsia="宋体" w:hint="default"/>
                <w:sz w:val="17"/>
                <w:szCs w:val="17"/>
              </w:rPr>
              <w:t>利润</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其他综合收益</w:t>
            </w:r>
          </w:p>
        </w:tc>
        <w:tc>
          <w:tcPr>
            <w:tcW w:w="1405"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154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综合收益总额</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14,430,142.11</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2"/>
                <w:sz w:val="17"/>
              </w:rPr>
              <w:t>157,118,890.40</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16,845,405.84</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-61,252,928.19</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104,618,276.04</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16,986,474.72</w:t>
            </w:r>
          </w:p>
        </w:tc>
        <w:tc>
          <w:tcPr>
            <w:tcW w:w="19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7"/>
                <w:szCs w:val="17"/>
              </w:rPr>
            </w:pPr>
            <w:r>
              <w:rPr>
                <w:rFonts w:ascii="Times New Roman"/>
                <w:spacing w:val="-1"/>
                <w:sz w:val="17"/>
              </w:rPr>
              <w:t>-18,417,545.78</w:t>
            </w:r>
          </w:p>
        </w:tc>
      </w:tr>
      <w:tr>
        <w:trPr>
          <w:trHeight w:val="1181"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88" w:lineRule="auto"/>
              <w:ind w:left="40" w:right="11"/>
              <w:jc w:val="both"/>
              <w:rPr>
                <w:rFonts w:ascii="宋体" w:hAnsi="宋体" w:cs="宋体" w:eastAsia="宋体" w:hint="default"/>
                <w:sz w:val="17"/>
                <w:szCs w:val="17"/>
              </w:rPr>
            </w:pPr>
            <w:r>
              <w:rPr>
                <w:rFonts w:ascii="宋体" w:hAnsi="宋体" w:cs="宋体" w:eastAsia="宋体" w:hint="default"/>
                <w:spacing w:val="13"/>
                <w:sz w:val="17"/>
                <w:szCs w:val="17"/>
              </w:rPr>
              <w:t>企业本期收到</w:t>
            </w:r>
            <w:r>
              <w:rPr>
                <w:rFonts w:ascii="宋体" w:hAnsi="宋体" w:cs="宋体" w:eastAsia="宋体" w:hint="default"/>
                <w:spacing w:val="-77"/>
                <w:sz w:val="17"/>
                <w:szCs w:val="17"/>
              </w:rPr>
              <w:t> </w:t>
            </w:r>
            <w:r>
              <w:rPr>
                <w:rFonts w:ascii="宋体" w:hAnsi="宋体" w:cs="宋体" w:eastAsia="宋体" w:hint="default"/>
                <w:spacing w:val="13"/>
                <w:sz w:val="17"/>
                <w:szCs w:val="17"/>
              </w:rPr>
              <w:t>的来自联营企</w:t>
            </w:r>
            <w:r>
              <w:rPr>
                <w:rFonts w:ascii="宋体" w:hAnsi="宋体" w:cs="宋体" w:eastAsia="宋体" w:hint="default"/>
                <w:spacing w:val="-77"/>
                <w:sz w:val="17"/>
                <w:szCs w:val="17"/>
              </w:rPr>
              <w:t> </w:t>
            </w:r>
            <w:r>
              <w:rPr>
                <w:rFonts w:ascii="宋体" w:hAnsi="宋体" w:cs="宋体" w:eastAsia="宋体" w:hint="default"/>
                <w:sz w:val="17"/>
                <w:szCs w:val="17"/>
              </w:rPr>
              <w:t>业的股利</w:t>
            </w:r>
          </w:p>
        </w:tc>
        <w:tc>
          <w:tcPr>
            <w:tcW w:w="1405" w:type="dxa"/>
            <w:tcBorders>
              <w:top w:val="dotted" w:sz="4" w:space="0" w:color="000000"/>
              <w:left w:val="dotted" w:sz="4" w:space="0" w:color="000000"/>
              <w:bottom w:val="single" w:sz="12" w:space="0" w:color="000000"/>
              <w:right w:val="dotted" w:sz="4" w:space="0" w:color="000000"/>
            </w:tcBorders>
          </w:tcPr>
          <w:p>
            <w:pP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13,402,500.00</w:t>
            </w:r>
          </w:p>
        </w:tc>
        <w:tc>
          <w:tcPr>
            <w:tcW w:w="1712" w:type="dxa"/>
            <w:tcBorders>
              <w:top w:val="dotted" w:sz="4" w:space="0" w:color="000000"/>
              <w:left w:val="dotted" w:sz="4" w:space="0" w:color="000000"/>
              <w:bottom w:val="single" w:sz="12" w:space="0" w:color="000000"/>
              <w:right w:val="dotted" w:sz="4" w:space="0" w:color="000000"/>
            </w:tcBorders>
          </w:tcPr>
          <w:p>
            <w:pP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4,310,558.80</w:t>
            </w:r>
          </w:p>
        </w:tc>
        <w:tc>
          <w:tcPr>
            <w:tcW w:w="21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17,387,200.19</w:t>
            </w:r>
          </w:p>
        </w:tc>
        <w:tc>
          <w:tcPr>
            <w:tcW w:w="1536" w:type="dxa"/>
            <w:tcBorders>
              <w:top w:val="dotted" w:sz="4" w:space="0" w:color="000000"/>
              <w:left w:val="dotted" w:sz="4" w:space="0" w:color="000000"/>
              <w:bottom w:val="single" w:sz="12" w:space="0" w:color="000000"/>
              <w:right w:val="dotted" w:sz="4" w:space="0" w:color="000000"/>
            </w:tcBorders>
          </w:tcPr>
          <w:p>
            <w:pPr/>
          </w:p>
        </w:tc>
        <w:tc>
          <w:tcPr>
            <w:tcW w:w="1920"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4" w:footer="997" w:top="1000" w:bottom="1180" w:left="1300" w:right="12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不重要的合营企业和联营企业的汇总财务信息</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207"/>
        <w:gridCol w:w="2124"/>
        <w:gridCol w:w="2446"/>
      </w:tblGrid>
      <w:tr>
        <w:trPr>
          <w:trHeight w:val="461" w:hRule="exact"/>
        </w:trPr>
        <w:tc>
          <w:tcPr>
            <w:tcW w:w="3207" w:type="dxa"/>
            <w:tcBorders>
              <w:top w:val="single" w:sz="12" w:space="0" w:color="000000"/>
              <w:left w:val="nil" w:sz="6" w:space="0" w:color="auto"/>
              <w:bottom w:val="dotted" w:sz="4" w:space="0" w:color="000000"/>
              <w:right w:val="dotted" w:sz="4" w:space="0" w:color="000000"/>
            </w:tcBorders>
          </w:tcPr>
          <w:p>
            <w:pPr/>
          </w:p>
        </w:tc>
        <w:tc>
          <w:tcPr>
            <w:tcW w:w="21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4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381"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49"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124" w:type="dxa"/>
            <w:tcBorders>
              <w:top w:val="dotted" w:sz="4" w:space="0" w:color="000000"/>
              <w:left w:val="dotted" w:sz="4" w:space="0" w:color="000000"/>
              <w:bottom w:val="dotted" w:sz="4" w:space="0" w:color="000000"/>
              <w:right w:val="dotted" w:sz="4" w:space="0" w:color="000000"/>
            </w:tcBorders>
          </w:tcPr>
          <w:p>
            <w:pPr/>
          </w:p>
        </w:tc>
        <w:tc>
          <w:tcPr>
            <w:tcW w:w="244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28,396,623.03</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27,789,112.87</w:t>
            </w:r>
          </w:p>
        </w:tc>
      </w:tr>
      <w:tr>
        <w:trPr>
          <w:trHeight w:val="449"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124" w:type="dxa"/>
            <w:tcBorders>
              <w:top w:val="dotted" w:sz="4" w:space="0" w:color="000000"/>
              <w:left w:val="dotted" w:sz="4" w:space="0" w:color="000000"/>
              <w:bottom w:val="dotted" w:sz="4" w:space="0" w:color="000000"/>
              <w:right w:val="dotted" w:sz="4" w:space="0" w:color="000000"/>
            </w:tcBorders>
          </w:tcPr>
          <w:p>
            <w:pPr/>
          </w:p>
        </w:tc>
        <w:tc>
          <w:tcPr>
            <w:tcW w:w="244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4,449,148.84</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4,268,487.43</w:t>
            </w:r>
          </w:p>
        </w:tc>
      </w:tr>
      <w:tr>
        <w:trPr>
          <w:trHeight w:val="449"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124" w:type="dxa"/>
            <w:tcBorders>
              <w:top w:val="dotted" w:sz="4" w:space="0" w:color="000000"/>
              <w:left w:val="dotted" w:sz="4" w:space="0" w:color="000000"/>
              <w:bottom w:val="dotted" w:sz="4" w:space="0" w:color="000000"/>
              <w:right w:val="dotted" w:sz="4" w:space="0" w:color="000000"/>
            </w:tcBorders>
          </w:tcPr>
          <w:p>
            <w:pPr/>
          </w:p>
        </w:tc>
        <w:tc>
          <w:tcPr>
            <w:tcW w:w="244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4,449,148.84</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4,268,487.43</w:t>
            </w:r>
          </w:p>
        </w:tc>
      </w:tr>
      <w:tr>
        <w:trPr>
          <w:trHeight w:val="449"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124" w:type="dxa"/>
            <w:tcBorders>
              <w:top w:val="dotted" w:sz="4" w:space="0" w:color="000000"/>
              <w:left w:val="dotted" w:sz="4" w:space="0" w:color="000000"/>
              <w:bottom w:val="dotted" w:sz="4" w:space="0" w:color="000000"/>
              <w:right w:val="dotted" w:sz="4" w:space="0" w:color="000000"/>
            </w:tcBorders>
          </w:tcPr>
          <w:p>
            <w:pPr/>
          </w:p>
        </w:tc>
        <w:tc>
          <w:tcPr>
            <w:tcW w:w="244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374,136,024.17</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413,127,812.25</w:t>
            </w:r>
          </w:p>
        </w:tc>
      </w:tr>
      <w:tr>
        <w:trPr>
          <w:trHeight w:val="449"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124" w:type="dxa"/>
            <w:tcBorders>
              <w:top w:val="dotted" w:sz="4" w:space="0" w:color="000000"/>
              <w:left w:val="dotted" w:sz="4" w:space="0" w:color="000000"/>
              <w:bottom w:val="dotted" w:sz="4" w:space="0" w:color="000000"/>
              <w:right w:val="dotted" w:sz="4" w:space="0" w:color="000000"/>
            </w:tcBorders>
          </w:tcPr>
          <w:p>
            <w:pPr/>
          </w:p>
        </w:tc>
        <w:tc>
          <w:tcPr>
            <w:tcW w:w="244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-44,767,604.32</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-57,701,500.44</w:t>
            </w:r>
          </w:p>
        </w:tc>
      </w:tr>
      <w:tr>
        <w:trPr>
          <w:trHeight w:val="449" w:hRule="exact"/>
        </w:trPr>
        <w:tc>
          <w:tcPr>
            <w:tcW w:w="3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124" w:type="dxa"/>
            <w:tcBorders>
              <w:top w:val="dotted" w:sz="4" w:space="0" w:color="000000"/>
              <w:left w:val="dotted" w:sz="4" w:space="0" w:color="000000"/>
              <w:bottom w:val="dotted" w:sz="4" w:space="0" w:color="000000"/>
              <w:right w:val="dotted" w:sz="4" w:space="0" w:color="000000"/>
            </w:tcBorders>
          </w:tcPr>
          <w:p>
            <w:pPr/>
          </w:p>
        </w:tc>
        <w:tc>
          <w:tcPr>
            <w:tcW w:w="2446"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2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-44,767,604.32</w:t>
            </w:r>
          </w:p>
        </w:tc>
        <w:tc>
          <w:tcPr>
            <w:tcW w:w="24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-57,701,500.44</w:t>
            </w: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4</w:t>
      </w:r>
      <w:r>
        <w:rPr/>
        <w:t>、</w:t>
        <w:tab/>
        <w:t>合营企业或联营企业向本公司转移资金的能力存在重大限制的说明</w:t>
      </w:r>
      <w:r>
        <w:rPr>
          <w:b w:val="0"/>
          <w:bCs w:val="0"/>
        </w:rPr>
      </w:r>
    </w:p>
    <w:p>
      <w:pPr>
        <w:pStyle w:val="BodyText"/>
        <w:spacing w:line="240" w:lineRule="auto" w:before="99"/>
        <w:ind w:right="1675"/>
        <w:jc w:val="left"/>
      </w:pPr>
      <w:r>
        <w:rPr/>
        <w:t>本期合营企业或联营企业向本公司转移资金的能力不存在重大限制。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6"/>
        <w:tabs>
          <w:tab w:pos="1397" w:val="left" w:leader="none"/>
        </w:tabs>
        <w:spacing w:line="240" w:lineRule="auto"/>
        <w:ind w:right="1675"/>
        <w:jc w:val="left"/>
        <w:rPr>
          <w:b w:val="0"/>
          <w:bCs w:val="0"/>
        </w:rPr>
      </w:pPr>
      <w:r>
        <w:rPr>
          <w:rFonts w:ascii="Times New Roman" w:hAnsi="Times New Roman" w:cs="Times New Roman" w:eastAsia="Times New Roman" w:hint="default"/>
        </w:rPr>
        <w:t>5</w:t>
      </w:r>
      <w:r>
        <w:rPr/>
        <w:t>、</w:t>
        <w:tab/>
        <w:t>合营企业或联营企业发生的超额亏损</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041"/>
        <w:gridCol w:w="1558"/>
        <w:gridCol w:w="1464"/>
        <w:gridCol w:w="1714"/>
      </w:tblGrid>
      <w:tr>
        <w:trPr>
          <w:trHeight w:val="862" w:hRule="exact"/>
        </w:trPr>
        <w:tc>
          <w:tcPr>
            <w:tcW w:w="30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29"/>
              <w:ind w:left="143" w:right="142" w:firstLine="180"/>
              <w:jc w:val="left"/>
              <w:rPr>
                <w:rFonts w:ascii="宋体" w:hAnsi="宋体" w:cs="宋体" w:eastAsia="宋体" w:hint="default"/>
                <w:sz w:val="18"/>
                <w:szCs w:val="18"/>
              </w:rPr>
            </w:pPr>
            <w:r>
              <w:rPr>
                <w:rFonts w:ascii="宋体" w:hAnsi="宋体" w:cs="宋体" w:eastAsia="宋体" w:hint="default"/>
                <w:sz w:val="18"/>
                <w:szCs w:val="18"/>
              </w:rPr>
              <w:t>累积未确认 的前期累计损失</w:t>
            </w:r>
          </w:p>
        </w:tc>
        <w:tc>
          <w:tcPr>
            <w:tcW w:w="1464"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29"/>
              <w:ind w:left="456" w:right="276" w:hanging="180"/>
              <w:jc w:val="left"/>
              <w:rPr>
                <w:rFonts w:ascii="宋体" w:hAnsi="宋体" w:cs="宋体" w:eastAsia="宋体" w:hint="default"/>
                <w:sz w:val="18"/>
                <w:szCs w:val="18"/>
              </w:rPr>
            </w:pPr>
            <w:r>
              <w:rPr>
                <w:rFonts w:ascii="宋体" w:hAnsi="宋体" w:cs="宋体" w:eastAsia="宋体" w:hint="default"/>
                <w:sz w:val="18"/>
                <w:szCs w:val="18"/>
              </w:rPr>
              <w:t>本期未确认 的损失</w:t>
            </w:r>
          </w:p>
        </w:tc>
        <w:tc>
          <w:tcPr>
            <w:tcW w:w="1714" w:type="dxa"/>
            <w:tcBorders>
              <w:top w:val="single" w:sz="12" w:space="0" w:color="000000"/>
              <w:left w:val="dotted" w:sz="4" w:space="0" w:color="000000"/>
              <w:bottom w:val="dotted" w:sz="4" w:space="0" w:color="000000"/>
              <w:right w:val="nil" w:sz="6" w:space="0" w:color="auto"/>
            </w:tcBorders>
          </w:tcPr>
          <w:p>
            <w:pPr>
              <w:pStyle w:val="TableParagraph"/>
              <w:spacing w:line="398" w:lineRule="exact" w:before="29"/>
              <w:ind w:left="309" w:right="317" w:firstLine="89"/>
              <w:jc w:val="left"/>
              <w:rPr>
                <w:rFonts w:ascii="宋体" w:hAnsi="宋体" w:cs="宋体" w:eastAsia="宋体" w:hint="default"/>
                <w:sz w:val="18"/>
                <w:szCs w:val="18"/>
              </w:rPr>
            </w:pPr>
            <w:r>
              <w:rPr>
                <w:rFonts w:ascii="宋体" w:hAnsi="宋体" w:cs="宋体" w:eastAsia="宋体" w:hint="default"/>
                <w:sz w:val="18"/>
                <w:szCs w:val="18"/>
              </w:rPr>
              <w:t>本期末累积 未确认的损失</w:t>
            </w:r>
          </w:p>
        </w:tc>
      </w:tr>
      <w:tr>
        <w:trPr>
          <w:trHeight w:val="449" w:hRule="exact"/>
        </w:trPr>
        <w:tc>
          <w:tcPr>
            <w:tcW w:w="30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11,855,193.24</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1,744,987.52</w:t>
            </w:r>
          </w:p>
        </w:tc>
        <w:tc>
          <w:tcPr>
            <w:tcW w:w="17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13,600,180.76</w:t>
            </w:r>
          </w:p>
        </w:tc>
      </w:tr>
      <w:tr>
        <w:trPr>
          <w:trHeight w:val="492" w:hRule="exact"/>
        </w:trPr>
        <w:tc>
          <w:tcPr>
            <w:tcW w:w="30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深圳市嘉恒农业科技发展有限公司</w:t>
            </w:r>
          </w:p>
        </w:tc>
        <w:tc>
          <w:tcPr>
            <w:tcW w:w="1558" w:type="dxa"/>
            <w:tcBorders>
              <w:top w:val="dotted" w:sz="4" w:space="0" w:color="000000"/>
              <w:left w:val="dotted" w:sz="4" w:space="0" w:color="000000"/>
              <w:bottom w:val="dotted" w:sz="4" w:space="0" w:color="000000"/>
              <w:right w:val="dotted" w:sz="4" w:space="0" w:color="000000"/>
            </w:tcBorders>
          </w:tcPr>
          <w:p>
            <w:pP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506,549.84</w:t>
            </w:r>
          </w:p>
        </w:tc>
        <w:tc>
          <w:tcPr>
            <w:tcW w:w="17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506,549.84</w:t>
            </w:r>
          </w:p>
        </w:tc>
      </w:tr>
      <w:tr>
        <w:trPr>
          <w:trHeight w:val="499" w:hRule="exact"/>
        </w:trPr>
        <w:tc>
          <w:tcPr>
            <w:tcW w:w="30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11,855,193.24</w:t>
            </w:r>
          </w:p>
        </w:tc>
        <w:tc>
          <w:tcPr>
            <w:tcW w:w="14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2,251,537.36</w:t>
            </w:r>
          </w:p>
        </w:tc>
        <w:tc>
          <w:tcPr>
            <w:tcW w:w="17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14,106,730.60</w:t>
            </w:r>
          </w:p>
        </w:tc>
      </w:tr>
    </w:tbl>
    <w:p>
      <w:pPr>
        <w:spacing w:line="240" w:lineRule="auto" w:before="12"/>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重要的共同经营</w:t>
      </w:r>
      <w:r>
        <w:rPr>
          <w:b w:val="0"/>
          <w:bCs w:val="0"/>
        </w:rPr>
      </w:r>
    </w:p>
    <w:p>
      <w:pPr>
        <w:pStyle w:val="BodyText"/>
        <w:spacing w:line="240" w:lineRule="auto" w:before="102"/>
        <w:ind w:left="850" w:right="1675"/>
        <w:jc w:val="left"/>
      </w:pPr>
      <w:r>
        <w:rPr/>
        <w:t>公司不存在共同经营情况。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850" w:val="left" w:leader="none"/>
        </w:tabs>
        <w:spacing w:line="307" w:lineRule="auto" w:before="0"/>
        <w:ind w:left="850" w:right="4136"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在未纳入合并财务报表范围的结构化主体中的权益</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公司本期不存在未纳入合并财务报表范围的结构化主体。</w:t>
      </w:r>
    </w:p>
    <w:p>
      <w:pPr>
        <w:spacing w:line="240" w:lineRule="auto" w:before="0"/>
        <w:rPr>
          <w:rFonts w:ascii="宋体" w:hAnsi="宋体" w:cs="宋体" w:eastAsia="宋体" w:hint="default"/>
          <w:sz w:val="20"/>
          <w:szCs w:val="20"/>
        </w:rPr>
      </w:pPr>
    </w:p>
    <w:p>
      <w:pPr>
        <w:pStyle w:val="Heading6"/>
        <w:tabs>
          <w:tab w:pos="850" w:val="left" w:leader="none"/>
        </w:tabs>
        <w:spacing w:line="240" w:lineRule="auto" w:before="137"/>
        <w:ind w:left="138" w:right="1675"/>
        <w:jc w:val="left"/>
        <w:rPr>
          <w:b w:val="0"/>
          <w:bCs w:val="0"/>
        </w:rPr>
      </w:pPr>
      <w:r>
        <w:rPr/>
        <w:t>八、</w:t>
        <w:tab/>
        <w:t>与金融工具相关的风险</w:t>
      </w:r>
      <w:r>
        <w:rPr>
          <w:b w:val="0"/>
          <w:bCs w:val="0"/>
        </w:rPr>
      </w:r>
    </w:p>
    <w:p>
      <w:pPr>
        <w:spacing w:after="0" w:line="240" w:lineRule="auto"/>
        <w:jc w:val="left"/>
        <w:sectPr>
          <w:headerReference w:type="default" r:id="rId127"/>
          <w:footerReference w:type="default" r:id="rId128"/>
          <w:pgSz w:w="11910" w:h="16840"/>
          <w:pgMar w:header="774" w:footer="996" w:top="1000" w:bottom="1180" w:left="1660" w:right="0"/>
          <w:pgNumType w:start="110"/>
        </w:sectPr>
      </w:pPr>
    </w:p>
    <w:p>
      <w:pPr>
        <w:spacing w:line="240" w:lineRule="auto" w:before="15"/>
        <w:rPr>
          <w:rFonts w:ascii="Microsoft JhengHei" w:hAnsi="Microsoft JhengHei" w:cs="Microsoft JhengHei" w:eastAsia="Microsoft JhengHei" w:hint="default"/>
          <w:b/>
          <w:bCs/>
          <w:sz w:val="27"/>
          <w:szCs w:val="27"/>
        </w:rPr>
      </w:pPr>
    </w:p>
    <w:p>
      <w:pPr>
        <w:pStyle w:val="BodyText"/>
        <w:spacing w:line="348" w:lineRule="auto"/>
        <w:ind w:left="850" w:right="1786"/>
        <w:jc w:val="both"/>
      </w:pPr>
      <w:r>
        <w:rPr/>
        <w:t>本公司在经营过程中面临各种金融风险：信用风险、流动风险和市场风险（主要为</w:t>
      </w:r>
      <w:r>
        <w:rPr>
          <w:spacing w:val="-62"/>
        </w:rPr>
        <w:t> </w:t>
      </w:r>
      <w:r>
        <w:rPr>
          <w:spacing w:val="-6"/>
          <w:w w:val="100"/>
        </w:rPr>
        <w:t>汇率风险和利率风险）。本公司整体的风险管理计划针对金融市场的不可预见性，力</w:t>
      </w:r>
      <w:r>
        <w:rPr>
          <w:spacing w:val="-103"/>
          <w:w w:val="100"/>
        </w:rPr>
        <w:t> </w:t>
      </w:r>
      <w:r>
        <w:rPr>
          <w:spacing w:val="-103"/>
          <w:w w:val="100"/>
        </w:rPr>
      </w:r>
      <w:r>
        <w:rPr/>
        <w:t>求减少对本公司财务业绩的潜在不利影响。</w:t>
      </w:r>
    </w:p>
    <w:p>
      <w:pPr>
        <w:spacing w:line="240" w:lineRule="auto" w:before="12"/>
        <w:rPr>
          <w:rFonts w:ascii="宋体" w:hAnsi="宋体" w:cs="宋体" w:eastAsia="宋体" w:hint="default"/>
          <w:sz w:val="27"/>
          <w:szCs w:val="27"/>
        </w:rPr>
      </w:pPr>
    </w:p>
    <w:p>
      <w:pPr>
        <w:pStyle w:val="BodyText"/>
        <w:tabs>
          <w:tab w:pos="850" w:val="left" w:leader="none"/>
        </w:tabs>
        <w:spacing w:line="328" w:lineRule="auto" w:before="0"/>
        <w:ind w:left="850" w:right="1790" w:hanging="725"/>
        <w:jc w:val="left"/>
      </w:pP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一</w:t>
      </w:r>
      <w:r>
        <w:rPr>
          <w:rFonts w:ascii="Times New Roman" w:hAnsi="Times New Roman" w:cs="Times New Roman" w:eastAsia="Times New Roman" w:hint="default"/>
          <w:b/>
          <w:bCs/>
        </w:rPr>
        <w:t>)</w:t>
        <w:tab/>
      </w:r>
      <w:r>
        <w:rPr>
          <w:rFonts w:ascii="Microsoft JhengHei" w:hAnsi="Microsoft JhengHei" w:cs="Microsoft JhengHei" w:eastAsia="Microsoft JhengHei" w:hint="default"/>
          <w:b/>
          <w:bCs/>
        </w:rPr>
        <w:t>信用风险</w:t>
      </w:r>
      <w:r>
        <w:rPr>
          <w:rFonts w:ascii="Microsoft JhengHei" w:hAnsi="Microsoft JhengHei" w:cs="Microsoft JhengHei" w:eastAsia="Microsoft JhengHei" w:hint="default"/>
          <w:b/>
          <w:bCs/>
          <w:spacing w:val="-48"/>
        </w:rPr>
        <w:t> </w:t>
      </w:r>
      <w:r>
        <w:rPr/>
        <w:t>本公司的信用风险主要来自货币资金、应收账款、其他应收款和可供出售金融资产</w:t>
      </w:r>
      <w:r>
        <w:rPr>
          <w:w w:val="100"/>
        </w:rPr>
        <w:t> </w:t>
      </w:r>
      <w:r>
        <w:rPr/>
        <w:t>等。管理层已制定适当的信用政策，并且不断监察这些信用风险的敞口。</w:t>
      </w:r>
    </w:p>
    <w:p>
      <w:pPr>
        <w:pStyle w:val="BodyText"/>
        <w:spacing w:line="348" w:lineRule="auto" w:before="49"/>
        <w:ind w:left="850" w:right="1675"/>
        <w:jc w:val="left"/>
      </w:pPr>
      <w:r>
        <w:rPr/>
        <w:t>本公司持有的货币资金，主要存放于国有控股银行和其他大中型商业银行等金融机</w:t>
      </w:r>
      <w:r>
        <w:rPr>
          <w:spacing w:val="-62"/>
        </w:rPr>
        <w:t> </w:t>
      </w:r>
      <w:r>
        <w:rPr/>
        <w:t>构，管理层认为这些商业银行具备较高信誉和资产状况，不存在重大的信用风险，</w:t>
      </w:r>
      <w:r>
        <w:rPr>
          <w:spacing w:val="-62"/>
        </w:rPr>
        <w:t> </w:t>
      </w:r>
      <w:r>
        <w:rPr/>
        <w:t>不会产生因对方单位违约而导致的任何重大损失。</w:t>
      </w:r>
      <w:r>
        <w:rPr>
          <w:w w:val="100"/>
        </w:rPr>
        <w:t> </w:t>
      </w:r>
      <w:r>
        <w:rPr>
          <w:spacing w:val="-4"/>
        </w:rPr>
        <w:t>对于应收账款、其他应收款和应收票据，本公司设定相关政策以控制信用风险敞口。</w:t>
      </w:r>
      <w:r>
        <w:rPr>
          <w:spacing w:val="-27"/>
        </w:rPr>
        <w:t> </w:t>
      </w:r>
      <w:r>
        <w:rPr>
          <w:spacing w:val="-27"/>
        </w:rPr>
      </w:r>
      <w:r>
        <w:rPr/>
        <w:t>本公司基于对客户的财务状况、从第三方获取担保的可能性、信用记录及其它因素</w:t>
      </w:r>
      <w:r>
        <w:rPr>
          <w:spacing w:val="-62"/>
        </w:rPr>
        <w:t> </w:t>
      </w:r>
      <w:r>
        <w:rPr/>
        <w:t>诸如目前市场状况等评估客户的信用资质并设置相应信用期。本公司会定期对客户</w:t>
      </w:r>
      <w:r>
        <w:rPr>
          <w:spacing w:val="-62"/>
        </w:rPr>
        <w:t> </w:t>
      </w:r>
      <w:r>
        <w:rPr/>
        <w:t>信用记录进行监控，对于信用记录不良的客户，本公司会采用书面催款、缩短信用</w:t>
      </w:r>
      <w:r>
        <w:rPr>
          <w:spacing w:val="-62"/>
        </w:rPr>
        <w:t> </w:t>
      </w:r>
      <w:r>
        <w:rPr/>
        <w:t>期或取消信用期等方式，以确保本公司的整体信用风险在可控的范围内。</w:t>
      </w:r>
    </w:p>
    <w:p>
      <w:pPr>
        <w:spacing w:line="240" w:lineRule="auto" w:before="13"/>
        <w:rPr>
          <w:rFonts w:ascii="宋体" w:hAnsi="宋体" w:cs="宋体" w:eastAsia="宋体" w:hint="default"/>
          <w:sz w:val="27"/>
          <w:szCs w:val="27"/>
        </w:rPr>
      </w:pPr>
    </w:p>
    <w:p>
      <w:pPr>
        <w:pStyle w:val="BodyText"/>
        <w:tabs>
          <w:tab w:pos="850" w:val="left" w:leader="none"/>
        </w:tabs>
        <w:spacing w:line="328" w:lineRule="auto" w:before="0"/>
        <w:ind w:left="850" w:right="1790" w:hanging="725"/>
        <w:jc w:val="left"/>
      </w:pP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二</w:t>
      </w:r>
      <w:r>
        <w:rPr>
          <w:rFonts w:ascii="Times New Roman" w:hAnsi="Times New Roman" w:cs="Times New Roman" w:eastAsia="Times New Roman" w:hint="default"/>
          <w:b/>
          <w:bCs/>
        </w:rPr>
        <w:t>)</w:t>
        <w:tab/>
      </w:r>
      <w:r>
        <w:rPr>
          <w:rFonts w:ascii="Microsoft JhengHei" w:hAnsi="Microsoft JhengHei" w:cs="Microsoft JhengHei" w:eastAsia="Microsoft JhengHei" w:hint="default"/>
          <w:b/>
          <w:bCs/>
        </w:rPr>
        <w:t>流动性风险</w:t>
      </w:r>
      <w:r>
        <w:rPr>
          <w:rFonts w:ascii="Microsoft JhengHei" w:hAnsi="Microsoft JhengHei" w:cs="Microsoft JhengHei" w:eastAsia="Microsoft JhengHei" w:hint="default"/>
          <w:b/>
          <w:bCs/>
          <w:spacing w:val="-47"/>
        </w:rPr>
        <w:t> </w:t>
      </w:r>
      <w:r>
        <w:rPr>
          <w:spacing w:val="2"/>
        </w:rPr>
        <w:t>流动性风险是指本公司无法及时获得充足资金</w:t>
      </w:r>
      <w:r>
        <w:rPr>
          <w:rFonts w:ascii="Times New Roman" w:hAnsi="Times New Roman" w:cs="Times New Roman" w:eastAsia="Times New Roman" w:hint="default"/>
          <w:spacing w:val="2"/>
        </w:rPr>
        <w:t>,</w:t>
      </w:r>
      <w:r>
        <w:rPr>
          <w:spacing w:val="2"/>
        </w:rPr>
        <w:t>满足业务发展需要或偿付到期债务</w:t>
      </w:r>
      <w:r>
        <w:rPr>
          <w:w w:val="100"/>
        </w:rPr>
        <w:t> </w:t>
      </w:r>
      <w:r>
        <w:rPr/>
        <w:t>以及其他支付义务的风险。</w:t>
      </w:r>
      <w:r>
        <w:rPr>
          <w:w w:val="100"/>
        </w:rPr>
        <w:t> </w:t>
      </w:r>
      <w:r>
        <w:rPr/>
        <w:t>本公司审计风控部门持续监控公司短期和长期的资金需求，以确保维持充裕的现金</w:t>
      </w:r>
    </w:p>
    <w:p>
      <w:pPr>
        <w:pStyle w:val="BodyText"/>
        <w:spacing w:line="350" w:lineRule="auto" w:before="46"/>
        <w:ind w:left="850" w:right="1675"/>
        <w:jc w:val="left"/>
      </w:pPr>
      <w:r>
        <w:rPr/>
        <w:t>储备；同时持续监控是否符合借款协议的规定，从主要金融机构获得提供足够备用</w:t>
      </w:r>
      <w:r>
        <w:rPr>
          <w:spacing w:val="-62"/>
        </w:rPr>
        <w:t> </w:t>
      </w:r>
      <w:r>
        <w:rPr/>
        <w:t>资金的承诺，以满足短期和长期的资金需求。</w:t>
      </w:r>
    </w:p>
    <w:p>
      <w:pPr>
        <w:spacing w:line="240" w:lineRule="auto" w:before="8"/>
        <w:rPr>
          <w:rFonts w:ascii="宋体" w:hAnsi="宋体" w:cs="宋体" w:eastAsia="宋体" w:hint="default"/>
          <w:sz w:val="27"/>
          <w:szCs w:val="27"/>
        </w:rPr>
      </w:pPr>
    </w:p>
    <w:p>
      <w:pPr>
        <w:tabs>
          <w:tab w:pos="850" w:val="left" w:leader="none"/>
        </w:tabs>
        <w:spacing w:line="307" w:lineRule="auto" w:before="0"/>
        <w:ind w:left="850" w:right="5608"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市场风险</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本公司主要面临的市场风险为利率风险。</w:t>
      </w:r>
    </w:p>
    <w:p>
      <w:pPr>
        <w:pStyle w:val="BodyText"/>
        <w:spacing w:line="350" w:lineRule="auto" w:before="67"/>
        <w:ind w:left="850" w:right="1675"/>
        <w:jc w:val="left"/>
      </w:pPr>
      <w:r>
        <w:rPr/>
        <w:t>本公司的利率风险主要产生于银行借款等。浮动利率的金融负债使本公司面临现金</w:t>
      </w:r>
      <w:r>
        <w:rPr>
          <w:spacing w:val="-62"/>
        </w:rPr>
        <w:t> </w:t>
      </w:r>
      <w:r>
        <w:rPr/>
        <w:t>流量利率风险，固定利率的金融负债使本公司面临公允价值利率风险。本公司根据</w:t>
      </w:r>
      <w:r>
        <w:rPr>
          <w:spacing w:val="-62"/>
        </w:rPr>
        <w:t> </w:t>
      </w:r>
      <w:r>
        <w:rPr/>
        <w:t>当时的市场环境来决定固定利率及浮动利率合同的相对比例。</w:t>
      </w:r>
      <w:r>
        <w:rPr>
          <w:w w:val="100"/>
        </w:rPr>
        <w:t> </w:t>
      </w:r>
      <w:r>
        <w:rPr/>
        <w:t>本公司财务部门持续监控公司利率水平。利率上升会增加新增带息债务的成本以及</w:t>
      </w:r>
      <w:r>
        <w:rPr>
          <w:spacing w:val="-62"/>
        </w:rPr>
        <w:t> </w:t>
      </w:r>
      <w:r>
        <w:rPr/>
        <w:t>本公司尚未付清的以浮动利率计息的带息债务的利息支出，并对本公司的财务业绩</w:t>
      </w:r>
      <w:r>
        <w:rPr>
          <w:spacing w:val="-62"/>
        </w:rPr>
        <w:t> </w:t>
      </w:r>
      <w:r>
        <w:rPr/>
        <w:t>产生不利影响，管理层会依据最新的市场状况及时做出调整。</w:t>
      </w:r>
    </w:p>
    <w:p>
      <w:pPr>
        <w:spacing w:line="240" w:lineRule="auto" w:before="8"/>
        <w:rPr>
          <w:rFonts w:ascii="宋体" w:hAnsi="宋体" w:cs="宋体" w:eastAsia="宋体" w:hint="default"/>
          <w:sz w:val="27"/>
          <w:szCs w:val="27"/>
        </w:rPr>
      </w:pPr>
    </w:p>
    <w:p>
      <w:pPr>
        <w:pStyle w:val="Heading6"/>
        <w:tabs>
          <w:tab w:pos="850" w:val="left" w:leader="none"/>
        </w:tabs>
        <w:spacing w:line="240" w:lineRule="auto"/>
        <w:ind w:left="138" w:right="1675"/>
        <w:jc w:val="left"/>
        <w:rPr>
          <w:b w:val="0"/>
          <w:bCs w:val="0"/>
        </w:rPr>
      </w:pPr>
      <w:r>
        <w:rPr/>
        <w:t>九、</w:t>
        <w:tab/>
        <w:t>公允价值的披露</w:t>
      </w:r>
      <w:r>
        <w:rPr>
          <w:b w:val="0"/>
          <w:bCs w:val="0"/>
        </w:rPr>
      </w:r>
    </w:p>
    <w:p>
      <w:pPr>
        <w:pStyle w:val="BodyText"/>
        <w:spacing w:line="240" w:lineRule="auto" w:before="102"/>
        <w:ind w:left="850" w:right="1675"/>
        <w:jc w:val="left"/>
      </w:pP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日，本公司不存在公允价值披露事项。</w:t>
      </w:r>
    </w:p>
    <w:p>
      <w:pPr>
        <w:spacing w:after="0" w:line="240" w:lineRule="auto"/>
        <w:jc w:val="left"/>
        <w:sectPr>
          <w:pgSz w:w="11910" w:h="16840"/>
          <w:pgMar w:header="774"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6"/>
        <w:tabs>
          <w:tab w:pos="850" w:val="left" w:leader="none"/>
        </w:tabs>
        <w:spacing w:line="335" w:lineRule="exact"/>
        <w:ind w:left="138" w:right="1675"/>
        <w:jc w:val="left"/>
        <w:rPr>
          <w:b w:val="0"/>
          <w:bCs w:val="0"/>
        </w:rPr>
      </w:pPr>
      <w:r>
        <w:rPr/>
        <w:t>十、</w:t>
        <w:tab/>
        <w:t>关联方及关联交易</w:t>
      </w:r>
      <w:r>
        <w:rPr>
          <w:b w:val="0"/>
          <w:bCs w:val="0"/>
        </w:rPr>
      </w:r>
    </w:p>
    <w:p>
      <w:pPr>
        <w:pStyle w:val="Heading6"/>
        <w:tabs>
          <w:tab w:pos="850" w:val="left" w:leader="none"/>
        </w:tabs>
        <w:spacing w:line="240" w:lineRule="auto" w:before="33"/>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本公司的母公司情况</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769" w:type="dxa"/>
        <w:tblLayout w:type="fixed"/>
        <w:tblCellMar>
          <w:top w:w="0" w:type="dxa"/>
          <w:left w:w="0" w:type="dxa"/>
          <w:bottom w:w="0" w:type="dxa"/>
          <w:right w:w="0" w:type="dxa"/>
        </w:tblCellMar>
        <w:tblLook w:val="01E0"/>
      </w:tblPr>
      <w:tblGrid>
        <w:gridCol w:w="2331"/>
        <w:gridCol w:w="946"/>
        <w:gridCol w:w="1042"/>
        <w:gridCol w:w="1133"/>
        <w:gridCol w:w="1160"/>
        <w:gridCol w:w="1166"/>
      </w:tblGrid>
      <w:tr>
        <w:trPr>
          <w:trHeight w:val="1181" w:hRule="exact"/>
        </w:trPr>
        <w:tc>
          <w:tcPr>
            <w:tcW w:w="233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24"/>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358" w:lineRule="exact" w:before="50"/>
              <w:ind w:left="124" w:right="123"/>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公司的持股 比例</w:t>
            </w:r>
            <w:r>
              <w:rPr>
                <w:rFonts w:ascii="Times New Roman" w:hAnsi="Times New Roman" w:cs="Times New Roman" w:eastAsia="Times New Roman" w:hint="default"/>
                <w:sz w:val="18"/>
                <w:szCs w:val="18"/>
              </w:rPr>
              <w:t>(%)</w:t>
            </w:r>
          </w:p>
        </w:tc>
        <w:tc>
          <w:tcPr>
            <w:tcW w:w="11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127" w:right="0"/>
              <w:jc w:val="left"/>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358" w:lineRule="exact" w:before="50"/>
              <w:ind w:left="172" w:right="13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公司的表决 权比例</w:t>
            </w:r>
            <w:r>
              <w:rPr>
                <w:rFonts w:ascii="Times New Roman" w:hAnsi="Times New Roman" w:cs="Times New Roman" w:eastAsia="Times New Roman" w:hint="default"/>
                <w:sz w:val="18"/>
                <w:szCs w:val="18"/>
              </w:rPr>
              <w:t>(%)</w:t>
            </w:r>
          </w:p>
        </w:tc>
      </w:tr>
      <w:tr>
        <w:trPr>
          <w:trHeight w:val="1181" w:hRule="exact"/>
        </w:trPr>
        <w:tc>
          <w:tcPr>
            <w:tcW w:w="23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364" w:lineRule="auto"/>
              <w:ind w:left="122" w:right="89"/>
              <w:jc w:val="left"/>
              <w:rPr>
                <w:rFonts w:ascii="宋体" w:hAnsi="宋体" w:cs="宋体" w:eastAsia="宋体" w:hint="default"/>
                <w:sz w:val="18"/>
                <w:szCs w:val="18"/>
              </w:rPr>
            </w:pPr>
            <w:r>
              <w:rPr>
                <w:rFonts w:ascii="宋体" w:hAnsi="宋体" w:cs="宋体" w:eastAsia="宋体" w:hint="default"/>
                <w:spacing w:val="12"/>
                <w:sz w:val="18"/>
                <w:szCs w:val="18"/>
              </w:rPr>
              <w:t>深圳市福德国有资本运营 </w:t>
            </w:r>
            <w:r>
              <w:rPr>
                <w:rFonts w:ascii="宋体" w:hAnsi="宋体" w:cs="宋体" w:eastAsia="宋体" w:hint="default"/>
                <w:sz w:val="18"/>
                <w:szCs w:val="18"/>
              </w:rPr>
              <w:t>有限公司</w:t>
            </w:r>
          </w:p>
        </w:tc>
        <w:tc>
          <w:tcPr>
            <w:tcW w:w="9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042" w:type="dxa"/>
            <w:tcBorders>
              <w:top w:val="dotted" w:sz="4" w:space="0" w:color="000000"/>
              <w:left w:val="dotted" w:sz="4" w:space="0" w:color="000000"/>
              <w:bottom w:val="single" w:sz="12" w:space="0" w:color="000000"/>
              <w:right w:val="dotted" w:sz="4" w:space="0" w:color="000000"/>
            </w:tcBorders>
          </w:tcPr>
          <w:p>
            <w:pPr>
              <w:pStyle w:val="TableParagraph"/>
              <w:spacing w:line="364" w:lineRule="auto" w:before="136"/>
              <w:ind w:left="156" w:right="154"/>
              <w:jc w:val="both"/>
              <w:rPr>
                <w:rFonts w:ascii="宋体" w:hAnsi="宋体" w:cs="宋体" w:eastAsia="宋体" w:hint="default"/>
                <w:sz w:val="18"/>
                <w:szCs w:val="18"/>
              </w:rPr>
            </w:pPr>
            <w:r>
              <w:rPr>
                <w:rFonts w:ascii="宋体" w:hAnsi="宋体" w:cs="宋体" w:eastAsia="宋体" w:hint="default"/>
                <w:sz w:val="18"/>
                <w:szCs w:val="18"/>
              </w:rPr>
              <w:t>代表国家 履行出资 人职责</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50,000.00</w:t>
            </w:r>
          </w:p>
        </w:tc>
        <w:tc>
          <w:tcPr>
            <w:tcW w:w="11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34.00</w:t>
            </w:r>
          </w:p>
        </w:tc>
        <w:tc>
          <w:tcPr>
            <w:tcW w:w="116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34.00</w:t>
            </w:r>
          </w:p>
        </w:tc>
      </w:tr>
    </w:tbl>
    <w:p>
      <w:pPr>
        <w:pStyle w:val="BodyText"/>
        <w:spacing w:line="240" w:lineRule="auto" w:before="93"/>
        <w:ind w:left="769" w:right="1675"/>
        <w:jc w:val="left"/>
      </w:pPr>
      <w:r>
        <w:rPr/>
        <w:t>本公司最终控制方是：深圳市人民政府国有资产监督管理委员会。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850" w:val="left" w:leader="none"/>
        </w:tabs>
        <w:spacing w:line="307" w:lineRule="auto" w:before="0"/>
        <w:ind w:left="850" w:right="2903"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本公司的合营和联营企业情况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本公司重要的合营或联营企业详见本附注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七、在其他主体中的权益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line="240" w:lineRule="auto" w:before="11"/>
        <w:rPr>
          <w:rFonts w:ascii="宋体" w:hAnsi="宋体" w:cs="宋体" w:eastAsia="宋体" w:hint="default"/>
          <w:sz w:val="28"/>
          <w:szCs w:val="28"/>
        </w:rPr>
      </w:pPr>
    </w:p>
    <w:p>
      <w:pPr>
        <w:pStyle w:val="Heading6"/>
        <w:tabs>
          <w:tab w:pos="850" w:val="left" w:leader="none"/>
        </w:tabs>
        <w:spacing w:line="240" w:lineRule="auto"/>
        <w:ind w:left="126" w:right="167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其他关联方情况</w:t>
      </w:r>
      <w:r>
        <w:rPr>
          <w:b w:val="0"/>
          <w:bCs w:val="0"/>
        </w:rPr>
      </w:r>
    </w:p>
    <w:tbl>
      <w:tblPr>
        <w:tblW w:w="0" w:type="auto"/>
        <w:jc w:val="left"/>
        <w:tblInd w:w="834" w:type="dxa"/>
        <w:tblLayout w:type="fixed"/>
        <w:tblCellMar>
          <w:top w:w="0" w:type="dxa"/>
          <w:left w:w="0" w:type="dxa"/>
          <w:bottom w:w="0" w:type="dxa"/>
          <w:right w:w="0" w:type="dxa"/>
        </w:tblCellMar>
        <w:tblLook w:val="01E0"/>
      </w:tblPr>
      <w:tblGrid>
        <w:gridCol w:w="4098"/>
        <w:gridCol w:w="3533"/>
      </w:tblGrid>
      <w:tr>
        <w:trPr>
          <w:trHeight w:val="458" w:hRule="exact"/>
        </w:trPr>
        <w:tc>
          <w:tcPr>
            <w:tcW w:w="40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5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天津市北辰区青光镇韩家墅村农工商联合公司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天津市北辰区青光镇韩家墅村村委委员会</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子公司股东之母公司</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深圳市海吉星互联网金融信息服务有限公司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r>
        <w:trPr>
          <w:trHeight w:val="452"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子公司其他投资单位</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长沙商业网点建设开发公司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61" w:hRule="exact"/>
        </w:trPr>
        <w:tc>
          <w:tcPr>
            <w:tcW w:w="40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35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center"/>
        <w:rPr>
          <w:rFonts w:ascii="宋体" w:hAnsi="宋体" w:cs="宋体" w:eastAsia="宋体" w:hint="default"/>
          <w:sz w:val="18"/>
          <w:szCs w:val="18"/>
        </w:rPr>
        <w:sectPr>
          <w:pgSz w:w="11910" w:h="16840"/>
          <w:pgMar w:header="774" w:footer="996" w:top="1000" w:bottom="1180" w:left="1660" w:right="0"/>
        </w:sectPr>
      </w:pPr>
    </w:p>
    <w:p>
      <w:pPr>
        <w:spacing w:line="240" w:lineRule="auto" w:before="9"/>
        <w:rPr>
          <w:rFonts w:ascii="Microsoft JhengHei" w:hAnsi="Microsoft JhengHei" w:cs="Microsoft JhengHei" w:eastAsia="Microsoft JhengHei" w:hint="default"/>
          <w:b/>
          <w:bCs/>
          <w:sz w:val="24"/>
          <w:szCs w:val="24"/>
        </w:rPr>
      </w:pPr>
    </w:p>
    <w:tbl>
      <w:tblPr>
        <w:tblW w:w="0" w:type="auto"/>
        <w:jc w:val="left"/>
        <w:tblInd w:w="834" w:type="dxa"/>
        <w:tblLayout w:type="fixed"/>
        <w:tblCellMar>
          <w:top w:w="0" w:type="dxa"/>
          <w:left w:w="0" w:type="dxa"/>
          <w:bottom w:w="0" w:type="dxa"/>
          <w:right w:w="0" w:type="dxa"/>
        </w:tblCellMar>
        <w:tblLook w:val="01E0"/>
      </w:tblPr>
      <w:tblGrid>
        <w:gridCol w:w="4098"/>
        <w:gridCol w:w="3533"/>
      </w:tblGrid>
      <w:tr>
        <w:trPr>
          <w:trHeight w:val="461" w:hRule="exact"/>
        </w:trPr>
        <w:tc>
          <w:tcPr>
            <w:tcW w:w="40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9"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5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3"/>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49"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r>
        <w:trPr>
          <w:trHeight w:val="451" w:hRule="exact"/>
        </w:trPr>
        <w:tc>
          <w:tcPr>
            <w:tcW w:w="4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35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r>
        <w:trPr>
          <w:trHeight w:val="461" w:hRule="exact"/>
        </w:trPr>
        <w:tc>
          <w:tcPr>
            <w:tcW w:w="40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深圳市光明海吉星农产品产业发展有限公司</w:t>
            </w:r>
          </w:p>
        </w:tc>
        <w:tc>
          <w:tcPr>
            <w:tcW w:w="35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bl>
    <w:p>
      <w:pPr>
        <w:spacing w:line="240" w:lineRule="auto" w:before="6"/>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关联交易情况</w:t>
      </w:r>
      <w:r>
        <w:rPr>
          <w:b w:val="0"/>
          <w:bCs w:val="0"/>
        </w:rPr>
      </w:r>
    </w:p>
    <w:p>
      <w:pPr>
        <w:tabs>
          <w:tab w:pos="1397" w:val="left" w:leader="none"/>
        </w:tabs>
        <w:spacing w:line="307" w:lineRule="auto" w:before="33"/>
        <w:ind w:left="1414" w:right="5260" w:hanging="569"/>
        <w:jc w:val="left"/>
        <w:rPr>
          <w:rFonts w:ascii="宋体" w:hAnsi="宋体" w:cs="宋体" w:eastAsia="宋体" w:hint="default"/>
          <w:sz w:val="21"/>
          <w:szCs w:val="21"/>
        </w:rPr>
      </w:pPr>
      <w:r>
        <w:rPr/>
        <w:pict>
          <v:shape style="position:absolute;margin-left:121.459999pt;margin-top:40.414413pt;width:391.05pt;height:290.4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5"/>
                    <w:gridCol w:w="1966"/>
                    <w:gridCol w:w="1277"/>
                    <w:gridCol w:w="1330"/>
                  </w:tblGrid>
                  <w:tr>
                    <w:trPr>
                      <w:trHeight w:val="458" w:hRule="exact"/>
                    </w:trPr>
                    <w:tc>
                      <w:tcPr>
                        <w:tcW w:w="32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2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检测服务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14,339,354.68</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15,835,263.39</w:t>
                        </w:r>
                      </w:p>
                    </w:tc>
                  </w:tr>
                  <w:tr>
                    <w:trPr>
                      <w:trHeight w:val="809"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pacing w:val="5"/>
                            <w:sz w:val="18"/>
                            <w:szCs w:val="18"/>
                          </w:rPr>
                          <w:t>深圳市海吉星互联网金融信息服务有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277"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8"/>
                          <w:jc w:val="right"/>
                          <w:rPr>
                            <w:rFonts w:ascii="Times New Roman" w:hAnsi="Times New Roman" w:cs="Times New Roman" w:eastAsia="Times New Roman" w:hint="default"/>
                            <w:sz w:val="18"/>
                            <w:szCs w:val="18"/>
                          </w:rPr>
                        </w:pPr>
                        <w:r>
                          <w:rPr>
                            <w:rFonts w:ascii="Times New Roman"/>
                            <w:spacing w:val="-1"/>
                            <w:sz w:val="18"/>
                          </w:rPr>
                          <w:t>536,000.00</w:t>
                        </w:r>
                      </w:p>
                    </w:tc>
                  </w:tr>
                  <w:tr>
                    <w:trPr>
                      <w:trHeight w:val="452"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100" w:right="0"/>
                          <w:jc w:val="left"/>
                          <w:rPr>
                            <w:rFonts w:ascii="宋体" w:hAnsi="宋体" w:cs="宋体" w:eastAsia="宋体" w:hint="default"/>
                            <w:sz w:val="18"/>
                            <w:szCs w:val="18"/>
                          </w:rPr>
                        </w:pPr>
                        <w:r>
                          <w:rPr>
                            <w:rFonts w:ascii="宋体" w:hAnsi="宋体" w:cs="宋体" w:eastAsia="宋体" w:hint="default"/>
                            <w:sz w:val="18"/>
                            <w:szCs w:val="18"/>
                          </w:rPr>
                          <w:t>污水处理费</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1,797,622.82</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1,788,679.44</w:t>
                        </w:r>
                      </w:p>
                    </w:tc>
                  </w:tr>
                  <w:tr>
                    <w:trPr>
                      <w:trHeight w:val="449"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采购蔬菜</w:t>
                        </w:r>
                      </w:p>
                    </w:tc>
                    <w:tc>
                      <w:tcPr>
                        <w:tcW w:w="1277"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42,488.00</w:t>
                        </w:r>
                      </w:p>
                    </w:tc>
                  </w:tr>
                  <w:tr>
                    <w:trPr>
                      <w:trHeight w:val="451"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数据服务费</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3,364,179.08</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2,959,275.55</w:t>
                        </w:r>
                      </w:p>
                    </w:tc>
                  </w:tr>
                  <w:tr>
                    <w:trPr>
                      <w:trHeight w:val="449"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网站开发改版费用</w:t>
                        </w:r>
                      </w:p>
                    </w:tc>
                    <w:tc>
                      <w:tcPr>
                        <w:tcW w:w="1277"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2"/>
                            <w:sz w:val="18"/>
                          </w:rPr>
                          <w:t>169,811.32</w:t>
                        </w:r>
                      </w:p>
                    </w:tc>
                  </w:tr>
                  <w:tr>
                    <w:trPr>
                      <w:trHeight w:val="451"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深圳市中农易迅信息技术有限公司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软件工程项目</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116,980.35</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1,102,304.92</w:t>
                        </w:r>
                      </w:p>
                    </w:tc>
                  </w:tr>
                  <w:tr>
                    <w:trPr>
                      <w:trHeight w:val="449"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深圳市中农易迅信息技术有限公司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短信发送服务费</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20,578.16</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10,857.73</w:t>
                        </w:r>
                      </w:p>
                    </w:tc>
                  </w:tr>
                  <w:tr>
                    <w:trPr>
                      <w:trHeight w:val="452"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深圳市中农易迅信息技术有限公司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100" w:right="0"/>
                          <w:jc w:val="left"/>
                          <w:rPr>
                            <w:rFonts w:ascii="宋体" w:hAnsi="宋体" w:cs="宋体" w:eastAsia="宋体" w:hint="default"/>
                            <w:sz w:val="18"/>
                            <w:szCs w:val="18"/>
                          </w:rPr>
                        </w:pPr>
                        <w:r>
                          <w:rPr>
                            <w:rFonts w:ascii="宋体" w:hAnsi="宋体" w:cs="宋体" w:eastAsia="宋体" w:hint="default"/>
                            <w:sz w:val="18"/>
                            <w:szCs w:val="18"/>
                          </w:rPr>
                          <w:t>信息一体化服务费</w:t>
                        </w:r>
                      </w:p>
                    </w:tc>
                    <w:tc>
                      <w:tcPr>
                        <w:tcW w:w="1277"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460,000.00</w:t>
                        </w:r>
                      </w:p>
                    </w:tc>
                  </w:tr>
                  <w:tr>
                    <w:trPr>
                      <w:trHeight w:val="449" w:hRule="exact"/>
                    </w:trPr>
                    <w:tc>
                      <w:tcPr>
                        <w:tcW w:w="32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深圳市中农易迅信息技术有限公司</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智能化系统服务费</w:t>
                        </w:r>
                      </w:p>
                    </w:tc>
                    <w:tc>
                      <w:tcPr>
                        <w:tcW w:w="1277"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1,102,304.92</w:t>
                        </w:r>
                      </w:p>
                    </w:tc>
                  </w:tr>
                  <w:tr>
                    <w:trPr>
                      <w:trHeight w:val="461" w:hRule="exact"/>
                    </w:trPr>
                    <w:tc>
                      <w:tcPr>
                        <w:tcW w:w="32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19,638,715.09</w:t>
                        </w:r>
                      </w:p>
                    </w:tc>
                    <w:tc>
                      <w:tcPr>
                        <w:tcW w:w="13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24,006,985.27</w:t>
                        </w:r>
                      </w:p>
                    </w:tc>
                  </w:tr>
                </w:tbl>
                <w:p>
                  <w:pPr/>
                </w:p>
              </w:txbxContent>
            </v:textbox>
            <w10:wrap type="none"/>
          </v:shape>
        </w:pic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购销商品、提供和接受劳务的关联交易</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675"/>
        <w:jc w:val="left"/>
      </w:pPr>
      <w:r>
        <w:rPr/>
        <w:t>出售商品</w:t>
      </w:r>
      <w:r>
        <w:rPr>
          <w:rFonts w:ascii="Times New Roman" w:hAnsi="Times New Roman" w:cs="Times New Roman" w:eastAsia="Times New Roman" w:hint="default"/>
        </w:rPr>
        <w:t>/</w:t>
      </w:r>
      <w:r>
        <w:rPr/>
        <w:t>提供劳务情况表</w:t>
      </w:r>
    </w:p>
    <w:tbl>
      <w:tblPr>
        <w:tblW w:w="0" w:type="auto"/>
        <w:jc w:val="left"/>
        <w:tblInd w:w="769" w:type="dxa"/>
        <w:tblLayout w:type="fixed"/>
        <w:tblCellMar>
          <w:top w:w="0" w:type="dxa"/>
          <w:left w:w="0" w:type="dxa"/>
          <w:bottom w:w="0" w:type="dxa"/>
          <w:right w:w="0" w:type="dxa"/>
        </w:tblCellMar>
        <w:tblLook w:val="01E0"/>
      </w:tblPr>
      <w:tblGrid>
        <w:gridCol w:w="3769"/>
        <w:gridCol w:w="1407"/>
        <w:gridCol w:w="1273"/>
        <w:gridCol w:w="1330"/>
      </w:tblGrid>
      <w:tr>
        <w:trPr>
          <w:trHeight w:val="461" w:hRule="exact"/>
        </w:trPr>
        <w:tc>
          <w:tcPr>
            <w:tcW w:w="37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5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2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7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承包金</w:t>
            </w:r>
          </w:p>
        </w:tc>
        <w:tc>
          <w:tcPr>
            <w:tcW w:w="1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2,889,475.62</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3,809,523.76</w:t>
            </w:r>
          </w:p>
        </w:tc>
      </w:tr>
      <w:tr>
        <w:trPr>
          <w:trHeight w:val="452" w:hRule="exact"/>
        </w:trPr>
        <w:tc>
          <w:tcPr>
            <w:tcW w:w="37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273"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373.79</w:t>
            </w:r>
          </w:p>
        </w:tc>
      </w:tr>
      <w:tr>
        <w:trPr>
          <w:trHeight w:val="449" w:hRule="exact"/>
        </w:trPr>
        <w:tc>
          <w:tcPr>
            <w:tcW w:w="37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信息采集服务</w:t>
            </w:r>
          </w:p>
        </w:tc>
        <w:tc>
          <w:tcPr>
            <w:tcW w:w="1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5,660.40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5,660.40</w:t>
            </w:r>
          </w:p>
        </w:tc>
      </w:tr>
      <w:tr>
        <w:trPr>
          <w:trHeight w:val="451" w:hRule="exact"/>
        </w:trPr>
        <w:tc>
          <w:tcPr>
            <w:tcW w:w="37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桂林海吉星农产品集团有限公司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84,905.66</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84,905.66</w:t>
            </w:r>
          </w:p>
        </w:tc>
      </w:tr>
      <w:tr>
        <w:trPr>
          <w:trHeight w:val="461" w:hRule="exact"/>
        </w:trPr>
        <w:tc>
          <w:tcPr>
            <w:tcW w:w="37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273" w:type="dxa"/>
            <w:tcBorders>
              <w:top w:val="dotted" w:sz="4" w:space="0" w:color="000000"/>
              <w:left w:val="dotted" w:sz="4" w:space="0" w:color="000000"/>
              <w:bottom w:val="single" w:sz="12" w:space="0" w:color="000000"/>
              <w:right w:val="dotted" w:sz="4" w:space="0" w:color="000000"/>
            </w:tcBorders>
          </w:tcPr>
          <w:p>
            <w:pPr/>
          </w:p>
        </w:tc>
        <w:tc>
          <w:tcPr>
            <w:tcW w:w="13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117,924.53</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3769"/>
        <w:gridCol w:w="1407"/>
        <w:gridCol w:w="1273"/>
        <w:gridCol w:w="1330"/>
      </w:tblGrid>
      <w:tr>
        <w:trPr>
          <w:trHeight w:val="461" w:hRule="exact"/>
        </w:trPr>
        <w:tc>
          <w:tcPr>
            <w:tcW w:w="37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15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2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37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深圳市光明海吉星农产品产业发展有限公司</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273"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339,622.64</w:t>
            </w:r>
          </w:p>
        </w:tc>
      </w:tr>
      <w:tr>
        <w:trPr>
          <w:trHeight w:val="461" w:hRule="exact"/>
        </w:trPr>
        <w:tc>
          <w:tcPr>
            <w:tcW w:w="37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0"/>
              <w:ind w:left="1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07" w:type="dxa"/>
            <w:tcBorders>
              <w:top w:val="dotted" w:sz="4" w:space="0" w:color="000000"/>
              <w:left w:val="dotted" w:sz="4" w:space="0" w:color="000000"/>
              <w:bottom w:val="single" w:sz="12" w:space="0" w:color="000000"/>
              <w:right w:val="dotted" w:sz="4" w:space="0" w:color="000000"/>
            </w:tcBorders>
          </w:tcPr>
          <w:p>
            <w:pPr/>
          </w:p>
        </w:tc>
        <w:tc>
          <w:tcPr>
            <w:tcW w:w="12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2,980,041.68</w:t>
            </w:r>
          </w:p>
        </w:tc>
        <w:tc>
          <w:tcPr>
            <w:tcW w:w="13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4,358,010.78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关联租赁情况</w:t>
      </w:r>
      <w:r>
        <w:rPr>
          <w:b w:val="0"/>
          <w:bCs w:val="0"/>
        </w:rPr>
      </w:r>
    </w:p>
    <w:p>
      <w:pPr>
        <w:pStyle w:val="BodyText"/>
        <w:spacing w:line="240" w:lineRule="auto" w:before="102"/>
        <w:ind w:right="1675"/>
        <w:jc w:val="left"/>
      </w:pPr>
      <w:r>
        <w:rPr/>
        <w:t>本公司作为出租方：</w:t>
      </w:r>
    </w:p>
    <w:p>
      <w:pPr>
        <w:spacing w:line="240" w:lineRule="auto" w:before="4"/>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3567"/>
        <w:gridCol w:w="1479"/>
        <w:gridCol w:w="1407"/>
        <w:gridCol w:w="1325"/>
      </w:tblGrid>
      <w:tr>
        <w:trPr>
          <w:trHeight w:val="821" w:hRule="exact"/>
        </w:trPr>
        <w:tc>
          <w:tcPr>
            <w:tcW w:w="35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承租资产种类</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367" w:lineRule="auto" w:before="137"/>
              <w:ind w:left="427" w:right="159" w:hanging="272"/>
              <w:jc w:val="left"/>
              <w:rPr>
                <w:rFonts w:ascii="宋体" w:hAnsi="宋体" w:cs="宋体" w:eastAsia="宋体" w:hint="default"/>
                <w:sz w:val="18"/>
                <w:szCs w:val="18"/>
              </w:rPr>
            </w:pPr>
            <w:r>
              <w:rPr>
                <w:rFonts w:ascii="宋体" w:hAnsi="宋体" w:cs="宋体" w:eastAsia="宋体" w:hint="default"/>
                <w:sz w:val="18"/>
                <w:szCs w:val="18"/>
              </w:rPr>
              <w:t>本期确认的租 赁收入</w:t>
            </w:r>
          </w:p>
        </w:tc>
        <w:tc>
          <w:tcPr>
            <w:tcW w:w="1325" w:type="dxa"/>
            <w:tcBorders>
              <w:top w:val="single" w:sz="12" w:space="0" w:color="000000"/>
              <w:left w:val="dotted" w:sz="4" w:space="0" w:color="000000"/>
              <w:bottom w:val="dotted" w:sz="4" w:space="0" w:color="000000"/>
              <w:right w:val="nil" w:sz="6" w:space="0" w:color="auto"/>
            </w:tcBorders>
          </w:tcPr>
          <w:p>
            <w:pPr>
              <w:pStyle w:val="TableParagraph"/>
              <w:spacing w:line="367" w:lineRule="auto" w:before="137"/>
              <w:ind w:left="383" w:right="122" w:hanging="269"/>
              <w:jc w:val="left"/>
              <w:rPr>
                <w:rFonts w:ascii="宋体" w:hAnsi="宋体" w:cs="宋体" w:eastAsia="宋体" w:hint="default"/>
                <w:sz w:val="18"/>
                <w:szCs w:val="18"/>
              </w:rPr>
            </w:pPr>
            <w:r>
              <w:rPr>
                <w:rFonts w:ascii="宋体" w:hAnsi="宋体" w:cs="宋体" w:eastAsia="宋体" w:hint="default"/>
                <w:sz w:val="18"/>
                <w:szCs w:val="18"/>
              </w:rPr>
              <w:t>上期确认的租 赁收入</w:t>
            </w:r>
          </w:p>
        </w:tc>
      </w:tr>
      <w:tr>
        <w:trPr>
          <w:trHeight w:val="451"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市场档位、宿舍</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599,197.38</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430,153.35</w:t>
            </w:r>
          </w:p>
        </w:tc>
      </w:tr>
      <w:tr>
        <w:trPr>
          <w:trHeight w:val="449"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84,411.88</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w w:val="95"/>
                <w:sz w:val="18"/>
              </w:rPr>
              <w:t>84,411.88</w:t>
            </w:r>
          </w:p>
        </w:tc>
      </w:tr>
      <w:tr>
        <w:trPr>
          <w:trHeight w:val="451"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南昌市深农冷链物流有限公司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557,145.54</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505,347.42</w:t>
            </w:r>
          </w:p>
        </w:tc>
      </w:tr>
      <w:tr>
        <w:trPr>
          <w:trHeight w:val="449"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4,997,737.20</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4,839,078.16</w:t>
            </w:r>
          </w:p>
        </w:tc>
      </w:tr>
      <w:tr>
        <w:trPr>
          <w:trHeight w:val="451"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深圳市中央大厨房物流配送有限公司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厂房、宿舍</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6,058,822.38</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4,389,028.62</w:t>
            </w:r>
          </w:p>
        </w:tc>
      </w:tr>
      <w:tr>
        <w:trPr>
          <w:trHeight w:val="449"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深圳市海吉星环保有限公司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744,692.72</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29,465.10</w:t>
            </w:r>
          </w:p>
        </w:tc>
      </w:tr>
      <w:tr>
        <w:trPr>
          <w:trHeight w:val="451"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1,412,363.50</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1,836,141.71</w:t>
            </w:r>
          </w:p>
        </w:tc>
      </w:tr>
      <w:tr>
        <w:trPr>
          <w:trHeight w:val="809"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8"/>
              <w:jc w:val="left"/>
              <w:rPr>
                <w:rFonts w:ascii="宋体" w:hAnsi="宋体" w:cs="宋体" w:eastAsia="宋体" w:hint="default"/>
                <w:sz w:val="18"/>
                <w:szCs w:val="18"/>
              </w:rPr>
            </w:pPr>
            <w:r>
              <w:rPr>
                <w:rFonts w:ascii="宋体" w:hAnsi="宋体" w:cs="宋体" w:eastAsia="宋体" w:hint="default"/>
                <w:spacing w:val="4"/>
                <w:sz w:val="18"/>
                <w:szCs w:val="18"/>
              </w:rPr>
              <w:t>深圳市海吉星互联网金融信息服务有限公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706,400.24</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369,624.48</w:t>
            </w:r>
          </w:p>
        </w:tc>
      </w:tr>
      <w:tr>
        <w:trPr>
          <w:trHeight w:val="451"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258,000.64</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69,658.56</w:t>
            </w:r>
          </w:p>
        </w:tc>
      </w:tr>
      <w:tr>
        <w:trPr>
          <w:trHeight w:val="449"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办公场所、宿舍</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2,345,788.79</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3,057,711.35</w:t>
            </w:r>
          </w:p>
        </w:tc>
      </w:tr>
      <w:tr>
        <w:trPr>
          <w:trHeight w:val="811"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pacing w:val="4"/>
                <w:sz w:val="18"/>
                <w:szCs w:val="18"/>
              </w:rPr>
              <w:t>广西海吉星冻品市场管理有限公司深圳分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841,265.28</w:t>
            </w:r>
          </w:p>
        </w:tc>
      </w:tr>
      <w:tr>
        <w:trPr>
          <w:trHeight w:val="449"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深圳市嘉恒农业科技发展有限公司</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市场经营场所</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310,304.40</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227,698.47</w:t>
            </w:r>
          </w:p>
        </w:tc>
      </w:tr>
      <w:tr>
        <w:trPr>
          <w:trHeight w:val="461" w:hRule="exact"/>
        </w:trPr>
        <w:tc>
          <w:tcPr>
            <w:tcW w:w="35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dotted" w:sz="4" w:space="0" w:color="000000"/>
              <w:left w:val="dotted" w:sz="4" w:space="0" w:color="000000"/>
              <w:bottom w:val="single" w:sz="12" w:space="0" w:color="000000"/>
              <w:right w:val="dotted" w:sz="4" w:space="0" w:color="000000"/>
            </w:tcBorders>
          </w:tcPr>
          <w:p>
            <w:pP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18,074,864.67</w:t>
            </w:r>
          </w:p>
        </w:tc>
        <w:tc>
          <w:tcPr>
            <w:tcW w:w="13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16,679,584.38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675"/>
        <w:jc w:val="left"/>
      </w:pPr>
      <w:r>
        <w:rPr/>
        <w:t>本公司作为承租方：</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3346"/>
        <w:gridCol w:w="1688"/>
        <w:gridCol w:w="1414"/>
        <w:gridCol w:w="1330"/>
      </w:tblGrid>
      <w:tr>
        <w:trPr>
          <w:trHeight w:val="859" w:hRule="exact"/>
        </w:trPr>
        <w:tc>
          <w:tcPr>
            <w:tcW w:w="33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6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27"/>
              <w:ind w:left="343" w:right="339"/>
              <w:jc w:val="left"/>
              <w:rPr>
                <w:rFonts w:ascii="宋体" w:hAnsi="宋体" w:cs="宋体" w:eastAsia="宋体" w:hint="default"/>
                <w:sz w:val="18"/>
                <w:szCs w:val="18"/>
              </w:rPr>
            </w:pPr>
            <w:r>
              <w:rPr>
                <w:rFonts w:ascii="宋体" w:hAnsi="宋体" w:cs="宋体" w:eastAsia="宋体" w:hint="default"/>
                <w:sz w:val="18"/>
                <w:szCs w:val="18"/>
              </w:rPr>
              <w:t>本期确认 的租赁费</w:t>
            </w:r>
          </w:p>
        </w:tc>
        <w:tc>
          <w:tcPr>
            <w:tcW w:w="1330" w:type="dxa"/>
            <w:tcBorders>
              <w:top w:val="single" w:sz="12" w:space="0" w:color="000000"/>
              <w:left w:val="dotted" w:sz="4" w:space="0" w:color="000000"/>
              <w:bottom w:val="dotted" w:sz="4" w:space="0" w:color="000000"/>
              <w:right w:val="nil" w:sz="6" w:space="0" w:color="auto"/>
            </w:tcBorders>
          </w:tcPr>
          <w:p>
            <w:pPr>
              <w:pStyle w:val="TableParagraph"/>
              <w:spacing w:line="398" w:lineRule="exact" w:before="27"/>
              <w:ind w:left="297" w:right="305"/>
              <w:jc w:val="left"/>
              <w:rPr>
                <w:rFonts w:ascii="宋体" w:hAnsi="宋体" w:cs="宋体" w:eastAsia="宋体" w:hint="default"/>
                <w:sz w:val="18"/>
                <w:szCs w:val="18"/>
              </w:rPr>
            </w:pPr>
            <w:r>
              <w:rPr>
                <w:rFonts w:ascii="宋体" w:hAnsi="宋体" w:cs="宋体" w:eastAsia="宋体" w:hint="default"/>
                <w:sz w:val="18"/>
                <w:szCs w:val="18"/>
              </w:rPr>
              <w:t>上期确认 的租赁费</w:t>
            </w:r>
          </w:p>
        </w:tc>
      </w:tr>
      <w:tr>
        <w:trPr>
          <w:trHeight w:val="452"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临时车板位</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115,285.71</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90,180.00</w:t>
            </w:r>
          </w:p>
        </w:tc>
      </w:tr>
      <w:tr>
        <w:trPr>
          <w:trHeight w:val="449"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c>
          <w:tcPr>
            <w:tcW w:w="1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市场经营场所</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799,500.00</w:t>
            </w: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795,500.00</w:t>
            </w:r>
          </w:p>
        </w:tc>
      </w:tr>
      <w:tr>
        <w:trPr>
          <w:trHeight w:val="811"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7"/>
              <w:jc w:val="left"/>
              <w:rPr>
                <w:rFonts w:ascii="宋体" w:hAnsi="宋体" w:cs="宋体" w:eastAsia="宋体" w:hint="default"/>
                <w:sz w:val="18"/>
                <w:szCs w:val="18"/>
              </w:rPr>
            </w:pPr>
            <w:r>
              <w:rPr>
                <w:rFonts w:ascii="宋体" w:hAnsi="宋体" w:cs="宋体" w:eastAsia="宋体" w:hint="default"/>
                <w:spacing w:val="2"/>
                <w:sz w:val="18"/>
                <w:szCs w:val="18"/>
              </w:rPr>
              <w:t>天津市北辰区青光镇韩家墅村农工商联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合公司</w:t>
            </w:r>
          </w:p>
        </w:tc>
        <w:tc>
          <w:tcPr>
            <w:tcW w:w="1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市场经营场所</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3,750,108.37</w:t>
            </w:r>
          </w:p>
        </w:tc>
        <w:tc>
          <w:tcPr>
            <w:tcW w:w="133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3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dotted" w:sz="4" w:space="0" w:color="000000"/>
              <w:left w:val="dotted" w:sz="4" w:space="0" w:color="000000"/>
              <w:bottom w:val="single" w:sz="12" w:space="0" w:color="000000"/>
              <w:right w:val="dotted" w:sz="4" w:space="0" w:color="000000"/>
            </w:tcBorders>
          </w:tcPr>
          <w:p>
            <w:pP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4,664,894.08</w:t>
            </w:r>
          </w:p>
        </w:tc>
        <w:tc>
          <w:tcPr>
            <w:tcW w:w="13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885,680.00</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关联担保情况</w:t>
      </w:r>
      <w:r>
        <w:rPr>
          <w:b w:val="0"/>
          <w:bCs w:val="0"/>
        </w:rPr>
      </w:r>
    </w:p>
    <w:p>
      <w:pPr>
        <w:pStyle w:val="BodyText"/>
        <w:spacing w:line="240" w:lineRule="auto" w:before="99"/>
        <w:ind w:right="1675"/>
        <w:jc w:val="left"/>
      </w:pPr>
      <w:r>
        <w:rPr/>
        <w:t>本公司作为担保方：</w:t>
      </w:r>
    </w:p>
    <w:p>
      <w:pPr>
        <w:spacing w:line="240" w:lineRule="auto" w:before="7"/>
        <w:rPr>
          <w:rFonts w:ascii="宋体" w:hAnsi="宋体" w:cs="宋体" w:eastAsia="宋体" w:hint="default"/>
          <w:sz w:val="2"/>
          <w:szCs w:val="2"/>
        </w:rPr>
      </w:pPr>
    </w:p>
    <w:tbl>
      <w:tblPr>
        <w:tblW w:w="0" w:type="auto"/>
        <w:jc w:val="left"/>
        <w:tblInd w:w="783" w:type="dxa"/>
        <w:tblLayout w:type="fixed"/>
        <w:tblCellMar>
          <w:top w:w="0" w:type="dxa"/>
          <w:left w:w="0" w:type="dxa"/>
          <w:bottom w:w="0" w:type="dxa"/>
          <w:right w:w="0" w:type="dxa"/>
        </w:tblCellMar>
        <w:tblLook w:val="01E0"/>
      </w:tblPr>
      <w:tblGrid>
        <w:gridCol w:w="3202"/>
        <w:gridCol w:w="1268"/>
        <w:gridCol w:w="1128"/>
        <w:gridCol w:w="1129"/>
        <w:gridCol w:w="1037"/>
      </w:tblGrid>
      <w:tr>
        <w:trPr>
          <w:trHeight w:val="821" w:hRule="exact"/>
        </w:trPr>
        <w:tc>
          <w:tcPr>
            <w:tcW w:w="320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4" w:right="0"/>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1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07"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11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right="156"/>
              <w:jc w:val="right"/>
              <w:rPr>
                <w:rFonts w:ascii="宋体" w:hAnsi="宋体" w:cs="宋体" w:eastAsia="宋体" w:hint="default"/>
                <w:sz w:val="16"/>
                <w:szCs w:val="16"/>
              </w:rPr>
            </w:pPr>
            <w:r>
              <w:rPr>
                <w:rFonts w:ascii="宋体" w:hAnsi="宋体" w:cs="宋体" w:eastAsia="宋体" w:hint="default"/>
                <w:spacing w:val="-1"/>
                <w:sz w:val="16"/>
                <w:szCs w:val="16"/>
              </w:rPr>
              <w:t>担保起始日</w:t>
            </w:r>
          </w:p>
        </w:tc>
        <w:tc>
          <w:tcPr>
            <w:tcW w:w="1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right="157"/>
              <w:jc w:val="right"/>
              <w:rPr>
                <w:rFonts w:ascii="宋体" w:hAnsi="宋体" w:cs="宋体" w:eastAsia="宋体" w:hint="default"/>
                <w:sz w:val="16"/>
                <w:szCs w:val="16"/>
              </w:rPr>
            </w:pPr>
            <w:r>
              <w:rPr>
                <w:rFonts w:ascii="宋体" w:hAnsi="宋体" w:cs="宋体" w:eastAsia="宋体" w:hint="default"/>
                <w:spacing w:val="-1"/>
                <w:sz w:val="16"/>
                <w:szCs w:val="16"/>
              </w:rPr>
              <w:t>担保到期日</w:t>
            </w:r>
          </w:p>
        </w:tc>
        <w:tc>
          <w:tcPr>
            <w:tcW w:w="1037" w:type="dxa"/>
            <w:tcBorders>
              <w:top w:val="single" w:sz="12" w:space="0" w:color="000000"/>
              <w:left w:val="dotted" w:sz="4" w:space="0" w:color="000000"/>
              <w:bottom w:val="dotted" w:sz="4" w:space="0" w:color="000000"/>
              <w:right w:val="nil" w:sz="6" w:space="0" w:color="auto"/>
            </w:tcBorders>
          </w:tcPr>
          <w:p>
            <w:pPr>
              <w:pStyle w:val="TableParagraph"/>
              <w:spacing w:line="350" w:lineRule="atLeast" w:before="27"/>
              <w:ind w:left="112" w:right="115"/>
              <w:jc w:val="left"/>
              <w:rPr>
                <w:rFonts w:ascii="宋体" w:hAnsi="宋体" w:cs="宋体" w:eastAsia="宋体" w:hint="default"/>
                <w:sz w:val="16"/>
                <w:szCs w:val="16"/>
              </w:rPr>
            </w:pPr>
            <w:r>
              <w:rPr>
                <w:rFonts w:ascii="宋体" w:hAnsi="宋体" w:cs="宋体" w:eastAsia="宋体" w:hint="default"/>
                <w:sz w:val="16"/>
                <w:szCs w:val="16"/>
              </w:rPr>
              <w:t>担保是否已</w:t>
            </w:r>
            <w:r>
              <w:rPr>
                <w:rFonts w:ascii="宋体" w:hAnsi="宋体" w:cs="宋体" w:eastAsia="宋体" w:hint="default"/>
                <w:w w:val="100"/>
                <w:sz w:val="16"/>
                <w:szCs w:val="16"/>
              </w:rPr>
              <w:t> </w:t>
            </w:r>
            <w:r>
              <w:rPr>
                <w:rFonts w:ascii="宋体" w:hAnsi="宋体" w:cs="宋体" w:eastAsia="宋体" w:hint="default"/>
                <w:sz w:val="16"/>
                <w:szCs w:val="16"/>
              </w:rPr>
              <w:t>经履行完毕</w:t>
            </w:r>
          </w:p>
        </w:tc>
      </w:tr>
      <w:tr>
        <w:trPr>
          <w:trHeight w:val="449" w:hRule="exact"/>
        </w:trPr>
        <w:tc>
          <w:tcPr>
            <w:tcW w:w="3202"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0" w:right="0"/>
              <w:jc w:val="left"/>
              <w:rPr>
                <w:rFonts w:ascii="宋体" w:hAnsi="宋体" w:cs="宋体" w:eastAsia="宋体" w:hint="default"/>
                <w:sz w:val="16"/>
                <w:szCs w:val="16"/>
              </w:rPr>
            </w:pPr>
            <w:r>
              <w:rPr>
                <w:rFonts w:ascii="宋体" w:hAnsi="宋体" w:cs="宋体" w:eastAsia="宋体" w:hint="default"/>
                <w:sz w:val="16"/>
                <w:szCs w:val="16"/>
              </w:rPr>
              <w:t>武汉城市圈海吉星农产品物流有限公司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9,020,000.00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2018.07.31</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2019.01.30</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4,628,900.00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2018.07.31</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2019.01.30</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16,141,700.00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2018.07.31</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2019.01.30</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20,229,400.00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2018.07.31</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2019.01.30</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59,778,000.00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2015.08.17</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2020.08.17</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10,775,300.00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2015.09.07</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18,398,600.00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2015.09.22</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18,764,445.00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2015.10.23</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13,341,676.00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2015.11.27</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2"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19,785,000.00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2016.01.30</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15,439,917.00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2016.09.27</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4,354,662.00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2016.11.16</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6,400,000.00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2017.01.26</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4,575,000.00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2017.03.01</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5,665,000.00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2017.03.10</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2"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4,875,000.00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2017.06.08</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2,425,000.00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2017.09.08</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2,225,000.00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2017.09.12</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2,447,500.00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2017.09.15</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2,449,350.00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2017.09.19</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4,006,700.00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2018.01.10</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2025.07.12</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0" w:right="0"/>
              <w:jc w:val="left"/>
              <w:rPr>
                <w:rFonts w:ascii="宋体" w:hAnsi="宋体" w:cs="宋体" w:eastAsia="宋体" w:hint="default"/>
                <w:sz w:val="16"/>
                <w:szCs w:val="16"/>
              </w:rPr>
            </w:pPr>
            <w:r>
              <w:rPr>
                <w:rFonts w:ascii="宋体" w:hAnsi="宋体" w:cs="宋体" w:eastAsia="宋体" w:hint="default"/>
                <w:sz w:val="16"/>
                <w:szCs w:val="16"/>
              </w:rPr>
              <w:t>南昌深农冷链物流有限公司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28,720,000.00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2016-2-5</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14,360,000.00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2016-3-31</w:t>
            </w:r>
            <w:r>
              <w:rPr>
                <w:rFonts w:ascii="Times New Roman"/>
                <w:sz w:val="16"/>
              </w:rPr>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14,360,000.00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2016-6-22</w:t>
            </w:r>
            <w:r>
              <w:rPr>
                <w:rFonts w:ascii="Times New Roman"/>
                <w:sz w:val="16"/>
              </w:rPr>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tcBorders>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11,750,000.00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2016-8-23</w:t>
            </w:r>
            <w:r>
              <w:rPr>
                <w:rFonts w:ascii="Times New Roman"/>
                <w:sz w:val="16"/>
              </w:rPr>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61" w:hRule="exact"/>
        </w:trPr>
        <w:tc>
          <w:tcPr>
            <w:tcW w:w="3202" w:type="dxa"/>
            <w:vMerge/>
            <w:tcBorders>
              <w:left w:val="nil" w:sz="6" w:space="0" w:color="auto"/>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8,400,000.00</w:t>
            </w:r>
          </w:p>
        </w:tc>
        <w:tc>
          <w:tcPr>
            <w:tcW w:w="11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2016-10-12</w:t>
            </w:r>
            <w:r>
              <w:rPr>
                <w:rFonts w:ascii="Times New Roman"/>
                <w:sz w:val="16"/>
              </w:rPr>
            </w:r>
          </w:p>
        </w:tc>
        <w:tc>
          <w:tcPr>
            <w:tcW w:w="1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bl>
    <w:p>
      <w:pPr>
        <w:spacing w:after="0" w:line="240" w:lineRule="auto"/>
        <w:jc w:val="left"/>
        <w:rPr>
          <w:rFonts w:ascii="宋体" w:hAnsi="宋体" w:cs="宋体" w:eastAsia="宋体" w:hint="default"/>
          <w:sz w:val="16"/>
          <w:szCs w:val="16"/>
        </w:rPr>
        <w:sectPr>
          <w:pgSz w:w="11910" w:h="16840"/>
          <w:pgMar w:header="774" w:footer="996" w:top="1000" w:bottom="11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783" w:type="dxa"/>
        <w:tblLayout w:type="fixed"/>
        <w:tblCellMar>
          <w:top w:w="0" w:type="dxa"/>
          <w:left w:w="0" w:type="dxa"/>
          <w:bottom w:w="0" w:type="dxa"/>
          <w:right w:w="0" w:type="dxa"/>
        </w:tblCellMar>
        <w:tblLook w:val="01E0"/>
      </w:tblPr>
      <w:tblGrid>
        <w:gridCol w:w="3202"/>
        <w:gridCol w:w="1268"/>
        <w:gridCol w:w="1128"/>
        <w:gridCol w:w="1129"/>
        <w:gridCol w:w="1037"/>
      </w:tblGrid>
      <w:tr>
        <w:trPr>
          <w:trHeight w:val="821" w:hRule="exact"/>
        </w:trPr>
        <w:tc>
          <w:tcPr>
            <w:tcW w:w="320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4" w:right="0"/>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1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07"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11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right="156"/>
              <w:jc w:val="right"/>
              <w:rPr>
                <w:rFonts w:ascii="宋体" w:hAnsi="宋体" w:cs="宋体" w:eastAsia="宋体" w:hint="default"/>
                <w:sz w:val="16"/>
                <w:szCs w:val="16"/>
              </w:rPr>
            </w:pPr>
            <w:r>
              <w:rPr>
                <w:rFonts w:ascii="宋体" w:hAnsi="宋体" w:cs="宋体" w:eastAsia="宋体" w:hint="default"/>
                <w:spacing w:val="-1"/>
                <w:sz w:val="16"/>
                <w:szCs w:val="16"/>
              </w:rPr>
              <w:t>担保起始日</w:t>
            </w:r>
          </w:p>
        </w:tc>
        <w:tc>
          <w:tcPr>
            <w:tcW w:w="1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right="157"/>
              <w:jc w:val="right"/>
              <w:rPr>
                <w:rFonts w:ascii="宋体" w:hAnsi="宋体" w:cs="宋体" w:eastAsia="宋体" w:hint="default"/>
                <w:sz w:val="16"/>
                <w:szCs w:val="16"/>
              </w:rPr>
            </w:pPr>
            <w:r>
              <w:rPr>
                <w:rFonts w:ascii="宋体" w:hAnsi="宋体" w:cs="宋体" w:eastAsia="宋体" w:hint="default"/>
                <w:spacing w:val="-1"/>
                <w:sz w:val="16"/>
                <w:szCs w:val="16"/>
              </w:rPr>
              <w:t>担保到期日</w:t>
            </w:r>
          </w:p>
        </w:tc>
        <w:tc>
          <w:tcPr>
            <w:tcW w:w="1037" w:type="dxa"/>
            <w:tcBorders>
              <w:top w:val="single" w:sz="12" w:space="0" w:color="000000"/>
              <w:left w:val="dotted" w:sz="4" w:space="0" w:color="000000"/>
              <w:bottom w:val="dotted" w:sz="4" w:space="0" w:color="000000"/>
              <w:right w:val="nil" w:sz="6" w:space="0" w:color="auto"/>
            </w:tcBorders>
          </w:tcPr>
          <w:p>
            <w:pPr>
              <w:pStyle w:val="TableParagraph"/>
              <w:spacing w:line="350" w:lineRule="atLeast" w:before="28"/>
              <w:ind w:left="112" w:right="115"/>
              <w:jc w:val="left"/>
              <w:rPr>
                <w:rFonts w:ascii="宋体" w:hAnsi="宋体" w:cs="宋体" w:eastAsia="宋体" w:hint="default"/>
                <w:sz w:val="16"/>
                <w:szCs w:val="16"/>
              </w:rPr>
            </w:pPr>
            <w:r>
              <w:rPr>
                <w:rFonts w:ascii="宋体" w:hAnsi="宋体" w:cs="宋体" w:eastAsia="宋体" w:hint="default"/>
                <w:sz w:val="16"/>
                <w:szCs w:val="16"/>
              </w:rPr>
              <w:t>担保是否已</w:t>
            </w:r>
            <w:r>
              <w:rPr>
                <w:rFonts w:ascii="宋体" w:hAnsi="宋体" w:cs="宋体" w:eastAsia="宋体" w:hint="default"/>
                <w:w w:val="100"/>
                <w:sz w:val="16"/>
                <w:szCs w:val="16"/>
              </w:rPr>
              <w:t> </w:t>
            </w:r>
            <w:r>
              <w:rPr>
                <w:rFonts w:ascii="宋体" w:hAnsi="宋体" w:cs="宋体" w:eastAsia="宋体" w:hint="default"/>
                <w:sz w:val="16"/>
                <w:szCs w:val="16"/>
              </w:rPr>
              <w:t>经履行完毕</w:t>
            </w:r>
          </w:p>
        </w:tc>
      </w:tr>
      <w:tr>
        <w:trPr>
          <w:trHeight w:val="449" w:hRule="exact"/>
        </w:trPr>
        <w:tc>
          <w:tcPr>
            <w:tcW w:w="3202" w:type="dxa"/>
            <w:vMerge w:val="restart"/>
            <w:tcBorders>
              <w:top w:val="dotted" w:sz="4" w:space="0" w:color="000000"/>
              <w:left w:val="nil" w:sz="6" w:space="0" w:color="auto"/>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4,560,000.00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2016-11-17</w:t>
            </w:r>
            <w:r>
              <w:rPr>
                <w:rFonts w:ascii="Times New Roman"/>
                <w:sz w:val="16"/>
              </w:rPr>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51" w:hRule="exact"/>
        </w:trPr>
        <w:tc>
          <w:tcPr>
            <w:tcW w:w="3202" w:type="dxa"/>
            <w:vMerge/>
            <w:tcBorders>
              <w:left w:val="nil" w:sz="6" w:space="0" w:color="auto"/>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7,850,000.00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2017-1-5</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2024-12-29</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49" w:hRule="exact"/>
        </w:trPr>
        <w:tc>
          <w:tcPr>
            <w:tcW w:w="3202"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40" w:right="0"/>
              <w:jc w:val="left"/>
              <w:rPr>
                <w:rFonts w:ascii="宋体" w:hAnsi="宋体" w:cs="宋体" w:eastAsia="宋体" w:hint="default"/>
                <w:sz w:val="16"/>
                <w:szCs w:val="16"/>
              </w:rPr>
            </w:pPr>
            <w:r>
              <w:rPr>
                <w:rFonts w:ascii="宋体" w:hAnsi="宋体" w:cs="宋体" w:eastAsia="宋体" w:hint="default"/>
                <w:sz w:val="16"/>
                <w:szCs w:val="16"/>
              </w:rPr>
              <w:t>云南天露高原果蔬有限公司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10,000,000.00</w:t>
            </w: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2015-7-17</w:t>
            </w:r>
            <w:r>
              <w:rPr>
                <w:rFonts w:ascii="Times New Roman"/>
                <w:sz w:val="16"/>
              </w:rPr>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2019-11-25</w:t>
            </w:r>
            <w:r>
              <w:rPr>
                <w:rFonts w:ascii="Times New Roman"/>
                <w:sz w:val="16"/>
              </w:rPr>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61" w:hRule="exact"/>
        </w:trPr>
        <w:tc>
          <w:tcPr>
            <w:tcW w:w="3202" w:type="dxa"/>
            <w:vMerge/>
            <w:tcBorders>
              <w:left w:val="nil" w:sz="6" w:space="0" w:color="auto"/>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20,000,000.00</w:t>
            </w:r>
          </w:p>
        </w:tc>
        <w:tc>
          <w:tcPr>
            <w:tcW w:w="11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2016-1-20</w:t>
            </w:r>
            <w:r>
              <w:rPr>
                <w:rFonts w:ascii="Times New Roman"/>
                <w:sz w:val="16"/>
              </w:rPr>
            </w:r>
          </w:p>
        </w:tc>
        <w:tc>
          <w:tcPr>
            <w:tcW w:w="1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2019-11-25</w:t>
            </w:r>
            <w:r>
              <w:rPr>
                <w:rFonts w:ascii="Times New Roman"/>
                <w:sz w:val="16"/>
              </w:rPr>
            </w:r>
          </w:p>
        </w:tc>
        <w:tc>
          <w:tcPr>
            <w:tcW w:w="10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6"/>
                <w:szCs w:val="16"/>
              </w:rPr>
            </w:pPr>
            <w:r>
              <w:rPr>
                <w:rFonts w:ascii="宋体" w:hAnsi="宋体" w:cs="宋体" w:eastAsia="宋体" w:hint="default"/>
                <w:w w:val="100"/>
                <w:sz w:val="16"/>
                <w:szCs w:val="16"/>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4</w:t>
      </w:r>
      <w:r>
        <w:rPr/>
        <w:t>、</w:t>
        <w:tab/>
        <w:t>关联方资金拆借</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871"/>
        <w:gridCol w:w="1342"/>
        <w:gridCol w:w="1190"/>
        <w:gridCol w:w="1189"/>
        <w:gridCol w:w="1186"/>
      </w:tblGrid>
      <w:tr>
        <w:trPr>
          <w:trHeight w:val="461" w:hRule="exact"/>
        </w:trPr>
        <w:tc>
          <w:tcPr>
            <w:tcW w:w="28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1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1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拆入</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dotted" w:sz="4" w:space="0" w:color="000000"/>
            </w:tcBorders>
          </w:tcPr>
          <w:p>
            <w:pPr/>
          </w:p>
        </w:tc>
        <w:tc>
          <w:tcPr>
            <w:tcW w:w="1186"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深圳市人民政府国有资产监督管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理委员会</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2018/12/13</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2019/12/12</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2.175%</w:t>
            </w:r>
          </w:p>
        </w:tc>
      </w:tr>
      <w:tr>
        <w:trPr>
          <w:trHeight w:val="80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天津市北辰区青光镇韩家墅农工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商联合公司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2018/1/1</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2018/12/31</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812"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天津市北辰区青光镇韩家墅农工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商联合公司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2018/2/12</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2019/2/11</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天津市北辰区青光镇韩家墅农工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商联合公司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2018/1/25</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2019/1/24</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81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天津市北辰区青光镇韩家墅村村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民委员会</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2018/2/15</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2019/2/14</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2016/9/30</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2025/9/13</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w:t>
            </w:r>
          </w:p>
        </w:tc>
      </w:tr>
      <w:tr>
        <w:trPr>
          <w:trHeight w:val="452"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49,900,000.00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2016/10/14</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2025/9/13</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2016/1/6</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2025/12/23</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w:t>
            </w:r>
          </w:p>
        </w:tc>
      </w:tr>
      <w:tr>
        <w:trPr>
          <w:trHeight w:val="45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2015/12/28</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2018/1/18</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拆出</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dotted" w:sz="4" w:space="0" w:color="000000"/>
            </w:tcBorders>
          </w:tcPr>
          <w:p>
            <w:pPr/>
          </w:p>
        </w:tc>
        <w:tc>
          <w:tcPr>
            <w:tcW w:w="1189" w:type="dxa"/>
            <w:tcBorders>
              <w:top w:val="dotted" w:sz="4" w:space="0" w:color="000000"/>
              <w:left w:val="dotted" w:sz="4" w:space="0" w:color="000000"/>
              <w:bottom w:val="dotted" w:sz="4" w:space="0" w:color="000000"/>
              <w:right w:val="dotted" w:sz="4" w:space="0" w:color="000000"/>
            </w:tcBorders>
          </w:tcPr>
          <w:p>
            <w:pPr/>
          </w:p>
        </w:tc>
        <w:tc>
          <w:tcPr>
            <w:tcW w:w="1186"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广西海吉星冻品市场管理有限公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2017/12/29</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2019/12/28</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r>
        <w:trPr>
          <w:trHeight w:val="80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广西海吉星冻品市场管理有限公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9,120,000.00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2018/2/6</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2020/2/5</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r>
        <w:trPr>
          <w:trHeight w:val="45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2016/5/16</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2018/5/14</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773,300.00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2016/9/20</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2018/9/18</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r>
        <w:trPr>
          <w:trHeight w:val="461" w:hRule="exact"/>
        </w:trPr>
        <w:tc>
          <w:tcPr>
            <w:tcW w:w="28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2017/1/22</w:t>
            </w:r>
          </w:p>
        </w:tc>
        <w:tc>
          <w:tcPr>
            <w:tcW w:w="11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2019/1/21</w:t>
            </w:r>
          </w:p>
        </w:tc>
        <w:tc>
          <w:tcPr>
            <w:tcW w:w="11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9"/>
        <w:rPr>
          <w:rFonts w:ascii="Microsoft JhengHei" w:hAnsi="Microsoft JhengHei" w:cs="Microsoft JhengHei" w:eastAsia="Microsoft JhengHei" w:hint="default"/>
          <w:b/>
          <w:bCs/>
          <w:sz w:val="24"/>
          <w:szCs w:val="24"/>
        </w:rPr>
      </w:pPr>
    </w:p>
    <w:tbl>
      <w:tblPr>
        <w:tblW w:w="0" w:type="auto"/>
        <w:jc w:val="left"/>
        <w:tblInd w:w="769" w:type="dxa"/>
        <w:tblLayout w:type="fixed"/>
        <w:tblCellMar>
          <w:top w:w="0" w:type="dxa"/>
          <w:left w:w="0" w:type="dxa"/>
          <w:bottom w:w="0" w:type="dxa"/>
          <w:right w:w="0" w:type="dxa"/>
        </w:tblCellMar>
        <w:tblLook w:val="01E0"/>
      </w:tblPr>
      <w:tblGrid>
        <w:gridCol w:w="2871"/>
        <w:gridCol w:w="1342"/>
        <w:gridCol w:w="1190"/>
        <w:gridCol w:w="1189"/>
        <w:gridCol w:w="1186"/>
      </w:tblGrid>
      <w:tr>
        <w:trPr>
          <w:trHeight w:val="461" w:hRule="exact"/>
        </w:trPr>
        <w:tc>
          <w:tcPr>
            <w:tcW w:w="28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30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1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319"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31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2,093,220.00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2017/3/20</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2019/3/19</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r>
        <w:trPr>
          <w:trHeight w:val="45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2017/8/8</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2019/8/7</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w w:val="95"/>
                <w:sz w:val="18"/>
              </w:rPr>
              <w:t>2017/9/11</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2018/9/10</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5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2017/10/13</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2018/10/12</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w w:val="95"/>
                <w:sz w:val="18"/>
              </w:rPr>
              <w:t>2017/11/7</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2018/11/6</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52"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2017/12/22</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2018/12/21</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武汉城市圈海吉星农产品物流有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w w:val="95"/>
                <w:sz w:val="18"/>
              </w:rPr>
              <w:t>2016/4/11</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2031/3/16</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w:t>
            </w:r>
          </w:p>
        </w:tc>
      </w:tr>
      <w:tr>
        <w:trPr>
          <w:trHeight w:val="81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92"/>
              <w:jc w:val="left"/>
              <w:rPr>
                <w:rFonts w:ascii="宋体" w:hAnsi="宋体" w:cs="宋体" w:eastAsia="宋体" w:hint="default"/>
                <w:sz w:val="18"/>
                <w:szCs w:val="18"/>
              </w:rPr>
            </w:pPr>
            <w:r>
              <w:rPr>
                <w:rFonts w:ascii="宋体" w:hAnsi="宋体" w:cs="宋体" w:eastAsia="宋体" w:hint="default"/>
                <w:spacing w:val="8"/>
                <w:sz w:val="18"/>
                <w:szCs w:val="18"/>
              </w:rPr>
              <w:t>武汉城市圈海吉星农产品物流有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2018/1/23</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2019/1/22</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2017/9/22</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2018/5/15</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5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63,140,000.00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2017/9/24</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2018/5/15</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22,670,255.07</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2016/10/1</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2018/5/15</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5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2017/9/28</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2018/5/15</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7,222,346.48</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2016/10/1</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2018/5/15</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811"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92"/>
              <w:jc w:val="left"/>
              <w:rPr>
                <w:rFonts w:ascii="宋体" w:hAnsi="宋体" w:cs="宋体" w:eastAsia="宋体" w:hint="default"/>
                <w:sz w:val="18"/>
                <w:szCs w:val="18"/>
              </w:rPr>
            </w:pPr>
            <w:r>
              <w:rPr>
                <w:rFonts w:ascii="宋体" w:hAnsi="宋体" w:cs="宋体" w:eastAsia="宋体" w:hint="default"/>
                <w:spacing w:val="8"/>
                <w:sz w:val="18"/>
                <w:szCs w:val="18"/>
              </w:rPr>
              <w:t>合肥周谷堆农产品批发市场股份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2018/8/4</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2019/8/3</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92"/>
              <w:jc w:val="left"/>
              <w:rPr>
                <w:rFonts w:ascii="宋体" w:hAnsi="宋体" w:cs="宋体" w:eastAsia="宋体" w:hint="default"/>
                <w:sz w:val="18"/>
                <w:szCs w:val="18"/>
              </w:rPr>
            </w:pPr>
            <w:r>
              <w:rPr>
                <w:rFonts w:ascii="宋体" w:hAnsi="宋体" w:cs="宋体" w:eastAsia="宋体" w:hint="default"/>
                <w:spacing w:val="8"/>
                <w:sz w:val="18"/>
                <w:szCs w:val="18"/>
              </w:rPr>
              <w:t>合肥周谷堆农产品批发市场股份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2018/8/4</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2019/8/3</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4.35%</w:t>
            </w:r>
          </w:p>
        </w:tc>
      </w:tr>
      <w:tr>
        <w:trPr>
          <w:trHeight w:val="452"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桂林海吉星农产品集团有限公司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2016/3/25</w:t>
            </w:r>
          </w:p>
        </w:tc>
        <w:tc>
          <w:tcPr>
            <w:tcW w:w="11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2028/3/16</w:t>
            </w:r>
          </w:p>
        </w:tc>
        <w:tc>
          <w:tcPr>
            <w:tcW w:w="11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w:t>
            </w:r>
          </w:p>
        </w:tc>
      </w:tr>
      <w:tr>
        <w:trPr>
          <w:trHeight w:val="461" w:hRule="exact"/>
        </w:trPr>
        <w:tc>
          <w:tcPr>
            <w:tcW w:w="28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2017/7/27</w:t>
            </w:r>
          </w:p>
        </w:tc>
        <w:tc>
          <w:tcPr>
            <w:tcW w:w="11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2019/7/26</w:t>
            </w:r>
          </w:p>
        </w:tc>
        <w:tc>
          <w:tcPr>
            <w:tcW w:w="11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4.75%</w:t>
            </w:r>
          </w:p>
        </w:tc>
      </w:tr>
    </w:tbl>
    <w:p>
      <w:pPr>
        <w:spacing w:line="240" w:lineRule="auto" w:before="5"/>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5</w:t>
      </w:r>
      <w:r>
        <w:rPr/>
        <w:t>、</w:t>
        <w:tab/>
        <w:t>其他关联交易</w:t>
      </w:r>
      <w:r>
        <w:rPr>
          <w:b w:val="0"/>
          <w:bCs w:val="0"/>
        </w:rPr>
      </w:r>
    </w:p>
    <w:tbl>
      <w:tblPr>
        <w:tblW w:w="0" w:type="auto"/>
        <w:jc w:val="left"/>
        <w:tblInd w:w="834" w:type="dxa"/>
        <w:tblLayout w:type="fixed"/>
        <w:tblCellMar>
          <w:top w:w="0" w:type="dxa"/>
          <w:left w:w="0" w:type="dxa"/>
          <w:bottom w:w="0" w:type="dxa"/>
          <w:right w:w="0" w:type="dxa"/>
        </w:tblCellMar>
        <w:tblLook w:val="01E0"/>
      </w:tblPr>
      <w:tblGrid>
        <w:gridCol w:w="2516"/>
        <w:gridCol w:w="2499"/>
        <w:gridCol w:w="1250"/>
        <w:gridCol w:w="1366"/>
      </w:tblGrid>
      <w:tr>
        <w:trPr>
          <w:trHeight w:val="461" w:hRule="exact"/>
        </w:trPr>
        <w:tc>
          <w:tcPr>
            <w:tcW w:w="25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交易类型</w:t>
            </w:r>
          </w:p>
        </w:tc>
        <w:tc>
          <w:tcPr>
            <w:tcW w:w="24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79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2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11"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资金拆借支付利息及管理费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天津市北辰区青光镇韩家墅村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农工商联合公司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2,436,394.42</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3,121,075.86</w:t>
            </w:r>
          </w:p>
        </w:tc>
      </w:tr>
      <w:tr>
        <w:trPr>
          <w:trHeight w:val="44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资金拆借支付利息及管理费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1250"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1,745,437.50</w:t>
            </w:r>
          </w:p>
        </w:tc>
      </w:tr>
      <w:tr>
        <w:trPr>
          <w:trHeight w:val="812"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资金拆借支付利息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深圳市人民政府国有资产监督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管理委员会</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4,410,416.64</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169,166.67</w:t>
            </w:r>
          </w:p>
        </w:tc>
      </w:tr>
      <w:tr>
        <w:trPr>
          <w:trHeight w:val="44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资金拆借支付利息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1,830,000.00</w:t>
            </w:r>
          </w:p>
        </w:tc>
      </w:tr>
      <w:tr>
        <w:trPr>
          <w:trHeight w:val="461" w:hRule="exact"/>
        </w:trPr>
        <w:tc>
          <w:tcPr>
            <w:tcW w:w="25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资金拆借支付利息</w:t>
            </w:r>
          </w:p>
        </w:tc>
        <w:tc>
          <w:tcPr>
            <w:tcW w:w="24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pacing w:val="7"/>
                <w:sz w:val="18"/>
                <w:szCs w:val="18"/>
              </w:rPr>
              <w:t>海东丝路商贸物流发展有限公</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1,216,666.67</w:t>
            </w: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1,216,666.67</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9"/>
        <w:rPr>
          <w:rFonts w:ascii="Microsoft JhengHei" w:hAnsi="Microsoft JhengHei" w:cs="Microsoft JhengHei" w:eastAsia="Microsoft JhengHei" w:hint="default"/>
          <w:b/>
          <w:bCs/>
          <w:sz w:val="24"/>
          <w:szCs w:val="24"/>
        </w:rPr>
      </w:pPr>
    </w:p>
    <w:tbl>
      <w:tblPr>
        <w:tblW w:w="0" w:type="auto"/>
        <w:jc w:val="left"/>
        <w:tblInd w:w="834" w:type="dxa"/>
        <w:tblLayout w:type="fixed"/>
        <w:tblCellMar>
          <w:top w:w="0" w:type="dxa"/>
          <w:left w:w="0" w:type="dxa"/>
          <w:bottom w:w="0" w:type="dxa"/>
          <w:right w:w="0" w:type="dxa"/>
        </w:tblCellMar>
        <w:tblLook w:val="01E0"/>
      </w:tblPr>
      <w:tblGrid>
        <w:gridCol w:w="2516"/>
        <w:gridCol w:w="2499"/>
        <w:gridCol w:w="1250"/>
        <w:gridCol w:w="1366"/>
      </w:tblGrid>
      <w:tr>
        <w:trPr>
          <w:trHeight w:val="461" w:hRule="exact"/>
        </w:trPr>
        <w:tc>
          <w:tcPr>
            <w:tcW w:w="25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8" w:right="0"/>
              <w:jc w:val="center"/>
              <w:rPr>
                <w:rFonts w:ascii="宋体" w:hAnsi="宋体" w:cs="宋体" w:eastAsia="宋体" w:hint="default"/>
                <w:sz w:val="18"/>
                <w:szCs w:val="18"/>
              </w:rPr>
            </w:pPr>
            <w:r>
              <w:rPr>
                <w:rFonts w:ascii="宋体" w:hAnsi="宋体" w:cs="宋体" w:eastAsia="宋体" w:hint="default"/>
                <w:sz w:val="18"/>
                <w:szCs w:val="18"/>
              </w:rPr>
              <w:t>交易类型</w:t>
            </w:r>
          </w:p>
        </w:tc>
        <w:tc>
          <w:tcPr>
            <w:tcW w:w="24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79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1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2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516" w:type="dxa"/>
            <w:tcBorders>
              <w:top w:val="dotted" w:sz="4" w:space="0" w:color="000000"/>
              <w:left w:val="nil" w:sz="6" w:space="0" w:color="auto"/>
              <w:bottom w:val="dotted" w:sz="4" w:space="0" w:color="000000"/>
              <w:right w:val="dotted" w:sz="4" w:space="0" w:color="000000"/>
            </w:tcBorders>
          </w:tcPr>
          <w:p>
            <w:pP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50"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资金拆借支付利息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天津市北辰区青光镇韩家墅村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村委委员会</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938,745.86</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948,333.35</w:t>
            </w:r>
          </w:p>
        </w:tc>
      </w:tr>
      <w:tr>
        <w:trPr>
          <w:trHeight w:val="811"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归集资金支付的利息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深圳凯吉星农产品检测认证有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359,829.68</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374,812.38</w:t>
            </w:r>
          </w:p>
        </w:tc>
      </w:tr>
      <w:tr>
        <w:trPr>
          <w:trHeight w:val="44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归集资金支付的利息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21,078.35</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5,999.35</w:t>
            </w:r>
          </w:p>
        </w:tc>
      </w:tr>
      <w:tr>
        <w:trPr>
          <w:trHeight w:val="812"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43" w:right="22"/>
              <w:jc w:val="left"/>
              <w:rPr>
                <w:rFonts w:ascii="宋体" w:hAnsi="宋体" w:cs="宋体" w:eastAsia="宋体" w:hint="default"/>
                <w:sz w:val="18"/>
                <w:szCs w:val="18"/>
              </w:rPr>
            </w:pPr>
            <w:r>
              <w:rPr>
                <w:rFonts w:ascii="宋体" w:hAnsi="宋体" w:cs="宋体" w:eastAsia="宋体" w:hint="default"/>
                <w:spacing w:val="7"/>
                <w:sz w:val="18"/>
                <w:szCs w:val="18"/>
              </w:rPr>
              <w:t>因提供质押担保服务而收取的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担保费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6"/>
              <w:ind w:left="21" w:right="22"/>
              <w:jc w:val="left"/>
              <w:rPr>
                <w:rFonts w:ascii="宋体" w:hAnsi="宋体" w:cs="宋体" w:eastAsia="宋体" w:hint="default"/>
                <w:sz w:val="18"/>
                <w:szCs w:val="18"/>
              </w:rPr>
            </w:pPr>
            <w:r>
              <w:rPr>
                <w:rFonts w:ascii="宋体" w:hAnsi="宋体" w:cs="宋体" w:eastAsia="宋体" w:hint="default"/>
                <w:spacing w:val="7"/>
                <w:sz w:val="18"/>
                <w:szCs w:val="18"/>
              </w:rPr>
              <w:t>深圳市农产品融资担保有限公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250"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80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22"/>
              <w:jc w:val="left"/>
              <w:rPr>
                <w:rFonts w:ascii="宋体" w:hAnsi="宋体" w:cs="宋体" w:eastAsia="宋体" w:hint="default"/>
                <w:sz w:val="18"/>
                <w:szCs w:val="18"/>
              </w:rPr>
            </w:pPr>
            <w:r>
              <w:rPr>
                <w:rFonts w:ascii="宋体" w:hAnsi="宋体" w:cs="宋体" w:eastAsia="宋体" w:hint="default"/>
                <w:spacing w:val="7"/>
                <w:sz w:val="18"/>
                <w:szCs w:val="18"/>
              </w:rPr>
              <w:t>出售理财产品向金融平台支付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的手续费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深圳市海吉星互联网金融信息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服务有限公司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747,490.24</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1,400,476.70</w:t>
            </w:r>
          </w:p>
        </w:tc>
      </w:tr>
      <w:tr>
        <w:trPr>
          <w:trHeight w:val="811"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桂林海吉星农产品集团有限公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1,902,285.12</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2,446,925.51</w:t>
            </w:r>
          </w:p>
        </w:tc>
      </w:tr>
      <w:tr>
        <w:trPr>
          <w:trHeight w:val="44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456,032.50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488,938.15</w:t>
            </w:r>
          </w:p>
        </w:tc>
      </w:tr>
      <w:tr>
        <w:trPr>
          <w:trHeight w:val="452"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3,129,531.74</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3,001,395.26</w:t>
            </w:r>
          </w:p>
        </w:tc>
      </w:tr>
      <w:tr>
        <w:trPr>
          <w:trHeight w:val="80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天津海吉星投资发展有限责任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9,831,601.06</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9,520,889.07</w:t>
            </w:r>
          </w:p>
        </w:tc>
      </w:tr>
      <w:tr>
        <w:trPr>
          <w:trHeight w:val="451"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453,366.74</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83012.51</w:t>
            </w:r>
          </w:p>
        </w:tc>
      </w:tr>
      <w:tr>
        <w:trPr>
          <w:trHeight w:val="80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合肥周谷堆农产品批发市场股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6,921,471.06</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6,792,041.72</w:t>
            </w:r>
          </w:p>
        </w:tc>
      </w:tr>
      <w:tr>
        <w:trPr>
          <w:trHeight w:val="812"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资金拆借取得利息及管理费</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武汉城市圈海吉星农产品物流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9,314,276.09</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608,333.33</w:t>
            </w:r>
          </w:p>
        </w:tc>
      </w:tr>
      <w:tr>
        <w:trPr>
          <w:trHeight w:val="449"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796,631.99</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877,532.78</w:t>
            </w:r>
          </w:p>
        </w:tc>
      </w:tr>
      <w:tr>
        <w:trPr>
          <w:trHeight w:val="811"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资金拆借取得利息</w:t>
            </w:r>
          </w:p>
        </w:tc>
        <w:tc>
          <w:tcPr>
            <w:tcW w:w="249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21" w:right="22"/>
              <w:jc w:val="left"/>
              <w:rPr>
                <w:rFonts w:ascii="宋体" w:hAnsi="宋体" w:cs="宋体" w:eastAsia="宋体" w:hint="default"/>
                <w:sz w:val="18"/>
                <w:szCs w:val="18"/>
              </w:rPr>
            </w:pPr>
            <w:r>
              <w:rPr>
                <w:rFonts w:ascii="宋体" w:hAnsi="宋体" w:cs="宋体" w:eastAsia="宋体" w:hint="default"/>
                <w:spacing w:val="7"/>
                <w:sz w:val="18"/>
                <w:szCs w:val="18"/>
              </w:rPr>
              <w:t>广西海吉星冻品市场管理有限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1,262,771.65</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1,042,536.80</w:t>
            </w:r>
          </w:p>
        </w:tc>
      </w:tr>
      <w:tr>
        <w:trPr>
          <w:trHeight w:val="461" w:hRule="exact"/>
        </w:trPr>
        <w:tc>
          <w:tcPr>
            <w:tcW w:w="25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9"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46,023,589.81</w:t>
            </w: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36,873,573.61</w:t>
            </w:r>
          </w:p>
        </w:tc>
      </w:tr>
    </w:tbl>
    <w:p>
      <w:pPr>
        <w:spacing w:line="240" w:lineRule="auto" w:before="3"/>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关联方应收应付款项</w:t>
      </w:r>
      <w:r>
        <w:rPr>
          <w:b w:val="0"/>
          <w:bCs w:val="0"/>
        </w:rPr>
      </w:r>
    </w:p>
    <w:p>
      <w:pPr>
        <w:pStyle w:val="Heading6"/>
        <w:tabs>
          <w:tab w:pos="1397" w:val="left" w:leader="none"/>
        </w:tabs>
        <w:spacing w:line="240" w:lineRule="auto" w:before="35"/>
        <w:ind w:right="1675"/>
        <w:jc w:val="left"/>
        <w:rPr>
          <w:b w:val="0"/>
          <w:bCs w:val="0"/>
        </w:rPr>
      </w:pPr>
      <w:r>
        <w:rPr>
          <w:rFonts w:ascii="Times New Roman" w:hAnsi="Times New Roman" w:cs="Times New Roman" w:eastAsia="Times New Roman" w:hint="default"/>
        </w:rPr>
        <w:t>1</w:t>
      </w:r>
      <w:r>
        <w:rPr/>
        <w:t>、</w:t>
        <w:tab/>
        <w:t>应收项目</w:t>
      </w:r>
      <w:r>
        <w:rPr>
          <w:b w:val="0"/>
          <w:bCs w:val="0"/>
        </w:rPr>
      </w:r>
    </w:p>
    <w:tbl>
      <w:tblPr>
        <w:tblW w:w="0" w:type="auto"/>
        <w:jc w:val="left"/>
        <w:tblInd w:w="768" w:type="dxa"/>
        <w:tblLayout w:type="fixed"/>
        <w:tblCellMar>
          <w:top w:w="0" w:type="dxa"/>
          <w:left w:w="0" w:type="dxa"/>
          <w:bottom w:w="0" w:type="dxa"/>
          <w:right w:w="0" w:type="dxa"/>
        </w:tblCellMar>
        <w:tblLook w:val="01E0"/>
      </w:tblPr>
      <w:tblGrid>
        <w:gridCol w:w="1099"/>
        <w:gridCol w:w="1249"/>
        <w:gridCol w:w="1339"/>
        <w:gridCol w:w="1342"/>
        <w:gridCol w:w="1407"/>
        <w:gridCol w:w="1342"/>
      </w:tblGrid>
      <w:tr>
        <w:trPr>
          <w:trHeight w:val="461" w:hRule="exact"/>
        </w:trPr>
        <w:tc>
          <w:tcPr>
            <w:tcW w:w="1099"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49"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1099" w:type="dxa"/>
            <w:vMerge/>
            <w:tcBorders>
              <w:left w:val="nil" w:sz="6" w:space="0" w:color="auto"/>
              <w:bottom w:val="dotted" w:sz="4" w:space="0" w:color="000000"/>
              <w:right w:val="dotted" w:sz="4" w:space="0" w:color="000000"/>
            </w:tcBorders>
          </w:tcPr>
          <w:p>
            <w:pPr/>
          </w:p>
        </w:tc>
        <w:tc>
          <w:tcPr>
            <w:tcW w:w="1249" w:type="dxa"/>
            <w:vMerge/>
            <w:tcBorders>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1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49"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099" w:type="dxa"/>
            <w:tcBorders>
              <w:top w:val="dotted" w:sz="4" w:space="0" w:color="000000"/>
              <w:left w:val="nil" w:sz="6" w:space="0" w:color="auto"/>
              <w:bottom w:val="single" w:sz="12" w:space="0" w:color="000000"/>
              <w:right w:val="dotted" w:sz="4" w:space="0" w:color="000000"/>
            </w:tcBorders>
          </w:tcPr>
          <w:p>
            <w:pPr/>
          </w:p>
        </w:tc>
        <w:tc>
          <w:tcPr>
            <w:tcW w:w="12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pacing w:val="26"/>
                <w:sz w:val="18"/>
                <w:szCs w:val="18"/>
              </w:rPr>
              <w:t>深圳凯吉星</w:t>
            </w:r>
            <w:r>
              <w:rPr>
                <w:rFonts w:ascii="宋体" w:hAnsi="宋体" w:cs="宋体" w:eastAsia="宋体" w:hint="default"/>
                <w:spacing w:val="-57"/>
                <w:sz w:val="18"/>
                <w:szCs w:val="18"/>
              </w:rPr>
              <w:t> </w:t>
            </w:r>
            <w:r>
              <w:rPr>
                <w:rFonts w:ascii="宋体" w:hAnsi="宋体" w:cs="宋体" w:eastAsia="宋体" w:hint="default"/>
                <w:sz w:val="18"/>
                <w:szCs w:val="18"/>
              </w:rPr>
            </w:r>
          </w:p>
        </w:tc>
        <w:tc>
          <w:tcPr>
            <w:tcW w:w="1339"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130,000.00</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650.00</w:t>
            </w:r>
          </w:p>
        </w:tc>
      </w:tr>
    </w:tbl>
    <w:p>
      <w:pPr>
        <w:spacing w:after="0" w:line="240" w:lineRule="auto"/>
        <w:jc w:val="lef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099"/>
        <w:gridCol w:w="1249"/>
        <w:gridCol w:w="1339"/>
        <w:gridCol w:w="1342"/>
        <w:gridCol w:w="1407"/>
        <w:gridCol w:w="1342"/>
      </w:tblGrid>
      <w:tr>
        <w:trPr>
          <w:trHeight w:val="461" w:hRule="exact"/>
        </w:trPr>
        <w:tc>
          <w:tcPr>
            <w:tcW w:w="10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4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1099" w:type="dxa"/>
            <w:vMerge/>
            <w:tcBorders>
              <w:left w:val="nil" w:sz="6" w:space="0" w:color="auto"/>
              <w:bottom w:val="dotted" w:sz="4" w:space="0" w:color="000000"/>
              <w:right w:val="dotted" w:sz="4" w:space="0" w:color="000000"/>
            </w:tcBorders>
          </w:tcPr>
          <w:p>
            <w:pPr/>
          </w:p>
        </w:tc>
        <w:tc>
          <w:tcPr>
            <w:tcW w:w="1249" w:type="dxa"/>
            <w:vMerge/>
            <w:tcBorders>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130"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99"/>
              <w:ind w:left="100" w:right="68"/>
              <w:jc w:val="both"/>
              <w:rPr>
                <w:rFonts w:ascii="宋体" w:hAnsi="宋体" w:cs="宋体" w:eastAsia="宋体" w:hint="default"/>
                <w:sz w:val="18"/>
                <w:szCs w:val="18"/>
              </w:rPr>
            </w:pPr>
            <w:r>
              <w:rPr>
                <w:rFonts w:ascii="宋体" w:hAnsi="宋体" w:cs="宋体" w:eastAsia="宋体" w:hint="default"/>
                <w:spacing w:val="26"/>
                <w:sz w:val="18"/>
                <w:szCs w:val="18"/>
              </w:rPr>
              <w:t>农产品检测</w:t>
            </w:r>
            <w:r>
              <w:rPr>
                <w:rFonts w:ascii="宋体" w:hAnsi="宋体" w:cs="宋体" w:eastAsia="宋体" w:hint="default"/>
                <w:spacing w:val="-57"/>
                <w:sz w:val="18"/>
                <w:szCs w:val="18"/>
              </w:rPr>
              <w:t> </w:t>
            </w:r>
            <w:r>
              <w:rPr>
                <w:rFonts w:ascii="宋体" w:hAnsi="宋体" w:cs="宋体" w:eastAsia="宋体" w:hint="default"/>
                <w:spacing w:val="26"/>
                <w:sz w:val="18"/>
                <w:szCs w:val="18"/>
              </w:rPr>
              <w:t>认证有限公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南昌深农冷</w:t>
            </w:r>
            <w:r>
              <w:rPr>
                <w:rFonts w:ascii="宋体" w:hAnsi="宋体" w:cs="宋体" w:eastAsia="宋体" w:hint="default"/>
                <w:spacing w:val="-57"/>
                <w:sz w:val="18"/>
                <w:szCs w:val="18"/>
              </w:rPr>
              <w:t> </w:t>
            </w:r>
            <w:r>
              <w:rPr>
                <w:rFonts w:ascii="宋体" w:hAnsi="宋体" w:cs="宋体" w:eastAsia="宋体" w:hint="default"/>
                <w:spacing w:val="26"/>
                <w:sz w:val="18"/>
                <w:szCs w:val="18"/>
              </w:rPr>
              <w:t>链物流有限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229,029.02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w w:val="95"/>
                <w:sz w:val="18"/>
              </w:rPr>
              <w:t>1,145.15</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661,630.80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w w:val="95"/>
                <w:sz w:val="18"/>
              </w:rPr>
              <w:t>3,308.15</w:t>
            </w: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深圳市嘉恒</w:t>
            </w:r>
            <w:r>
              <w:rPr>
                <w:rFonts w:ascii="宋体" w:hAnsi="宋体" w:cs="宋体" w:eastAsia="宋体" w:hint="default"/>
                <w:spacing w:val="-57"/>
                <w:sz w:val="18"/>
                <w:szCs w:val="18"/>
              </w:rPr>
              <w:t> </w:t>
            </w:r>
            <w:r>
              <w:rPr>
                <w:rFonts w:ascii="宋体" w:hAnsi="宋体" w:cs="宋体" w:eastAsia="宋体" w:hint="default"/>
                <w:spacing w:val="26"/>
                <w:sz w:val="18"/>
                <w:szCs w:val="18"/>
              </w:rPr>
              <w:t>农业科技发</w:t>
            </w:r>
            <w:r>
              <w:rPr>
                <w:rFonts w:ascii="宋体" w:hAnsi="宋体" w:cs="宋体" w:eastAsia="宋体" w:hint="default"/>
                <w:spacing w:val="-57"/>
                <w:sz w:val="18"/>
                <w:szCs w:val="18"/>
              </w:rPr>
              <w:t> </w:t>
            </w:r>
            <w:r>
              <w:rPr>
                <w:rFonts w:ascii="宋体" w:hAnsi="宋体" w:cs="宋体" w:eastAsia="宋体" w:hint="default"/>
                <w:sz w:val="18"/>
                <w:szCs w:val="18"/>
              </w:rPr>
              <w:t>展有限公司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250,000.00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w w:val="95"/>
                <w:sz w:val="18"/>
              </w:rPr>
              <w:t>1,250.00</w:t>
            </w:r>
          </w:p>
        </w:tc>
      </w:tr>
      <w:tr>
        <w:trPr>
          <w:trHeight w:val="153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深圳市光明</w:t>
            </w:r>
            <w:r>
              <w:rPr>
                <w:rFonts w:ascii="宋体" w:hAnsi="宋体" w:cs="宋体" w:eastAsia="宋体" w:hint="default"/>
                <w:spacing w:val="-57"/>
                <w:sz w:val="18"/>
                <w:szCs w:val="18"/>
              </w:rPr>
              <w:t> </w:t>
            </w:r>
            <w:r>
              <w:rPr>
                <w:rFonts w:ascii="宋体" w:hAnsi="宋体" w:cs="宋体" w:eastAsia="宋体" w:hint="default"/>
                <w:spacing w:val="26"/>
                <w:sz w:val="18"/>
                <w:szCs w:val="18"/>
              </w:rPr>
              <w:t>海吉星农产</w:t>
            </w:r>
            <w:r>
              <w:rPr>
                <w:rFonts w:ascii="宋体" w:hAnsi="宋体" w:cs="宋体" w:eastAsia="宋体" w:hint="default"/>
                <w:spacing w:val="-57"/>
                <w:sz w:val="18"/>
                <w:szCs w:val="18"/>
              </w:rPr>
              <w:t> </w:t>
            </w:r>
            <w:r>
              <w:rPr>
                <w:rFonts w:ascii="宋体" w:hAnsi="宋体" w:cs="宋体" w:eastAsia="宋体" w:hint="default"/>
                <w:spacing w:val="26"/>
                <w:sz w:val="18"/>
                <w:szCs w:val="18"/>
              </w:rPr>
              <w:t>品产业发展</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360,000.00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w w:val="95"/>
                <w:sz w:val="18"/>
              </w:rPr>
              <w:t>1,800.00</w:t>
            </w:r>
          </w:p>
        </w:tc>
      </w:tr>
      <w:tr>
        <w:trPr>
          <w:trHeight w:val="152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4"/>
                <w:sz w:val="18"/>
                <w:szCs w:val="18"/>
              </w:rPr>
              <w:t>武汉城市</w:t>
            </w:r>
            <w:r>
              <w:rPr>
                <w:rFonts w:ascii="宋体" w:hAnsi="宋体" w:cs="宋体" w:eastAsia="宋体" w:hint="default"/>
                <w:spacing w:val="-55"/>
                <w:sz w:val="18"/>
                <w:szCs w:val="18"/>
              </w:rPr>
              <w:t> </w:t>
            </w:r>
            <w:r>
              <w:rPr>
                <w:rFonts w:ascii="宋体" w:hAnsi="宋体" w:cs="宋体" w:eastAsia="宋体" w:hint="default"/>
                <w:sz w:val="18"/>
                <w:szCs w:val="18"/>
              </w:rPr>
              <w:t>圈</w:t>
            </w:r>
            <w:r>
              <w:rPr>
                <w:rFonts w:ascii="宋体" w:hAnsi="宋体" w:cs="宋体" w:eastAsia="宋体" w:hint="default"/>
                <w:sz w:val="18"/>
                <w:szCs w:val="18"/>
              </w:rPr>
              <w:t> </w:t>
            </w:r>
            <w:r>
              <w:rPr>
                <w:rFonts w:ascii="宋体" w:hAnsi="宋体" w:cs="宋体" w:eastAsia="宋体" w:hint="default"/>
                <w:spacing w:val="26"/>
                <w:sz w:val="18"/>
                <w:szCs w:val="18"/>
              </w:rPr>
              <w:t>海吉星农产</w:t>
            </w:r>
            <w:r>
              <w:rPr>
                <w:rFonts w:ascii="宋体" w:hAnsi="宋体" w:cs="宋体" w:eastAsia="宋体" w:hint="default"/>
                <w:spacing w:val="-57"/>
                <w:sz w:val="18"/>
                <w:szCs w:val="18"/>
              </w:rPr>
              <w:t> </w:t>
            </w:r>
            <w:r>
              <w:rPr>
                <w:rFonts w:ascii="宋体" w:hAnsi="宋体" w:cs="宋体" w:eastAsia="宋体" w:hint="default"/>
                <w:spacing w:val="26"/>
                <w:sz w:val="18"/>
                <w:szCs w:val="18"/>
              </w:rPr>
              <w:t>品物流有限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1,529,755.56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w w:val="95"/>
                <w:sz w:val="18"/>
              </w:rPr>
              <w:t>7,648.78</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桂林海吉星</w:t>
            </w:r>
            <w:r>
              <w:rPr>
                <w:rFonts w:ascii="宋体" w:hAnsi="宋体" w:cs="宋体" w:eastAsia="宋体" w:hint="default"/>
                <w:spacing w:val="-57"/>
                <w:sz w:val="18"/>
                <w:szCs w:val="18"/>
              </w:rPr>
              <w:t> </w:t>
            </w:r>
            <w:r>
              <w:rPr>
                <w:rFonts w:ascii="宋体" w:hAnsi="宋体" w:cs="宋体" w:eastAsia="宋体" w:hint="default"/>
                <w:spacing w:val="26"/>
                <w:sz w:val="18"/>
                <w:szCs w:val="18"/>
              </w:rPr>
              <w:t>农产品集团</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1,130,555.55</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w w:val="95"/>
                <w:sz w:val="18"/>
              </w:rPr>
              <w:t>5,652.78</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49"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53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6"/>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深圳凯吉星</w:t>
            </w:r>
            <w:r>
              <w:rPr>
                <w:rFonts w:ascii="宋体" w:hAnsi="宋体" w:cs="宋体" w:eastAsia="宋体" w:hint="default"/>
                <w:spacing w:val="-57"/>
                <w:sz w:val="18"/>
                <w:szCs w:val="18"/>
              </w:rPr>
              <w:t> </w:t>
            </w:r>
            <w:r>
              <w:rPr>
                <w:rFonts w:ascii="宋体" w:hAnsi="宋体" w:cs="宋体" w:eastAsia="宋体" w:hint="default"/>
                <w:spacing w:val="26"/>
                <w:sz w:val="18"/>
                <w:szCs w:val="18"/>
              </w:rPr>
              <w:t>农产品检测</w:t>
            </w:r>
            <w:r>
              <w:rPr>
                <w:rFonts w:ascii="宋体" w:hAnsi="宋体" w:cs="宋体" w:eastAsia="宋体" w:hint="default"/>
                <w:spacing w:val="-57"/>
                <w:sz w:val="18"/>
                <w:szCs w:val="18"/>
              </w:rPr>
              <w:t> </w:t>
            </w:r>
            <w:r>
              <w:rPr>
                <w:rFonts w:ascii="宋体" w:hAnsi="宋体" w:cs="宋体" w:eastAsia="宋体" w:hint="default"/>
                <w:spacing w:val="26"/>
                <w:sz w:val="18"/>
                <w:szCs w:val="18"/>
              </w:rPr>
              <w:t>认证有限公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57,389.94</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云南天露高</w:t>
            </w:r>
            <w:r>
              <w:rPr>
                <w:rFonts w:ascii="宋体" w:hAnsi="宋体" w:cs="宋体" w:eastAsia="宋体" w:hint="default"/>
                <w:spacing w:val="-57"/>
                <w:sz w:val="18"/>
                <w:szCs w:val="18"/>
              </w:rPr>
              <w:t> </w:t>
            </w:r>
            <w:r>
              <w:rPr>
                <w:rFonts w:ascii="宋体" w:hAnsi="宋体" w:cs="宋体" w:eastAsia="宋体" w:hint="default"/>
                <w:spacing w:val="26"/>
                <w:sz w:val="18"/>
                <w:szCs w:val="18"/>
              </w:rPr>
              <w:t>原果蔬有限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2,700,000.00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2,700,000.00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深圳市深铁</w:t>
            </w:r>
            <w:r>
              <w:rPr>
                <w:rFonts w:ascii="宋体" w:hAnsi="宋体" w:cs="宋体" w:eastAsia="宋体" w:hint="default"/>
                <w:spacing w:val="-57"/>
                <w:sz w:val="18"/>
                <w:szCs w:val="18"/>
              </w:rPr>
              <w:t> </w:t>
            </w:r>
            <w:r>
              <w:rPr>
                <w:rFonts w:ascii="宋体" w:hAnsi="宋体" w:cs="宋体" w:eastAsia="宋体" w:hint="default"/>
                <w:spacing w:val="26"/>
                <w:sz w:val="18"/>
                <w:szCs w:val="18"/>
              </w:rPr>
              <w:t>时代实业发</w:t>
            </w:r>
            <w:r>
              <w:rPr>
                <w:rFonts w:ascii="宋体" w:hAnsi="宋体" w:cs="宋体" w:eastAsia="宋体" w:hint="default"/>
                <w:spacing w:val="-57"/>
                <w:sz w:val="18"/>
                <w:szCs w:val="18"/>
              </w:rPr>
              <w:t> </w:t>
            </w:r>
            <w:r>
              <w:rPr>
                <w:rFonts w:ascii="宋体" w:hAnsi="宋体" w:cs="宋体" w:eastAsia="宋体" w:hint="default"/>
                <w:sz w:val="18"/>
                <w:szCs w:val="18"/>
              </w:rPr>
              <w:t>展公司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780" w:hRule="exact"/>
        </w:trPr>
        <w:tc>
          <w:tcPr>
            <w:tcW w:w="1099" w:type="dxa"/>
            <w:tcBorders>
              <w:top w:val="dotted" w:sz="4" w:space="0" w:color="000000"/>
              <w:left w:val="nil" w:sz="6" w:space="0" w:color="auto"/>
              <w:bottom w:val="single" w:sz="12" w:space="0" w:color="000000"/>
              <w:right w:val="dotted" w:sz="4" w:space="0" w:color="000000"/>
            </w:tcBorders>
          </w:tcPr>
          <w:p>
            <w:pPr/>
          </w:p>
        </w:tc>
        <w:tc>
          <w:tcPr>
            <w:tcW w:w="1249" w:type="dxa"/>
            <w:tcBorders>
              <w:top w:val="dotted" w:sz="4" w:space="0" w:color="000000"/>
              <w:left w:val="dotted" w:sz="4" w:space="0" w:color="000000"/>
              <w:bottom w:val="single" w:sz="12" w:space="0" w:color="000000"/>
              <w:right w:val="dotted" w:sz="4" w:space="0" w:color="000000"/>
            </w:tcBorders>
          </w:tcPr>
          <w:p>
            <w:pPr>
              <w:pStyle w:val="TableParagraph"/>
              <w:spacing w:line="360" w:lineRule="atLeast" w:before="11"/>
              <w:ind w:left="100" w:right="68"/>
              <w:jc w:val="left"/>
              <w:rPr>
                <w:rFonts w:ascii="宋体" w:hAnsi="宋体" w:cs="宋体" w:eastAsia="宋体" w:hint="default"/>
                <w:sz w:val="18"/>
                <w:szCs w:val="18"/>
              </w:rPr>
            </w:pPr>
            <w:r>
              <w:rPr>
                <w:rFonts w:ascii="宋体" w:hAnsi="宋体" w:cs="宋体" w:eastAsia="宋体" w:hint="default"/>
                <w:spacing w:val="26"/>
                <w:sz w:val="18"/>
                <w:szCs w:val="18"/>
              </w:rPr>
              <w:t>深圳市中农</w:t>
            </w:r>
            <w:r>
              <w:rPr>
                <w:rFonts w:ascii="宋体" w:hAnsi="宋体" w:cs="宋体" w:eastAsia="宋体" w:hint="default"/>
                <w:spacing w:val="-57"/>
                <w:sz w:val="18"/>
                <w:szCs w:val="18"/>
              </w:rPr>
              <w:t> </w:t>
            </w:r>
            <w:r>
              <w:rPr>
                <w:rFonts w:ascii="宋体" w:hAnsi="宋体" w:cs="宋体" w:eastAsia="宋体" w:hint="default"/>
                <w:spacing w:val="26"/>
                <w:sz w:val="18"/>
                <w:szCs w:val="18"/>
              </w:rPr>
              <w:t>易讯信息技</w:t>
            </w:r>
            <w:r>
              <w:rPr>
                <w:rFonts w:ascii="宋体" w:hAnsi="宋体" w:cs="宋体" w:eastAsia="宋体" w:hint="default"/>
                <w:spacing w:val="-57"/>
                <w:sz w:val="18"/>
                <w:szCs w:val="18"/>
              </w:rPr>
              <w:t> </w:t>
            </w:r>
            <w:r>
              <w:rPr>
                <w:rFonts w:ascii="宋体" w:hAnsi="宋体" w:cs="宋体" w:eastAsia="宋体" w:hint="default"/>
                <w:sz w:val="18"/>
                <w:szCs w:val="18"/>
              </w:rPr>
            </w: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w w:val="95"/>
                <w:sz w:val="18"/>
              </w:rPr>
              <w:t>9,098.89</w:t>
            </w:r>
          </w:p>
        </w:tc>
        <w:tc>
          <w:tcPr>
            <w:tcW w:w="1342" w:type="dxa"/>
            <w:tcBorders>
              <w:top w:val="dotted" w:sz="4" w:space="0" w:color="000000"/>
              <w:left w:val="dotted" w:sz="4" w:space="0" w:color="000000"/>
              <w:bottom w:val="single" w:sz="12" w:space="0" w:color="000000"/>
              <w:right w:val="dotted" w:sz="4" w:space="0" w:color="000000"/>
            </w:tcBorders>
          </w:tcPr>
          <w:p>
            <w:pP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5"/>
                <w:sz w:val="18"/>
              </w:rPr>
              <w:t>9,098.89</w:t>
            </w:r>
          </w:p>
        </w:tc>
        <w:tc>
          <w:tcPr>
            <w:tcW w:w="134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099"/>
        <w:gridCol w:w="1249"/>
        <w:gridCol w:w="1339"/>
        <w:gridCol w:w="1342"/>
        <w:gridCol w:w="1407"/>
        <w:gridCol w:w="1342"/>
      </w:tblGrid>
      <w:tr>
        <w:trPr>
          <w:trHeight w:val="461" w:hRule="exact"/>
        </w:trPr>
        <w:tc>
          <w:tcPr>
            <w:tcW w:w="10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4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1099" w:type="dxa"/>
            <w:vMerge/>
            <w:tcBorders>
              <w:left w:val="nil" w:sz="6" w:space="0" w:color="auto"/>
              <w:bottom w:val="dotted" w:sz="4" w:space="0" w:color="000000"/>
              <w:right w:val="dotted" w:sz="4" w:space="0" w:color="000000"/>
            </w:tcBorders>
          </w:tcPr>
          <w:p>
            <w:pPr/>
          </w:p>
        </w:tc>
        <w:tc>
          <w:tcPr>
            <w:tcW w:w="1249" w:type="dxa"/>
            <w:vMerge/>
            <w:tcBorders>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099"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1"/>
              <w:jc w:val="left"/>
              <w:rPr>
                <w:rFonts w:ascii="宋体" w:hAnsi="宋体" w:cs="宋体" w:eastAsia="宋体" w:hint="default"/>
                <w:sz w:val="18"/>
                <w:szCs w:val="18"/>
              </w:rPr>
            </w:pPr>
            <w:r>
              <w:rPr>
                <w:rFonts w:ascii="宋体" w:hAnsi="宋体" w:cs="宋体" w:eastAsia="宋体" w:hint="default"/>
                <w:sz w:val="18"/>
                <w:szCs w:val="18"/>
              </w:rPr>
              <w:t>其他应收 款</w:t>
            </w:r>
          </w:p>
        </w:tc>
        <w:tc>
          <w:tcPr>
            <w:tcW w:w="1249"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深圳市合盈</w:t>
            </w:r>
            <w:r>
              <w:rPr>
                <w:rFonts w:ascii="宋体" w:hAnsi="宋体" w:cs="宋体" w:eastAsia="宋体" w:hint="default"/>
                <w:spacing w:val="-57"/>
                <w:sz w:val="18"/>
                <w:szCs w:val="18"/>
              </w:rPr>
              <w:t> </w:t>
            </w:r>
            <w:r>
              <w:rPr>
                <w:rFonts w:ascii="宋体" w:hAnsi="宋体" w:cs="宋体" w:eastAsia="宋体" w:hint="default"/>
                <w:spacing w:val="26"/>
                <w:sz w:val="18"/>
                <w:szCs w:val="18"/>
              </w:rPr>
              <w:t>实业有限公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4,960,002.35</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24,800.01</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2,005,711.29</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10,028.56</w:t>
            </w: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深圳市海农</w:t>
            </w:r>
            <w:r>
              <w:rPr>
                <w:rFonts w:ascii="宋体" w:hAnsi="宋体" w:cs="宋体" w:eastAsia="宋体" w:hint="default"/>
                <w:spacing w:val="-57"/>
                <w:sz w:val="18"/>
                <w:szCs w:val="18"/>
              </w:rPr>
              <w:t> </w:t>
            </w:r>
            <w:r>
              <w:rPr>
                <w:rFonts w:ascii="宋体" w:hAnsi="宋体" w:cs="宋体" w:eastAsia="宋体" w:hint="default"/>
                <w:spacing w:val="26"/>
                <w:sz w:val="18"/>
                <w:szCs w:val="18"/>
              </w:rPr>
              <w:t>食品有限公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7,213,813.76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7,213,813.76</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7,213,813.76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7,213,813.76</w:t>
            </w:r>
          </w:p>
        </w:tc>
      </w:tr>
      <w:tr>
        <w:trPr>
          <w:trHeight w:val="80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left"/>
              <w:rPr>
                <w:rFonts w:ascii="宋体" w:hAnsi="宋体" w:cs="宋体" w:eastAsia="宋体" w:hint="default"/>
                <w:sz w:val="18"/>
                <w:szCs w:val="18"/>
              </w:rPr>
            </w:pPr>
            <w:r>
              <w:rPr>
                <w:rFonts w:ascii="宋体" w:hAnsi="宋体" w:cs="宋体" w:eastAsia="宋体" w:hint="default"/>
                <w:spacing w:val="26"/>
                <w:sz w:val="18"/>
                <w:szCs w:val="18"/>
              </w:rPr>
              <w:t>西安市供销</w:t>
            </w:r>
            <w:r>
              <w:rPr>
                <w:rFonts w:ascii="宋体" w:hAnsi="宋体" w:cs="宋体" w:eastAsia="宋体" w:hint="default"/>
                <w:spacing w:val="-57"/>
                <w:sz w:val="18"/>
                <w:szCs w:val="18"/>
              </w:rPr>
              <w:t> </w:t>
            </w:r>
            <w:r>
              <w:rPr>
                <w:rFonts w:ascii="宋体" w:hAnsi="宋体" w:cs="宋体" w:eastAsia="宋体" w:hint="default"/>
                <w:sz w:val="18"/>
                <w:szCs w:val="18"/>
              </w:rPr>
              <w:t>合作联社</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475,952.82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w w:val="95"/>
                <w:sz w:val="18"/>
              </w:rPr>
              <w:t>2,379.60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475,952.82</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w w:val="95"/>
                <w:sz w:val="18"/>
              </w:rPr>
              <w:t>2,379.60</w:t>
            </w: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广西海吉星</w:t>
            </w:r>
            <w:r>
              <w:rPr>
                <w:rFonts w:ascii="宋体" w:hAnsi="宋体" w:cs="宋体" w:eastAsia="宋体" w:hint="default"/>
                <w:spacing w:val="-57"/>
                <w:sz w:val="18"/>
                <w:szCs w:val="18"/>
              </w:rPr>
              <w:t> </w:t>
            </w:r>
            <w:r>
              <w:rPr>
                <w:rFonts w:ascii="宋体" w:hAnsi="宋体" w:cs="宋体" w:eastAsia="宋体" w:hint="default"/>
                <w:spacing w:val="26"/>
                <w:sz w:val="18"/>
                <w:szCs w:val="18"/>
              </w:rPr>
              <w:t>冻品市场管</w:t>
            </w:r>
            <w:r>
              <w:rPr>
                <w:rFonts w:ascii="宋体" w:hAnsi="宋体" w:cs="宋体" w:eastAsia="宋体" w:hint="default"/>
                <w:spacing w:val="-57"/>
                <w:sz w:val="18"/>
                <w:szCs w:val="18"/>
              </w:rPr>
              <w:t> </w:t>
            </w:r>
            <w:r>
              <w:rPr>
                <w:rFonts w:ascii="宋体" w:hAnsi="宋体" w:cs="宋体" w:eastAsia="宋体" w:hint="default"/>
                <w:sz w:val="18"/>
                <w:szCs w:val="18"/>
              </w:rPr>
              <w:t>理有限公司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36,069,684.96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180,348.42</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23,519,533.45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117,597.67</w:t>
            </w:r>
          </w:p>
        </w:tc>
      </w:tr>
      <w:tr>
        <w:trPr>
          <w:trHeight w:val="44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5,508,067.20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27,540.34</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8,262,100.80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41,310.50</w:t>
            </w: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南昌深农冷</w:t>
            </w:r>
            <w:r>
              <w:rPr>
                <w:rFonts w:ascii="宋体" w:hAnsi="宋体" w:cs="宋体" w:eastAsia="宋体" w:hint="default"/>
                <w:spacing w:val="-57"/>
                <w:sz w:val="18"/>
                <w:szCs w:val="18"/>
              </w:rPr>
              <w:t> </w:t>
            </w:r>
            <w:r>
              <w:rPr>
                <w:rFonts w:ascii="宋体" w:hAnsi="宋体" w:cs="宋体" w:eastAsia="宋体" w:hint="default"/>
                <w:spacing w:val="26"/>
                <w:sz w:val="18"/>
                <w:szCs w:val="18"/>
              </w:rPr>
              <w:t>链物流有限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19,571,679.04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97,858.40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21,575,023.30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107,875.12</w:t>
            </w: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深圳市农产</w:t>
            </w:r>
            <w:r>
              <w:rPr>
                <w:rFonts w:ascii="宋体" w:hAnsi="宋体" w:cs="宋体" w:eastAsia="宋体" w:hint="default"/>
                <w:spacing w:val="-57"/>
                <w:sz w:val="18"/>
                <w:szCs w:val="18"/>
              </w:rPr>
              <w:t> </w:t>
            </w:r>
            <w:r>
              <w:rPr>
                <w:rFonts w:ascii="宋体" w:hAnsi="宋体" w:cs="宋体" w:eastAsia="宋体" w:hint="default"/>
                <w:spacing w:val="26"/>
                <w:sz w:val="18"/>
                <w:szCs w:val="18"/>
              </w:rPr>
              <w:t>品融资担保</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8,035,366.63</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40,176.83</w:t>
            </w: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云南天露高</w:t>
            </w:r>
            <w:r>
              <w:rPr>
                <w:rFonts w:ascii="宋体" w:hAnsi="宋体" w:cs="宋体" w:eastAsia="宋体" w:hint="default"/>
                <w:spacing w:val="-57"/>
                <w:sz w:val="18"/>
                <w:szCs w:val="18"/>
              </w:rPr>
              <w:t> </w:t>
            </w:r>
            <w:r>
              <w:rPr>
                <w:rFonts w:ascii="宋体" w:hAnsi="宋体" w:cs="宋体" w:eastAsia="宋体" w:hint="default"/>
                <w:spacing w:val="26"/>
                <w:sz w:val="18"/>
                <w:szCs w:val="18"/>
              </w:rPr>
              <w:t>原果蔬有限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34,721,407.78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173,607.04</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20,969,898.22</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104,849.49</w:t>
            </w:r>
          </w:p>
        </w:tc>
      </w:tr>
      <w:tr>
        <w:trPr>
          <w:trHeight w:val="152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广西海吉星</w:t>
            </w:r>
            <w:r>
              <w:rPr>
                <w:rFonts w:ascii="宋体" w:hAnsi="宋体" w:cs="宋体" w:eastAsia="宋体" w:hint="default"/>
                <w:spacing w:val="-57"/>
                <w:sz w:val="18"/>
                <w:szCs w:val="18"/>
              </w:rPr>
              <w:t> </w:t>
            </w:r>
            <w:r>
              <w:rPr>
                <w:rFonts w:ascii="宋体" w:hAnsi="宋体" w:cs="宋体" w:eastAsia="宋体" w:hint="default"/>
                <w:spacing w:val="26"/>
                <w:sz w:val="18"/>
                <w:szCs w:val="18"/>
              </w:rPr>
              <w:t>冻品市场管</w:t>
            </w:r>
            <w:r>
              <w:rPr>
                <w:rFonts w:ascii="宋体" w:hAnsi="宋体" w:cs="宋体" w:eastAsia="宋体" w:hint="default"/>
                <w:spacing w:val="-57"/>
                <w:sz w:val="18"/>
                <w:szCs w:val="18"/>
              </w:rPr>
              <w:t> </w:t>
            </w:r>
            <w:r>
              <w:rPr>
                <w:rFonts w:ascii="宋体" w:hAnsi="宋体" w:cs="宋体" w:eastAsia="宋体" w:hint="default"/>
                <w:spacing w:val="26"/>
                <w:sz w:val="18"/>
                <w:szCs w:val="18"/>
              </w:rPr>
              <w:t>理有限公司</w:t>
            </w:r>
            <w:r>
              <w:rPr>
                <w:rFonts w:ascii="宋体" w:hAnsi="宋体" w:cs="宋体" w:eastAsia="宋体" w:hint="default"/>
                <w:spacing w:val="-57"/>
                <w:sz w:val="18"/>
                <w:szCs w:val="18"/>
              </w:rPr>
              <w:t> </w:t>
            </w:r>
            <w:r>
              <w:rPr>
                <w:rFonts w:ascii="宋体" w:hAnsi="宋体" w:cs="宋体" w:eastAsia="宋体" w:hint="default"/>
                <w:sz w:val="18"/>
                <w:szCs w:val="18"/>
              </w:rPr>
              <w:t>深圳分公司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15,000.00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1541" w:hRule="exact"/>
        </w:trPr>
        <w:tc>
          <w:tcPr>
            <w:tcW w:w="1099" w:type="dxa"/>
            <w:tcBorders>
              <w:top w:val="dotted" w:sz="4" w:space="0" w:color="000000"/>
              <w:left w:val="nil" w:sz="6" w:space="0" w:color="auto"/>
              <w:bottom w:val="single" w:sz="12" w:space="0" w:color="000000"/>
              <w:right w:val="dotted" w:sz="4" w:space="0" w:color="000000"/>
            </w:tcBorders>
          </w:tcPr>
          <w:p>
            <w:pPr/>
          </w:p>
        </w:tc>
        <w:tc>
          <w:tcPr>
            <w:tcW w:w="1249" w:type="dxa"/>
            <w:tcBorders>
              <w:top w:val="dotted" w:sz="4" w:space="0" w:color="000000"/>
              <w:left w:val="dotted" w:sz="4" w:space="0" w:color="000000"/>
              <w:bottom w:val="single" w:sz="12"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深圳市民润</w:t>
            </w:r>
            <w:r>
              <w:rPr>
                <w:rFonts w:ascii="宋体" w:hAnsi="宋体" w:cs="宋体" w:eastAsia="宋体" w:hint="default"/>
                <w:spacing w:val="-57"/>
                <w:sz w:val="18"/>
                <w:szCs w:val="18"/>
              </w:rPr>
              <w:t> </w:t>
            </w:r>
            <w:r>
              <w:rPr>
                <w:rFonts w:ascii="宋体" w:hAnsi="宋体" w:cs="宋体" w:eastAsia="宋体" w:hint="default"/>
                <w:spacing w:val="26"/>
                <w:sz w:val="18"/>
                <w:szCs w:val="18"/>
              </w:rPr>
              <w:t>农产品配送</w:t>
            </w:r>
            <w:r>
              <w:rPr>
                <w:rFonts w:ascii="宋体" w:hAnsi="宋体" w:cs="宋体" w:eastAsia="宋体" w:hint="default"/>
                <w:spacing w:val="-57"/>
                <w:sz w:val="18"/>
                <w:szCs w:val="18"/>
              </w:rPr>
              <w:t> </w:t>
            </w:r>
            <w:r>
              <w:rPr>
                <w:rFonts w:ascii="宋体" w:hAnsi="宋体" w:cs="宋体" w:eastAsia="宋体" w:hint="default"/>
                <w:spacing w:val="26"/>
                <w:sz w:val="18"/>
                <w:szCs w:val="18"/>
              </w:rPr>
              <w:t>连锁商业有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194,731,721.26</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6"/>
              <w:jc w:val="right"/>
              <w:rPr>
                <w:rFonts w:ascii="Times New Roman" w:hAnsi="Times New Roman" w:cs="Times New Roman" w:eastAsia="Times New Roman" w:hint="default"/>
                <w:sz w:val="18"/>
                <w:szCs w:val="18"/>
              </w:rPr>
            </w:pPr>
            <w:r>
              <w:rPr>
                <w:rFonts w:ascii="Times New Roman"/>
                <w:spacing w:val="-1"/>
                <w:sz w:val="18"/>
              </w:rPr>
              <w:t>189,731,721.26</w:t>
            </w:r>
          </w:p>
        </w:tc>
      </w:tr>
    </w:tbl>
    <w:p>
      <w:pPr>
        <w:spacing w:after="0" w:line="240" w:lineRule="auto"/>
        <w:jc w:val="right"/>
        <w:rPr>
          <w:rFonts w:ascii="Times New Roman" w:hAnsi="Times New Roman" w:cs="Times New Roman" w:eastAsia="Times New Roman" w:hint="default"/>
          <w:sz w:val="18"/>
          <w:szCs w:val="18"/>
        </w:rPr>
        <w:sectPr>
          <w:footerReference w:type="default" r:id="rId129"/>
          <w:pgSz w:w="11910" w:h="16840"/>
          <w:pgMar w:footer="996" w:header="774" w:top="1000" w:bottom="1180" w:left="166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099"/>
        <w:gridCol w:w="1249"/>
        <w:gridCol w:w="1339"/>
        <w:gridCol w:w="1342"/>
        <w:gridCol w:w="1407"/>
        <w:gridCol w:w="1342"/>
      </w:tblGrid>
      <w:tr>
        <w:trPr>
          <w:trHeight w:val="461" w:hRule="exact"/>
        </w:trPr>
        <w:tc>
          <w:tcPr>
            <w:tcW w:w="10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4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1099" w:type="dxa"/>
            <w:vMerge/>
            <w:tcBorders>
              <w:left w:val="nil" w:sz="6" w:space="0" w:color="auto"/>
              <w:bottom w:val="dotted" w:sz="4" w:space="0" w:color="000000"/>
              <w:right w:val="dotted" w:sz="4" w:space="0" w:color="000000"/>
            </w:tcBorders>
          </w:tcPr>
          <w:p>
            <w:pPr/>
          </w:p>
        </w:tc>
        <w:tc>
          <w:tcPr>
            <w:tcW w:w="1249" w:type="dxa"/>
            <w:vMerge/>
            <w:tcBorders>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深圳市益民</w:t>
            </w:r>
            <w:r>
              <w:rPr>
                <w:rFonts w:ascii="宋体" w:hAnsi="宋体" w:cs="宋体" w:eastAsia="宋体" w:hint="default"/>
                <w:spacing w:val="-57"/>
                <w:sz w:val="18"/>
                <w:szCs w:val="18"/>
              </w:rPr>
              <w:t> </w:t>
            </w:r>
            <w:r>
              <w:rPr>
                <w:rFonts w:ascii="宋体" w:hAnsi="宋体" w:cs="宋体" w:eastAsia="宋体" w:hint="default"/>
                <w:spacing w:val="26"/>
                <w:sz w:val="18"/>
                <w:szCs w:val="18"/>
              </w:rPr>
              <w:t>食品联合有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398,219.68</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w w:val="95"/>
                <w:sz w:val="18"/>
              </w:rPr>
              <w:t>1,991.10</w:t>
            </w: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深圳市泰美</w:t>
            </w:r>
            <w:r>
              <w:rPr>
                <w:rFonts w:ascii="宋体" w:hAnsi="宋体" w:cs="宋体" w:eastAsia="宋体" w:hint="default"/>
                <w:spacing w:val="-57"/>
                <w:sz w:val="18"/>
                <w:szCs w:val="18"/>
              </w:rPr>
              <w:t> </w:t>
            </w:r>
            <w:r>
              <w:rPr>
                <w:rFonts w:ascii="宋体" w:hAnsi="宋体" w:cs="宋体" w:eastAsia="宋体" w:hint="default"/>
                <w:spacing w:val="26"/>
                <w:sz w:val="18"/>
                <w:szCs w:val="18"/>
              </w:rPr>
              <w:t>珠宝发展有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63,448.82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317.24</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61,274.59</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306.37</w:t>
            </w:r>
          </w:p>
        </w:tc>
      </w:tr>
      <w:tr>
        <w:trPr>
          <w:trHeight w:val="153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深圳市海吉</w:t>
            </w:r>
            <w:r>
              <w:rPr>
                <w:rFonts w:ascii="宋体" w:hAnsi="宋体" w:cs="宋体" w:eastAsia="宋体" w:hint="default"/>
                <w:spacing w:val="-57"/>
                <w:sz w:val="18"/>
                <w:szCs w:val="18"/>
              </w:rPr>
              <w:t> </w:t>
            </w:r>
            <w:r>
              <w:rPr>
                <w:rFonts w:ascii="宋体" w:hAnsi="宋体" w:cs="宋体" w:eastAsia="宋体" w:hint="default"/>
                <w:spacing w:val="26"/>
                <w:sz w:val="18"/>
                <w:szCs w:val="18"/>
              </w:rPr>
              <w:t>星互联网金</w:t>
            </w:r>
            <w:r>
              <w:rPr>
                <w:rFonts w:ascii="宋体" w:hAnsi="宋体" w:cs="宋体" w:eastAsia="宋体" w:hint="default"/>
                <w:spacing w:val="-57"/>
                <w:sz w:val="18"/>
                <w:szCs w:val="18"/>
              </w:rPr>
              <w:t> </w:t>
            </w:r>
            <w:r>
              <w:rPr>
                <w:rFonts w:ascii="宋体" w:hAnsi="宋体" w:cs="宋体" w:eastAsia="宋体" w:hint="default"/>
                <w:spacing w:val="26"/>
                <w:sz w:val="18"/>
                <w:szCs w:val="18"/>
              </w:rPr>
              <w:t>融信息服务</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152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广西北投星</w:t>
            </w:r>
            <w:r>
              <w:rPr>
                <w:rFonts w:ascii="宋体" w:hAnsi="宋体" w:cs="宋体" w:eastAsia="宋体" w:hint="default"/>
                <w:spacing w:val="-57"/>
                <w:sz w:val="18"/>
                <w:szCs w:val="18"/>
              </w:rPr>
              <w:t> </w:t>
            </w:r>
            <w:r>
              <w:rPr>
                <w:rFonts w:ascii="宋体" w:hAnsi="宋体" w:cs="宋体" w:eastAsia="宋体" w:hint="default"/>
                <w:spacing w:val="26"/>
                <w:sz w:val="18"/>
                <w:szCs w:val="18"/>
              </w:rPr>
              <w:t>联国际供应</w:t>
            </w:r>
            <w:r>
              <w:rPr>
                <w:rFonts w:ascii="宋体" w:hAnsi="宋体" w:cs="宋体" w:eastAsia="宋体" w:hint="default"/>
                <w:spacing w:val="-57"/>
                <w:sz w:val="18"/>
                <w:szCs w:val="18"/>
              </w:rPr>
              <w:t> </w:t>
            </w:r>
            <w:r>
              <w:rPr>
                <w:rFonts w:ascii="宋体" w:hAnsi="宋体" w:cs="宋体" w:eastAsia="宋体" w:hint="default"/>
                <w:spacing w:val="26"/>
                <w:sz w:val="18"/>
                <w:szCs w:val="18"/>
              </w:rPr>
              <w:t>链管理有限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13,031.52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65.16</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312,207.75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w w:val="95"/>
                <w:sz w:val="18"/>
              </w:rPr>
              <w:t>1,561.04</w:t>
            </w: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桂林海吉星</w:t>
            </w:r>
            <w:r>
              <w:rPr>
                <w:rFonts w:ascii="宋体" w:hAnsi="宋体" w:cs="宋体" w:eastAsia="宋体" w:hint="default"/>
                <w:spacing w:val="-57"/>
                <w:sz w:val="18"/>
                <w:szCs w:val="18"/>
              </w:rPr>
              <w:t> </w:t>
            </w:r>
            <w:r>
              <w:rPr>
                <w:rFonts w:ascii="宋体" w:hAnsi="宋体" w:cs="宋体" w:eastAsia="宋体" w:hint="default"/>
                <w:spacing w:val="26"/>
                <w:sz w:val="18"/>
                <w:szCs w:val="18"/>
              </w:rPr>
              <w:t>农产品集团</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41,082,507.54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205,412.54</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152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合肥周谷堆</w:t>
            </w:r>
            <w:r>
              <w:rPr>
                <w:rFonts w:ascii="宋体" w:hAnsi="宋体" w:cs="宋体" w:eastAsia="宋体" w:hint="default"/>
                <w:spacing w:val="-57"/>
                <w:sz w:val="18"/>
                <w:szCs w:val="18"/>
              </w:rPr>
              <w:t> </w:t>
            </w:r>
            <w:r>
              <w:rPr>
                <w:rFonts w:ascii="宋体" w:hAnsi="宋体" w:cs="宋体" w:eastAsia="宋体" w:hint="default"/>
                <w:spacing w:val="26"/>
                <w:sz w:val="18"/>
                <w:szCs w:val="18"/>
              </w:rPr>
              <w:t>农产品批发</w:t>
            </w:r>
            <w:r>
              <w:rPr>
                <w:rFonts w:ascii="宋体" w:hAnsi="宋体" w:cs="宋体" w:eastAsia="宋体" w:hint="default"/>
                <w:spacing w:val="-57"/>
                <w:sz w:val="18"/>
                <w:szCs w:val="18"/>
              </w:rPr>
              <w:t> </w:t>
            </w:r>
            <w:r>
              <w:rPr>
                <w:rFonts w:ascii="宋体" w:hAnsi="宋体" w:cs="宋体" w:eastAsia="宋体" w:hint="default"/>
                <w:spacing w:val="26"/>
                <w:sz w:val="18"/>
                <w:szCs w:val="18"/>
              </w:rPr>
              <w:t>市场股份有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144,074,068.86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720,370.34</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156,067,245.50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780,336.23</w:t>
            </w: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8"/>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深圳市农产</w:t>
            </w:r>
            <w:r>
              <w:rPr>
                <w:rFonts w:ascii="宋体" w:hAnsi="宋体" w:cs="宋体" w:eastAsia="宋体" w:hint="default"/>
                <w:spacing w:val="-57"/>
                <w:sz w:val="18"/>
                <w:szCs w:val="18"/>
              </w:rPr>
              <w:t> </w:t>
            </w:r>
            <w:r>
              <w:rPr>
                <w:rFonts w:ascii="宋体" w:hAnsi="宋体" w:cs="宋体" w:eastAsia="宋体" w:hint="default"/>
                <w:spacing w:val="26"/>
                <w:sz w:val="18"/>
                <w:szCs w:val="18"/>
              </w:rPr>
              <w:t>品肉类配送</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621,000.00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621,000.00</w:t>
            </w: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4"/>
                <w:sz w:val="18"/>
                <w:szCs w:val="18"/>
              </w:rPr>
              <w:t>深圳市龙</w:t>
            </w:r>
            <w:r>
              <w:rPr>
                <w:rFonts w:ascii="宋体" w:hAnsi="宋体" w:cs="宋体" w:eastAsia="宋体" w:hint="default"/>
                <w:spacing w:val="-55"/>
                <w:sz w:val="18"/>
                <w:szCs w:val="18"/>
              </w:rPr>
              <w:t> </w:t>
            </w:r>
            <w:r>
              <w:rPr>
                <w:rFonts w:ascii="宋体" w:hAnsi="宋体" w:cs="宋体" w:eastAsia="宋体" w:hint="default"/>
                <w:sz w:val="18"/>
                <w:szCs w:val="18"/>
              </w:rPr>
              <w:t>江</w:t>
            </w:r>
            <w:r>
              <w:rPr>
                <w:rFonts w:ascii="宋体" w:hAnsi="宋体" w:cs="宋体" w:eastAsia="宋体" w:hint="default"/>
                <w:sz w:val="18"/>
                <w:szCs w:val="18"/>
              </w:rPr>
              <w:t> </w:t>
            </w:r>
            <w:r>
              <w:rPr>
                <w:rFonts w:ascii="宋体" w:hAnsi="宋体" w:cs="宋体" w:eastAsia="宋体" w:hint="default"/>
                <w:spacing w:val="26"/>
                <w:sz w:val="18"/>
                <w:szCs w:val="18"/>
              </w:rPr>
              <w:t>生猪批发市</w:t>
            </w:r>
            <w:r>
              <w:rPr>
                <w:rFonts w:ascii="宋体" w:hAnsi="宋体" w:cs="宋体" w:eastAsia="宋体" w:hint="default"/>
                <w:spacing w:val="-57"/>
                <w:sz w:val="18"/>
                <w:szCs w:val="18"/>
              </w:rPr>
              <w:t> </w:t>
            </w:r>
            <w:r>
              <w:rPr>
                <w:rFonts w:ascii="宋体" w:hAnsi="宋体" w:cs="宋体" w:eastAsia="宋体" w:hint="default"/>
                <w:sz w:val="18"/>
                <w:szCs w:val="18"/>
              </w:rPr>
              <w:t>场</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1,780,000.00</w:t>
            </w: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深圳市信祥</w:t>
            </w:r>
            <w:r>
              <w:rPr>
                <w:rFonts w:ascii="宋体" w:hAnsi="宋体" w:cs="宋体" w:eastAsia="宋体" w:hint="default"/>
                <w:spacing w:val="-57"/>
                <w:sz w:val="18"/>
                <w:szCs w:val="18"/>
              </w:rPr>
              <w:t> </w:t>
            </w:r>
            <w:r>
              <w:rPr>
                <w:rFonts w:ascii="宋体" w:hAnsi="宋体" w:cs="宋体" w:eastAsia="宋体" w:hint="default"/>
                <w:spacing w:val="26"/>
                <w:sz w:val="18"/>
                <w:szCs w:val="18"/>
              </w:rPr>
              <w:t>投资发展有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56,992,748.07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284,963.74</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56,717,681.23</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283,588.41</w:t>
            </w:r>
          </w:p>
        </w:tc>
      </w:tr>
      <w:tr>
        <w:trPr>
          <w:trHeight w:val="1181" w:hRule="exact"/>
        </w:trPr>
        <w:tc>
          <w:tcPr>
            <w:tcW w:w="1099" w:type="dxa"/>
            <w:tcBorders>
              <w:top w:val="dotted" w:sz="4" w:space="0" w:color="000000"/>
              <w:left w:val="nil" w:sz="6" w:space="0" w:color="auto"/>
              <w:bottom w:val="single" w:sz="12" w:space="0" w:color="000000"/>
              <w:right w:val="dotted" w:sz="4" w:space="0" w:color="000000"/>
            </w:tcBorders>
          </w:tcPr>
          <w:p>
            <w:pPr/>
          </w:p>
        </w:tc>
        <w:tc>
          <w:tcPr>
            <w:tcW w:w="1249" w:type="dxa"/>
            <w:tcBorders>
              <w:top w:val="dotted" w:sz="4" w:space="0" w:color="000000"/>
              <w:left w:val="dotted" w:sz="4" w:space="0" w:color="000000"/>
              <w:bottom w:val="single" w:sz="12"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深圳市中农</w:t>
            </w:r>
            <w:r>
              <w:rPr>
                <w:rFonts w:ascii="宋体" w:hAnsi="宋体" w:cs="宋体" w:eastAsia="宋体" w:hint="default"/>
                <w:spacing w:val="-57"/>
                <w:sz w:val="18"/>
                <w:szCs w:val="18"/>
              </w:rPr>
              <w:t> </w:t>
            </w:r>
            <w:r>
              <w:rPr>
                <w:rFonts w:ascii="宋体" w:hAnsi="宋体" w:cs="宋体" w:eastAsia="宋体" w:hint="default"/>
                <w:spacing w:val="26"/>
                <w:sz w:val="18"/>
                <w:szCs w:val="18"/>
              </w:rPr>
              <w:t>水产股份有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10,283,012.51</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51,415.06</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099"/>
        <w:gridCol w:w="1249"/>
        <w:gridCol w:w="1339"/>
        <w:gridCol w:w="1342"/>
        <w:gridCol w:w="1407"/>
        <w:gridCol w:w="1342"/>
      </w:tblGrid>
      <w:tr>
        <w:trPr>
          <w:trHeight w:val="461" w:hRule="exact"/>
        </w:trPr>
        <w:tc>
          <w:tcPr>
            <w:tcW w:w="10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4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1099" w:type="dxa"/>
            <w:vMerge/>
            <w:tcBorders>
              <w:left w:val="nil" w:sz="6" w:space="0" w:color="auto"/>
              <w:bottom w:val="dotted" w:sz="4" w:space="0" w:color="000000"/>
              <w:right w:val="dotted" w:sz="4" w:space="0" w:color="000000"/>
            </w:tcBorders>
          </w:tcPr>
          <w:p>
            <w:pPr/>
          </w:p>
        </w:tc>
        <w:tc>
          <w:tcPr>
            <w:tcW w:w="1249" w:type="dxa"/>
            <w:vMerge/>
            <w:tcBorders>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深圳市中农</w:t>
            </w:r>
            <w:r>
              <w:rPr>
                <w:rFonts w:ascii="宋体" w:hAnsi="宋体" w:cs="宋体" w:eastAsia="宋体" w:hint="default"/>
                <w:spacing w:val="-57"/>
                <w:sz w:val="18"/>
                <w:szCs w:val="18"/>
              </w:rPr>
              <w:t> </w:t>
            </w:r>
            <w:r>
              <w:rPr>
                <w:rFonts w:ascii="宋体" w:hAnsi="宋体" w:cs="宋体" w:eastAsia="宋体" w:hint="default"/>
                <w:spacing w:val="26"/>
                <w:sz w:val="18"/>
                <w:szCs w:val="18"/>
              </w:rPr>
              <w:t>网股份有限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60.00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12,000.00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z w:val="18"/>
              </w:rPr>
              <w:t>60.00</w:t>
            </w:r>
          </w:p>
        </w:tc>
      </w:tr>
      <w:tr>
        <w:trPr>
          <w:trHeight w:val="152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7"/>
              <w:jc w:val="both"/>
              <w:rPr>
                <w:rFonts w:ascii="宋体" w:hAnsi="宋体" w:cs="宋体" w:eastAsia="宋体" w:hint="default"/>
                <w:sz w:val="18"/>
                <w:szCs w:val="18"/>
              </w:rPr>
            </w:pPr>
            <w:r>
              <w:rPr>
                <w:rFonts w:ascii="宋体" w:hAnsi="宋体" w:cs="宋体" w:eastAsia="宋体" w:hint="default"/>
                <w:spacing w:val="26"/>
                <w:sz w:val="18"/>
                <w:szCs w:val="18"/>
              </w:rPr>
              <w:t>武汉城市圈</w:t>
            </w:r>
            <w:r>
              <w:rPr>
                <w:rFonts w:ascii="宋体" w:hAnsi="宋体" w:cs="宋体" w:eastAsia="宋体" w:hint="default"/>
                <w:spacing w:val="-57"/>
                <w:sz w:val="18"/>
                <w:szCs w:val="18"/>
              </w:rPr>
              <w:t> </w:t>
            </w:r>
            <w:r>
              <w:rPr>
                <w:rFonts w:ascii="宋体" w:hAnsi="宋体" w:cs="宋体" w:eastAsia="宋体" w:hint="default"/>
                <w:spacing w:val="26"/>
                <w:sz w:val="18"/>
                <w:szCs w:val="18"/>
              </w:rPr>
              <w:t>海吉星农产</w:t>
            </w:r>
            <w:r>
              <w:rPr>
                <w:rFonts w:ascii="宋体" w:hAnsi="宋体" w:cs="宋体" w:eastAsia="宋体" w:hint="default"/>
                <w:spacing w:val="-57"/>
                <w:sz w:val="18"/>
                <w:szCs w:val="18"/>
              </w:rPr>
              <w:t> </w:t>
            </w:r>
            <w:r>
              <w:rPr>
                <w:rFonts w:ascii="宋体" w:hAnsi="宋体" w:cs="宋体" w:eastAsia="宋体" w:hint="default"/>
                <w:spacing w:val="22"/>
                <w:sz w:val="18"/>
                <w:szCs w:val="18"/>
              </w:rPr>
              <w:t>品物流</w:t>
            </w:r>
            <w:r>
              <w:rPr>
                <w:rFonts w:ascii="宋体" w:hAnsi="宋体" w:cs="宋体" w:eastAsia="宋体" w:hint="default"/>
                <w:spacing w:val="-56"/>
                <w:sz w:val="18"/>
                <w:szCs w:val="18"/>
              </w:rPr>
              <w:t> </w:t>
            </w:r>
            <w:r>
              <w:rPr>
                <w:rFonts w:ascii="宋体" w:hAnsi="宋体" w:cs="宋体" w:eastAsia="宋体" w:hint="default"/>
                <w:spacing w:val="16"/>
                <w:sz w:val="18"/>
                <w:szCs w:val="18"/>
              </w:rPr>
              <w:t>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134,106,740.89</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670,533.70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50,786,150.14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253,930.75</w:t>
            </w:r>
          </w:p>
        </w:tc>
      </w:tr>
      <w:tr>
        <w:trPr>
          <w:trHeight w:val="81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left"/>
              <w:rPr>
                <w:rFonts w:ascii="宋体" w:hAnsi="宋体" w:cs="宋体" w:eastAsia="宋体" w:hint="default"/>
                <w:sz w:val="18"/>
                <w:szCs w:val="18"/>
              </w:rPr>
            </w:pPr>
            <w:r>
              <w:rPr>
                <w:rFonts w:ascii="宋体" w:hAnsi="宋体" w:cs="宋体" w:eastAsia="宋体" w:hint="default"/>
                <w:spacing w:val="26"/>
                <w:sz w:val="18"/>
                <w:szCs w:val="18"/>
              </w:rPr>
              <w:t>湖南同超控</w:t>
            </w:r>
            <w:r>
              <w:rPr>
                <w:rFonts w:ascii="宋体" w:hAnsi="宋体" w:cs="宋体" w:eastAsia="宋体" w:hint="default"/>
                <w:spacing w:val="-57"/>
                <w:sz w:val="18"/>
                <w:szCs w:val="18"/>
              </w:rPr>
              <w:t> </w:t>
            </w:r>
            <w:r>
              <w:rPr>
                <w:rFonts w:ascii="宋体" w:hAnsi="宋体" w:cs="宋体" w:eastAsia="宋体" w:hint="default"/>
                <w:sz w:val="18"/>
                <w:szCs w:val="18"/>
              </w:rPr>
              <w:t>股有限公司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2,816.00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14.08</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287,398.34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1,436.99</w:t>
            </w:r>
          </w:p>
        </w:tc>
      </w:tr>
      <w:tr>
        <w:trPr>
          <w:trHeight w:val="152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深圳市光明</w:t>
            </w:r>
            <w:r>
              <w:rPr>
                <w:rFonts w:ascii="宋体" w:hAnsi="宋体" w:cs="宋体" w:eastAsia="宋体" w:hint="default"/>
                <w:spacing w:val="-57"/>
                <w:sz w:val="18"/>
                <w:szCs w:val="18"/>
              </w:rPr>
              <w:t> </w:t>
            </w:r>
            <w:r>
              <w:rPr>
                <w:rFonts w:ascii="宋体" w:hAnsi="宋体" w:cs="宋体" w:eastAsia="宋体" w:hint="default"/>
                <w:spacing w:val="26"/>
                <w:sz w:val="18"/>
                <w:szCs w:val="18"/>
              </w:rPr>
              <w:t>海吉星农产</w:t>
            </w:r>
            <w:r>
              <w:rPr>
                <w:rFonts w:ascii="宋体" w:hAnsi="宋体" w:cs="宋体" w:eastAsia="宋体" w:hint="default"/>
                <w:spacing w:val="-57"/>
                <w:sz w:val="18"/>
                <w:szCs w:val="18"/>
              </w:rPr>
              <w:t> </w:t>
            </w:r>
            <w:r>
              <w:rPr>
                <w:rFonts w:ascii="宋体" w:hAnsi="宋体" w:cs="宋体" w:eastAsia="宋体" w:hint="default"/>
                <w:spacing w:val="26"/>
                <w:sz w:val="18"/>
                <w:szCs w:val="18"/>
              </w:rPr>
              <w:t>品产业发展</w:t>
            </w:r>
            <w:r>
              <w:rPr>
                <w:rFonts w:ascii="宋体" w:hAnsi="宋体" w:cs="宋体" w:eastAsia="宋体" w:hint="default"/>
                <w:spacing w:val="-57"/>
                <w:sz w:val="18"/>
                <w:szCs w:val="18"/>
              </w:rPr>
              <w:t> </w:t>
            </w:r>
            <w:r>
              <w:rPr>
                <w:rFonts w:ascii="宋体" w:hAnsi="宋体" w:cs="宋体" w:eastAsia="宋体" w:hint="default"/>
                <w:sz w:val="18"/>
                <w:szCs w:val="18"/>
              </w:rPr>
              <w:t>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3,548,802.37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17,744.01</w:t>
            </w: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8"/>
              <w:ind w:left="100" w:right="55"/>
              <w:jc w:val="both"/>
              <w:rPr>
                <w:rFonts w:ascii="宋体" w:hAnsi="宋体" w:cs="宋体" w:eastAsia="宋体" w:hint="default"/>
                <w:sz w:val="18"/>
                <w:szCs w:val="18"/>
              </w:rPr>
            </w:pPr>
            <w:r>
              <w:rPr>
                <w:rFonts w:ascii="宋体" w:hAnsi="宋体" w:cs="宋体" w:eastAsia="宋体" w:hint="default"/>
                <w:spacing w:val="26"/>
                <w:sz w:val="18"/>
                <w:szCs w:val="18"/>
              </w:rPr>
              <w:t>深圳市英龙</w:t>
            </w:r>
            <w:r>
              <w:rPr>
                <w:rFonts w:ascii="宋体" w:hAnsi="宋体" w:cs="宋体" w:eastAsia="宋体" w:hint="default"/>
                <w:spacing w:val="-57"/>
                <w:sz w:val="18"/>
                <w:szCs w:val="18"/>
              </w:rPr>
              <w:t> </w:t>
            </w:r>
            <w:r>
              <w:rPr>
                <w:rFonts w:ascii="宋体" w:hAnsi="宋体" w:cs="宋体" w:eastAsia="宋体" w:hint="default"/>
                <w:sz w:val="18"/>
                <w:szCs w:val="18"/>
              </w:rPr>
              <w:t>建安（集团）</w:t>
            </w:r>
            <w:r>
              <w:rPr>
                <w:rFonts w:ascii="宋体" w:hAnsi="宋体" w:cs="宋体" w:eastAsia="宋体" w:hint="default"/>
                <w:sz w:val="18"/>
                <w:szCs w:val="18"/>
              </w:rPr>
              <w:t> 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w w:val="95"/>
                <w:sz w:val="18"/>
              </w:rPr>
              <w:t>7,904.64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39.52</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329,550.16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w w:val="95"/>
                <w:sz w:val="18"/>
              </w:rPr>
              <w:t>1,647.75</w:t>
            </w: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0" w:right="68"/>
              <w:jc w:val="both"/>
              <w:rPr>
                <w:rFonts w:ascii="宋体" w:hAnsi="宋体" w:cs="宋体" w:eastAsia="宋体" w:hint="default"/>
                <w:sz w:val="18"/>
                <w:szCs w:val="18"/>
              </w:rPr>
            </w:pPr>
            <w:r>
              <w:rPr>
                <w:rFonts w:ascii="宋体" w:hAnsi="宋体" w:cs="宋体" w:eastAsia="宋体" w:hint="default"/>
                <w:spacing w:val="26"/>
                <w:sz w:val="18"/>
                <w:szCs w:val="18"/>
              </w:rPr>
              <w:t>天津海吉星</w:t>
            </w:r>
            <w:r>
              <w:rPr>
                <w:rFonts w:ascii="宋体" w:hAnsi="宋体" w:cs="宋体" w:eastAsia="宋体" w:hint="default"/>
                <w:spacing w:val="-57"/>
                <w:sz w:val="18"/>
                <w:szCs w:val="18"/>
              </w:rPr>
              <w:t> </w:t>
            </w:r>
            <w:r>
              <w:rPr>
                <w:rFonts w:ascii="宋体" w:hAnsi="宋体" w:cs="宋体" w:eastAsia="宋体" w:hint="default"/>
                <w:spacing w:val="26"/>
                <w:sz w:val="18"/>
                <w:szCs w:val="18"/>
              </w:rPr>
              <w:t>建设有限公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49,222,346.48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2"/>
                <w:sz w:val="18"/>
              </w:rPr>
              <w:t>246,111.73</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51,940,445.52</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pacing w:val="-1"/>
                <w:sz w:val="18"/>
              </w:rPr>
              <w:t>259,702.23</w:t>
            </w:r>
          </w:p>
        </w:tc>
      </w:tr>
      <w:tr>
        <w:trPr>
          <w:trHeight w:val="1172"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天津海吉星</w:t>
            </w:r>
            <w:r>
              <w:rPr>
                <w:rFonts w:ascii="宋体" w:hAnsi="宋体" w:cs="宋体" w:eastAsia="宋体" w:hint="default"/>
                <w:spacing w:val="-57"/>
                <w:sz w:val="18"/>
                <w:szCs w:val="18"/>
              </w:rPr>
              <w:t> </w:t>
            </w:r>
            <w:r>
              <w:rPr>
                <w:rFonts w:ascii="宋体" w:hAnsi="宋体" w:cs="宋体" w:eastAsia="宋体" w:hint="default"/>
                <w:spacing w:val="26"/>
                <w:sz w:val="18"/>
                <w:szCs w:val="18"/>
              </w:rPr>
              <w:t>投资发展有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155,810,255.07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779,051.28</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164,414,227.19</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822,071.14</w:t>
            </w:r>
          </w:p>
        </w:tc>
      </w:tr>
      <w:tr>
        <w:trPr>
          <w:trHeight w:val="1169" w:hRule="exact"/>
        </w:trPr>
        <w:tc>
          <w:tcPr>
            <w:tcW w:w="1099"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48"/>
              <w:jc w:val="both"/>
              <w:rPr>
                <w:rFonts w:ascii="宋体" w:hAnsi="宋体" w:cs="宋体" w:eastAsia="宋体" w:hint="default"/>
                <w:sz w:val="18"/>
                <w:szCs w:val="18"/>
              </w:rPr>
            </w:pPr>
            <w:r>
              <w:rPr>
                <w:rFonts w:ascii="宋体" w:hAnsi="宋体" w:cs="宋体" w:eastAsia="宋体" w:hint="default"/>
                <w:spacing w:val="37"/>
                <w:sz w:val="18"/>
                <w:szCs w:val="18"/>
              </w:rPr>
              <w:t>发放委托</w:t>
            </w:r>
            <w:r>
              <w:rPr>
                <w:rFonts w:ascii="宋体" w:hAnsi="宋体" w:cs="宋体" w:eastAsia="宋体" w:hint="default"/>
                <w:spacing w:val="-88"/>
                <w:sz w:val="18"/>
                <w:szCs w:val="18"/>
              </w:rPr>
              <w:t> </w:t>
            </w:r>
            <w:r>
              <w:rPr>
                <w:rFonts w:ascii="宋体" w:hAnsi="宋体" w:cs="宋体" w:eastAsia="宋体" w:hint="default"/>
                <w:spacing w:val="37"/>
                <w:sz w:val="18"/>
                <w:szCs w:val="18"/>
              </w:rPr>
              <w:t>贷款及垫</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249"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71" w:hRule="exact"/>
        </w:trPr>
        <w:tc>
          <w:tcPr>
            <w:tcW w:w="1099" w:type="dxa"/>
            <w:tcBorders>
              <w:top w:val="dotted" w:sz="4" w:space="0" w:color="000000"/>
              <w:left w:val="nil" w:sz="6" w:space="0" w:color="auto"/>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0" w:right="68"/>
              <w:jc w:val="both"/>
              <w:rPr>
                <w:rFonts w:ascii="宋体" w:hAnsi="宋体" w:cs="宋体" w:eastAsia="宋体" w:hint="default"/>
                <w:sz w:val="18"/>
                <w:szCs w:val="18"/>
              </w:rPr>
            </w:pPr>
            <w:r>
              <w:rPr>
                <w:rFonts w:ascii="宋体" w:hAnsi="宋体" w:cs="宋体" w:eastAsia="宋体" w:hint="default"/>
                <w:spacing w:val="26"/>
                <w:sz w:val="18"/>
                <w:szCs w:val="18"/>
              </w:rPr>
              <w:t>广西海吉星</w:t>
            </w:r>
            <w:r>
              <w:rPr>
                <w:rFonts w:ascii="宋体" w:hAnsi="宋体" w:cs="宋体" w:eastAsia="宋体" w:hint="default"/>
                <w:spacing w:val="-57"/>
                <w:sz w:val="18"/>
                <w:szCs w:val="18"/>
              </w:rPr>
              <w:t> </w:t>
            </w:r>
            <w:r>
              <w:rPr>
                <w:rFonts w:ascii="宋体" w:hAnsi="宋体" w:cs="宋体" w:eastAsia="宋体" w:hint="default"/>
                <w:spacing w:val="26"/>
                <w:sz w:val="18"/>
                <w:szCs w:val="18"/>
              </w:rPr>
              <w:t>冻品市场管</w:t>
            </w:r>
            <w:r>
              <w:rPr>
                <w:rFonts w:ascii="宋体" w:hAnsi="宋体" w:cs="宋体" w:eastAsia="宋体" w:hint="default"/>
                <w:spacing w:val="-57"/>
                <w:sz w:val="18"/>
                <w:szCs w:val="18"/>
              </w:rPr>
              <w:t> </w:t>
            </w:r>
            <w:r>
              <w:rPr>
                <w:rFonts w:ascii="宋体" w:hAnsi="宋体" w:cs="宋体" w:eastAsia="宋体" w:hint="default"/>
                <w:sz w:val="18"/>
                <w:szCs w:val="18"/>
              </w:rPr>
              <w:t>理有限公司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099"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48"/>
              <w:jc w:val="left"/>
              <w:rPr>
                <w:rFonts w:ascii="宋体" w:hAnsi="宋体" w:cs="宋体" w:eastAsia="宋体" w:hint="default"/>
                <w:sz w:val="18"/>
                <w:szCs w:val="18"/>
              </w:rPr>
            </w:pPr>
            <w:r>
              <w:rPr>
                <w:rFonts w:ascii="宋体" w:hAnsi="宋体" w:cs="宋体" w:eastAsia="宋体" w:hint="default"/>
                <w:spacing w:val="37"/>
                <w:sz w:val="18"/>
                <w:szCs w:val="18"/>
              </w:rPr>
              <w:t>其他非流</w:t>
            </w:r>
            <w:r>
              <w:rPr>
                <w:rFonts w:ascii="宋体" w:hAnsi="宋体" w:cs="宋体" w:eastAsia="宋体" w:hint="default"/>
                <w:spacing w:val="-88"/>
                <w:sz w:val="18"/>
                <w:szCs w:val="18"/>
              </w:rPr>
              <w:t> </w:t>
            </w:r>
            <w:r>
              <w:rPr>
                <w:rFonts w:ascii="宋体" w:hAnsi="宋体" w:cs="宋体" w:eastAsia="宋体" w:hint="default"/>
                <w:sz w:val="18"/>
                <w:szCs w:val="18"/>
              </w:rPr>
              <w:t>动资产</w:t>
            </w:r>
          </w:p>
        </w:tc>
        <w:tc>
          <w:tcPr>
            <w:tcW w:w="1249"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42" w:hRule="exact"/>
        </w:trPr>
        <w:tc>
          <w:tcPr>
            <w:tcW w:w="1099" w:type="dxa"/>
            <w:tcBorders>
              <w:top w:val="dotted" w:sz="4" w:space="0" w:color="000000"/>
              <w:left w:val="nil" w:sz="6" w:space="0" w:color="auto"/>
              <w:bottom w:val="single" w:sz="12" w:space="0" w:color="000000"/>
              <w:right w:val="dotted" w:sz="4" w:space="0" w:color="000000"/>
            </w:tcBorders>
          </w:tcPr>
          <w:p>
            <w:pPr/>
          </w:p>
        </w:tc>
        <w:tc>
          <w:tcPr>
            <w:tcW w:w="1249" w:type="dxa"/>
            <w:tcBorders>
              <w:top w:val="dotted" w:sz="4" w:space="0" w:color="000000"/>
              <w:left w:val="dotted" w:sz="4" w:space="0" w:color="000000"/>
              <w:bottom w:val="single" w:sz="12" w:space="0" w:color="000000"/>
              <w:right w:val="dotted" w:sz="4" w:space="0" w:color="000000"/>
            </w:tcBorders>
          </w:tcPr>
          <w:p>
            <w:pPr>
              <w:pStyle w:val="TableParagraph"/>
              <w:spacing w:line="360" w:lineRule="atLeast" w:before="13"/>
              <w:ind w:left="100" w:right="68"/>
              <w:jc w:val="both"/>
              <w:rPr>
                <w:rFonts w:ascii="宋体" w:hAnsi="宋体" w:cs="宋体" w:eastAsia="宋体" w:hint="default"/>
                <w:sz w:val="18"/>
                <w:szCs w:val="18"/>
              </w:rPr>
            </w:pPr>
            <w:r>
              <w:rPr>
                <w:rFonts w:ascii="宋体" w:hAnsi="宋体" w:cs="宋体" w:eastAsia="宋体" w:hint="default"/>
                <w:spacing w:val="26"/>
                <w:sz w:val="18"/>
                <w:szCs w:val="18"/>
              </w:rPr>
              <w:t>天津市北辰</w:t>
            </w:r>
            <w:r>
              <w:rPr>
                <w:rFonts w:ascii="宋体" w:hAnsi="宋体" w:cs="宋体" w:eastAsia="宋体" w:hint="default"/>
                <w:spacing w:val="-57"/>
                <w:sz w:val="18"/>
                <w:szCs w:val="18"/>
              </w:rPr>
              <w:t> </w:t>
            </w:r>
            <w:r>
              <w:rPr>
                <w:rFonts w:ascii="宋体" w:hAnsi="宋体" w:cs="宋体" w:eastAsia="宋体" w:hint="default"/>
                <w:spacing w:val="26"/>
                <w:sz w:val="18"/>
                <w:szCs w:val="18"/>
              </w:rPr>
              <w:t>区青光镇韩</w:t>
            </w:r>
            <w:r>
              <w:rPr>
                <w:rFonts w:ascii="宋体" w:hAnsi="宋体" w:cs="宋体" w:eastAsia="宋体" w:hint="default"/>
                <w:spacing w:val="-57"/>
                <w:sz w:val="18"/>
                <w:szCs w:val="18"/>
              </w:rPr>
              <w:t> </w:t>
            </w:r>
            <w:r>
              <w:rPr>
                <w:rFonts w:ascii="宋体" w:hAnsi="宋体" w:cs="宋体" w:eastAsia="宋体" w:hint="default"/>
                <w:spacing w:val="26"/>
                <w:sz w:val="18"/>
                <w:szCs w:val="18"/>
              </w:rPr>
              <w:t>家墅农工商</w:t>
            </w:r>
            <w:r>
              <w:rPr>
                <w:rFonts w:ascii="宋体" w:hAnsi="宋体" w:cs="宋体" w:eastAsia="宋体" w:hint="default"/>
                <w:spacing w:val="-57"/>
                <w:sz w:val="18"/>
                <w:szCs w:val="18"/>
              </w:rPr>
              <w:t> </w:t>
            </w:r>
            <w:r>
              <w:rPr>
                <w:rFonts w:ascii="宋体" w:hAnsi="宋体" w:cs="宋体" w:eastAsia="宋体" w:hint="default"/>
                <w:sz w:val="18"/>
                <w:szCs w:val="18"/>
              </w:rPr>
            </w:r>
          </w:p>
        </w:tc>
        <w:tc>
          <w:tcPr>
            <w:tcW w:w="1339"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144,216,914.90</w:t>
            </w:r>
          </w:p>
        </w:tc>
        <w:tc>
          <w:tcPr>
            <w:tcW w:w="134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099"/>
        <w:gridCol w:w="1249"/>
        <w:gridCol w:w="1339"/>
        <w:gridCol w:w="1342"/>
        <w:gridCol w:w="1407"/>
        <w:gridCol w:w="1342"/>
      </w:tblGrid>
      <w:tr>
        <w:trPr>
          <w:trHeight w:val="461" w:hRule="exact"/>
        </w:trPr>
        <w:tc>
          <w:tcPr>
            <w:tcW w:w="10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4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1099" w:type="dxa"/>
            <w:vMerge/>
            <w:tcBorders>
              <w:left w:val="nil" w:sz="6" w:space="0" w:color="auto"/>
              <w:bottom w:val="dotted" w:sz="4" w:space="0" w:color="000000"/>
              <w:right w:val="dotted" w:sz="4" w:space="0" w:color="000000"/>
            </w:tcBorders>
          </w:tcPr>
          <w:p>
            <w:pPr/>
          </w:p>
        </w:tc>
        <w:tc>
          <w:tcPr>
            <w:tcW w:w="1249" w:type="dxa"/>
            <w:vMerge/>
            <w:tcBorders>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2" w:hRule="exact"/>
        </w:trPr>
        <w:tc>
          <w:tcPr>
            <w:tcW w:w="1099" w:type="dxa"/>
            <w:tcBorders>
              <w:top w:val="dotted" w:sz="4" w:space="0" w:color="000000"/>
              <w:left w:val="nil" w:sz="6" w:space="0" w:color="auto"/>
              <w:bottom w:val="single" w:sz="12" w:space="0" w:color="000000"/>
              <w:right w:val="dotted" w:sz="4" w:space="0" w:color="000000"/>
            </w:tcBorders>
          </w:tcPr>
          <w:p>
            <w:pPr/>
          </w:p>
        </w:tc>
        <w:tc>
          <w:tcPr>
            <w:tcW w:w="12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联合公司</w:t>
            </w:r>
          </w:p>
        </w:tc>
        <w:tc>
          <w:tcPr>
            <w:tcW w:w="1339"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
        </w:tc>
        <w:tc>
          <w:tcPr>
            <w:tcW w:w="1407"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2</w:t>
      </w:r>
      <w:r>
        <w:rPr/>
        <w:t>、</w:t>
        <w:tab/>
        <w:t>应付项目</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484"/>
        <w:gridCol w:w="3560"/>
        <w:gridCol w:w="1368"/>
        <w:gridCol w:w="1366"/>
      </w:tblGrid>
      <w:tr>
        <w:trPr>
          <w:trHeight w:val="461" w:hRule="exact"/>
        </w:trPr>
        <w:tc>
          <w:tcPr>
            <w:tcW w:w="14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38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37"/>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143"/>
              <w:jc w:val="righ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60"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w:t>
            </w: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55,125.00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90,180.00</w:t>
            </w:r>
          </w:p>
        </w:tc>
      </w:tr>
      <w:tr>
        <w:trPr>
          <w:trHeight w:val="81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3" w:right="101"/>
              <w:jc w:val="left"/>
              <w:rPr>
                <w:rFonts w:ascii="宋体" w:hAnsi="宋体" w:cs="宋体" w:eastAsia="宋体" w:hint="default"/>
                <w:sz w:val="18"/>
                <w:szCs w:val="18"/>
              </w:rPr>
            </w:pPr>
            <w:r>
              <w:rPr>
                <w:rFonts w:ascii="宋体" w:hAnsi="宋体" w:cs="宋体" w:eastAsia="宋体" w:hint="default"/>
                <w:spacing w:val="5"/>
                <w:sz w:val="18"/>
                <w:szCs w:val="18"/>
              </w:rPr>
              <w:t>天津市北辰区青光镇韩家墅农工商联合公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11,971,428.57</w:t>
            </w: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455,062.88</w:t>
            </w: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799,500.00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799,500.00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3,451,255.00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859,527.00</w:t>
            </w:r>
          </w:p>
        </w:tc>
      </w:tr>
      <w:tr>
        <w:trPr>
          <w:trHeight w:val="492"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2,415,005.10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1,776,886.80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72,004,054.98</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76,583,682.66</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560"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4,131,465.00</w:t>
            </w: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5,883,000.00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长沙市商业网点建设开发公司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1,820,000.00</w:t>
            </w:r>
          </w:p>
        </w:tc>
      </w:tr>
      <w:tr>
        <w:trPr>
          <w:trHeight w:val="490"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191,163.20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191,163.20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60"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广西北投星联国际供应链管理有限公司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18,099.00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18,098.50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广西海吉星冻品管理有限公司深圳分公司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14,256.00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14,256.00</w:t>
            </w:r>
          </w:p>
        </w:tc>
      </w:tr>
      <w:tr>
        <w:trPr>
          <w:trHeight w:val="452"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4,214,237.00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4,229,237.00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桂林海吉星农产品集团有限公司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61" w:hRule="exact"/>
        </w:trPr>
        <w:tc>
          <w:tcPr>
            <w:tcW w:w="1484" w:type="dxa"/>
            <w:tcBorders>
              <w:top w:val="dotted" w:sz="4" w:space="0" w:color="000000"/>
              <w:left w:val="nil" w:sz="6" w:space="0" w:color="auto"/>
              <w:bottom w:val="single" w:sz="12" w:space="0" w:color="000000"/>
              <w:right w:val="dotted" w:sz="4" w:space="0" w:color="000000"/>
            </w:tcBorders>
          </w:tcPr>
          <w:p>
            <w:pPr/>
          </w:p>
        </w:tc>
        <w:tc>
          <w:tcPr>
            <w:tcW w:w="3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484"/>
        <w:gridCol w:w="3560"/>
        <w:gridCol w:w="1368"/>
        <w:gridCol w:w="1366"/>
      </w:tblGrid>
      <w:tr>
        <w:trPr>
          <w:trHeight w:val="461" w:hRule="exact"/>
        </w:trPr>
        <w:tc>
          <w:tcPr>
            <w:tcW w:w="14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38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137"/>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143"/>
              <w:jc w:val="righ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90"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8,768.00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6,900.00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32,179,861.25</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24,315,764.44</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1,862,337.03</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448,167.68</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深圳市嘉恒农业科技发展有限公司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77,900.00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77,900.00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790,422.72</w:t>
            </w:r>
          </w:p>
        </w:tc>
      </w:tr>
      <w:tr>
        <w:trPr>
          <w:trHeight w:val="452"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524,319.64</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524,319.64</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51,800.00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217,688.45</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50,449.14</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755,516.00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1,279,232.00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26,550,000.00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26,565,423.57</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66,804.00</w:t>
            </w: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深圳市中农网股份有限公司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487,801.55</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554,605.55</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深圳中央大厨房物流有限公司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515,781.00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406,056.00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天津市北辰区青光镇韩家墅村村民委员会</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80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3" w:right="101"/>
              <w:jc w:val="left"/>
              <w:rPr>
                <w:rFonts w:ascii="宋体" w:hAnsi="宋体" w:cs="宋体" w:eastAsia="宋体" w:hint="default"/>
                <w:sz w:val="18"/>
                <w:szCs w:val="18"/>
              </w:rPr>
            </w:pPr>
            <w:r>
              <w:rPr>
                <w:rFonts w:ascii="宋体" w:hAnsi="宋体" w:cs="宋体" w:eastAsia="宋体" w:hint="default"/>
                <w:spacing w:val="5"/>
                <w:sz w:val="18"/>
                <w:szCs w:val="18"/>
              </w:rPr>
              <w:t>天津市北辰区青光镇韩家墅村农工商联合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46,000,000.00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80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6"/>
              <w:ind w:left="103" w:right="101"/>
              <w:jc w:val="left"/>
              <w:rPr>
                <w:rFonts w:ascii="宋体" w:hAnsi="宋体" w:cs="宋体" w:eastAsia="宋体" w:hint="default"/>
                <w:sz w:val="18"/>
                <w:szCs w:val="18"/>
              </w:rPr>
            </w:pPr>
            <w:r>
              <w:rPr>
                <w:rFonts w:ascii="宋体" w:hAnsi="宋体" w:cs="宋体" w:eastAsia="宋体" w:hint="default"/>
                <w:spacing w:val="5"/>
                <w:sz w:val="18"/>
                <w:szCs w:val="18"/>
              </w:rPr>
              <w:t>云南鲲鹏农产品电子商务批发市场有限公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19,200.00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854,721.63</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13,691.20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13,691.20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23,200.00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深圳市海吉星现代物流有限公司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1,552,000.00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1,552,000.00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200,193,333.31</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200,169,166.67</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4,500.00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60"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484" w:type="dxa"/>
            <w:tcBorders>
              <w:top w:val="dotted" w:sz="4" w:space="0" w:color="000000"/>
              <w:left w:val="nil" w:sz="6" w:space="0" w:color="auto"/>
              <w:bottom w:val="single" w:sz="12" w:space="0" w:color="000000"/>
              <w:right w:val="dotted" w:sz="4" w:space="0" w:color="000000"/>
            </w:tcBorders>
          </w:tcPr>
          <w:p>
            <w:pPr/>
          </w:p>
        </w:tc>
        <w:tc>
          <w:tcPr>
            <w:tcW w:w="3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616,980.98</w:t>
            </w:r>
          </w:p>
        </w:tc>
        <w:tc>
          <w:tcPr>
            <w:tcW w:w="1366"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484"/>
        <w:gridCol w:w="3560"/>
        <w:gridCol w:w="1368"/>
        <w:gridCol w:w="1366"/>
      </w:tblGrid>
      <w:tr>
        <w:trPr>
          <w:trHeight w:val="461" w:hRule="exact"/>
        </w:trPr>
        <w:tc>
          <w:tcPr>
            <w:tcW w:w="14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38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137"/>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143"/>
              <w:jc w:val="righ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560"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49" w:hRule="exact"/>
        </w:trPr>
        <w:tc>
          <w:tcPr>
            <w:tcW w:w="1484" w:type="dxa"/>
            <w:tcBorders>
              <w:top w:val="dotted" w:sz="4" w:space="0" w:color="000000"/>
              <w:left w:val="nil" w:sz="6" w:space="0" w:color="auto"/>
              <w:bottom w:val="dotted" w:sz="4" w:space="0" w:color="000000"/>
              <w:right w:val="dotted" w:sz="4" w:space="0" w:color="000000"/>
            </w:tcBorders>
          </w:tcPr>
          <w:p>
            <w:pPr/>
          </w:p>
        </w:tc>
        <w:tc>
          <w:tcPr>
            <w:tcW w:w="3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128,500,000.00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812" w:hRule="exact"/>
        </w:trPr>
        <w:tc>
          <w:tcPr>
            <w:tcW w:w="1484"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74"/>
              <w:jc w:val="left"/>
              <w:rPr>
                <w:rFonts w:ascii="宋体" w:hAnsi="宋体" w:cs="宋体" w:eastAsia="宋体" w:hint="default"/>
                <w:sz w:val="18"/>
                <w:szCs w:val="18"/>
              </w:rPr>
            </w:pPr>
            <w:r>
              <w:rPr>
                <w:rFonts w:ascii="宋体" w:hAnsi="宋体" w:cs="宋体" w:eastAsia="宋体" w:hint="default"/>
                <w:sz w:val="18"/>
                <w:szCs w:val="18"/>
              </w:rPr>
              <w:t>一年内到期的 长期应付款</w:t>
            </w:r>
          </w:p>
        </w:tc>
        <w:tc>
          <w:tcPr>
            <w:tcW w:w="3560"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484" w:type="dxa"/>
            <w:tcBorders>
              <w:top w:val="dotted" w:sz="4" w:space="0" w:color="000000"/>
              <w:left w:val="nil" w:sz="6" w:space="0" w:color="auto"/>
              <w:bottom w:val="single" w:sz="12" w:space="0" w:color="000000"/>
              <w:right w:val="dotted" w:sz="4" w:space="0" w:color="000000"/>
            </w:tcBorders>
          </w:tcPr>
          <w:p>
            <w:pPr/>
          </w:p>
        </w:tc>
        <w:tc>
          <w:tcPr>
            <w:tcW w:w="3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21,500,000.00</w:t>
            </w:r>
          </w:p>
        </w:tc>
        <w:tc>
          <w:tcPr>
            <w:tcW w:w="136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6"/>
        <w:spacing w:line="335" w:lineRule="exact"/>
        <w:ind w:left="138" w:right="1675"/>
        <w:jc w:val="left"/>
        <w:rPr>
          <w:b w:val="0"/>
          <w:bCs w:val="0"/>
        </w:rPr>
      </w:pPr>
      <w:r>
        <w:rPr/>
        <w:t>十一、</w:t>
      </w:r>
      <w:r>
        <w:rPr>
          <w:spacing w:val="34"/>
        </w:rPr>
        <w:t> </w:t>
      </w:r>
      <w:r>
        <w:rPr/>
        <w:t>政府补助</w:t>
      </w:r>
      <w:r>
        <w:rPr>
          <w:b w:val="0"/>
          <w:bCs w:val="0"/>
        </w:rPr>
      </w:r>
    </w:p>
    <w:p>
      <w:pPr>
        <w:pStyle w:val="Heading6"/>
        <w:tabs>
          <w:tab w:pos="850" w:val="left" w:leader="none"/>
        </w:tabs>
        <w:spacing w:line="240" w:lineRule="auto" w:before="33"/>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与资产相关的政府补助</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367"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7" w:lineRule="auto" w:before="135"/>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5"/>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岳阳海吉星建设项 目补助</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199,984,133.29</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22,357,570.07</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5,133,800.04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长春海吉星物流园 土地差价补偿</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145,813,088.32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3,279,629.88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3,279,629.88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平湖物流园场平工 程补助款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121,084,181.53</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3,124,753.08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3,124,753.08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天津静海国际商贸 物流园项目基础设 施建设补贴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17,478,200.00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205,625.88</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沈阳市场农业专项 扶持基金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11,602,391.85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311,014.49</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311,014.49</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天津牛羊肉基地补 贴基金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南昌农产品中央试 点中央补助资金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7,953,040.65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239,189.12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239,189.12</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782"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1"/>
              <w:ind w:left="122" w:right="236"/>
              <w:jc w:val="left"/>
              <w:rPr>
                <w:rFonts w:ascii="宋体" w:hAnsi="宋体" w:cs="宋体" w:eastAsia="宋体" w:hint="default"/>
                <w:sz w:val="18"/>
                <w:szCs w:val="18"/>
              </w:rPr>
            </w:pPr>
            <w:r>
              <w:rPr>
                <w:rFonts w:ascii="宋体" w:hAnsi="宋体" w:cs="宋体" w:eastAsia="宋体" w:hint="default"/>
                <w:sz w:val="18"/>
                <w:szCs w:val="18"/>
              </w:rPr>
              <w:t>长沙农产品现代流 通综合试点项目资</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5,810,000.04</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1,659,999.96</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1,659,999.96</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410"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09" w:type="dxa"/>
            <w:tcBorders>
              <w:top w:val="dotted" w:sz="4" w:space="0" w:color="000000"/>
              <w:left w:val="dotted" w:sz="4" w:space="0" w:color="000000"/>
              <w:bottom w:val="dotted" w:sz="4" w:space="0" w:color="000000"/>
              <w:right w:val="dotted" w:sz="4" w:space="0" w:color="000000"/>
            </w:tcBorders>
          </w:tcPr>
          <w:p>
            <w:pPr/>
          </w:p>
        </w:tc>
        <w:tc>
          <w:tcPr>
            <w:tcW w:w="98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长春南菜北运项目 建设扶持资金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5,605,839.42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175,182.48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175,182.48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毕节农产品深圳展 销中心项目建设补 贴资金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5,035,000.00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2,740,000.00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11" w:right="0"/>
              <w:jc w:val="left"/>
              <w:rPr>
                <w:rFonts w:ascii="Times New Roman" w:hAnsi="Times New Roman" w:cs="Times New Roman" w:eastAsia="Times New Roman" w:hint="default"/>
                <w:sz w:val="18"/>
                <w:szCs w:val="18"/>
              </w:rPr>
            </w:pPr>
            <w:r>
              <w:rPr>
                <w:rFonts w:ascii="Times New Roman"/>
                <w:sz w:val="18"/>
              </w:rPr>
              <w:t>1,305,000.00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天津进出口贸易中 心冷链物流发展专 项资金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吉林省省级服务业 发展专项资金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54,898.67</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天津一期Ⅱ冷链储 运中心项目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4,398,876.36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101,123.64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101,123.64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天津一期Ⅰ交易大 厅冷库及配套项目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4,344,827.64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155,172.36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155,172.36</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惠州南菜北运产区 建设工程项目扶持 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4,135,894.98</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182,052.51</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182,052.51</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122" w:right="236"/>
              <w:jc w:val="left"/>
              <w:rPr>
                <w:rFonts w:ascii="宋体" w:hAnsi="宋体" w:cs="宋体" w:eastAsia="宋体" w:hint="default"/>
                <w:sz w:val="18"/>
                <w:szCs w:val="18"/>
              </w:rPr>
            </w:pPr>
            <w:r>
              <w:rPr>
                <w:rFonts w:ascii="宋体" w:hAnsi="宋体" w:cs="宋体" w:eastAsia="宋体" w:hint="default"/>
                <w:sz w:val="18"/>
                <w:szCs w:val="18"/>
              </w:rPr>
              <w:t>长沙交通局项目补 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426,656.00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果菜主要农产品生 产基地建设扶持资 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3,817,379.44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911,868.54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839,046.08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长沙信息系统和检 验检测系统建设项 目资金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南昌农产品物流中 心冷链物流项目补 助资金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191,780.82</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1"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长沙马王堆电子结</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3,100,000.00</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413,333.36</w:t>
            </w:r>
          </w:p>
        </w:tc>
        <w:tc>
          <w:tcPr>
            <w:tcW w:w="1270" w:type="dxa"/>
            <w:tcBorders>
              <w:top w:val="dotted" w:sz="4" w:space="0" w:color="000000"/>
              <w:left w:val="dotted" w:sz="4" w:space="0" w:color="000000"/>
              <w:bottom w:val="single" w:sz="12" w:space="0" w:color="000000"/>
              <w:right w:val="dotted" w:sz="4" w:space="0" w:color="000000"/>
            </w:tcBorders>
          </w:tcPr>
          <w:p>
            <w:pP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770"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97"/>
              <w:ind w:left="122" w:right="235"/>
              <w:jc w:val="left"/>
              <w:rPr>
                <w:rFonts w:ascii="宋体" w:hAnsi="宋体" w:cs="宋体" w:eastAsia="宋体" w:hint="default"/>
                <w:sz w:val="18"/>
                <w:szCs w:val="18"/>
              </w:rPr>
            </w:pPr>
            <w:r>
              <w:rPr>
                <w:rFonts w:ascii="宋体" w:hAnsi="宋体" w:cs="宋体" w:eastAsia="宋体" w:hint="default"/>
                <w:sz w:val="18"/>
                <w:szCs w:val="18"/>
              </w:rPr>
              <w:t>算可追溯体系建设 补贴经费</w:t>
            </w:r>
          </w:p>
        </w:tc>
        <w:tc>
          <w:tcPr>
            <w:tcW w:w="1409" w:type="dxa"/>
            <w:tcBorders>
              <w:top w:val="dotted" w:sz="4" w:space="0" w:color="000000"/>
              <w:left w:val="dotted" w:sz="4" w:space="0" w:color="000000"/>
              <w:bottom w:val="dotted" w:sz="4" w:space="0" w:color="000000"/>
              <w:right w:val="dotted" w:sz="4" w:space="0" w:color="000000"/>
            </w:tcBorders>
          </w:tcPr>
          <w:p>
            <w:pPr/>
          </w:p>
        </w:tc>
        <w:tc>
          <w:tcPr>
            <w:tcW w:w="98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135"/>
              <w:ind w:left="122" w:right="56"/>
              <w:jc w:val="left"/>
              <w:rPr>
                <w:rFonts w:ascii="宋体" w:hAnsi="宋体" w:cs="宋体" w:eastAsia="宋体" w:hint="default"/>
                <w:sz w:val="18"/>
                <w:szCs w:val="18"/>
              </w:rPr>
            </w:pPr>
            <w:r>
              <w:rPr>
                <w:rFonts w:ascii="宋体" w:hAnsi="宋体" w:cs="宋体" w:eastAsia="宋体" w:hint="default"/>
                <w:sz w:val="18"/>
                <w:szCs w:val="18"/>
              </w:rPr>
              <w:t>新柳邕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年广西 自治区服务业发展 专项资金（第五批）</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2,989,000.00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732,000.00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61,000.00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42"/>
              <w:jc w:val="left"/>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年服务业 引导资金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2,915,555.43</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2"/>
                <w:sz w:val="18"/>
              </w:rPr>
              <w:t>71,111.12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2"/>
                <w:sz w:val="18"/>
              </w:rPr>
              <w:t>71,111.12</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56"/>
              <w:jc w:val="both"/>
              <w:rPr>
                <w:rFonts w:ascii="宋体" w:hAnsi="宋体" w:cs="宋体" w:eastAsia="宋体" w:hint="default"/>
                <w:sz w:val="18"/>
                <w:szCs w:val="18"/>
              </w:rPr>
            </w:pPr>
            <w:r>
              <w:rPr>
                <w:rFonts w:ascii="宋体" w:hAnsi="宋体" w:cs="宋体" w:eastAsia="宋体" w:hint="default"/>
                <w:sz w:val="18"/>
                <w:szCs w:val="18"/>
              </w:rPr>
              <w:t>成都冷库（跨区域、 </w:t>
            </w:r>
            <w:r>
              <w:rPr>
                <w:rFonts w:ascii="宋体" w:hAnsi="宋体" w:cs="宋体" w:eastAsia="宋体" w:hint="default"/>
                <w:spacing w:val="-6"/>
                <w:sz w:val="18"/>
                <w:szCs w:val="18"/>
              </w:rPr>
              <w:t>反季节蔬菜产销）项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目补助</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2,800,000.04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399,999.96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399,999.96</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上海南菜北运项目 补贴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2,783,333.41</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两个创建</w:t>
            </w:r>
            <w:r>
              <w:rPr>
                <w:rFonts w:ascii="Times New Roman" w:hAnsi="Times New Roman" w:cs="Times New Roman" w:eastAsia="Times New Roman" w:hint="default"/>
                <w:sz w:val="18"/>
                <w:szCs w:val="18"/>
              </w:rPr>
              <w:t>”</w:t>
            </w:r>
            <w:r>
              <w:rPr>
                <w:rFonts w:ascii="宋体" w:hAnsi="宋体" w:cs="宋体" w:eastAsia="宋体" w:hint="default"/>
                <w:sz w:val="18"/>
                <w:szCs w:val="18"/>
              </w:rPr>
              <w:t>点 位提升补贴资金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2,714,719.35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626,257.83</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1" w:right="0"/>
              <w:jc w:val="left"/>
              <w:rPr>
                <w:rFonts w:ascii="Times New Roman" w:hAnsi="Times New Roman" w:cs="Times New Roman" w:eastAsia="Times New Roman" w:hint="default"/>
                <w:sz w:val="18"/>
                <w:szCs w:val="18"/>
              </w:rPr>
            </w:pPr>
            <w:r>
              <w:rPr>
                <w:rFonts w:ascii="Times New Roman"/>
                <w:sz w:val="18"/>
              </w:rPr>
              <w:t>1,951,080.65</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沈阳农产品冷链物 流项目建设资金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2,533,333.24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66,666.68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66,666.68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天津公共信息平台 项目补贴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2,427,710.80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72,289.20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72,289.20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122" w:right="236"/>
              <w:jc w:val="left"/>
              <w:rPr>
                <w:rFonts w:ascii="宋体" w:hAnsi="宋体" w:cs="宋体" w:eastAsia="宋体" w:hint="default"/>
                <w:sz w:val="18"/>
                <w:szCs w:val="18"/>
              </w:rPr>
            </w:pPr>
            <w:r>
              <w:rPr>
                <w:rFonts w:ascii="宋体" w:hAnsi="宋体" w:cs="宋体" w:eastAsia="宋体" w:hint="default"/>
                <w:sz w:val="18"/>
                <w:szCs w:val="18"/>
              </w:rPr>
              <w:t>新柳邕农产品综合 服务平台建设项目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2,275,000.00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2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深圳市福田区产业 发展专项资金支持 循环经济和节能减 排项目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2,252,075.62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271,215.04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226,415.04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天津翰吉斯国际农 产品物流园公共信 息平台</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2,228,005.37</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82,371.88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827,369.63</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西安市场现代农产 品综合试点项目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2,153,337.20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539,996.04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579,996.04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1"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沈阳市场国有土地</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2,073,611.06</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55,555.57</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55,555.57</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770"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97"/>
              <w:ind w:left="122" w:right="236"/>
              <w:jc w:val="left"/>
              <w:rPr>
                <w:rFonts w:ascii="宋体" w:hAnsi="宋体" w:cs="宋体" w:eastAsia="宋体" w:hint="default"/>
                <w:sz w:val="18"/>
                <w:szCs w:val="18"/>
              </w:rPr>
            </w:pPr>
            <w:r>
              <w:rPr>
                <w:rFonts w:ascii="宋体" w:hAnsi="宋体" w:cs="宋体" w:eastAsia="宋体" w:hint="default"/>
                <w:sz w:val="18"/>
                <w:szCs w:val="18"/>
              </w:rPr>
              <w:t>使用权出让金差价 补偿</w:t>
            </w:r>
          </w:p>
        </w:tc>
        <w:tc>
          <w:tcPr>
            <w:tcW w:w="1409" w:type="dxa"/>
            <w:tcBorders>
              <w:top w:val="dotted" w:sz="4" w:space="0" w:color="000000"/>
              <w:left w:val="dotted" w:sz="4" w:space="0" w:color="000000"/>
              <w:bottom w:val="dotted" w:sz="4" w:space="0" w:color="000000"/>
              <w:right w:val="dotted" w:sz="4" w:space="0" w:color="000000"/>
            </w:tcBorders>
          </w:tcPr>
          <w:p>
            <w:pPr/>
          </w:p>
        </w:tc>
        <w:tc>
          <w:tcPr>
            <w:tcW w:w="98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惠州冷库改造工程</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2,000,000.01</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83,333.33</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83,333.33</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长春服务业发展专 项资金城市配送政 府补助款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pacing w:val="-6"/>
                <w:sz w:val="18"/>
                <w:szCs w:val="18"/>
              </w:rPr>
              <w:t>成都冷库（冷链物流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发展资金）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6,211.18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广西海吉星果蔬二 期冷链项目补助资 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1,919,613.20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44,642.16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40,386.81</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西安财政局西果东 送项目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1,799,900.08</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66,699.96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66,699.96</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3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135"/>
              <w:ind w:left="122" w:right="142"/>
              <w:jc w:val="left"/>
              <w:rPr>
                <w:rFonts w:ascii="宋体" w:hAnsi="宋体" w:cs="宋体" w:eastAsia="宋体" w:hint="default"/>
                <w:sz w:val="18"/>
                <w:szCs w:val="18"/>
              </w:rPr>
            </w:pPr>
            <w:r>
              <w:rPr>
                <w:rFonts w:ascii="宋体" w:hAnsi="宋体" w:cs="宋体" w:eastAsia="宋体" w:hint="default"/>
                <w:sz w:val="18"/>
                <w:szCs w:val="18"/>
              </w:rPr>
              <w:t>深圳国际农产品物 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年循环经 济节能减排物流园 污水处理工程项目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1,733,797.07</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45,328.08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45,328.08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宁夏海吉星冷链设 施建设项目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1,686,100.00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16,694.08</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z w:val="18"/>
                <w:szCs w:val="18"/>
              </w:rPr>
              <w:t>果菜基本农田改造 </w:t>
            </w:r>
            <w:r>
              <w:rPr>
                <w:rFonts w:ascii="宋体" w:hAnsi="宋体" w:cs="宋体" w:eastAsia="宋体" w:hint="default"/>
                <w:spacing w:val="-6"/>
                <w:sz w:val="18"/>
                <w:szCs w:val="18"/>
              </w:rPr>
              <w:t>工程（坪山大工业片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区）</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1,642,133.00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209,700.00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209,700.00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42"/>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年双百市场 建设工程扶持资金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1,599,998.94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66,666.71</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66,666.71</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成都商务部肉菜追 溯体系电子秤补助</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1,537,200.00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307,440.00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307,440.00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长春市市级服务业 发展专项资金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南山农批质量安全 追溯补助款</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1,440,114.94</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238,522.59</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239,999.82</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z w:val="18"/>
                <w:szCs w:val="18"/>
              </w:rPr>
              <w:t>成都实施公益性公 </w:t>
            </w:r>
            <w:r>
              <w:rPr>
                <w:rFonts w:ascii="宋体" w:hAnsi="宋体" w:cs="宋体" w:eastAsia="宋体" w:hint="default"/>
                <w:spacing w:val="-6"/>
                <w:sz w:val="18"/>
                <w:szCs w:val="18"/>
              </w:rPr>
              <w:t>共配套设施建设（集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中供冷水）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1,434,782.62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511,594.21</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521,739.12</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3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南山家禽批发市场 生鲜上市工作升级 改造项目家禽屠宰 档工程</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1,431,640.82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522,426.67</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523,999.93</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42"/>
              <w:jc w:val="left"/>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年服务业 引导资金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1,428,129.58</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35,777.80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35,777.80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成都商务部现代流 通综合试点专项资 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1,399,999.96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350,000.04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350,000.04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2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宁夏海吉星国际农 产品物流园农产品 现代冷链物流补贴 项目二</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1,371,875.00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37,500.00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37,500.00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left"/>
              <w:rPr>
                <w:rFonts w:ascii="宋体" w:hAnsi="宋体" w:cs="宋体" w:eastAsia="宋体" w:hint="default"/>
                <w:sz w:val="18"/>
                <w:szCs w:val="18"/>
              </w:rPr>
            </w:pPr>
            <w:r>
              <w:rPr>
                <w:rFonts w:ascii="宋体" w:hAnsi="宋体" w:cs="宋体" w:eastAsia="宋体" w:hint="default"/>
                <w:sz w:val="18"/>
                <w:szCs w:val="18"/>
              </w:rPr>
              <w:t>韩家墅市场南菜北 运政府补贴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136"/>
              <w:ind w:left="122" w:right="142"/>
              <w:jc w:val="left"/>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 次农产品流通项目 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1,284,722.17</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33,333.34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33,333.34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3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宁夏海吉星国际农 产品物流园农产品 现代冷链物流补贴 项目一</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1,284,375.00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37,500.00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37,500.00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135"/>
              <w:ind w:left="122" w:right="99"/>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年度双百 市场补助资金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1,283,332.02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58,333.33</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58,333.33</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42"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360" w:lineRule="exact" w:before="60"/>
              <w:ind w:left="122" w:right="142"/>
              <w:jc w:val="left"/>
              <w:rPr>
                <w:rFonts w:ascii="宋体" w:hAnsi="宋体" w:cs="宋体" w:eastAsia="宋体" w:hint="default"/>
                <w:sz w:val="18"/>
                <w:szCs w:val="18"/>
              </w:rPr>
            </w:pPr>
            <w:r>
              <w:rPr>
                <w:rFonts w:ascii="宋体" w:hAnsi="宋体" w:cs="宋体" w:eastAsia="宋体" w:hint="default"/>
                <w:sz w:val="18"/>
                <w:szCs w:val="18"/>
              </w:rPr>
              <w:t>深圳国际农产品国 际物流园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 循环经济和节能减</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1,202,891.69</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pacing w:val="-1"/>
                <w:sz w:val="18"/>
              </w:rPr>
              <w:t>370,120.44</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370,120.44</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1130"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97"/>
              <w:ind w:left="122" w:right="236"/>
              <w:jc w:val="both"/>
              <w:rPr>
                <w:rFonts w:ascii="宋体" w:hAnsi="宋体" w:cs="宋体" w:eastAsia="宋体" w:hint="default"/>
                <w:sz w:val="18"/>
                <w:szCs w:val="18"/>
              </w:rPr>
            </w:pPr>
            <w:r>
              <w:rPr>
                <w:rFonts w:ascii="宋体" w:hAnsi="宋体" w:cs="宋体" w:eastAsia="宋体" w:hint="default"/>
                <w:sz w:val="18"/>
                <w:szCs w:val="18"/>
              </w:rPr>
              <w:t>排物流园水果集中 供冷小冷库工程项 目</w:t>
            </w:r>
          </w:p>
        </w:tc>
        <w:tc>
          <w:tcPr>
            <w:tcW w:w="1409" w:type="dxa"/>
            <w:tcBorders>
              <w:top w:val="dotted" w:sz="4" w:space="0" w:color="000000"/>
              <w:left w:val="dotted" w:sz="4" w:space="0" w:color="000000"/>
              <w:bottom w:val="dotted" w:sz="4" w:space="0" w:color="000000"/>
              <w:right w:val="dotted" w:sz="4" w:space="0" w:color="000000"/>
            </w:tcBorders>
          </w:tcPr>
          <w:p>
            <w:pPr/>
          </w:p>
        </w:tc>
        <w:tc>
          <w:tcPr>
            <w:tcW w:w="98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136"/>
              <w:ind w:left="122" w:right="142"/>
              <w:jc w:val="left"/>
              <w:rPr>
                <w:rFonts w:ascii="宋体" w:hAnsi="宋体" w:cs="宋体" w:eastAsia="宋体" w:hint="default"/>
                <w:sz w:val="18"/>
                <w:szCs w:val="18"/>
              </w:rPr>
            </w:pPr>
            <w:r>
              <w:rPr>
                <w:rFonts w:ascii="宋体" w:hAnsi="宋体" w:cs="宋体" w:eastAsia="宋体" w:hint="default"/>
                <w:sz w:val="18"/>
                <w:szCs w:val="18"/>
              </w:rPr>
              <w:t>新柳邕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专项建设基金专项 经费拨款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西安检验检测中心</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1,188,571.56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45,714.24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45,714.24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广西海吉星信息系 统和检测检验系统 补助</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1,085,771.46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723,209.21</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790,905.60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上海重点项目政府 补贴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1,083,701.10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36,123.37</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135"/>
              <w:ind w:left="122" w:right="142"/>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年农村物流 服务体系发展专项 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1,074,999.96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50,000.04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50,000.04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惠州冷链物流建设 补贴资金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1,063,333.33</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36,666.67</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36,666.67</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果菜云南泸西供深 蔬菜冷库建设及加 工配送中心改造</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1,006,191.58</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128,450.04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128,450.04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新柳邕农品易拍电 子交易平台</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152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135"/>
              <w:ind w:left="122" w:right="188"/>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年深圳农业发 展专项资金农产品 质量检测项目补贴 经费</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963,855.26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289,156.68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289,156.68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新柳邕大型农产品 批发市场改造升级 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963,333.33</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36,666.67</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1"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果菜现代化农业建</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940,000.24</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234,999.96</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234,999.96</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footerReference w:type="default" r:id="rId130"/>
          <w:pgSz w:w="11910" w:h="16840"/>
          <w:pgMar w:footer="996" w:header="774" w:top="1000" w:bottom="1180" w:left="1660" w:right="0"/>
          <w:pgNumType w:start="13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410"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1409" w:type="dxa"/>
            <w:tcBorders>
              <w:top w:val="dotted" w:sz="4" w:space="0" w:color="000000"/>
              <w:left w:val="dotted" w:sz="4" w:space="0" w:color="000000"/>
              <w:bottom w:val="dotted" w:sz="4" w:space="0" w:color="000000"/>
              <w:right w:val="dotted" w:sz="4" w:space="0" w:color="000000"/>
            </w:tcBorders>
          </w:tcPr>
          <w:p>
            <w:pPr/>
          </w:p>
        </w:tc>
        <w:tc>
          <w:tcPr>
            <w:tcW w:w="98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135"/>
              <w:ind w:left="122" w:right="99"/>
              <w:jc w:val="left"/>
              <w:rPr>
                <w:rFonts w:ascii="宋体" w:hAnsi="宋体" w:cs="宋体" w:eastAsia="宋体" w:hint="default"/>
                <w:sz w:val="18"/>
                <w:szCs w:val="18"/>
              </w:rPr>
            </w:pPr>
            <w:r>
              <w:rPr>
                <w:rFonts w:ascii="宋体" w:hAnsi="宋体" w:cs="宋体" w:eastAsia="宋体" w:hint="default"/>
                <w:sz w:val="18"/>
                <w:szCs w:val="18"/>
              </w:rPr>
              <w:t>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平湖冷库 物流楼项目一期项 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908,315.43</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25,586.40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25,586.40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z w:val="18"/>
                <w:szCs w:val="18"/>
              </w:rPr>
              <w:t>柳州市广西新柳邕 </w:t>
            </w:r>
            <w:r>
              <w:rPr>
                <w:rFonts w:ascii="宋体" w:hAnsi="宋体" w:cs="宋体" w:eastAsia="宋体" w:hint="default"/>
                <w:spacing w:val="-6"/>
                <w:sz w:val="18"/>
                <w:szCs w:val="18"/>
              </w:rPr>
              <w:t>农产品批发市场（一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906,666.67</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93,333.33</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4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九江市场政府贴息</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905,660.20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25,157.28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25,157.28</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龙岗服务业资金商 业基础设施和冷链 系统建设项目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879,097.19</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22,833.72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w w:val="95"/>
                <w:sz w:val="18"/>
              </w:rPr>
              <w:t>1,902.81</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w:t>
            </w:r>
            <w:r>
              <w:rPr>
                <w:rFonts w:ascii="Times New Roman" w:hAnsi="Times New Roman" w:cs="Times New Roman" w:eastAsia="Times New Roman" w:hint="default"/>
                <w:sz w:val="18"/>
                <w:szCs w:val="18"/>
              </w:rPr>
              <w:t>“</w:t>
            </w:r>
            <w:r>
              <w:rPr>
                <w:rFonts w:ascii="宋体" w:hAnsi="宋体" w:cs="宋体" w:eastAsia="宋体" w:hint="default"/>
                <w:sz w:val="18"/>
                <w:szCs w:val="18"/>
              </w:rPr>
              <w:t>主打两 个市场</w:t>
            </w:r>
            <w:r>
              <w:rPr>
                <w:rFonts w:ascii="Times New Roman" w:hAnsi="Times New Roman" w:cs="Times New Roman" w:eastAsia="Times New Roman" w:hint="default"/>
                <w:sz w:val="18"/>
                <w:szCs w:val="18"/>
              </w:rPr>
              <w:t>”</w:t>
            </w:r>
            <w:r>
              <w:rPr>
                <w:rFonts w:ascii="宋体" w:hAnsi="宋体" w:cs="宋体" w:eastAsia="宋体" w:hint="default"/>
                <w:sz w:val="18"/>
                <w:szCs w:val="18"/>
              </w:rPr>
              <w:t>资金商贸流 通业发展专项资金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821,556.25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22,821.00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22,821.00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南山农批农业综合 开发项目资金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816,347.66</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175,889.90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177,738.24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成都肉类交易系统 建设项目资金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800,000.04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159,999.96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159,999.96</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122" w:right="236"/>
              <w:jc w:val="left"/>
              <w:rPr>
                <w:rFonts w:ascii="宋体" w:hAnsi="宋体" w:cs="宋体" w:eastAsia="宋体" w:hint="default"/>
                <w:sz w:val="18"/>
                <w:szCs w:val="18"/>
              </w:rPr>
            </w:pPr>
            <w:r>
              <w:rPr>
                <w:rFonts w:ascii="宋体" w:hAnsi="宋体" w:cs="宋体" w:eastAsia="宋体" w:hint="default"/>
                <w:sz w:val="18"/>
                <w:szCs w:val="18"/>
              </w:rPr>
              <w:t>惠州市场升级改造 工程</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800,000.01</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33,333.33</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33,333.33</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大白菜面向于农产 品安全的智慧食安 监测系统</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w w:val="95"/>
                <w:sz w:val="18"/>
              </w:rPr>
              <w:t>800,000.00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41,892.28</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42"/>
              <w:jc w:val="left"/>
              <w:rPr>
                <w:rFonts w:ascii="宋体" w:hAnsi="宋体" w:cs="宋体" w:eastAsia="宋体" w:hint="default"/>
                <w:sz w:val="18"/>
                <w:szCs w:val="18"/>
              </w:rPr>
            </w:pPr>
            <w:r>
              <w:rPr>
                <w:rFonts w:ascii="宋体" w:hAnsi="宋体" w:cs="宋体" w:eastAsia="宋体" w:hint="default"/>
                <w:sz w:val="18"/>
                <w:szCs w:val="18"/>
              </w:rPr>
              <w:t>南昌农业办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项贷 款贴息</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43,835.62</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西安质量追溯和基 本建设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747,535.71</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246,750.00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246,750.00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21"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成都地震区双百市 场建设项目补助款</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716,667.94</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33,333.33</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33,333.36</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天津大型批发市场 升级补贴</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699,881.44</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300,118.56</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果菜云南省泸西县 白水镇蔬菜生产基 地场部建设工程</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664,304.05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85,716.72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85,716.72</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both"/>
              <w:rPr>
                <w:rFonts w:ascii="宋体" w:hAnsi="宋体" w:cs="宋体" w:eastAsia="宋体" w:hint="default"/>
                <w:sz w:val="18"/>
                <w:szCs w:val="18"/>
              </w:rPr>
            </w:pPr>
            <w:r>
              <w:rPr>
                <w:rFonts w:ascii="宋体" w:hAnsi="宋体" w:cs="宋体" w:eastAsia="宋体" w:hint="default"/>
                <w:sz w:val="18"/>
                <w:szCs w:val="18"/>
              </w:rPr>
              <w:t>果菜无公害蔬菜现 代化育苗中心及种 植示范基地建设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660,000.00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90,000.00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果菜深圳市生物种 业知识产权评估与 电子交易平台项目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656,290.42</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175,120.68</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206,256.50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5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年农业发展专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食品保鲜冷 冻库建设项目</w:t>
            </w:r>
            <w:r>
              <w:rPr>
                <w:rFonts w:ascii="Times New Roman" w:hAnsi="Times New Roman" w:cs="Times New Roman" w:eastAsia="Times New Roman" w:hint="default"/>
                <w:sz w:val="18"/>
                <w:szCs w:val="18"/>
              </w:rPr>
              <w:t>”</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647,887.25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169,014.12</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z w:val="18"/>
              </w:rPr>
              <w:t>169,014.12</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3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137"/>
              <w:ind w:left="122" w:right="142"/>
              <w:jc w:val="left"/>
              <w:rPr>
                <w:rFonts w:ascii="宋体" w:hAnsi="宋体" w:cs="宋体" w:eastAsia="宋体" w:hint="default"/>
                <w:sz w:val="18"/>
                <w:szCs w:val="18"/>
              </w:rPr>
            </w:pPr>
            <w:r>
              <w:rPr>
                <w:rFonts w:ascii="宋体" w:hAnsi="宋体" w:cs="宋体" w:eastAsia="宋体" w:hint="default"/>
                <w:sz w:val="18"/>
                <w:szCs w:val="18"/>
              </w:rPr>
              <w:t>果菜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年深圳市 农业发展专项资金 第二批农产品生产 质量安全项目资金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633,333.40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99,999.96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166,666.60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122" w:right="236"/>
              <w:jc w:val="left"/>
              <w:rPr>
                <w:rFonts w:ascii="宋体" w:hAnsi="宋体" w:cs="宋体" w:eastAsia="宋体" w:hint="default"/>
                <w:sz w:val="18"/>
                <w:szCs w:val="18"/>
              </w:rPr>
            </w:pPr>
            <w:r>
              <w:rPr>
                <w:rFonts w:ascii="宋体" w:hAnsi="宋体" w:cs="宋体" w:eastAsia="宋体" w:hint="default"/>
                <w:sz w:val="18"/>
                <w:szCs w:val="18"/>
              </w:rPr>
              <w:t>成都市商务局生猪 屠宰项目支持资金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612,000.00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36,000.00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36,000.00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成都商务部肉菜追 溯体系项目改造资 金</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150,000.00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143"/>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度冬春蔬菜储备款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336,585.00</w:t>
            </w: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36"/>
              <w:jc w:val="both"/>
              <w:rPr>
                <w:rFonts w:ascii="宋体" w:hAnsi="宋体" w:cs="宋体" w:eastAsia="宋体" w:hint="default"/>
                <w:sz w:val="18"/>
                <w:szCs w:val="18"/>
              </w:rPr>
            </w:pPr>
            <w:r>
              <w:rPr>
                <w:rFonts w:ascii="宋体" w:hAnsi="宋体" w:cs="宋体" w:eastAsia="宋体" w:hint="default"/>
                <w:sz w:val="18"/>
                <w:szCs w:val="18"/>
              </w:rPr>
              <w:t>果菜龙东菜场都市 人绿色菜园子盆栽 蔬菜项目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593,333.25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80,000.04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80,000.04</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780"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1"/>
              <w:ind w:left="122" w:right="236"/>
              <w:jc w:val="left"/>
              <w:rPr>
                <w:rFonts w:ascii="宋体" w:hAnsi="宋体" w:cs="宋体" w:eastAsia="宋体" w:hint="default"/>
                <w:sz w:val="18"/>
                <w:szCs w:val="18"/>
              </w:rPr>
            </w:pPr>
            <w:r>
              <w:rPr>
                <w:rFonts w:ascii="宋体" w:hAnsi="宋体" w:cs="宋体" w:eastAsia="宋体" w:hint="default"/>
                <w:sz w:val="18"/>
                <w:szCs w:val="18"/>
              </w:rPr>
              <w:t>果菜河源农业示范 区蔬菜生产基地建</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551,959.84</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22,773.36</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22,773.36</w:t>
            </w:r>
          </w:p>
        </w:tc>
        <w:tc>
          <w:tcPr>
            <w:tcW w:w="10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tabs>
          <w:tab w:pos="809" w:val="left" w:leader="none"/>
        </w:tabs>
        <w:spacing w:line="4061" w:lineRule="exact"/>
        <w:ind w:left="108" w:right="0" w:firstLine="0"/>
        <w:rPr>
          <w:rFonts w:ascii="Times New Roman" w:hAnsi="Times New Roman" w:cs="Times New Roman" w:eastAsia="Times New Roman" w:hint="default"/>
          <w:sz w:val="20"/>
          <w:szCs w:val="20"/>
        </w:rPr>
      </w:pPr>
      <w:r>
        <w:rPr>
          <w:rFonts w:ascii="Times New Roman"/>
          <w:position w:val="165"/>
          <w:sz w:val="2"/>
        </w:rPr>
        <w:pict>
          <v:group style="width:16.05pt;height:.5pt;mso-position-horizontal-relative:char;mso-position-vertical-relative:line" coordorigin="0,0" coordsize="321,10">
            <v:group style="position:absolute;left:5;top:5;width:311;height:2" coordorigin="5,5" coordsize="311,2">
              <v:shape style="position:absolute;left:5;top:5;width:311;height:2" coordorigin="5,5" coordsize="311,0" path="m5,5l316,5e" filled="false" stroked="true" strokeweight=".48pt" strokecolor="#000000">
                <v:path arrowok="t"/>
                <v:stroke dashstyle="dash"/>
              </v:shape>
            </v:group>
          </v:group>
        </w:pict>
      </w:r>
      <w:r>
        <w:rPr>
          <w:rFonts w:ascii="Times New Roman"/>
          <w:position w:val="165"/>
          <w:sz w:val="2"/>
        </w:rPr>
      </w:r>
      <w:r>
        <w:rPr>
          <w:rFonts w:ascii="Times New Roman"/>
          <w:position w:val="165"/>
          <w:sz w:val="2"/>
        </w:rPr>
        <w:tab/>
      </w:r>
      <w:r>
        <w:rPr>
          <w:rFonts w:ascii="Times New Roman"/>
          <w:position w:val="-80"/>
          <w:sz w:val="20"/>
        </w:rPr>
        <w:pict>
          <v:shape style="width:391.05pt;height:203.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805"/>
                    <w:gridCol w:w="1409"/>
                    <w:gridCol w:w="987"/>
                    <w:gridCol w:w="1267"/>
                    <w:gridCol w:w="1270"/>
                    <w:gridCol w:w="1039"/>
                  </w:tblGrid>
                  <w:tr>
                    <w:trPr>
                      <w:trHeight w:val="821" w:hRule="exact"/>
                    </w:trPr>
                    <w:tc>
                      <w:tcPr>
                        <w:tcW w:w="180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4" w:lineRule="auto"/>
                          <w:ind w:left="127" w:right="129"/>
                          <w:jc w:val="center"/>
                          <w:rPr>
                            <w:rFonts w:ascii="宋体" w:hAnsi="宋体" w:cs="宋体" w:eastAsia="宋体" w:hint="default"/>
                            <w:sz w:val="18"/>
                            <w:szCs w:val="18"/>
                          </w:rPr>
                        </w:pPr>
                        <w:r>
                          <w:rPr>
                            <w:rFonts w:ascii="宋体" w:hAnsi="宋体" w:cs="宋体" w:eastAsia="宋体" w:hint="default"/>
                            <w:sz w:val="18"/>
                            <w:szCs w:val="18"/>
                          </w:rPr>
                          <w:t>资产负债 表列报项 目</w:t>
                        </w:r>
                      </w:p>
                    </w:tc>
                    <w:tc>
                      <w:tcPr>
                        <w:tcW w:w="2537"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542" w:right="183" w:hanging="360"/>
                          <w:jc w:val="left"/>
                          <w:rPr>
                            <w:rFonts w:ascii="宋体" w:hAnsi="宋体" w:cs="宋体" w:eastAsia="宋体" w:hint="default"/>
                            <w:sz w:val="18"/>
                            <w:szCs w:val="18"/>
                          </w:rPr>
                        </w:pPr>
                        <w:r>
                          <w:rPr>
                            <w:rFonts w:ascii="宋体" w:hAnsi="宋体" w:cs="宋体" w:eastAsia="宋体" w:hint="default"/>
                            <w:sz w:val="18"/>
                            <w:szCs w:val="18"/>
                          </w:rPr>
                          <w:t>计入当期损益或冲减相关成 本费用损失的金额</w:t>
                        </w:r>
                      </w:p>
                    </w:tc>
                    <w:tc>
                      <w:tcPr>
                        <w:tcW w:w="1039" w:type="dxa"/>
                        <w:vMerge w:val="restart"/>
                        <w:tcBorders>
                          <w:top w:val="single" w:sz="12" w:space="0" w:color="000000"/>
                          <w:left w:val="dotted" w:sz="4" w:space="0" w:color="000000"/>
                          <w:right w:val="nil" w:sz="6" w:space="0" w:color="auto"/>
                        </w:tcBorders>
                      </w:tcPr>
                      <w:p>
                        <w:pPr>
                          <w:pStyle w:val="TableParagraph"/>
                          <w:spacing w:line="367" w:lineRule="auto" w:before="138"/>
                          <w:ind w:left="153" w:right="158"/>
                          <w:jc w:val="both"/>
                          <w:rPr>
                            <w:rFonts w:ascii="宋体" w:hAnsi="宋体" w:cs="宋体" w:eastAsia="宋体" w:hint="default"/>
                            <w:sz w:val="18"/>
                            <w:szCs w:val="18"/>
                          </w:rPr>
                        </w:pPr>
                        <w:r>
                          <w:rPr>
                            <w:rFonts w:ascii="宋体" w:hAnsi="宋体" w:cs="宋体" w:eastAsia="宋体" w:hint="default"/>
                            <w:sz w:val="18"/>
                            <w:szCs w:val="18"/>
                          </w:rPr>
                          <w:t>计入当期 损益或冲 减相关成 本费用损 失的项目</w:t>
                        </w:r>
                      </w:p>
                    </w:tc>
                  </w:tr>
                  <w:tr>
                    <w:trPr>
                      <w:trHeight w:val="1080" w:hRule="exact"/>
                    </w:trPr>
                    <w:tc>
                      <w:tcPr>
                        <w:tcW w:w="1805" w:type="dxa"/>
                        <w:vMerge/>
                        <w:tcBorders>
                          <w:left w:val="nil" w:sz="6" w:space="0" w:color="auto"/>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987" w:type="dxa"/>
                        <w:vMerge/>
                        <w:tcBorders>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39" w:type="dxa"/>
                        <w:vMerge/>
                        <w:tcBorders>
                          <w:left w:val="dotted" w:sz="4" w:space="0" w:color="000000"/>
                          <w:bottom w:val="dotted" w:sz="4" w:space="0" w:color="000000"/>
                          <w:right w:val="nil" w:sz="6" w:space="0" w:color="auto"/>
                        </w:tcBorders>
                      </w:tcPr>
                      <w:p>
                        <w:pPr/>
                      </w:p>
                    </w:tc>
                  </w:tr>
                  <w:tr>
                    <w:trPr>
                      <w:trHeight w:val="410"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409" w:type="dxa"/>
                        <w:tcBorders>
                          <w:top w:val="dotted" w:sz="4" w:space="0" w:color="000000"/>
                          <w:left w:val="dotted" w:sz="4" w:space="0" w:color="000000"/>
                          <w:bottom w:val="dotted" w:sz="4" w:space="0" w:color="000000"/>
                          <w:right w:val="dotted" w:sz="4" w:space="0" w:color="000000"/>
                        </w:tcBorders>
                      </w:tcPr>
                      <w:p>
                        <w:pPr/>
                      </w:p>
                    </w:tc>
                    <w:tc>
                      <w:tcPr>
                        <w:tcW w:w="98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36"/>
                          <w:jc w:val="left"/>
                          <w:rPr>
                            <w:rFonts w:ascii="宋体" w:hAnsi="宋体" w:cs="宋体" w:eastAsia="宋体" w:hint="default"/>
                            <w:sz w:val="18"/>
                            <w:szCs w:val="18"/>
                          </w:rPr>
                        </w:pPr>
                        <w:r>
                          <w:rPr>
                            <w:rFonts w:ascii="宋体" w:hAnsi="宋体" w:cs="宋体" w:eastAsia="宋体" w:hint="default"/>
                            <w:sz w:val="18"/>
                            <w:szCs w:val="18"/>
                          </w:rPr>
                          <w:t>西安服务业综合改 革试点项目</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504,008.00</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18,660.00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18,660.00</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51" w:hRule="exact"/>
                    </w:trPr>
                    <w:tc>
                      <w:tcPr>
                        <w:tcW w:w="18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6,823,035.05</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1,763,369.64</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2,080,002.46</w:t>
                        </w:r>
                      </w:p>
                    </w:tc>
                    <w:tc>
                      <w:tcPr>
                        <w:tcW w:w="1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1" w:hRule="exact"/>
                    </w:trPr>
                    <w:tc>
                      <w:tcPr>
                        <w:tcW w:w="18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672,806,778.76</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49,022,130.65</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30,533,030.21</w:t>
                        </w:r>
                      </w:p>
                    </w:tc>
                    <w:tc>
                      <w:tcPr>
                        <w:tcW w:w="1039" w:type="dxa"/>
                        <w:tcBorders>
                          <w:top w:val="dotted" w:sz="4" w:space="0" w:color="000000"/>
                          <w:left w:val="dotted" w:sz="4" w:space="0" w:color="000000"/>
                          <w:bottom w:val="single" w:sz="12" w:space="0" w:color="000000"/>
                          <w:right w:val="nil" w:sz="6" w:space="0" w:color="auto"/>
                        </w:tcBorders>
                      </w:tcPr>
                      <w:p>
                        <w:pPr/>
                      </w:p>
                    </w:tc>
                  </w:tr>
                </w:tbl>
                <w:p>
                  <w:pPr/>
                </w:p>
              </w:txbxContent>
            </v:textbox>
          </v:shape>
        </w:pict>
      </w:r>
      <w:r>
        <w:rPr>
          <w:rFonts w:ascii="Times New Roman"/>
          <w:position w:val="-80"/>
          <w:sz w:val="20"/>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6"/>
        <w:tabs>
          <w:tab w:pos="890" w:val="left" w:leader="none"/>
        </w:tabs>
        <w:spacing w:line="335" w:lineRule="exact"/>
        <w:ind w:left="166"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与收益相关的政府补助</w:t>
      </w:r>
      <w:r>
        <w:rPr>
          <w:b w:val="0"/>
          <w:bCs w:val="0"/>
        </w:rPr>
      </w:r>
    </w:p>
    <w:tbl>
      <w:tblPr>
        <w:tblW w:w="0" w:type="auto"/>
        <w:jc w:val="left"/>
        <w:tblInd w:w="809" w:type="dxa"/>
        <w:tblLayout w:type="fixed"/>
        <w:tblCellMar>
          <w:top w:w="0" w:type="dxa"/>
          <w:left w:w="0" w:type="dxa"/>
          <w:bottom w:w="0" w:type="dxa"/>
          <w:right w:w="0" w:type="dxa"/>
        </w:tblCellMar>
        <w:tblLook w:val="01E0"/>
      </w:tblPr>
      <w:tblGrid>
        <w:gridCol w:w="2187"/>
        <w:gridCol w:w="1342"/>
        <w:gridCol w:w="1414"/>
        <w:gridCol w:w="1274"/>
        <w:gridCol w:w="1561"/>
      </w:tblGrid>
      <w:tr>
        <w:trPr>
          <w:trHeight w:val="821" w:hRule="exact"/>
        </w:trPr>
        <w:tc>
          <w:tcPr>
            <w:tcW w:w="218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4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88"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708" w:right="168" w:hanging="541"/>
              <w:jc w:val="left"/>
              <w:rPr>
                <w:rFonts w:ascii="宋体" w:hAnsi="宋体" w:cs="宋体" w:eastAsia="宋体" w:hint="default"/>
                <w:sz w:val="18"/>
                <w:szCs w:val="18"/>
              </w:rPr>
            </w:pPr>
            <w:r>
              <w:rPr>
                <w:rFonts w:ascii="宋体" w:hAnsi="宋体" w:cs="宋体" w:eastAsia="宋体" w:hint="default"/>
                <w:sz w:val="18"/>
                <w:szCs w:val="18"/>
              </w:rPr>
              <w:t>计入当期损益或冲减相关成本 费用损失的金额</w:t>
            </w:r>
          </w:p>
        </w:tc>
        <w:tc>
          <w:tcPr>
            <w:tcW w:w="1561" w:type="dxa"/>
            <w:vMerge w:val="restart"/>
            <w:tcBorders>
              <w:top w:val="single" w:sz="12" w:space="0" w:color="000000"/>
              <w:left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367" w:lineRule="auto"/>
              <w:ind w:left="144" w:right="149"/>
              <w:jc w:val="both"/>
              <w:rPr>
                <w:rFonts w:ascii="宋体" w:hAnsi="宋体" w:cs="宋体" w:eastAsia="宋体" w:hint="default"/>
                <w:sz w:val="18"/>
                <w:szCs w:val="18"/>
              </w:rPr>
            </w:pPr>
            <w:r>
              <w:rPr>
                <w:rFonts w:ascii="宋体" w:hAnsi="宋体" w:cs="宋体" w:eastAsia="宋体" w:hint="default"/>
                <w:sz w:val="18"/>
                <w:szCs w:val="18"/>
              </w:rPr>
              <w:t>计入当期损益或 冲减相关成本费 用损失的项目</w:t>
            </w:r>
          </w:p>
        </w:tc>
      </w:tr>
      <w:tr>
        <w:trPr>
          <w:trHeight w:val="471" w:hRule="exact"/>
        </w:trPr>
        <w:tc>
          <w:tcPr>
            <w:tcW w:w="2187" w:type="dxa"/>
            <w:vMerge/>
            <w:tcBorders>
              <w:left w:val="nil" w:sz="6" w:space="0" w:color="auto"/>
              <w:bottom w:val="dotted" w:sz="4" w:space="0" w:color="000000"/>
              <w:right w:val="dotted" w:sz="4" w:space="0" w:color="000000"/>
            </w:tcBorders>
          </w:tcPr>
          <w:p>
            <w:pPr/>
          </w:p>
        </w:tc>
        <w:tc>
          <w:tcPr>
            <w:tcW w:w="1342" w:type="dxa"/>
            <w:vMerge/>
            <w:tcBorders>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2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561" w:type="dxa"/>
            <w:vMerge/>
            <w:tcBorders>
              <w:left w:val="dotted" w:sz="4" w:space="0" w:color="000000"/>
              <w:bottom w:val="dotted" w:sz="4" w:space="0" w:color="000000"/>
              <w:right w:val="nil" w:sz="6" w:space="0" w:color="auto"/>
            </w:tcBorders>
          </w:tcPr>
          <w:p>
            <w:pP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新柳邕一期项目商业流 通事务支出</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75,481,500.00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75,481,500.00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长沙现代服务业试点奖 励资金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5,577,600.00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5,577,600.00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66" w:firstLine="91"/>
              <w:jc w:val="left"/>
              <w:rPr>
                <w:rFonts w:ascii="宋体" w:hAnsi="宋体" w:cs="宋体" w:eastAsia="宋体" w:hint="default"/>
                <w:sz w:val="18"/>
                <w:szCs w:val="18"/>
              </w:rPr>
            </w:pPr>
            <w:r>
              <w:rPr>
                <w:rFonts w:ascii="宋体" w:hAnsi="宋体" w:cs="宋体" w:eastAsia="宋体" w:hint="default"/>
                <w:sz w:val="18"/>
                <w:szCs w:val="18"/>
              </w:rPr>
              <w:t>岳阳海吉星商户安置补 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47,239,567.03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4,624,941.42</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1,170,432.97</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32"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135"/>
              <w:ind w:left="122" w:right="101"/>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圳市农产品流通公益性 </w:t>
            </w:r>
            <w:r>
              <w:rPr>
                <w:rFonts w:ascii="宋体" w:hAnsi="宋体" w:cs="宋体" w:eastAsia="宋体" w:hint="default"/>
                <w:spacing w:val="-3"/>
                <w:sz w:val="18"/>
                <w:szCs w:val="18"/>
              </w:rPr>
              <w:t>项目（农产品质量检测能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力提升项目）资助奖金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3"/>
                <w:szCs w:val="23"/>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3,224,200.00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3,224,200.00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4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长沙蔬菜储备补贴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3,200,000.00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3,200,000.00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前海农产品交易服务平 台</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2,800,246.46</w:t>
            </w:r>
          </w:p>
        </w:tc>
        <w:tc>
          <w:tcPr>
            <w:tcW w:w="141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509,290.96</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2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135"/>
              <w:ind w:left="122" w:right="101"/>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圳市农产品流通公益性 </w:t>
            </w:r>
            <w:r>
              <w:rPr>
                <w:rFonts w:ascii="宋体" w:hAnsi="宋体" w:cs="宋体" w:eastAsia="宋体" w:hint="default"/>
                <w:spacing w:val="-3"/>
                <w:sz w:val="18"/>
                <w:szCs w:val="18"/>
              </w:rPr>
              <w:t>项目（农产品信息监测和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应用管理项目）资助奖金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3"/>
                <w:szCs w:val="23"/>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2,251,200.00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2,251,200.00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长沙春节期间进场交易 费减免</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2,000,000.00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774" w:footer="996" w:top="1000" w:bottom="118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tabs>
          <w:tab w:pos="809" w:val="left" w:leader="none"/>
        </w:tabs>
        <w:spacing w:line="13641" w:lineRule="exact"/>
        <w:ind w:left="108" w:right="0" w:firstLine="0"/>
        <w:rPr>
          <w:rFonts w:ascii="Times New Roman" w:hAnsi="Times New Roman" w:cs="Times New Roman" w:eastAsia="Times New Roman" w:hint="default"/>
          <w:sz w:val="20"/>
          <w:szCs w:val="20"/>
        </w:rPr>
      </w:pPr>
      <w:r>
        <w:rPr>
          <w:rFonts w:ascii="Times New Roman"/>
          <w:position w:val="933"/>
          <w:sz w:val="2"/>
        </w:rPr>
        <w:pict>
          <v:group style="width:16.05pt;height:.5pt;mso-position-horizontal-relative:char;mso-position-vertical-relative:line" coordorigin="0,0" coordsize="321,10">
            <v:group style="position:absolute;left:5;top:5;width:311;height:2" coordorigin="5,5" coordsize="311,2">
              <v:shape style="position:absolute;left:5;top:5;width:311;height:2" coordorigin="5,5" coordsize="311,0" path="m5,5l316,5e" filled="false" stroked="true" strokeweight=".48pt" strokecolor="#000000">
                <v:path arrowok="t"/>
                <v:stroke dashstyle="dash"/>
              </v:shape>
            </v:group>
          </v:group>
        </w:pict>
      </w:r>
      <w:r>
        <w:rPr>
          <w:rFonts w:ascii="Times New Roman"/>
          <w:position w:val="933"/>
          <w:sz w:val="2"/>
        </w:rPr>
      </w:r>
      <w:r>
        <w:rPr>
          <w:rFonts w:ascii="Times New Roman"/>
          <w:position w:val="933"/>
          <w:sz w:val="2"/>
        </w:rPr>
        <w:tab/>
      </w:r>
      <w:r>
        <w:rPr>
          <w:rFonts w:ascii="Times New Roman"/>
          <w:position w:val="-272"/>
          <w:sz w:val="20"/>
        </w:rPr>
        <w:pict>
          <v:shape style="width:391.05pt;height:682.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187"/>
                    <w:gridCol w:w="1342"/>
                    <w:gridCol w:w="1414"/>
                    <w:gridCol w:w="1274"/>
                    <w:gridCol w:w="1561"/>
                  </w:tblGrid>
                  <w:tr>
                    <w:trPr>
                      <w:trHeight w:val="821" w:hRule="exact"/>
                    </w:trPr>
                    <w:tc>
                      <w:tcPr>
                        <w:tcW w:w="218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4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88"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708" w:right="168" w:hanging="541"/>
                          <w:jc w:val="left"/>
                          <w:rPr>
                            <w:rFonts w:ascii="宋体" w:hAnsi="宋体" w:cs="宋体" w:eastAsia="宋体" w:hint="default"/>
                            <w:sz w:val="18"/>
                            <w:szCs w:val="18"/>
                          </w:rPr>
                        </w:pPr>
                        <w:r>
                          <w:rPr>
                            <w:rFonts w:ascii="宋体" w:hAnsi="宋体" w:cs="宋体" w:eastAsia="宋体" w:hint="default"/>
                            <w:sz w:val="18"/>
                            <w:szCs w:val="18"/>
                          </w:rPr>
                          <w:t>计入当期损益或冲减相关成本 费用损失的金额</w:t>
                        </w:r>
                      </w:p>
                    </w:tc>
                    <w:tc>
                      <w:tcPr>
                        <w:tcW w:w="1561"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67" w:lineRule="auto"/>
                          <w:ind w:left="144" w:right="149"/>
                          <w:jc w:val="both"/>
                          <w:rPr>
                            <w:rFonts w:ascii="宋体" w:hAnsi="宋体" w:cs="宋体" w:eastAsia="宋体" w:hint="default"/>
                            <w:sz w:val="18"/>
                            <w:szCs w:val="18"/>
                          </w:rPr>
                        </w:pPr>
                        <w:r>
                          <w:rPr>
                            <w:rFonts w:ascii="宋体" w:hAnsi="宋体" w:cs="宋体" w:eastAsia="宋体" w:hint="default"/>
                            <w:sz w:val="18"/>
                            <w:szCs w:val="18"/>
                          </w:rPr>
                          <w:t>计入当期损益或 冲减相关成本费 用损失的项目</w:t>
                        </w:r>
                      </w:p>
                    </w:tc>
                  </w:tr>
                  <w:tr>
                    <w:trPr>
                      <w:trHeight w:val="470" w:hRule="exact"/>
                    </w:trPr>
                    <w:tc>
                      <w:tcPr>
                        <w:tcW w:w="2187" w:type="dxa"/>
                        <w:vMerge/>
                        <w:tcBorders>
                          <w:left w:val="nil" w:sz="6" w:space="0" w:color="auto"/>
                          <w:bottom w:val="dotted" w:sz="4" w:space="0" w:color="000000"/>
                          <w:right w:val="dotted" w:sz="4" w:space="0" w:color="000000"/>
                        </w:tcBorders>
                      </w:tcPr>
                      <w:p>
                        <w:pPr/>
                      </w:p>
                    </w:tc>
                    <w:tc>
                      <w:tcPr>
                        <w:tcW w:w="1342" w:type="dxa"/>
                        <w:vMerge/>
                        <w:tcBorders>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2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561" w:type="dxa"/>
                        <w:vMerge/>
                        <w:tcBorders>
                          <w:left w:val="dotted" w:sz="4" w:space="0" w:color="000000"/>
                          <w:bottom w:val="dotted" w:sz="4" w:space="0" w:color="000000"/>
                          <w:right w:val="nil" w:sz="6" w:space="0" w:color="auto"/>
                        </w:tcBorders>
                      </w:tcPr>
                      <w:p>
                        <w:pP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新柳邕一期项目三期工 程海鲜楼政府贴息</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r>
                  <w:tr>
                    <w:trPr>
                      <w:trHeight w:val="1892"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2" w:lineRule="auto" w:before="135"/>
                          <w:ind w:left="122" w:right="163"/>
                          <w:jc w:val="left"/>
                          <w:rPr>
                            <w:rFonts w:ascii="宋体" w:hAnsi="宋体" w:cs="宋体" w:eastAsia="宋体" w:hint="default"/>
                            <w:sz w:val="18"/>
                            <w:szCs w:val="18"/>
                          </w:rPr>
                        </w:pPr>
                        <w:r>
                          <w:rPr>
                            <w:rFonts w:ascii="宋体" w:hAnsi="宋体" w:cs="宋体" w:eastAsia="宋体" w:hint="default"/>
                            <w:sz w:val="18"/>
                            <w:szCs w:val="18"/>
                          </w:rPr>
                          <w:t>深圳海吉星市场和质量 监管委关于下达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农业发展专项资金农产 品质量安全检测项目资 助计划的通知</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pacing w:val="-3"/>
                            <w:sz w:val="18"/>
                            <w:szCs w:val="18"/>
                          </w:rPr>
                          <w:t>长沙农残、兽残速测室补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助金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760,000.00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760,000.00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1"/>
                          <w:jc w:val="left"/>
                          <w:rPr>
                            <w:rFonts w:ascii="宋体" w:hAnsi="宋体" w:cs="宋体" w:eastAsia="宋体" w:hint="default"/>
                            <w:sz w:val="18"/>
                            <w:szCs w:val="18"/>
                          </w:rPr>
                        </w:pPr>
                        <w:r>
                          <w:rPr>
                            <w:rFonts w:ascii="宋体" w:hAnsi="宋体" w:cs="宋体" w:eastAsia="宋体" w:hint="default"/>
                            <w:spacing w:val="-3"/>
                            <w:sz w:val="18"/>
                            <w:szCs w:val="18"/>
                          </w:rPr>
                          <w:t>农业高新技术项目（海吉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星数据处理机房工程项 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725,301.20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202,409.64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350" w:right="0"/>
                          <w:jc w:val="left"/>
                          <w:rPr>
                            <w:rFonts w:ascii="Times New Roman" w:hAnsi="Times New Roman" w:cs="Times New Roman" w:eastAsia="Times New Roman" w:hint="default"/>
                            <w:sz w:val="18"/>
                            <w:szCs w:val="18"/>
                          </w:rPr>
                        </w:pPr>
                        <w:r>
                          <w:rPr>
                            <w:rFonts w:ascii="Times New Roman"/>
                            <w:sz w:val="18"/>
                          </w:rPr>
                          <w:t>202,409.64</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天津市静海区人民政府 年货节补贴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605,300.00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605,300.00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135"/>
                          <w:ind w:left="122" w:right="163"/>
                          <w:jc w:val="left"/>
                          <w:rPr>
                            <w:rFonts w:ascii="宋体" w:hAnsi="宋体" w:cs="宋体" w:eastAsia="宋体" w:hint="default"/>
                            <w:sz w:val="18"/>
                            <w:szCs w:val="18"/>
                          </w:rPr>
                        </w:pPr>
                        <w:r>
                          <w:rPr>
                            <w:rFonts w:ascii="宋体" w:hAnsi="宋体" w:cs="宋体" w:eastAsia="宋体" w:hint="default"/>
                            <w:sz w:val="18"/>
                            <w:szCs w:val="18"/>
                          </w:rPr>
                          <w:t>农迈天下经信委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度产销对接电子商务服 务平台项目资助资金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584,600.00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584,600.00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长沙菜蓝子工程价格调 控款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2"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122" w:right="257"/>
                          <w:jc w:val="left"/>
                          <w:rPr>
                            <w:rFonts w:ascii="宋体" w:hAnsi="宋体" w:cs="宋体" w:eastAsia="宋体" w:hint="default"/>
                            <w:sz w:val="18"/>
                            <w:szCs w:val="18"/>
                          </w:rPr>
                        </w:pPr>
                        <w:r>
                          <w:rPr>
                            <w:rFonts w:ascii="宋体" w:hAnsi="宋体" w:cs="宋体" w:eastAsia="宋体" w:hint="default"/>
                            <w:sz w:val="18"/>
                            <w:szCs w:val="18"/>
                          </w:rPr>
                          <w:t>天津韩家墅市容综合整 治资金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430,000.00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430,000.00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长沙食品安全专项补贴 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405,000.00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405,000.00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6"/>
                          <w:jc w:val="left"/>
                          <w:rPr>
                            <w:rFonts w:ascii="宋体" w:hAnsi="宋体" w:cs="宋体" w:eastAsia="宋体" w:hint="default"/>
                            <w:sz w:val="18"/>
                            <w:szCs w:val="18"/>
                          </w:rPr>
                        </w:pPr>
                        <w:r>
                          <w:rPr>
                            <w:rFonts w:ascii="宋体" w:hAnsi="宋体" w:cs="宋体" w:eastAsia="宋体" w:hint="default"/>
                            <w:spacing w:val="14"/>
                            <w:sz w:val="18"/>
                            <w:szCs w:val="18"/>
                          </w:rPr>
                          <w:t>前海农产品现货价格指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数交易平台</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398,564.35</w:t>
                        </w:r>
                      </w:p>
                    </w:tc>
                    <w:tc>
                      <w:tcPr>
                        <w:tcW w:w="141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长沙食用农产品检测费</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532"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135"/>
                          <w:ind w:left="122" w:right="163"/>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年度市 农业发展专项资金农业 产业化重点龙头企业奖 励金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4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南昌青云谱区发改委</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nil" w:sz="6" w:space="0" w:color="auto"/>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p>
              </w:txbxContent>
            </v:textbox>
          </v:shape>
        </w:pict>
      </w:r>
      <w:r>
        <w:rPr>
          <w:rFonts w:ascii="Times New Roman"/>
          <w:position w:val="-272"/>
          <w:sz w:val="20"/>
        </w:rPr>
      </w:r>
    </w:p>
    <w:p>
      <w:pPr>
        <w:spacing w:after="0" w:line="13641" w:lineRule="exact"/>
        <w:rPr>
          <w:rFonts w:ascii="Times New Roman" w:hAnsi="Times New Roman" w:cs="Times New Roman" w:eastAsia="Times New Roman" w:hint="default"/>
          <w:sz w:val="20"/>
          <w:szCs w:val="20"/>
        </w:rPr>
        <w:sectPr>
          <w:pgSz w:w="11910" w:h="16840"/>
          <w:pgMar w:header="774" w:footer="996" w:top="1000" w:bottom="118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2187"/>
        <w:gridCol w:w="1342"/>
        <w:gridCol w:w="1414"/>
        <w:gridCol w:w="1274"/>
        <w:gridCol w:w="1561"/>
      </w:tblGrid>
      <w:tr>
        <w:trPr>
          <w:trHeight w:val="821" w:hRule="exact"/>
        </w:trPr>
        <w:tc>
          <w:tcPr>
            <w:tcW w:w="218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4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88" w:type="dxa"/>
            <w:gridSpan w:val="2"/>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8"/>
              <w:ind w:left="708" w:right="168" w:hanging="541"/>
              <w:jc w:val="left"/>
              <w:rPr>
                <w:rFonts w:ascii="宋体" w:hAnsi="宋体" w:cs="宋体" w:eastAsia="宋体" w:hint="default"/>
                <w:sz w:val="18"/>
                <w:szCs w:val="18"/>
              </w:rPr>
            </w:pPr>
            <w:r>
              <w:rPr>
                <w:rFonts w:ascii="宋体" w:hAnsi="宋体" w:cs="宋体" w:eastAsia="宋体" w:hint="default"/>
                <w:sz w:val="18"/>
                <w:szCs w:val="18"/>
              </w:rPr>
              <w:t>计入当期损益或冲减相关成本 费用损失的金额</w:t>
            </w:r>
          </w:p>
        </w:tc>
        <w:tc>
          <w:tcPr>
            <w:tcW w:w="1561"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67" w:lineRule="auto"/>
              <w:ind w:left="144" w:right="149"/>
              <w:jc w:val="both"/>
              <w:rPr>
                <w:rFonts w:ascii="宋体" w:hAnsi="宋体" w:cs="宋体" w:eastAsia="宋体" w:hint="default"/>
                <w:sz w:val="18"/>
                <w:szCs w:val="18"/>
              </w:rPr>
            </w:pPr>
            <w:r>
              <w:rPr>
                <w:rFonts w:ascii="宋体" w:hAnsi="宋体" w:cs="宋体" w:eastAsia="宋体" w:hint="default"/>
                <w:sz w:val="18"/>
                <w:szCs w:val="18"/>
              </w:rPr>
              <w:t>计入当期损益或 冲减相关成本费 用损失的项目</w:t>
            </w:r>
          </w:p>
        </w:tc>
      </w:tr>
      <w:tr>
        <w:trPr>
          <w:trHeight w:val="470" w:hRule="exact"/>
        </w:trPr>
        <w:tc>
          <w:tcPr>
            <w:tcW w:w="2187" w:type="dxa"/>
            <w:vMerge/>
            <w:tcBorders>
              <w:left w:val="nil" w:sz="6" w:space="0" w:color="auto"/>
              <w:bottom w:val="dotted" w:sz="4" w:space="0" w:color="000000"/>
              <w:right w:val="dotted" w:sz="4" w:space="0" w:color="000000"/>
            </w:tcBorders>
          </w:tcPr>
          <w:p>
            <w:pPr/>
          </w:p>
        </w:tc>
        <w:tc>
          <w:tcPr>
            <w:tcW w:w="1342" w:type="dxa"/>
            <w:vMerge/>
            <w:tcBorders>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2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561" w:type="dxa"/>
            <w:vMerge/>
            <w:tcBorders>
              <w:left w:val="dotted" w:sz="4" w:space="0" w:color="000000"/>
              <w:bottom w:val="dotted" w:sz="4" w:space="0" w:color="000000"/>
              <w:right w:val="nil" w:sz="6" w:space="0" w:color="auto"/>
            </w:tcBorders>
          </w:tcPr>
          <w:p>
            <w:pPr/>
          </w:p>
        </w:tc>
      </w:tr>
      <w:tr>
        <w:trPr>
          <w:trHeight w:val="770"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97"/>
              <w:ind w:left="1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2015-2016 </w:t>
            </w:r>
            <w:r>
              <w:rPr>
                <w:rFonts w:ascii="宋体" w:hAnsi="宋体" w:cs="宋体" w:eastAsia="宋体" w:hint="default"/>
                <w:sz w:val="18"/>
                <w:szCs w:val="18"/>
              </w:rPr>
              <w:t>年度服务业发 展引导项目资金</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天津韩家墅示范快检室 建设经费补贴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260,000.00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260,000.00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52"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长春冬春蔬菜储备补贴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4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广西商业税金减免补助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35"/>
              <w:ind w:left="122"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年度服务业考核奖 励资金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200,000.00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宁夏自治区服务业发展 引导资金补助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72"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both"/>
              <w:rPr>
                <w:rFonts w:ascii="宋体" w:hAnsi="宋体" w:cs="宋体" w:eastAsia="宋体" w:hint="default"/>
                <w:sz w:val="18"/>
                <w:szCs w:val="18"/>
              </w:rPr>
            </w:pPr>
            <w:r>
              <w:rPr>
                <w:rFonts w:ascii="宋体" w:hAnsi="宋体" w:cs="宋体" w:eastAsia="宋体" w:hint="default"/>
                <w:sz w:val="18"/>
                <w:szCs w:val="18"/>
              </w:rPr>
              <w:t>新柳邕柳州市商务委员 会下发柳州市首批现代 服务业集聚区认定补助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16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55" w:lineRule="auto" w:before="135"/>
              <w:ind w:left="122" w:right="163"/>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 市龙岗区支持农业发展 专项资金项目申报书</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深圳海吉星农产品质量 安全风险检测资金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长沙市场进场交易费减 免补贴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57"/>
              <w:jc w:val="left"/>
              <w:rPr>
                <w:rFonts w:ascii="宋体" w:hAnsi="宋体" w:cs="宋体" w:eastAsia="宋体" w:hint="default"/>
                <w:sz w:val="18"/>
                <w:szCs w:val="18"/>
              </w:rPr>
            </w:pPr>
            <w:r>
              <w:rPr>
                <w:rFonts w:ascii="宋体" w:hAnsi="宋体" w:cs="宋体" w:eastAsia="宋体" w:hint="default"/>
                <w:sz w:val="18"/>
                <w:szCs w:val="18"/>
              </w:rPr>
              <w:t>长沙农产品信息系统维 护补贴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1,600,000.00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1,600,000.00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21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2,489,682.78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2,704,534.52</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1,990,278.00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1" w:hRule="exact"/>
        </w:trPr>
        <w:tc>
          <w:tcPr>
            <w:tcW w:w="21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157,478,761.82</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108,257,285.58</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10,172,411.57</w:t>
            </w:r>
          </w:p>
        </w:tc>
        <w:tc>
          <w:tcPr>
            <w:tcW w:w="156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政府补助的退回</w:t>
      </w:r>
      <w:r>
        <w:rPr>
          <w:b w:val="0"/>
          <w:bCs w:val="0"/>
        </w:rPr>
      </w:r>
    </w:p>
    <w:p>
      <w:pPr>
        <w:pStyle w:val="BodyText"/>
        <w:spacing w:line="240" w:lineRule="auto" w:before="102"/>
        <w:ind w:left="872" w:right="1675"/>
        <w:jc w:val="left"/>
      </w:pP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日，本公司没有退回的政府补助。</w:t>
      </w:r>
    </w:p>
    <w:p>
      <w:pPr>
        <w:spacing w:line="240" w:lineRule="auto" w:before="0"/>
        <w:rPr>
          <w:rFonts w:ascii="宋体" w:hAnsi="宋体" w:cs="宋体" w:eastAsia="宋体" w:hint="default"/>
          <w:sz w:val="22"/>
          <w:szCs w:val="22"/>
        </w:rPr>
      </w:pPr>
    </w:p>
    <w:p>
      <w:pPr>
        <w:pStyle w:val="Heading6"/>
        <w:spacing w:line="240" w:lineRule="auto" w:before="153"/>
        <w:ind w:left="138" w:right="1675"/>
        <w:jc w:val="left"/>
        <w:rPr>
          <w:b w:val="0"/>
          <w:bCs w:val="0"/>
        </w:rPr>
      </w:pPr>
      <w:r>
        <w:rPr/>
        <w:t>十二、</w:t>
      </w:r>
      <w:r>
        <w:rPr>
          <w:spacing w:val="38"/>
        </w:rPr>
        <w:t> </w:t>
      </w:r>
      <w:r>
        <w:rPr/>
        <w:t>承诺及或有事项</w:t>
      </w:r>
      <w:r>
        <w:rPr>
          <w:b w:val="0"/>
          <w:bCs w:val="0"/>
        </w:rPr>
      </w:r>
    </w:p>
    <w:p>
      <w:pPr>
        <w:pStyle w:val="Heading6"/>
        <w:tabs>
          <w:tab w:pos="850" w:val="left" w:leader="none"/>
        </w:tabs>
        <w:spacing w:line="240" w:lineRule="auto" w:before="35"/>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重要承诺事项</w:t>
      </w:r>
      <w:r>
        <w:rPr>
          <w:b w:val="0"/>
          <w:bCs w:val="0"/>
        </w:rPr>
      </w:r>
    </w:p>
    <w:p>
      <w:pPr>
        <w:pStyle w:val="BodyText"/>
        <w:spacing w:line="240" w:lineRule="auto" w:before="102"/>
        <w:ind w:left="872" w:right="1675"/>
        <w:jc w:val="left"/>
      </w:pPr>
      <w:r>
        <w:rPr/>
        <w:t>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日，本公司没有需要披露的重要承诺事项。</w:t>
      </w:r>
    </w:p>
    <w:p>
      <w:pPr>
        <w:spacing w:after="0" w:line="240" w:lineRule="auto"/>
        <w:jc w:val="left"/>
        <w:sectPr>
          <w:pgSz w:w="11910" w:h="16840"/>
          <w:pgMar w:header="774"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或有事项</w:t>
      </w:r>
      <w:r>
        <w:rPr>
          <w:b w:val="0"/>
          <w:bCs w:val="0"/>
        </w:rPr>
      </w:r>
    </w:p>
    <w:p>
      <w:pPr>
        <w:pStyle w:val="BodyText"/>
        <w:spacing w:line="240" w:lineRule="auto" w:before="99"/>
        <w:ind w:left="850" w:right="1675"/>
        <w:jc w:val="left"/>
      </w:pPr>
      <w:r>
        <w:rPr/>
        <w:t>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日，本公司没有需要披露的重要或有事项。</w:t>
      </w:r>
    </w:p>
    <w:p>
      <w:pPr>
        <w:spacing w:line="240" w:lineRule="auto" w:before="0"/>
        <w:rPr>
          <w:rFonts w:ascii="宋体" w:hAnsi="宋体" w:cs="宋体" w:eastAsia="宋体" w:hint="default"/>
          <w:sz w:val="22"/>
          <w:szCs w:val="22"/>
        </w:rPr>
      </w:pPr>
    </w:p>
    <w:p>
      <w:pPr>
        <w:pStyle w:val="Heading6"/>
        <w:spacing w:line="240" w:lineRule="auto" w:before="156"/>
        <w:ind w:left="138" w:right="1675"/>
        <w:jc w:val="left"/>
        <w:rPr>
          <w:b w:val="0"/>
          <w:bCs w:val="0"/>
        </w:rPr>
      </w:pPr>
      <w:r>
        <w:rPr/>
        <w:t>十三、</w:t>
      </w:r>
      <w:r>
        <w:rPr>
          <w:spacing w:val="40"/>
        </w:rPr>
        <w:t> </w:t>
      </w:r>
      <w:r>
        <w:rPr/>
        <w:t>资产负债表日后事项</w:t>
      </w:r>
      <w:r>
        <w:rPr>
          <w:b w:val="0"/>
          <w:bCs w:val="0"/>
        </w:rPr>
      </w:r>
    </w:p>
    <w:p>
      <w:pPr>
        <w:pStyle w:val="BodyText"/>
        <w:spacing w:line="240" w:lineRule="auto" w:before="99"/>
        <w:ind w:left="850" w:right="1675"/>
        <w:jc w:val="left"/>
      </w:pPr>
      <w:r>
        <w:rPr/>
        <w:t>（一）</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日，本公司发行深圳市农产品集团股份有限公司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年度第</w:t>
      </w:r>
    </w:p>
    <w:p>
      <w:pPr>
        <w:pStyle w:val="BodyText"/>
        <w:spacing w:line="240" w:lineRule="auto" w:before="110"/>
        <w:ind w:left="850" w:right="1675"/>
        <w:jc w:val="left"/>
      </w:pPr>
      <w:r>
        <w:rPr/>
        <w:t>一期超短期融资券 </w:t>
      </w:r>
      <w:r>
        <w:rPr>
          <w:rFonts w:ascii="Times New Roman" w:hAnsi="Times New Roman" w:cs="Times New Roman" w:eastAsia="Times New Roman" w:hint="default"/>
        </w:rPr>
        <w:t>5 </w:t>
      </w:r>
      <w:r>
        <w:rPr/>
        <w:t>亿元，票面金额 </w:t>
      </w:r>
      <w:r>
        <w:rPr>
          <w:rFonts w:ascii="Times New Roman" w:hAnsi="Times New Roman" w:cs="Times New Roman" w:eastAsia="Times New Roman" w:hint="default"/>
        </w:rPr>
        <w:t>100 </w:t>
      </w:r>
      <w:r>
        <w:rPr/>
        <w:t>元</w:t>
      </w:r>
      <w:r>
        <w:rPr>
          <w:rFonts w:ascii="Times New Roman" w:hAnsi="Times New Roman" w:cs="Times New Roman" w:eastAsia="Times New Roman" w:hint="default"/>
        </w:rPr>
        <w:t>/</w:t>
      </w:r>
      <w:r>
        <w:rPr/>
        <w:t>张，债券期限 </w:t>
      </w:r>
      <w:r>
        <w:rPr>
          <w:rFonts w:ascii="Times New Roman" w:hAnsi="Times New Roman" w:cs="Times New Roman" w:eastAsia="Times New Roman" w:hint="default"/>
        </w:rPr>
        <w:t>270</w:t>
      </w:r>
      <w:r>
        <w:rPr>
          <w:rFonts w:ascii="Times New Roman" w:hAnsi="Times New Roman" w:cs="Times New Roman" w:eastAsia="Times New Roman" w:hint="default"/>
          <w:spacing w:val="26"/>
        </w:rPr>
        <w:t> </w:t>
      </w:r>
      <w:r>
        <w:rPr/>
        <w:t>日，债券票面利率</w:t>
      </w:r>
    </w:p>
    <w:p>
      <w:pPr>
        <w:pStyle w:val="BodyText"/>
        <w:spacing w:line="240" w:lineRule="auto" w:before="110"/>
        <w:ind w:left="850" w:right="1675"/>
        <w:jc w:val="left"/>
      </w:pPr>
      <w:r>
        <w:rPr>
          <w:rFonts w:ascii="Times New Roman" w:hAnsi="Times New Roman" w:cs="Times New Roman" w:eastAsia="Times New Roman" w:hint="default"/>
          <w:w w:val="100"/>
        </w:rPr>
        <w:t>3.80</w:t>
      </w:r>
      <w:r>
        <w:rPr>
          <w:rFonts w:ascii="Times New Roman" w:hAnsi="Times New Roman" w:cs="Times New Roman" w:eastAsia="Times New Roman" w:hint="default"/>
          <w:spacing w:val="-1"/>
          <w:w w:val="100"/>
        </w:rPr>
        <w:t>%</w:t>
      </w:r>
      <w:r>
        <w:rPr>
          <w:spacing w:val="-3"/>
          <w:w w:val="100"/>
        </w:rPr>
        <w:t>，</w:t>
      </w:r>
      <w:r>
        <w:rPr>
          <w:w w:val="100"/>
        </w:rPr>
        <w:t>债</w:t>
      </w:r>
      <w:r>
        <w:rPr>
          <w:spacing w:val="-3"/>
          <w:w w:val="100"/>
        </w:rPr>
        <w:t>券</w:t>
      </w:r>
      <w:r>
        <w:rPr>
          <w:w w:val="100"/>
        </w:rPr>
        <w:t>简</w:t>
      </w:r>
      <w:r>
        <w:rPr>
          <w:spacing w:val="-3"/>
          <w:w w:val="100"/>
        </w:rPr>
        <w:t>称</w:t>
      </w:r>
      <w:r>
        <w:rPr>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深</w:t>
      </w:r>
      <w:r>
        <w:rPr>
          <w:w w:val="100"/>
        </w:rPr>
        <w:t>农</w:t>
      </w:r>
      <w:r>
        <w:rPr>
          <w:spacing w:val="-3"/>
          <w:w w:val="100"/>
        </w:rPr>
        <w:t>产</w:t>
      </w:r>
      <w:r>
        <w:rPr>
          <w:w w:val="100"/>
        </w:rPr>
        <w:t>品</w:t>
      </w:r>
      <w:r>
        <w:rPr>
          <w:spacing w:val="-53"/>
        </w:rPr>
        <w:t> </w:t>
      </w:r>
      <w:r>
        <w:rPr>
          <w:rFonts w:ascii="Times New Roman" w:hAnsi="Times New Roman" w:cs="Times New Roman" w:eastAsia="Times New Roman" w:hint="default"/>
          <w:spacing w:val="-3"/>
          <w:w w:val="100"/>
        </w:rPr>
        <w:t>S</w:t>
      </w:r>
      <w:r>
        <w:rPr>
          <w:rFonts w:ascii="Times New Roman" w:hAnsi="Times New Roman" w:cs="Times New Roman" w:eastAsia="Times New Roman" w:hint="default"/>
          <w:spacing w:val="-2"/>
          <w:w w:val="100"/>
        </w:rPr>
        <w:t>C</w:t>
      </w:r>
      <w:r>
        <w:rPr>
          <w:rFonts w:ascii="Times New Roman" w:hAnsi="Times New Roman" w:cs="Times New Roman" w:eastAsia="Times New Roman" w:hint="default"/>
          <w:spacing w:val="2"/>
          <w:w w:val="100"/>
        </w:rPr>
        <w:t>P</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spacing w:val="-106"/>
          <w:w w:val="100"/>
        </w:rPr>
        <w:t>”。</w:t>
      </w:r>
      <w:r>
        <w:rPr>
          <w:w w:val="100"/>
        </w:rPr>
      </w:r>
    </w:p>
    <w:p>
      <w:pPr>
        <w:pStyle w:val="BodyText"/>
        <w:spacing w:line="240" w:lineRule="auto" w:before="107"/>
        <w:ind w:left="850" w:right="1675"/>
        <w:jc w:val="left"/>
      </w:pPr>
      <w:r>
        <w:rPr/>
        <w:t>（二）本公司第八届董事会第二十三次会议于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日通过决议，以公司</w:t>
      </w:r>
    </w:p>
    <w:p>
      <w:pPr>
        <w:pStyle w:val="BodyText"/>
        <w:spacing w:line="240" w:lineRule="auto" w:before="110"/>
        <w:ind w:left="850" w:right="1675"/>
        <w:jc w:val="left"/>
      </w:pPr>
      <w:r>
        <w:rPr>
          <w:w w:val="100"/>
        </w:rPr>
        <w:t>现有</w:t>
      </w:r>
      <w:r>
        <w:rPr>
          <w:spacing w:val="-3"/>
          <w:w w:val="100"/>
        </w:rPr>
        <w:t>总股</w:t>
      </w:r>
      <w:r>
        <w:rPr>
          <w:w w:val="100"/>
        </w:rPr>
        <w:t>本</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6,9</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股为</w:t>
      </w:r>
      <w:r>
        <w:rPr>
          <w:spacing w:val="-3"/>
          <w:w w:val="100"/>
        </w:rPr>
        <w:t>基</w:t>
      </w:r>
      <w:r>
        <w:rPr>
          <w:w w:val="100"/>
        </w:rPr>
        <w:t>数</w:t>
      </w:r>
      <w:r>
        <w:rPr>
          <w:spacing w:val="-89"/>
          <w:w w:val="100"/>
        </w:rPr>
        <w:t>，</w:t>
      </w:r>
      <w:r>
        <w:rPr>
          <w:w w:val="100"/>
        </w:rPr>
        <w:t>拟</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87"/>
          <w:w w:val="100"/>
        </w:rPr>
        <w:t>元</w:t>
      </w:r>
      <w:r>
        <w:rPr>
          <w:w w:val="100"/>
        </w:rPr>
        <w:t>（含</w:t>
      </w:r>
    </w:p>
    <w:p>
      <w:pPr>
        <w:pStyle w:val="BodyText"/>
        <w:spacing w:line="343" w:lineRule="auto" w:before="110"/>
        <w:ind w:left="850" w:right="1680"/>
        <w:jc w:val="left"/>
      </w:pPr>
      <w:r>
        <w:rPr>
          <w:spacing w:val="-11"/>
          <w:w w:val="100"/>
        </w:rPr>
        <w:t>税），共计拟派发现金红利</w:t>
      </w:r>
      <w:r>
        <w:rPr>
          <w:spacing w:val="-47"/>
          <w:w w:val="100"/>
        </w:rPr>
        <w:t> </w:t>
      </w:r>
      <w:r>
        <w:rPr>
          <w:rFonts w:ascii="Times New Roman" w:hAnsi="Times New Roman" w:cs="Times New Roman" w:eastAsia="Times New Roman" w:hint="default"/>
          <w:spacing w:val="-1"/>
          <w:w w:val="100"/>
        </w:rPr>
        <w:t>16,969,641.31</w:t>
      </w:r>
      <w:r>
        <w:rPr>
          <w:rFonts w:ascii="Times New Roman" w:hAnsi="Times New Roman" w:cs="Times New Roman" w:eastAsia="Times New Roman" w:hint="default"/>
          <w:spacing w:val="6"/>
          <w:w w:val="100"/>
        </w:rPr>
        <w:t> </w:t>
      </w:r>
      <w:r>
        <w:rPr>
          <w:spacing w:val="-2"/>
          <w:w w:val="100"/>
        </w:rPr>
        <w:t>元，本年度暂不进行资本公积金转增股本。</w:t>
      </w:r>
      <w:r>
        <w:rPr>
          <w:spacing w:val="-104"/>
          <w:w w:val="100"/>
        </w:rPr>
        <w:t> </w:t>
      </w:r>
      <w:r>
        <w:rPr>
          <w:spacing w:val="-104"/>
          <w:w w:val="100"/>
        </w:rPr>
      </w:r>
      <w:r>
        <w:rPr/>
        <w:t>该项议案尚需股东大会审议批准。</w:t>
      </w:r>
      <w:r>
        <w:rPr>
          <w:w w:val="100"/>
        </w:rPr>
        <w:t> </w:t>
      </w:r>
      <w:r>
        <w:rPr/>
        <w:t>除上述事项外，截至财务报告批准报出日，本公司无应披露的其他资产负债表日后</w:t>
      </w:r>
      <w:r>
        <w:rPr>
          <w:spacing w:val="-62"/>
        </w:rPr>
        <w:t> </w:t>
      </w:r>
      <w:r>
        <w:rPr/>
        <w:t>事项。</w:t>
      </w:r>
    </w:p>
    <w:p>
      <w:pPr>
        <w:spacing w:line="240" w:lineRule="auto" w:before="1"/>
        <w:rPr>
          <w:rFonts w:ascii="宋体" w:hAnsi="宋体" w:cs="宋体" w:eastAsia="宋体" w:hint="default"/>
          <w:sz w:val="28"/>
          <w:szCs w:val="28"/>
        </w:rPr>
      </w:pPr>
    </w:p>
    <w:p>
      <w:pPr>
        <w:pStyle w:val="Heading6"/>
        <w:spacing w:line="240" w:lineRule="auto"/>
        <w:ind w:left="138" w:right="1675"/>
        <w:jc w:val="left"/>
        <w:rPr>
          <w:b w:val="0"/>
          <w:bCs w:val="0"/>
        </w:rPr>
      </w:pPr>
      <w:r>
        <w:rPr/>
        <w:t>十四、</w:t>
      </w:r>
      <w:r>
        <w:rPr>
          <w:spacing w:val="37"/>
        </w:rPr>
        <w:t> </w:t>
      </w:r>
      <w:r>
        <w:rPr/>
        <w:t>其他重要事项</w:t>
      </w:r>
      <w:r>
        <w:rPr>
          <w:b w:val="0"/>
          <w:bCs w:val="0"/>
        </w:rPr>
      </w:r>
    </w:p>
    <w:p>
      <w:pPr>
        <w:pStyle w:val="BodyText"/>
        <w:spacing w:line="240" w:lineRule="auto" w:before="102"/>
        <w:ind w:left="850" w:right="1675"/>
        <w:jc w:val="left"/>
      </w:pPr>
      <w:r>
        <w:rPr/>
        <w:t>本公司无需要披露的其他重要事项。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6"/>
        <w:spacing w:line="240" w:lineRule="auto"/>
        <w:ind w:left="138" w:right="1675"/>
        <w:jc w:val="left"/>
        <w:rPr>
          <w:b w:val="0"/>
          <w:bCs w:val="0"/>
        </w:rPr>
      </w:pPr>
      <w:r>
        <w:rPr/>
        <w:t>十五、</w:t>
      </w:r>
      <w:r>
        <w:rPr>
          <w:spacing w:val="39"/>
        </w:rPr>
        <w:t> </w:t>
      </w:r>
      <w:r>
        <w:rPr/>
        <w:t>母公司财务报表主要项目注释</w:t>
      </w:r>
      <w:r>
        <w:rPr>
          <w:b w:val="0"/>
          <w:bCs w:val="0"/>
        </w:rPr>
      </w:r>
    </w:p>
    <w:p>
      <w:pPr>
        <w:pStyle w:val="Heading6"/>
        <w:tabs>
          <w:tab w:pos="850" w:val="left" w:leader="none"/>
        </w:tabs>
        <w:spacing w:line="240" w:lineRule="auto" w:before="35"/>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应收票据及应收账款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2941"/>
        <w:gridCol w:w="2357"/>
        <w:gridCol w:w="2480"/>
      </w:tblGrid>
      <w:tr>
        <w:trPr>
          <w:trHeight w:val="461" w:hRule="exact"/>
        </w:trPr>
        <w:tc>
          <w:tcPr>
            <w:tcW w:w="29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277"/>
              <w:jc w:val="right"/>
              <w:rPr>
                <w:rFonts w:ascii="宋体" w:hAnsi="宋体" w:cs="宋体" w:eastAsia="宋体" w:hint="default"/>
                <w:sz w:val="18"/>
                <w:szCs w:val="18"/>
              </w:rPr>
            </w:pPr>
            <w:r>
              <w:rPr>
                <w:rFonts w:ascii="宋体" w:hAnsi="宋体" w:cs="宋体" w:eastAsia="宋体" w:hint="default"/>
                <w:sz w:val="18"/>
                <w:szCs w:val="18"/>
              </w:rPr>
              <w:t>项目</w:t>
            </w:r>
          </w:p>
        </w:tc>
        <w:tc>
          <w:tcPr>
            <w:tcW w:w="23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2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57" w:type="dxa"/>
            <w:tcBorders>
              <w:top w:val="dotted" w:sz="4" w:space="0" w:color="000000"/>
              <w:left w:val="dotted" w:sz="4" w:space="0" w:color="000000"/>
              <w:bottom w:val="dotted" w:sz="4" w:space="0" w:color="000000"/>
              <w:right w:val="dotted" w:sz="4" w:space="0" w:color="000000"/>
            </w:tcBorders>
          </w:tcPr>
          <w:p>
            <w:pPr/>
          </w:p>
        </w:tc>
        <w:tc>
          <w:tcPr>
            <w:tcW w:w="248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87,644,505.67</w:t>
            </w:r>
          </w:p>
        </w:tc>
        <w:tc>
          <w:tcPr>
            <w:tcW w:w="24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53,938,740.17</w:t>
            </w:r>
          </w:p>
        </w:tc>
      </w:tr>
      <w:tr>
        <w:trPr>
          <w:trHeight w:val="461" w:hRule="exact"/>
        </w:trPr>
        <w:tc>
          <w:tcPr>
            <w:tcW w:w="29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277"/>
              <w:jc w:val="right"/>
              <w:rPr>
                <w:rFonts w:ascii="宋体" w:hAnsi="宋体" w:cs="宋体" w:eastAsia="宋体" w:hint="default"/>
                <w:sz w:val="18"/>
                <w:szCs w:val="18"/>
              </w:rPr>
            </w:pPr>
            <w:r>
              <w:rPr>
                <w:rFonts w:ascii="宋体" w:hAnsi="宋体" w:cs="宋体" w:eastAsia="宋体" w:hint="default"/>
                <w:sz w:val="18"/>
                <w:szCs w:val="18"/>
              </w:rPr>
              <w:t>合计</w:t>
            </w:r>
          </w:p>
        </w:tc>
        <w:tc>
          <w:tcPr>
            <w:tcW w:w="23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87,644,505.67</w:t>
            </w:r>
          </w:p>
        </w:tc>
        <w:tc>
          <w:tcPr>
            <w:tcW w:w="24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53,938,740.17</w:t>
            </w:r>
          </w:p>
        </w:tc>
      </w:tr>
    </w:tbl>
    <w:p>
      <w:pPr>
        <w:spacing w:after="0" w:line="240" w:lineRule="auto"/>
        <w:jc w:val="right"/>
        <w:rPr>
          <w:rFonts w:ascii="Times New Roman" w:hAnsi="Times New Roman" w:cs="Times New Roman" w:eastAsia="Times New Roman" w:hint="default"/>
          <w:sz w:val="18"/>
          <w:szCs w:val="18"/>
        </w:rPr>
        <w:sectPr>
          <w:pgSz w:w="11910" w:h="16840"/>
          <w:pgMar w:header="774" w:footer="996" w:top="1000" w:bottom="1180" w:left="1660" w:right="0"/>
        </w:sectPr>
      </w:pPr>
    </w:p>
    <w:p>
      <w:pPr>
        <w:spacing w:before="32"/>
        <w:ind w:left="0" w:right="233"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1</w:t>
      </w:r>
      <w:r>
        <w:rPr/>
        <w:t>、</w:t>
        <w:tab/>
        <w:t>应收账款</w:t>
      </w:r>
      <w:r>
        <w:rPr>
          <w:b w:val="0"/>
          <w:bCs w:val="0"/>
        </w:rPr>
      </w:r>
    </w:p>
    <w:p>
      <w:pPr>
        <w:pStyle w:val="BodyText"/>
        <w:spacing w:line="240" w:lineRule="auto" w:before="99"/>
        <w:ind w:left="1417" w:right="230"/>
        <w:jc w:val="left"/>
      </w:pPr>
      <w:r>
        <w:rPr/>
        <w:t>（</w:t>
      </w:r>
      <w:r>
        <w:rPr>
          <w:rFonts w:ascii="Times New Roman" w:hAnsi="Times New Roman" w:cs="Times New Roman" w:eastAsia="Times New Roman" w:hint="default"/>
        </w:rPr>
        <w:t>1</w:t>
      </w:r>
      <w:r>
        <w:rPr/>
        <w:t>）应收账款分类披露</w:t>
      </w:r>
    </w:p>
    <w:tbl>
      <w:tblPr>
        <w:tblW w:w="0" w:type="auto"/>
        <w:jc w:val="left"/>
        <w:tblInd w:w="853" w:type="dxa"/>
        <w:tblLayout w:type="fixed"/>
        <w:tblCellMar>
          <w:top w:w="0" w:type="dxa"/>
          <w:left w:w="0" w:type="dxa"/>
          <w:bottom w:w="0" w:type="dxa"/>
          <w:right w:w="0" w:type="dxa"/>
        </w:tblCellMar>
        <w:tblLook w:val="01E0"/>
      </w:tblPr>
      <w:tblGrid>
        <w:gridCol w:w="2170"/>
        <w:gridCol w:w="1397"/>
        <w:gridCol w:w="730"/>
        <w:gridCol w:w="1392"/>
        <w:gridCol w:w="847"/>
        <w:gridCol w:w="1279"/>
        <w:gridCol w:w="1414"/>
        <w:gridCol w:w="727"/>
        <w:gridCol w:w="1260"/>
        <w:gridCol w:w="848"/>
        <w:gridCol w:w="1277"/>
      </w:tblGrid>
      <w:tr>
        <w:trPr>
          <w:trHeight w:val="461" w:hRule="exact"/>
        </w:trPr>
        <w:tc>
          <w:tcPr>
            <w:tcW w:w="21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646"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2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2170" w:type="dxa"/>
            <w:vMerge/>
            <w:tcBorders>
              <w:left w:val="nil" w:sz="6" w:space="0" w:color="auto"/>
              <w:right w:val="dotted" w:sz="4" w:space="0" w:color="000000"/>
            </w:tcBorders>
          </w:tcPr>
          <w:p>
            <w:pPr/>
          </w:p>
        </w:tc>
        <w:tc>
          <w:tcPr>
            <w:tcW w:w="21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4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4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7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6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12" w:hRule="exact"/>
        </w:trPr>
        <w:tc>
          <w:tcPr>
            <w:tcW w:w="2170" w:type="dxa"/>
            <w:vMerge/>
            <w:tcBorders>
              <w:left w:val="nil" w:sz="6" w:space="0" w:color="auto"/>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370" w:lineRule="atLeast" w:before="4"/>
              <w:ind w:left="103" w:right="43" w:firstLine="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9" w:type="dxa"/>
            <w:vMerge/>
            <w:tcBorders>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370" w:lineRule="atLeast" w:before="4"/>
              <w:ind w:left="103" w:right="43" w:firstLine="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tcBorders>
              <w:left w:val="dotted" w:sz="4" w:space="0" w:color="000000"/>
              <w:bottom w:val="dotted" w:sz="4" w:space="0" w:color="000000"/>
              <w:right w:val="nil" w:sz="6" w:space="0" w:color="auto"/>
            </w:tcBorders>
          </w:tcPr>
          <w:p>
            <w:pPr/>
          </w:p>
        </w:tc>
      </w:tr>
      <w:tr>
        <w:trPr>
          <w:trHeight w:val="809"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40"/>
              <w:jc w:val="left"/>
              <w:rPr>
                <w:rFonts w:ascii="宋体" w:hAnsi="宋体" w:cs="宋体" w:eastAsia="宋体" w:hint="default"/>
                <w:sz w:val="18"/>
                <w:szCs w:val="18"/>
              </w:rPr>
            </w:pPr>
            <w:r>
              <w:rPr>
                <w:rFonts w:ascii="宋体" w:hAnsi="宋体" w:cs="宋体" w:eastAsia="宋体" w:hint="default"/>
                <w:sz w:val="18"/>
                <w:szCs w:val="18"/>
              </w:rPr>
              <w:t>单项金额重大并单独计 提坏账准备的应收账款</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2.77</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2,497,647.84</w:t>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9"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4.42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240"/>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提坏账准备的应收账款</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87,652,933.44</w:t>
            </w:r>
          </w:p>
        </w:tc>
        <w:tc>
          <w:tcPr>
            <w:tcW w:w="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z w:val="18"/>
              </w:rPr>
              <w:t>97.23</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5"/>
                <w:sz w:val="18"/>
              </w:rPr>
              <w:t>8,427.77</w:t>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0.01</w:t>
            </w:r>
          </w:p>
        </w:tc>
        <w:tc>
          <w:tcPr>
            <w:tcW w:w="12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8" w:right="0"/>
              <w:jc w:val="center"/>
              <w:rPr>
                <w:rFonts w:ascii="Times New Roman" w:hAnsi="Times New Roman" w:cs="Times New Roman" w:eastAsia="Times New Roman" w:hint="default"/>
                <w:sz w:val="18"/>
                <w:szCs w:val="18"/>
              </w:rPr>
            </w:pPr>
            <w:r>
              <w:rPr>
                <w:rFonts w:ascii="Times New Roman"/>
                <w:sz w:val="18"/>
              </w:rPr>
              <w:t>87,644,505.67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53,961,460.30</w:t>
            </w:r>
          </w:p>
        </w:tc>
        <w:tc>
          <w:tcPr>
            <w:tcW w:w="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z w:val="18"/>
              </w:rPr>
              <w:t>95.58</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22,720.13</w:t>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53,938,740.17</w:t>
            </w:r>
          </w:p>
        </w:tc>
      </w:tr>
      <w:tr>
        <w:trPr>
          <w:trHeight w:val="1169"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240"/>
              <w:jc w:val="both"/>
              <w:rPr>
                <w:rFonts w:ascii="宋体" w:hAnsi="宋体" w:cs="宋体" w:eastAsia="宋体" w:hint="default"/>
                <w:sz w:val="18"/>
                <w:szCs w:val="18"/>
              </w:rPr>
            </w:pPr>
            <w:r>
              <w:rPr>
                <w:rFonts w:ascii="宋体" w:hAnsi="宋体" w:cs="宋体" w:eastAsia="宋体" w:hint="default"/>
                <w:sz w:val="18"/>
                <w:szCs w:val="18"/>
              </w:rPr>
              <w:t>单项金额不重大但单独 计提坏账准备的应收账 款</w:t>
            </w:r>
          </w:p>
        </w:tc>
        <w:tc>
          <w:tcPr>
            <w:tcW w:w="1397"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
        </w:tc>
        <w:tc>
          <w:tcPr>
            <w:tcW w:w="847" w:type="dxa"/>
            <w:tcBorders>
              <w:top w:val="dotted" w:sz="4" w:space="0" w:color="000000"/>
              <w:left w:val="dotted" w:sz="4" w:space="0" w:color="000000"/>
              <w:bottom w:val="dotted" w:sz="4" w:space="0" w:color="000000"/>
              <w:right w:val="dotted" w:sz="4" w:space="0" w:color="000000"/>
            </w:tcBorders>
          </w:tcPr>
          <w:p>
            <w:pPr/>
          </w:p>
        </w:tc>
        <w:tc>
          <w:tcPr>
            <w:tcW w:w="1279"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727"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84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1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90,150,581.28</w:t>
            </w:r>
          </w:p>
        </w:tc>
        <w:tc>
          <w:tcPr>
            <w:tcW w:w="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2,506,075.61</w:t>
            </w:r>
          </w:p>
        </w:tc>
        <w:tc>
          <w:tcPr>
            <w:tcW w:w="847" w:type="dxa"/>
            <w:tcBorders>
              <w:top w:val="dotted" w:sz="4" w:space="0" w:color="000000"/>
              <w:left w:val="dotted" w:sz="4" w:space="0" w:color="000000"/>
              <w:bottom w:val="single" w:sz="12" w:space="0" w:color="000000"/>
              <w:right w:val="dotted" w:sz="4" w:space="0" w:color="000000"/>
            </w:tcBorders>
          </w:tcPr>
          <w:p>
            <w:pPr/>
          </w:p>
        </w:tc>
        <w:tc>
          <w:tcPr>
            <w:tcW w:w="12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87,644,505.67</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56,459,108.14</w:t>
            </w:r>
          </w:p>
        </w:tc>
        <w:tc>
          <w:tcPr>
            <w:tcW w:w="7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2,520,367.97</w:t>
            </w:r>
          </w:p>
        </w:tc>
        <w:tc>
          <w:tcPr>
            <w:tcW w:w="848"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53,938,740.17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6158" w:right="625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93"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131"/>
          <w:footerReference w:type="default" r:id="rId132"/>
          <w:pgSz w:w="16840" w:h="11910" w:orient="landscape"/>
          <w:pgMar w:header="0" w:footer="0" w:top="680" w:bottom="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right="1675"/>
        <w:jc w:val="left"/>
      </w:pPr>
      <w:r>
        <w:rPr/>
        <w:t>期末单项金额重大并单独计提坏账准备的应收账款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643"/>
        <w:gridCol w:w="1272"/>
        <w:gridCol w:w="1416"/>
        <w:gridCol w:w="986"/>
        <w:gridCol w:w="1460"/>
      </w:tblGrid>
      <w:tr>
        <w:trPr>
          <w:trHeight w:val="461" w:hRule="exact"/>
        </w:trPr>
        <w:tc>
          <w:tcPr>
            <w:tcW w:w="264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5135"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2643" w:type="dxa"/>
            <w:vMerge/>
            <w:tcBorders>
              <w:left w:val="nil" w:sz="6" w:space="0" w:color="auto"/>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51" w:hRule="exact"/>
        </w:trPr>
        <w:tc>
          <w:tcPr>
            <w:tcW w:w="26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2,497,647.84</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2,497,647.84</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100.00</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61" w:hRule="exact"/>
        </w:trPr>
        <w:tc>
          <w:tcPr>
            <w:tcW w:w="26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2,497,647.84</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2,497,647.84</w:t>
            </w:r>
          </w:p>
        </w:tc>
        <w:tc>
          <w:tcPr>
            <w:tcW w:w="986" w:type="dxa"/>
            <w:tcBorders>
              <w:top w:val="dotted" w:sz="4" w:space="0" w:color="000000"/>
              <w:left w:val="dotted" w:sz="4" w:space="0" w:color="000000"/>
              <w:bottom w:val="single" w:sz="12" w:space="0" w:color="000000"/>
              <w:right w:val="dotted" w:sz="4" w:space="0" w:color="000000"/>
            </w:tcBorders>
          </w:tcPr>
          <w:p>
            <w:pPr/>
          </w:p>
        </w:tc>
        <w:tc>
          <w:tcPr>
            <w:tcW w:w="146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1675"/>
        <w:jc w:val="left"/>
      </w:pPr>
      <w:r>
        <w:rPr/>
        <w:t>组合中，按账龄分析法计提坏账准备的应收账款：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189"/>
        <w:gridCol w:w="1863"/>
        <w:gridCol w:w="1862"/>
        <w:gridCol w:w="1863"/>
      </w:tblGrid>
      <w:tr>
        <w:trPr>
          <w:trHeight w:val="461" w:hRule="exact"/>
        </w:trPr>
        <w:tc>
          <w:tcPr>
            <w:tcW w:w="218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58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2189" w:type="dxa"/>
            <w:vMerge/>
            <w:tcBorders>
              <w:left w:val="nil" w:sz="6" w:space="0" w:color="auto"/>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1" w:hRule="exact"/>
        </w:trPr>
        <w:tc>
          <w:tcPr>
            <w:tcW w:w="2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1,685,553.30</w:t>
            </w:r>
          </w:p>
        </w:tc>
        <w:tc>
          <w:tcPr>
            <w:tcW w:w="1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8,427.77</w:t>
            </w:r>
          </w:p>
        </w:tc>
        <w:tc>
          <w:tcPr>
            <w:tcW w:w="18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449" w:hRule="exact"/>
        </w:trPr>
        <w:tc>
          <w:tcPr>
            <w:tcW w:w="21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3" w:type="dxa"/>
            <w:tcBorders>
              <w:top w:val="dotted" w:sz="4" w:space="0" w:color="000000"/>
              <w:left w:val="dotted" w:sz="4" w:space="0" w:color="000000"/>
              <w:bottom w:val="dotted" w:sz="4" w:space="0" w:color="000000"/>
              <w:right w:val="dotted" w:sz="4" w:space="0" w:color="000000"/>
            </w:tcBorders>
          </w:tcPr>
          <w:p>
            <w:pPr/>
          </w:p>
        </w:tc>
        <w:tc>
          <w:tcPr>
            <w:tcW w:w="1862" w:type="dxa"/>
            <w:tcBorders>
              <w:top w:val="dotted" w:sz="4" w:space="0" w:color="000000"/>
              <w:left w:val="dotted" w:sz="4" w:space="0" w:color="000000"/>
              <w:bottom w:val="dotted" w:sz="4" w:space="0" w:color="000000"/>
              <w:right w:val="dotted" w:sz="4" w:space="0" w:color="000000"/>
            </w:tcBorders>
          </w:tcPr>
          <w:p>
            <w:pPr/>
          </w:p>
        </w:tc>
        <w:tc>
          <w:tcPr>
            <w:tcW w:w="1863"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1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1,685,553.30</w:t>
            </w:r>
          </w:p>
        </w:tc>
        <w:tc>
          <w:tcPr>
            <w:tcW w:w="18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8,427.77</w:t>
            </w:r>
          </w:p>
        </w:tc>
        <w:tc>
          <w:tcPr>
            <w:tcW w:w="186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1675"/>
        <w:jc w:val="left"/>
      </w:pPr>
      <w:r>
        <w:rPr/>
        <w:t>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828"/>
        <w:gridCol w:w="1834"/>
        <w:gridCol w:w="1678"/>
        <w:gridCol w:w="1438"/>
      </w:tblGrid>
      <w:tr>
        <w:trPr>
          <w:trHeight w:val="458" w:hRule="exact"/>
        </w:trPr>
        <w:tc>
          <w:tcPr>
            <w:tcW w:w="282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95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1" w:hRule="exact"/>
        </w:trPr>
        <w:tc>
          <w:tcPr>
            <w:tcW w:w="2828" w:type="dxa"/>
            <w:vMerge/>
            <w:tcBorders>
              <w:left w:val="nil" w:sz="6" w:space="0" w:color="auto"/>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54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49" w:hRule="exact"/>
        </w:trPr>
        <w:tc>
          <w:tcPr>
            <w:tcW w:w="2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集团合并范围内关联方款项</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85,967,380.14</w:t>
            </w:r>
          </w:p>
        </w:tc>
        <w:tc>
          <w:tcPr>
            <w:tcW w:w="1678" w:type="dxa"/>
            <w:tcBorders>
              <w:top w:val="dotted" w:sz="4" w:space="0" w:color="000000"/>
              <w:left w:val="dotted" w:sz="4" w:space="0" w:color="000000"/>
              <w:bottom w:val="dotted" w:sz="4" w:space="0" w:color="000000"/>
              <w:right w:val="dotted" w:sz="4" w:space="0" w:color="000000"/>
            </w:tcBorders>
          </w:tcPr>
          <w:p>
            <w:pPr/>
          </w:p>
        </w:tc>
        <w:tc>
          <w:tcPr>
            <w:tcW w:w="1438"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8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85,967,380.14</w:t>
            </w:r>
          </w:p>
        </w:tc>
        <w:tc>
          <w:tcPr>
            <w:tcW w:w="1678" w:type="dxa"/>
            <w:tcBorders>
              <w:top w:val="dotted" w:sz="4" w:space="0" w:color="000000"/>
              <w:left w:val="dotted" w:sz="4" w:space="0" w:color="000000"/>
              <w:bottom w:val="single" w:sz="12" w:space="0" w:color="000000"/>
              <w:right w:val="dotted" w:sz="4" w:space="0" w:color="000000"/>
            </w:tcBorders>
          </w:tcPr>
          <w:p>
            <w:pPr/>
          </w:p>
        </w:tc>
        <w:tc>
          <w:tcPr>
            <w:tcW w:w="143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31" w:lineRule="auto"/>
        <w:ind w:right="4718"/>
        <w:jc w:val="left"/>
      </w:pPr>
      <w:r>
        <w:rPr/>
        <w:t>（</w:t>
      </w:r>
      <w:r>
        <w:rPr>
          <w:rFonts w:ascii="Times New Roman" w:hAnsi="Times New Roman" w:cs="Times New Roman" w:eastAsia="Times New Roman" w:hint="default"/>
        </w:rPr>
        <w:t>2</w:t>
      </w:r>
      <w:r>
        <w:rPr/>
        <w:t>）本期计提、收回或转回应收账款情况</w:t>
      </w:r>
      <w:r>
        <w:rPr>
          <w:w w:val="100"/>
        </w:rPr>
        <w:t> </w:t>
      </w:r>
      <w:r>
        <w:rPr/>
        <w:t>本期收回或转回坏账准备金额</w:t>
      </w:r>
      <w:r>
        <w:rPr>
          <w:spacing w:val="-52"/>
        </w:rPr>
        <w:t> </w:t>
      </w:r>
      <w:r>
        <w:rPr>
          <w:rFonts w:ascii="Times New Roman" w:hAnsi="Times New Roman" w:cs="Times New Roman" w:eastAsia="Times New Roman" w:hint="default"/>
        </w:rPr>
        <w:t>14,292.36</w:t>
      </w:r>
      <w:r>
        <w:rPr>
          <w:rFonts w:ascii="Times New Roman" w:hAnsi="Times New Roman" w:cs="Times New Roman" w:eastAsia="Times New Roman" w:hint="default"/>
          <w:spacing w:val="-2"/>
        </w:rPr>
        <w:t> </w:t>
      </w:r>
      <w:r>
        <w:rPr/>
        <w:t>元。</w:t>
      </w:r>
    </w:p>
    <w:p>
      <w:pPr>
        <w:spacing w:line="240" w:lineRule="auto" w:before="1"/>
        <w:rPr>
          <w:rFonts w:ascii="宋体" w:hAnsi="宋体" w:cs="宋体" w:eastAsia="宋体" w:hint="default"/>
          <w:sz w:val="32"/>
          <w:szCs w:val="32"/>
        </w:rPr>
      </w:pPr>
    </w:p>
    <w:p>
      <w:pPr>
        <w:pStyle w:val="BodyText"/>
        <w:spacing w:line="331" w:lineRule="auto" w:before="0"/>
        <w:ind w:right="3701"/>
        <w:jc w:val="left"/>
      </w:pPr>
      <w:r>
        <w:rPr>
          <w:spacing w:val="-2"/>
        </w:rPr>
        <w:t>（</w:t>
      </w:r>
      <w:r>
        <w:rPr>
          <w:rFonts w:ascii="Times New Roman" w:hAnsi="Times New Roman" w:cs="Times New Roman" w:eastAsia="Times New Roman" w:hint="default"/>
          <w:spacing w:val="-2"/>
        </w:rPr>
        <w:t>3</w:t>
      </w:r>
      <w:r>
        <w:rPr>
          <w:spacing w:val="-2"/>
        </w:rPr>
        <w:t>）本期实际核销的应收账款情况</w:t>
      </w:r>
      <w:r>
        <w:rPr>
          <w:spacing w:val="-76"/>
        </w:rPr>
        <w:t> </w:t>
      </w:r>
      <w:r>
        <w:rPr>
          <w:spacing w:val="-76"/>
        </w:rPr>
      </w:r>
      <w:r>
        <w:rPr/>
        <w:t>本期无实际核销的应收账款。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right="1675"/>
        <w:jc w:val="left"/>
      </w:pPr>
      <w:r>
        <w:rPr/>
        <w:t>（</w:t>
      </w:r>
      <w:r>
        <w:rPr>
          <w:rFonts w:ascii="Times New Roman" w:hAnsi="Times New Roman" w:cs="Times New Roman" w:eastAsia="Times New Roman" w:hint="default"/>
        </w:rPr>
        <w:t>4</w:t>
      </w:r>
      <w:r>
        <w:rPr/>
        <w:t>）按欠款方归集的期末余额前五名的应收款情况</w:t>
      </w:r>
    </w:p>
    <w:tbl>
      <w:tblPr>
        <w:tblW w:w="0" w:type="auto"/>
        <w:jc w:val="left"/>
        <w:tblInd w:w="769" w:type="dxa"/>
        <w:tblLayout w:type="fixed"/>
        <w:tblCellMar>
          <w:top w:w="0" w:type="dxa"/>
          <w:left w:w="0" w:type="dxa"/>
          <w:bottom w:w="0" w:type="dxa"/>
          <w:right w:w="0" w:type="dxa"/>
        </w:tblCellMar>
        <w:tblLook w:val="01E0"/>
      </w:tblPr>
      <w:tblGrid>
        <w:gridCol w:w="3629"/>
        <w:gridCol w:w="1414"/>
        <w:gridCol w:w="1412"/>
        <w:gridCol w:w="1322"/>
      </w:tblGrid>
      <w:tr>
        <w:trPr>
          <w:trHeight w:val="461" w:hRule="exact"/>
        </w:trPr>
        <w:tc>
          <w:tcPr>
            <w:tcW w:w="362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14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3629" w:type="dxa"/>
            <w:vMerge/>
            <w:tcBorders>
              <w:left w:val="nil" w:sz="6" w:space="0" w:color="auto"/>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370" w:lineRule="atLeast" w:before="1"/>
              <w:ind w:left="115" w:right="116"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 计数的比例</w:t>
            </w:r>
            <w:r>
              <w:rPr>
                <w:rFonts w:ascii="Times New Roman" w:hAnsi="Times New Roman" w:cs="Times New Roman" w:eastAsia="Times New Roman" w:hint="default"/>
                <w:sz w:val="18"/>
                <w:szCs w:val="18"/>
              </w:rPr>
              <w:t>(%)</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34,515,694.45</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38.28</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6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27,311,388.88</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30.30</w:t>
            </w:r>
          </w:p>
        </w:tc>
        <w:tc>
          <w:tcPr>
            <w:tcW w:w="1322"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133"/>
          <w:pgSz w:w="11910" w:h="16840"/>
          <w:pgMar w:footer="996" w:header="0" w:top="1000" w:bottom="1180" w:left="1660" w:right="0"/>
          <w:pgNumType w:start="13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768" w:type="dxa"/>
        <w:tblLayout w:type="fixed"/>
        <w:tblCellMar>
          <w:top w:w="0" w:type="dxa"/>
          <w:left w:w="0" w:type="dxa"/>
          <w:bottom w:w="0" w:type="dxa"/>
          <w:right w:w="0" w:type="dxa"/>
        </w:tblCellMar>
        <w:tblLook w:val="01E0"/>
      </w:tblPr>
      <w:tblGrid>
        <w:gridCol w:w="3629"/>
        <w:gridCol w:w="1414"/>
        <w:gridCol w:w="1412"/>
        <w:gridCol w:w="1322"/>
      </w:tblGrid>
      <w:tr>
        <w:trPr>
          <w:trHeight w:val="461" w:hRule="exact"/>
        </w:trPr>
        <w:tc>
          <w:tcPr>
            <w:tcW w:w="362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14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3629" w:type="dxa"/>
            <w:vMerge/>
            <w:tcBorders>
              <w:left w:val="nil" w:sz="6" w:space="0" w:color="auto"/>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57"/>
              <w:ind w:left="115" w:right="116"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 计数的比例</w:t>
            </w:r>
            <w:r>
              <w:rPr>
                <w:rFonts w:ascii="Times New Roman" w:hAnsi="Times New Roman" w:cs="Times New Roman" w:eastAsia="Times New Roman" w:hint="default"/>
                <w:sz w:val="18"/>
                <w:szCs w:val="18"/>
              </w:rPr>
              <w:t>(%)</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6,670,833.34</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7.40</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5,933,819.01</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6.58</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6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武汉东海吉星农产品物流管理有限公司</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5,525,333.34</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6.13</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6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79,957,069.02</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88.69</w:t>
            </w:r>
          </w:p>
        </w:tc>
        <w:tc>
          <w:tcPr>
            <w:tcW w:w="132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675"/>
        <w:jc w:val="left"/>
      </w:pPr>
      <w:r>
        <w:rPr/>
        <w:t>（</w:t>
      </w:r>
      <w:r>
        <w:rPr>
          <w:rFonts w:ascii="Times New Roman" w:hAnsi="Times New Roman" w:cs="Times New Roman" w:eastAsia="Times New Roman" w:hint="default"/>
        </w:rPr>
        <w:t>5</w:t>
      </w:r>
      <w:r>
        <w:rPr/>
        <w:t>）本期未发生因金融资产转移而终止确认的应收账款</w:t>
      </w:r>
    </w:p>
    <w:p>
      <w:pPr>
        <w:pStyle w:val="BodyText"/>
        <w:spacing w:line="240" w:lineRule="auto" w:before="107"/>
        <w:ind w:right="1675"/>
        <w:jc w:val="left"/>
      </w:pPr>
      <w:r>
        <w:rPr/>
        <w:t>（</w:t>
      </w:r>
      <w:r>
        <w:rPr>
          <w:rFonts w:ascii="Times New Roman" w:hAnsi="Times New Roman" w:cs="Times New Roman" w:eastAsia="Times New Roman" w:hint="default"/>
        </w:rPr>
        <w:t>6</w:t>
      </w:r>
      <w:r>
        <w:rPr/>
        <w:t>）期末无因转移应收账款且继续涉入形成的资产、负债金额</w:t>
      </w:r>
    </w:p>
    <w:p>
      <w:pPr>
        <w:spacing w:line="240" w:lineRule="auto" w:before="0"/>
        <w:rPr>
          <w:rFonts w:ascii="宋体" w:hAnsi="宋体" w:cs="宋体" w:eastAsia="宋体" w:hint="default"/>
          <w:sz w:val="22"/>
          <w:szCs w:val="22"/>
        </w:rPr>
      </w:pPr>
    </w:p>
    <w:p>
      <w:pPr>
        <w:pStyle w:val="Heading6"/>
        <w:tabs>
          <w:tab w:pos="704" w:val="left" w:leader="none"/>
        </w:tabs>
        <w:spacing w:line="240" w:lineRule="auto" w:before="156"/>
        <w:ind w:left="138" w:right="1675"/>
        <w:jc w:val="left"/>
        <w:rPr>
          <w:b w:val="0"/>
          <w:bCs w:val="0"/>
        </w:rPr>
      </w:pPr>
      <w:r>
        <w:rPr>
          <w:rFonts w:ascii="Times New Roman" w:hAnsi="Times New Roman" w:cs="Times New Roman" w:eastAsia="Times New Roman" w:hint="default"/>
        </w:rPr>
        <w:t>2</w:t>
      </w:r>
      <w:r>
        <w:rPr/>
        <w:t>、</w:t>
        <w:tab/>
        <w:t>其他应收款</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3433"/>
        <w:gridCol w:w="2182"/>
        <w:gridCol w:w="2163"/>
      </w:tblGrid>
      <w:tr>
        <w:trPr>
          <w:trHeight w:val="461" w:hRule="exact"/>
        </w:trPr>
        <w:tc>
          <w:tcPr>
            <w:tcW w:w="34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523"/>
              <w:jc w:val="right"/>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7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3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82" w:type="dxa"/>
            <w:tcBorders>
              <w:top w:val="dotted" w:sz="4" w:space="0" w:color="000000"/>
              <w:left w:val="dotted" w:sz="4" w:space="0" w:color="000000"/>
              <w:bottom w:val="dotted" w:sz="4" w:space="0" w:color="000000"/>
              <w:right w:val="dotted" w:sz="4" w:space="0" w:color="000000"/>
            </w:tcBorders>
          </w:tcPr>
          <w:p>
            <w:pPr/>
          </w:p>
        </w:tc>
        <w:tc>
          <w:tcPr>
            <w:tcW w:w="216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30,508,064.75</w:t>
            </w:r>
          </w:p>
        </w:tc>
        <w:tc>
          <w:tcPr>
            <w:tcW w:w="21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48,496,529.75</w:t>
            </w:r>
          </w:p>
        </w:tc>
      </w:tr>
      <w:tr>
        <w:trPr>
          <w:trHeight w:val="451" w:hRule="exact"/>
        </w:trPr>
        <w:tc>
          <w:tcPr>
            <w:tcW w:w="3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3,933,729,311.15</w:t>
            </w:r>
          </w:p>
        </w:tc>
        <w:tc>
          <w:tcPr>
            <w:tcW w:w="21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3,994,230,999.72</w:t>
            </w:r>
          </w:p>
        </w:tc>
      </w:tr>
      <w:tr>
        <w:trPr>
          <w:trHeight w:val="461" w:hRule="exact"/>
        </w:trPr>
        <w:tc>
          <w:tcPr>
            <w:tcW w:w="34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523"/>
              <w:jc w:val="right"/>
              <w:rPr>
                <w:rFonts w:ascii="宋体" w:hAnsi="宋体" w:cs="宋体" w:eastAsia="宋体" w:hint="default"/>
                <w:sz w:val="18"/>
                <w:szCs w:val="18"/>
              </w:rPr>
            </w:pPr>
            <w:r>
              <w:rPr>
                <w:rFonts w:ascii="宋体" w:hAnsi="宋体" w:cs="宋体" w:eastAsia="宋体" w:hint="default"/>
                <w:sz w:val="18"/>
                <w:szCs w:val="18"/>
              </w:rPr>
              <w:t>合计</w:t>
            </w:r>
          </w:p>
        </w:tc>
        <w:tc>
          <w:tcPr>
            <w:tcW w:w="21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3,964,237,375.90</w:t>
            </w:r>
          </w:p>
        </w:tc>
        <w:tc>
          <w:tcPr>
            <w:tcW w:w="21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4,042,727,529.47</w:t>
            </w:r>
          </w:p>
        </w:tc>
      </w:tr>
    </w:tbl>
    <w:p>
      <w:pPr>
        <w:spacing w:line="240" w:lineRule="auto" w:before="1"/>
        <w:rPr>
          <w:rFonts w:ascii="Microsoft JhengHei" w:hAnsi="Microsoft JhengHei" w:cs="Microsoft JhengHei" w:eastAsia="Microsoft JhengHei" w:hint="default"/>
          <w:b/>
          <w:bCs/>
          <w:sz w:val="20"/>
          <w:szCs w:val="20"/>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3</w:t>
      </w:r>
      <w:r>
        <w:rPr/>
        <w:t>、</w:t>
        <w:tab/>
        <w:t>应收股利</w:t>
      </w:r>
      <w:r>
        <w:rPr>
          <w:b w:val="0"/>
          <w:bCs w:val="0"/>
        </w:rPr>
      </w:r>
    </w:p>
    <w:p>
      <w:pPr>
        <w:pStyle w:val="BodyText"/>
        <w:spacing w:line="240" w:lineRule="auto" w:before="102"/>
        <w:ind w:right="1675"/>
        <w:jc w:val="left"/>
      </w:pPr>
      <w:r>
        <w:rPr/>
        <w:t>（</w:t>
      </w:r>
      <w:r>
        <w:rPr>
          <w:rFonts w:ascii="Times New Roman" w:hAnsi="Times New Roman" w:cs="Times New Roman" w:eastAsia="Times New Roman" w:hint="default"/>
        </w:rPr>
        <w:t>1</w:t>
      </w:r>
      <w:r>
        <w:rPr/>
        <w:t>）应收股利明细</w:t>
      </w:r>
    </w:p>
    <w:tbl>
      <w:tblPr>
        <w:tblW w:w="0" w:type="auto"/>
        <w:jc w:val="left"/>
        <w:tblInd w:w="769" w:type="dxa"/>
        <w:tblLayout w:type="fixed"/>
        <w:tblCellMar>
          <w:top w:w="0" w:type="dxa"/>
          <w:left w:w="0" w:type="dxa"/>
          <w:bottom w:w="0" w:type="dxa"/>
          <w:right w:w="0" w:type="dxa"/>
        </w:tblCellMar>
        <w:tblLook w:val="01E0"/>
      </w:tblPr>
      <w:tblGrid>
        <w:gridCol w:w="3142"/>
        <w:gridCol w:w="2316"/>
        <w:gridCol w:w="2319"/>
      </w:tblGrid>
      <w:tr>
        <w:trPr>
          <w:trHeight w:val="461" w:hRule="exact"/>
        </w:trPr>
        <w:tc>
          <w:tcPr>
            <w:tcW w:w="31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676"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23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2" w:hRule="exact"/>
        </w:trPr>
        <w:tc>
          <w:tcPr>
            <w:tcW w:w="31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深圳市布吉海鲜市场有限公司</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6,658,535.00</w:t>
            </w:r>
          </w:p>
        </w:tc>
        <w:tc>
          <w:tcPr>
            <w:tcW w:w="231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1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16" w:type="dxa"/>
            <w:tcBorders>
              <w:top w:val="dotted" w:sz="4" w:space="0" w:color="000000"/>
              <w:left w:val="dotted" w:sz="4" w:space="0" w:color="000000"/>
              <w:bottom w:val="dotted" w:sz="4" w:space="0" w:color="000000"/>
              <w:right w:val="dotted" w:sz="4" w:space="0" w:color="000000"/>
            </w:tcBorders>
          </w:tcPr>
          <w:p>
            <w:pP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7,647,000.00</w:t>
            </w:r>
          </w:p>
        </w:tc>
      </w:tr>
      <w:tr>
        <w:trPr>
          <w:trHeight w:val="451" w:hRule="exact"/>
        </w:trPr>
        <w:tc>
          <w:tcPr>
            <w:tcW w:w="31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23,849,529.75</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40,849,529.75</w:t>
            </w:r>
          </w:p>
        </w:tc>
      </w:tr>
      <w:tr>
        <w:trPr>
          <w:trHeight w:val="461" w:hRule="exact"/>
        </w:trPr>
        <w:tc>
          <w:tcPr>
            <w:tcW w:w="31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30,508,064.75</w:t>
            </w:r>
          </w:p>
        </w:tc>
        <w:tc>
          <w:tcPr>
            <w:tcW w:w="23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48,496,529.75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000" w:bottom="1180" w:left="1660" w:right="0"/>
        </w:sectPr>
      </w:pPr>
    </w:p>
    <w:p>
      <w:pPr>
        <w:spacing w:before="32"/>
        <w:ind w:left="0" w:right="233"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6"/>
        <w:tabs>
          <w:tab w:pos="1400" w:val="left" w:leader="none"/>
        </w:tabs>
        <w:spacing w:line="335" w:lineRule="exact"/>
        <w:ind w:left="848" w:right="230"/>
        <w:jc w:val="left"/>
        <w:rPr>
          <w:b w:val="0"/>
          <w:bCs w:val="0"/>
        </w:rPr>
      </w:pPr>
      <w:r>
        <w:rPr>
          <w:rFonts w:ascii="Times New Roman" w:hAnsi="Times New Roman" w:cs="Times New Roman" w:eastAsia="Times New Roman" w:hint="default"/>
        </w:rPr>
        <w:t>4</w:t>
      </w:r>
      <w:r>
        <w:rPr/>
        <w:t>、</w:t>
        <w:tab/>
        <w:t>其他应收款</w:t>
      </w:r>
      <w:r>
        <w:rPr>
          <w:b w:val="0"/>
          <w:bCs w:val="0"/>
        </w:rPr>
      </w:r>
    </w:p>
    <w:p>
      <w:pPr>
        <w:pStyle w:val="BodyText"/>
        <w:spacing w:line="240" w:lineRule="auto" w:before="99"/>
        <w:ind w:left="1417" w:right="230"/>
        <w:jc w:val="left"/>
      </w:pPr>
      <w:r>
        <w:rPr/>
        <w:t>（</w:t>
      </w:r>
      <w:r>
        <w:rPr>
          <w:rFonts w:ascii="Times New Roman" w:hAnsi="Times New Roman" w:cs="Times New Roman" w:eastAsia="Times New Roman" w:hint="default"/>
        </w:rPr>
        <w:t>1</w:t>
      </w:r>
      <w:r>
        <w:rPr/>
        <w:t>）其他应收款分类披露：</w:t>
      </w:r>
    </w:p>
    <w:tbl>
      <w:tblPr>
        <w:tblW w:w="0" w:type="auto"/>
        <w:jc w:val="left"/>
        <w:tblInd w:w="853" w:type="dxa"/>
        <w:tblLayout w:type="fixed"/>
        <w:tblCellMar>
          <w:top w:w="0" w:type="dxa"/>
          <w:left w:w="0" w:type="dxa"/>
          <w:bottom w:w="0" w:type="dxa"/>
          <w:right w:w="0" w:type="dxa"/>
        </w:tblCellMar>
        <w:tblLook w:val="01E0"/>
      </w:tblPr>
      <w:tblGrid>
        <w:gridCol w:w="2222"/>
        <w:gridCol w:w="1405"/>
        <w:gridCol w:w="703"/>
        <w:gridCol w:w="1404"/>
        <w:gridCol w:w="703"/>
        <w:gridCol w:w="1416"/>
        <w:gridCol w:w="1390"/>
        <w:gridCol w:w="703"/>
        <w:gridCol w:w="1262"/>
        <w:gridCol w:w="704"/>
        <w:gridCol w:w="1428"/>
      </w:tblGrid>
      <w:tr>
        <w:trPr>
          <w:trHeight w:val="461" w:hRule="exact"/>
        </w:trPr>
        <w:tc>
          <w:tcPr>
            <w:tcW w:w="22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5631"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5487"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449" w:hRule="exact"/>
        </w:trPr>
        <w:tc>
          <w:tcPr>
            <w:tcW w:w="2222" w:type="dxa"/>
            <w:vMerge/>
            <w:tcBorders>
              <w:left w:val="nil" w:sz="6" w:space="0" w:color="auto"/>
              <w:right w:val="dotted" w:sz="4" w:space="0" w:color="000000"/>
            </w:tcBorders>
          </w:tcPr>
          <w:p>
            <w:pPr/>
          </w:p>
        </w:tc>
        <w:tc>
          <w:tcPr>
            <w:tcW w:w="21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1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1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81"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20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96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坏账准备</w:t>
            </w:r>
          </w:p>
        </w:tc>
        <w:tc>
          <w:tcPr>
            <w:tcW w:w="1428"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88"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812" w:hRule="exact"/>
        </w:trPr>
        <w:tc>
          <w:tcPr>
            <w:tcW w:w="2222" w:type="dxa"/>
            <w:vMerge/>
            <w:tcBorders>
              <w:left w:val="nil" w:sz="6" w:space="0" w:color="auto"/>
              <w:bottom w:val="dotted" w:sz="4" w:space="0" w:color="000000"/>
              <w:right w:val="dotted" w:sz="4" w:space="0" w:color="000000"/>
            </w:tcBorders>
          </w:tcPr>
          <w:p>
            <w:pP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2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370" w:lineRule="atLeast" w:before="8"/>
              <w:ind w:left="103" w:right="19" w:firstLine="2"/>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100"/>
                <w:sz w:val="16"/>
                <w:szCs w:val="16"/>
              </w:rPr>
              <w:t> </w:t>
            </w:r>
            <w:r>
              <w:rPr>
                <w:rFonts w:ascii="宋体" w:hAnsi="宋体" w:cs="宋体" w:eastAsia="宋体" w:hint="default"/>
                <w:spacing w:val="-12"/>
                <w:sz w:val="16"/>
                <w:szCs w:val="16"/>
              </w:rPr>
              <w:t>例（</w:t>
            </w:r>
            <w:r>
              <w:rPr>
                <w:rFonts w:ascii="Times New Roman" w:hAnsi="Times New Roman" w:cs="Times New Roman" w:eastAsia="Times New Roman" w:hint="default"/>
                <w:spacing w:val="-12"/>
                <w:sz w:val="16"/>
                <w:szCs w:val="16"/>
              </w:rPr>
              <w:t>%</w:t>
            </w:r>
            <w:r>
              <w:rPr>
                <w:rFonts w:ascii="宋体" w:hAnsi="宋体" w:cs="宋体" w:eastAsia="宋体" w:hint="default"/>
                <w:spacing w:val="-12"/>
                <w:sz w:val="16"/>
                <w:szCs w:val="16"/>
              </w:rPr>
              <w:t>）</w:t>
            </w:r>
          </w:p>
        </w:tc>
        <w:tc>
          <w:tcPr>
            <w:tcW w:w="1416" w:type="dxa"/>
            <w:vMerge/>
            <w:tcBorders>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left="3"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2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9"/>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04" w:type="dxa"/>
            <w:tcBorders>
              <w:top w:val="dotted" w:sz="4" w:space="0" w:color="000000"/>
              <w:left w:val="dotted" w:sz="4" w:space="0" w:color="000000"/>
              <w:bottom w:val="dotted" w:sz="4" w:space="0" w:color="000000"/>
              <w:right w:val="dotted" w:sz="4" w:space="0" w:color="000000"/>
            </w:tcBorders>
          </w:tcPr>
          <w:p>
            <w:pPr>
              <w:pStyle w:val="TableParagraph"/>
              <w:spacing w:line="370" w:lineRule="atLeast" w:before="8"/>
              <w:ind w:left="103" w:right="19" w:firstLine="2"/>
              <w:jc w:val="left"/>
              <w:rPr>
                <w:rFonts w:ascii="宋体" w:hAnsi="宋体" w:cs="宋体" w:eastAsia="宋体" w:hint="default"/>
                <w:sz w:val="16"/>
                <w:szCs w:val="16"/>
              </w:rPr>
            </w:pPr>
            <w:r>
              <w:rPr>
                <w:rFonts w:ascii="宋体" w:hAnsi="宋体" w:cs="宋体" w:eastAsia="宋体" w:hint="default"/>
                <w:sz w:val="16"/>
                <w:szCs w:val="16"/>
              </w:rPr>
              <w:t>计提比</w:t>
            </w:r>
            <w:r>
              <w:rPr>
                <w:rFonts w:ascii="宋体" w:hAnsi="宋体" w:cs="宋体" w:eastAsia="宋体" w:hint="default"/>
                <w:w w:val="100"/>
                <w:sz w:val="16"/>
                <w:szCs w:val="16"/>
              </w:rPr>
              <w:t> </w:t>
            </w:r>
            <w:r>
              <w:rPr>
                <w:rFonts w:ascii="宋体" w:hAnsi="宋体" w:cs="宋体" w:eastAsia="宋体" w:hint="default"/>
                <w:spacing w:val="-12"/>
                <w:sz w:val="16"/>
                <w:szCs w:val="16"/>
              </w:rPr>
              <w:t>例（</w:t>
            </w:r>
            <w:r>
              <w:rPr>
                <w:rFonts w:ascii="Times New Roman" w:hAnsi="Times New Roman" w:cs="Times New Roman" w:eastAsia="Times New Roman" w:hint="default"/>
                <w:spacing w:val="-12"/>
                <w:sz w:val="16"/>
                <w:szCs w:val="16"/>
              </w:rPr>
              <w:t>%</w:t>
            </w:r>
            <w:r>
              <w:rPr>
                <w:rFonts w:ascii="宋体" w:hAnsi="宋体" w:cs="宋体" w:eastAsia="宋体" w:hint="default"/>
                <w:spacing w:val="-12"/>
                <w:sz w:val="16"/>
                <w:szCs w:val="16"/>
              </w:rPr>
              <w:t>）</w:t>
            </w:r>
          </w:p>
        </w:tc>
        <w:tc>
          <w:tcPr>
            <w:tcW w:w="1428" w:type="dxa"/>
            <w:vMerge/>
            <w:tcBorders>
              <w:left w:val="dotted" w:sz="4" w:space="0" w:color="000000"/>
              <w:bottom w:val="dotted" w:sz="4" w:space="0" w:color="000000"/>
              <w:right w:val="nil" w:sz="6" w:space="0" w:color="auto"/>
            </w:tcBorders>
          </w:tcPr>
          <w:p>
            <w:pPr/>
          </w:p>
        </w:tc>
      </w:tr>
      <w:tr>
        <w:trPr>
          <w:trHeight w:val="809" w:hRule="exact"/>
        </w:trPr>
        <w:tc>
          <w:tcPr>
            <w:tcW w:w="222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70"/>
              <w:jc w:val="left"/>
              <w:rPr>
                <w:rFonts w:ascii="宋体" w:hAnsi="宋体" w:cs="宋体" w:eastAsia="宋体" w:hint="default"/>
                <w:sz w:val="16"/>
                <w:szCs w:val="16"/>
              </w:rPr>
            </w:pPr>
            <w:r>
              <w:rPr>
                <w:rFonts w:ascii="宋体" w:hAnsi="宋体" w:cs="宋体" w:eastAsia="宋体" w:hint="default"/>
                <w:spacing w:val="-1"/>
                <w:sz w:val="16"/>
                <w:szCs w:val="16"/>
              </w:rPr>
              <w:t>单项金额重大并单独计提坏</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账准备的其他应收款</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208,992,199.58</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5.04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208,992,199.58</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416" w:type="dxa"/>
            <w:tcBorders>
              <w:top w:val="dotted" w:sz="4" w:space="0" w:color="000000"/>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203,255,820.33</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4.84</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198,255,820.33</w:t>
            </w:r>
          </w:p>
        </w:tc>
        <w:tc>
          <w:tcPr>
            <w:tcW w:w="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97.54</w:t>
            </w:r>
          </w:p>
        </w:tc>
        <w:tc>
          <w:tcPr>
            <w:tcW w:w="14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5,000,000.00</w:t>
            </w:r>
          </w:p>
        </w:tc>
      </w:tr>
      <w:tr>
        <w:trPr>
          <w:trHeight w:val="811" w:hRule="exact"/>
        </w:trPr>
        <w:tc>
          <w:tcPr>
            <w:tcW w:w="2222"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7"/>
              <w:ind w:left="122" w:right="170"/>
              <w:jc w:val="left"/>
              <w:rPr>
                <w:rFonts w:ascii="宋体" w:hAnsi="宋体" w:cs="宋体" w:eastAsia="宋体" w:hint="default"/>
                <w:sz w:val="16"/>
                <w:szCs w:val="16"/>
              </w:rPr>
            </w:pPr>
            <w:r>
              <w:rPr>
                <w:rFonts w:ascii="宋体" w:hAnsi="宋体" w:cs="宋体" w:eastAsia="宋体" w:hint="default"/>
                <w:spacing w:val="-1"/>
                <w:sz w:val="16"/>
                <w:szCs w:val="16"/>
              </w:rPr>
              <w:t>按信用风险特征组合计提坏</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账准备的其他应收款</w:t>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3,938,091,912.74</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94.96</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4,362,601.59</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0.11</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3,933,729,311.15</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3,993,418,685.93</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95.16</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4,187,686.21</w:t>
            </w:r>
          </w:p>
        </w:tc>
        <w:tc>
          <w:tcPr>
            <w:tcW w:w="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0.10</w:t>
            </w:r>
          </w:p>
        </w:tc>
        <w:tc>
          <w:tcPr>
            <w:tcW w:w="14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3,989,230,999.72</w:t>
            </w:r>
          </w:p>
        </w:tc>
      </w:tr>
      <w:tr>
        <w:trPr>
          <w:trHeight w:val="809" w:hRule="exact"/>
        </w:trPr>
        <w:tc>
          <w:tcPr>
            <w:tcW w:w="222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70"/>
              <w:jc w:val="left"/>
              <w:rPr>
                <w:rFonts w:ascii="宋体" w:hAnsi="宋体" w:cs="宋体" w:eastAsia="宋体" w:hint="default"/>
                <w:sz w:val="16"/>
                <w:szCs w:val="16"/>
              </w:rPr>
            </w:pPr>
            <w:r>
              <w:rPr>
                <w:rFonts w:ascii="宋体" w:hAnsi="宋体" w:cs="宋体" w:eastAsia="宋体" w:hint="default"/>
                <w:spacing w:val="-1"/>
                <w:sz w:val="16"/>
                <w:szCs w:val="16"/>
              </w:rPr>
              <w:t>单项金额不重大但单独计提</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坏账准备的其他应收款</w:t>
            </w:r>
          </w:p>
        </w:tc>
        <w:tc>
          <w:tcPr>
            <w:tcW w:w="1405"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404"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262" w:type="dxa"/>
            <w:tcBorders>
              <w:top w:val="dotted" w:sz="4" w:space="0" w:color="000000"/>
              <w:left w:val="dotted" w:sz="4" w:space="0" w:color="000000"/>
              <w:bottom w:val="dotted" w:sz="4" w:space="0" w:color="000000"/>
              <w:right w:val="dotted" w:sz="4" w:space="0" w:color="000000"/>
            </w:tcBorders>
          </w:tcPr>
          <w:p>
            <w:pPr/>
          </w:p>
        </w:tc>
        <w:tc>
          <w:tcPr>
            <w:tcW w:w="704" w:type="dxa"/>
            <w:tcBorders>
              <w:top w:val="dotted" w:sz="4" w:space="0" w:color="000000"/>
              <w:left w:val="dotted" w:sz="4" w:space="0" w:color="000000"/>
              <w:bottom w:val="dotted" w:sz="4" w:space="0" w:color="000000"/>
              <w:right w:val="dotted" w:sz="4" w:space="0" w:color="000000"/>
            </w:tcBorders>
          </w:tcPr>
          <w:p>
            <w:pPr/>
          </w:p>
        </w:tc>
        <w:tc>
          <w:tcPr>
            <w:tcW w:w="1428"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2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4,147,084,112.32</w:t>
            </w:r>
          </w:p>
        </w:tc>
        <w:tc>
          <w:tcPr>
            <w:tcW w:w="7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213,354,801.17</w:t>
            </w:r>
          </w:p>
        </w:tc>
        <w:tc>
          <w:tcPr>
            <w:tcW w:w="703"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3,933,729,311.15</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4,196,674,506.26</w:t>
            </w:r>
          </w:p>
        </w:tc>
        <w:tc>
          <w:tcPr>
            <w:tcW w:w="7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202,443,506.54</w:t>
            </w:r>
          </w:p>
        </w:tc>
        <w:tc>
          <w:tcPr>
            <w:tcW w:w="704" w:type="dxa"/>
            <w:tcBorders>
              <w:top w:val="dotted" w:sz="4" w:space="0" w:color="000000"/>
              <w:left w:val="dotted" w:sz="4" w:space="0" w:color="000000"/>
              <w:bottom w:val="single" w:sz="12" w:space="0" w:color="000000"/>
              <w:right w:val="dotted" w:sz="4" w:space="0" w:color="000000"/>
            </w:tcBorders>
          </w:tcPr>
          <w:p>
            <w:pPr/>
          </w:p>
        </w:tc>
        <w:tc>
          <w:tcPr>
            <w:tcW w:w="14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3,994,230,999.72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44"/>
        <w:ind w:left="6158" w:right="625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93"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134"/>
          <w:footerReference w:type="default" r:id="rId135"/>
          <w:pgSz w:w="16840" w:h="11910" w:orient="landscape"/>
          <w:pgMar w:header="0" w:footer="0" w:top="680" w:bottom="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right="1675"/>
        <w:jc w:val="left"/>
      </w:pPr>
      <w:r>
        <w:rPr/>
        <w:t>期末单项金额重大并单独计提坏账准备的其他应收款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751"/>
        <w:gridCol w:w="1421"/>
        <w:gridCol w:w="1301"/>
        <w:gridCol w:w="1049"/>
        <w:gridCol w:w="1255"/>
      </w:tblGrid>
      <w:tr>
        <w:trPr>
          <w:trHeight w:val="461" w:hRule="exact"/>
        </w:trPr>
        <w:tc>
          <w:tcPr>
            <w:tcW w:w="275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0" w:right="0"/>
              <w:jc w:val="left"/>
              <w:rPr>
                <w:rFonts w:ascii="宋体" w:hAnsi="宋体" w:cs="宋体" w:eastAsia="宋体" w:hint="default"/>
                <w:sz w:val="16"/>
                <w:szCs w:val="16"/>
              </w:rPr>
            </w:pPr>
            <w:r>
              <w:rPr>
                <w:rFonts w:ascii="宋体" w:hAnsi="宋体" w:cs="宋体" w:eastAsia="宋体" w:hint="default"/>
                <w:sz w:val="16"/>
                <w:szCs w:val="16"/>
              </w:rPr>
              <w:t>其他应收款（按单位）</w:t>
            </w:r>
          </w:p>
        </w:tc>
        <w:tc>
          <w:tcPr>
            <w:tcW w:w="502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449" w:hRule="exact"/>
        </w:trPr>
        <w:tc>
          <w:tcPr>
            <w:tcW w:w="2751" w:type="dxa"/>
            <w:vMerge/>
            <w:tcBorders>
              <w:left w:val="nil" w:sz="6" w:space="0" w:color="auto"/>
              <w:bottom w:val="dotted" w:sz="4" w:space="0" w:color="000000"/>
              <w:right w:val="dotted" w:sz="4" w:space="0" w:color="000000"/>
            </w:tcBorders>
          </w:tcPr>
          <w:p>
            <w:pP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6"/>
                <w:szCs w:val="16"/>
              </w:rPr>
            </w:pPr>
            <w:r>
              <w:rPr>
                <w:rFonts w:ascii="宋体" w:hAnsi="宋体" w:cs="宋体" w:eastAsia="宋体" w:hint="default"/>
                <w:sz w:val="16"/>
                <w:szCs w:val="16"/>
              </w:rPr>
              <w:t>其他应收账款</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6"/>
                <w:szCs w:val="16"/>
              </w:rPr>
            </w:pPr>
            <w:r>
              <w:rPr>
                <w:rFonts w:ascii="宋体" w:hAnsi="宋体" w:cs="宋体" w:eastAsia="宋体" w:hint="default"/>
                <w:sz w:val="16"/>
                <w:szCs w:val="16"/>
              </w:rPr>
              <w:t>计提比例</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计提理由</w:t>
            </w:r>
          </w:p>
        </w:tc>
      </w:tr>
      <w:tr>
        <w:trPr>
          <w:trHeight w:val="811"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219"/>
              <w:jc w:val="left"/>
              <w:rPr>
                <w:rFonts w:ascii="宋体" w:hAnsi="宋体" w:cs="宋体" w:eastAsia="宋体" w:hint="default"/>
                <w:sz w:val="16"/>
                <w:szCs w:val="16"/>
              </w:rPr>
            </w:pPr>
            <w:r>
              <w:rPr>
                <w:rFonts w:ascii="宋体" w:hAnsi="宋体" w:cs="宋体" w:eastAsia="宋体" w:hint="default"/>
                <w:spacing w:val="-1"/>
                <w:sz w:val="16"/>
                <w:szCs w:val="16"/>
              </w:rPr>
              <w:t>深圳市民润农产品配送连锁商业有</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z w:val="16"/>
                <w:szCs w:val="16"/>
              </w:rPr>
              <w:t>限公司</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184,513,408.01</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184,513,408.01</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49"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深圳市中农水产股份有限公司</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10,736,379.25</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10,736,379.25</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51"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常州销售点</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5,460,553.08</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5,460,553.08</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49"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深圳市海农食品有限公司</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4,713,813.76</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4,713,813.76</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51"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深圳市龙江生猪批发市场</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1,780,000.00</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1,780,000.00</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49"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中粮粮油进出口公司</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1,167,045.48</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1,167,045.48</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51"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深圳市农产品肉类配送有限公司</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621,000.00</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621,000.00</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2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461" w:hRule="exact"/>
        </w:trPr>
        <w:tc>
          <w:tcPr>
            <w:tcW w:w="27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208,992,199.58</w:t>
            </w: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208,992,199.58</w:t>
            </w:r>
          </w:p>
        </w:tc>
        <w:tc>
          <w:tcPr>
            <w:tcW w:w="1049" w:type="dxa"/>
            <w:tcBorders>
              <w:top w:val="dotted" w:sz="4" w:space="0" w:color="000000"/>
              <w:left w:val="dotted" w:sz="4" w:space="0" w:color="000000"/>
              <w:bottom w:val="single" w:sz="12" w:space="0" w:color="000000"/>
              <w:right w:val="dotted" w:sz="4" w:space="0" w:color="000000"/>
            </w:tcBorders>
          </w:tcPr>
          <w:p>
            <w:pPr/>
          </w:p>
        </w:tc>
        <w:tc>
          <w:tcPr>
            <w:tcW w:w="125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1675"/>
        <w:jc w:val="left"/>
      </w:pPr>
      <w:r>
        <w:rPr/>
        <w:t>组合中，按账龄分析法计提坏账准备的其他应收款：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2900"/>
        <w:gridCol w:w="2144"/>
        <w:gridCol w:w="1412"/>
        <w:gridCol w:w="1322"/>
      </w:tblGrid>
      <w:tr>
        <w:trPr>
          <w:trHeight w:val="461" w:hRule="exact"/>
        </w:trPr>
        <w:tc>
          <w:tcPr>
            <w:tcW w:w="29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87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2900" w:type="dxa"/>
            <w:vMerge/>
            <w:tcBorders>
              <w:left w:val="nil" w:sz="6" w:space="0" w:color="auto"/>
              <w:bottom w:val="dotted" w:sz="4" w:space="0" w:color="000000"/>
              <w:right w:val="dotted" w:sz="4" w:space="0" w:color="000000"/>
            </w:tcBorders>
          </w:tcPr>
          <w:p>
            <w:pP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6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9"/>
              <w:jc w:val="right"/>
              <w:rPr>
                <w:rFonts w:ascii="宋体" w:hAnsi="宋体" w:cs="宋体" w:eastAsia="宋体" w:hint="default"/>
                <w:sz w:val="18"/>
                <w:szCs w:val="18"/>
              </w:rPr>
            </w:pPr>
            <w:r>
              <w:rPr>
                <w:rFonts w:ascii="宋体" w:hAnsi="宋体" w:cs="宋体" w:eastAsia="宋体" w:hint="default"/>
                <w:spacing w:val="-6"/>
                <w:sz w:val="18"/>
                <w:szCs w:val="18"/>
              </w:rPr>
              <w:t>计提比例（</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p>
        </w:tc>
      </w:tr>
      <w:tr>
        <w:trPr>
          <w:trHeight w:val="451" w:hRule="exact"/>
        </w:trPr>
        <w:tc>
          <w:tcPr>
            <w:tcW w:w="29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50,799.56</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253.99</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49" w:hRule="exact"/>
        </w:trPr>
        <w:tc>
          <w:tcPr>
            <w:tcW w:w="29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373,875.81</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26,171.31</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7.00</w:t>
            </w:r>
          </w:p>
        </w:tc>
      </w:tr>
      <w:tr>
        <w:trPr>
          <w:trHeight w:val="451" w:hRule="exact"/>
        </w:trPr>
        <w:tc>
          <w:tcPr>
            <w:tcW w:w="29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259,637.07</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25,963.71</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10.00</w:t>
            </w:r>
          </w:p>
        </w:tc>
      </w:tr>
      <w:tr>
        <w:trPr>
          <w:trHeight w:val="449" w:hRule="exact"/>
        </w:trPr>
        <w:tc>
          <w:tcPr>
            <w:tcW w:w="29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29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9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1,390,182.67</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1,390,182.67</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29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2,074,495.11</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1,442,571.68</w:t>
            </w:r>
          </w:p>
        </w:tc>
        <w:tc>
          <w:tcPr>
            <w:tcW w:w="132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675"/>
        <w:jc w:val="left"/>
      </w:pPr>
      <w:r>
        <w:rPr/>
        <w:t>组合中，采用其他方法计提坏账准备的其他应收款：</w:t>
      </w:r>
    </w:p>
    <w:p>
      <w:pPr>
        <w:spacing w:line="240" w:lineRule="auto" w:before="7"/>
        <w:rPr>
          <w:rFonts w:ascii="宋体" w:hAnsi="宋体" w:cs="宋体" w:eastAsia="宋体" w:hint="default"/>
          <w:sz w:val="2"/>
          <w:szCs w:val="2"/>
        </w:rPr>
      </w:pPr>
    </w:p>
    <w:tbl>
      <w:tblPr>
        <w:tblW w:w="0" w:type="auto"/>
        <w:jc w:val="left"/>
        <w:tblInd w:w="769" w:type="dxa"/>
        <w:tblLayout w:type="fixed"/>
        <w:tblCellMar>
          <w:top w:w="0" w:type="dxa"/>
          <w:left w:w="0" w:type="dxa"/>
          <w:bottom w:w="0" w:type="dxa"/>
          <w:right w:w="0" w:type="dxa"/>
        </w:tblCellMar>
        <w:tblLook w:val="01E0"/>
      </w:tblPr>
      <w:tblGrid>
        <w:gridCol w:w="3214"/>
        <w:gridCol w:w="1829"/>
        <w:gridCol w:w="1551"/>
        <w:gridCol w:w="1183"/>
      </w:tblGrid>
      <w:tr>
        <w:trPr>
          <w:trHeight w:val="458" w:hRule="exact"/>
        </w:trPr>
        <w:tc>
          <w:tcPr>
            <w:tcW w:w="321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56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1" w:hRule="exact"/>
        </w:trPr>
        <w:tc>
          <w:tcPr>
            <w:tcW w:w="3214" w:type="dxa"/>
            <w:vMerge/>
            <w:tcBorders>
              <w:left w:val="nil" w:sz="6" w:space="0" w:color="auto"/>
              <w:bottom w:val="dotted" w:sz="4" w:space="0" w:color="000000"/>
              <w:right w:val="dotted" w:sz="4" w:space="0" w:color="000000"/>
            </w:tcBorders>
          </w:tcPr>
          <w:p>
            <w:pP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225"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2,637,604.00</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13,188.02</w:t>
            </w:r>
          </w:p>
        </w:tc>
        <w:tc>
          <w:tcPr>
            <w:tcW w:w="11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451"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581,368,378.00</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2,906,841.89</w:t>
            </w:r>
          </w:p>
        </w:tc>
        <w:tc>
          <w:tcPr>
            <w:tcW w:w="11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449" w:hRule="exact"/>
        </w:trPr>
        <w:tc>
          <w:tcPr>
            <w:tcW w:w="3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集团合并范围内关联方款项</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3,352,011,435.63</w:t>
            </w:r>
          </w:p>
        </w:tc>
        <w:tc>
          <w:tcPr>
            <w:tcW w:w="1551" w:type="dxa"/>
            <w:tcBorders>
              <w:top w:val="dotted" w:sz="4" w:space="0" w:color="000000"/>
              <w:left w:val="dotted" w:sz="4" w:space="0" w:color="000000"/>
              <w:bottom w:val="dotted" w:sz="4" w:space="0" w:color="000000"/>
              <w:right w:val="dotted" w:sz="4" w:space="0" w:color="000000"/>
            </w:tcBorders>
          </w:tcPr>
          <w:p>
            <w:pPr/>
          </w:p>
        </w:tc>
        <w:tc>
          <w:tcPr>
            <w:tcW w:w="1183"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3,936,017,417.63</w:t>
            </w:r>
          </w:p>
        </w:tc>
        <w:tc>
          <w:tcPr>
            <w:tcW w:w="15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2,920,029.91</w:t>
            </w:r>
          </w:p>
        </w:tc>
        <w:tc>
          <w:tcPr>
            <w:tcW w:w="1183"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136"/>
          <w:pgSz w:w="11910" w:h="16840"/>
          <w:pgMar w:footer="996" w:header="0" w:top="1000" w:bottom="1180" w:left="1660" w:right="0"/>
          <w:pgNumType w:start="1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328" w:lineRule="auto"/>
        <w:ind w:right="3701"/>
        <w:jc w:val="left"/>
      </w:pPr>
      <w:r>
        <w:rPr>
          <w:spacing w:val="-2"/>
        </w:rPr>
        <w:t>（</w:t>
      </w:r>
      <w:r>
        <w:rPr>
          <w:rFonts w:ascii="Times New Roman" w:hAnsi="Times New Roman" w:cs="Times New Roman" w:eastAsia="Times New Roman" w:hint="default"/>
          <w:spacing w:val="-2"/>
        </w:rPr>
        <w:t>2</w:t>
      </w:r>
      <w:r>
        <w:rPr>
          <w:spacing w:val="-2"/>
        </w:rPr>
        <w:t>）本期计提、收回或转回坏账准备情况</w:t>
      </w:r>
      <w:r>
        <w:rPr>
          <w:spacing w:val="-69"/>
        </w:rPr>
        <w:t> </w:t>
      </w:r>
      <w:r>
        <w:rPr>
          <w:spacing w:val="-69"/>
        </w:rPr>
      </w:r>
      <w:r>
        <w:rPr/>
        <w:t>本期计提坏账准备金额</w:t>
      </w:r>
      <w:r>
        <w:rPr>
          <w:spacing w:val="-58"/>
        </w:rPr>
        <w:t> </w:t>
      </w:r>
      <w:r>
        <w:rPr>
          <w:rFonts w:ascii="Times New Roman" w:hAnsi="Times New Roman" w:cs="Times New Roman" w:eastAsia="Times New Roman" w:hint="default"/>
        </w:rPr>
        <w:t>10,911,294.63</w:t>
      </w:r>
      <w:r>
        <w:rPr>
          <w:rFonts w:ascii="Times New Roman" w:hAnsi="Times New Roman" w:cs="Times New Roman" w:eastAsia="Times New Roman" w:hint="default"/>
          <w:spacing w:val="-6"/>
        </w:rPr>
        <w:t> </w:t>
      </w:r>
      <w:r>
        <w:rPr>
          <w:spacing w:val="-3"/>
        </w:rPr>
        <w:t>元。</w:t>
      </w:r>
      <w:r>
        <w:rPr/>
      </w:r>
    </w:p>
    <w:p>
      <w:pPr>
        <w:spacing w:line="240" w:lineRule="auto" w:before="6"/>
        <w:rPr>
          <w:rFonts w:ascii="宋体" w:hAnsi="宋体" w:cs="宋体" w:eastAsia="宋体" w:hint="default"/>
          <w:sz w:val="32"/>
          <w:szCs w:val="32"/>
        </w:rPr>
      </w:pPr>
    </w:p>
    <w:p>
      <w:pPr>
        <w:pStyle w:val="BodyText"/>
        <w:spacing w:line="240" w:lineRule="auto" w:before="0"/>
        <w:ind w:right="1675"/>
        <w:jc w:val="left"/>
      </w:pPr>
      <w:r>
        <w:rPr/>
        <w:t>（</w:t>
      </w:r>
      <w:r>
        <w:rPr>
          <w:rFonts w:ascii="Times New Roman" w:hAnsi="Times New Roman" w:cs="Times New Roman" w:eastAsia="Times New Roman" w:hint="default"/>
        </w:rPr>
        <w:t>3</w:t>
      </w:r>
      <w:r>
        <w:rPr/>
        <w:t>）本期无实际核销的其他应收款。</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before="0"/>
        <w:ind w:right="1675"/>
        <w:jc w:val="left"/>
      </w:pPr>
      <w:r>
        <w:rPr/>
        <w:t>（</w:t>
      </w:r>
      <w:r>
        <w:rPr>
          <w:rFonts w:ascii="Times New Roman" w:hAnsi="Times New Roman" w:cs="Times New Roman" w:eastAsia="Times New Roman" w:hint="default"/>
        </w:rPr>
        <w:t>4</w:t>
      </w:r>
      <w:r>
        <w:rPr/>
        <w:t>）其他应收款按款项性质分类情况</w:t>
      </w:r>
    </w:p>
    <w:tbl>
      <w:tblPr>
        <w:tblW w:w="0" w:type="auto"/>
        <w:jc w:val="left"/>
        <w:tblInd w:w="769" w:type="dxa"/>
        <w:tblLayout w:type="fixed"/>
        <w:tblCellMar>
          <w:top w:w="0" w:type="dxa"/>
          <w:left w:w="0" w:type="dxa"/>
          <w:bottom w:w="0" w:type="dxa"/>
          <w:right w:w="0" w:type="dxa"/>
        </w:tblCellMar>
        <w:tblLook w:val="01E0"/>
      </w:tblPr>
      <w:tblGrid>
        <w:gridCol w:w="3075"/>
        <w:gridCol w:w="2350"/>
        <w:gridCol w:w="2353"/>
      </w:tblGrid>
      <w:tr>
        <w:trPr>
          <w:trHeight w:val="461" w:hRule="exact"/>
        </w:trPr>
        <w:tc>
          <w:tcPr>
            <w:tcW w:w="30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3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left="62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6"/>
              <w:ind w:left="63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49" w:hRule="exact"/>
        </w:trPr>
        <w:tc>
          <w:tcPr>
            <w:tcW w:w="3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4,135,152,599.07</w:t>
            </w:r>
          </w:p>
        </w:tc>
        <w:tc>
          <w:tcPr>
            <w:tcW w:w="23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4,185,001,908.55</w:t>
            </w:r>
          </w:p>
        </w:tc>
      </w:tr>
      <w:tr>
        <w:trPr>
          <w:trHeight w:val="451" w:hRule="exact"/>
        </w:trPr>
        <w:tc>
          <w:tcPr>
            <w:tcW w:w="3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9,293,909.25</w:t>
            </w:r>
          </w:p>
        </w:tc>
        <w:tc>
          <w:tcPr>
            <w:tcW w:w="23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8,305,409.90</w:t>
            </w:r>
          </w:p>
        </w:tc>
      </w:tr>
      <w:tr>
        <w:trPr>
          <w:trHeight w:val="449" w:hRule="exact"/>
        </w:trPr>
        <w:tc>
          <w:tcPr>
            <w:tcW w:w="30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2,637,604.00</w:t>
            </w:r>
          </w:p>
        </w:tc>
        <w:tc>
          <w:tcPr>
            <w:tcW w:w="23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3,367,187.81</w:t>
            </w:r>
          </w:p>
        </w:tc>
      </w:tr>
      <w:tr>
        <w:trPr>
          <w:trHeight w:val="461" w:hRule="exact"/>
        </w:trPr>
        <w:tc>
          <w:tcPr>
            <w:tcW w:w="30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4,147,084,112.32</w:t>
            </w:r>
          </w:p>
        </w:tc>
        <w:tc>
          <w:tcPr>
            <w:tcW w:w="23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4,196,674,506.26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675"/>
        <w:jc w:val="left"/>
      </w:pPr>
      <w:r>
        <w:rPr/>
        <w:t>（</w:t>
      </w:r>
      <w:r>
        <w:rPr>
          <w:rFonts w:ascii="Times New Roman" w:hAnsi="Times New Roman" w:cs="Times New Roman" w:eastAsia="Times New Roman" w:hint="default"/>
        </w:rPr>
        <w:t>5</w:t>
      </w:r>
      <w:r>
        <w:rPr/>
        <w:t>）按欠款方归集的期末余额前五名的其他应收款情况：</w:t>
      </w:r>
    </w:p>
    <w:tbl>
      <w:tblPr>
        <w:tblW w:w="0" w:type="auto"/>
        <w:jc w:val="left"/>
        <w:tblInd w:w="769" w:type="dxa"/>
        <w:tblLayout w:type="fixed"/>
        <w:tblCellMar>
          <w:top w:w="0" w:type="dxa"/>
          <w:left w:w="0" w:type="dxa"/>
          <w:bottom w:w="0" w:type="dxa"/>
          <w:right w:w="0" w:type="dxa"/>
        </w:tblCellMar>
        <w:tblLook w:val="01E0"/>
      </w:tblPr>
      <w:tblGrid>
        <w:gridCol w:w="2089"/>
        <w:gridCol w:w="986"/>
        <w:gridCol w:w="1383"/>
        <w:gridCol w:w="869"/>
        <w:gridCol w:w="1129"/>
        <w:gridCol w:w="1322"/>
      </w:tblGrid>
      <w:tr>
        <w:trPr>
          <w:trHeight w:val="1181" w:hRule="exact"/>
        </w:trPr>
        <w:tc>
          <w:tcPr>
            <w:tcW w:w="208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8"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9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65" w:right="0"/>
              <w:jc w:val="left"/>
              <w:rPr>
                <w:rFonts w:ascii="宋体" w:hAnsi="宋体" w:cs="宋体" w:eastAsia="宋体" w:hint="default"/>
                <w:sz w:val="16"/>
                <w:szCs w:val="16"/>
              </w:rPr>
            </w:pPr>
            <w:r>
              <w:rPr>
                <w:rFonts w:ascii="宋体" w:hAnsi="宋体" w:cs="宋体" w:eastAsia="宋体" w:hint="default"/>
                <w:sz w:val="16"/>
                <w:szCs w:val="16"/>
              </w:rPr>
              <w:t>款项性质</w:t>
            </w:r>
          </w:p>
        </w:tc>
        <w:tc>
          <w:tcPr>
            <w:tcW w:w="13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364"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8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268" w:right="0"/>
              <w:jc w:val="left"/>
              <w:rPr>
                <w:rFonts w:ascii="宋体" w:hAnsi="宋体" w:cs="宋体" w:eastAsia="宋体" w:hint="default"/>
                <w:sz w:val="16"/>
                <w:szCs w:val="16"/>
              </w:rPr>
            </w:pPr>
            <w:r>
              <w:rPr>
                <w:rFonts w:ascii="宋体" w:hAnsi="宋体" w:cs="宋体" w:eastAsia="宋体" w:hint="default"/>
                <w:sz w:val="16"/>
                <w:szCs w:val="16"/>
              </w:rPr>
              <w:t>账龄</w:t>
            </w:r>
          </w:p>
        </w:tc>
        <w:tc>
          <w:tcPr>
            <w:tcW w:w="1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占其他应收</w:t>
            </w:r>
          </w:p>
          <w:p>
            <w:pPr>
              <w:pStyle w:val="TableParagraph"/>
              <w:spacing w:line="358" w:lineRule="exact" w:before="53"/>
              <w:ind w:left="158" w:right="157"/>
              <w:jc w:val="center"/>
              <w:rPr>
                <w:rFonts w:ascii="Times New Roman" w:hAnsi="Times New Roman" w:cs="Times New Roman" w:eastAsia="Times New Roman" w:hint="default"/>
                <w:sz w:val="16"/>
                <w:szCs w:val="16"/>
              </w:rPr>
            </w:pPr>
            <w:r>
              <w:rPr>
                <w:rFonts w:ascii="宋体" w:hAnsi="宋体" w:cs="宋体" w:eastAsia="宋体" w:hint="default"/>
                <w:sz w:val="16"/>
                <w:szCs w:val="16"/>
              </w:rPr>
              <w:t>款合计数的</w:t>
            </w:r>
            <w:r>
              <w:rPr>
                <w:rFonts w:ascii="宋体" w:hAnsi="宋体" w:cs="宋体" w:eastAsia="宋体" w:hint="default"/>
                <w:w w:val="100"/>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32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412" w:lineRule="auto" w:before="139"/>
              <w:ind w:left="496" w:right="178" w:hanging="322"/>
              <w:jc w:val="left"/>
              <w:rPr>
                <w:rFonts w:ascii="宋体" w:hAnsi="宋体" w:cs="宋体" w:eastAsia="宋体" w:hint="default"/>
                <w:sz w:val="16"/>
                <w:szCs w:val="16"/>
              </w:rPr>
            </w:pPr>
            <w:r>
              <w:rPr>
                <w:rFonts w:ascii="宋体" w:hAnsi="宋体" w:cs="宋体" w:eastAsia="宋体" w:hint="default"/>
                <w:sz w:val="16"/>
                <w:szCs w:val="16"/>
              </w:rPr>
              <w:t>坏账准备期末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811"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97"/>
              <w:jc w:val="left"/>
              <w:rPr>
                <w:rFonts w:ascii="宋体" w:hAnsi="宋体" w:cs="宋体" w:eastAsia="宋体" w:hint="default"/>
                <w:sz w:val="16"/>
                <w:szCs w:val="16"/>
              </w:rPr>
            </w:pPr>
            <w:r>
              <w:rPr>
                <w:rFonts w:ascii="宋体" w:hAnsi="宋体" w:cs="宋体" w:eastAsia="宋体" w:hint="default"/>
                <w:spacing w:val="-1"/>
                <w:sz w:val="16"/>
                <w:szCs w:val="16"/>
              </w:rPr>
              <w:t>深圳市南方农产品物流有</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限公司</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0"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1,012,346,676.35</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1-5 </w:t>
            </w:r>
            <w:r>
              <w:rPr>
                <w:rFonts w:ascii="宋体" w:hAnsi="宋体" w:cs="宋体" w:eastAsia="宋体" w:hint="default"/>
                <w:sz w:val="16"/>
                <w:szCs w:val="16"/>
              </w:rPr>
              <w:t>年</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24.41</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97"/>
              <w:jc w:val="left"/>
              <w:rPr>
                <w:rFonts w:ascii="宋体" w:hAnsi="宋体" w:cs="宋体" w:eastAsia="宋体" w:hint="default"/>
                <w:sz w:val="16"/>
                <w:szCs w:val="16"/>
              </w:rPr>
            </w:pPr>
            <w:r>
              <w:rPr>
                <w:rFonts w:ascii="宋体" w:hAnsi="宋体" w:cs="宋体" w:eastAsia="宋体" w:hint="default"/>
                <w:spacing w:val="-1"/>
                <w:sz w:val="16"/>
                <w:szCs w:val="16"/>
              </w:rPr>
              <w:t>天津海吉星农产品物流有</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限公司</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0"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642,000,000.00</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 </w:t>
            </w:r>
            <w:r>
              <w:rPr>
                <w:rFonts w:ascii="宋体" w:hAnsi="宋体" w:cs="宋体" w:eastAsia="宋体" w:hint="default"/>
                <w:sz w:val="16"/>
                <w:szCs w:val="16"/>
              </w:rPr>
              <w:t>年</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15.48</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97"/>
              <w:jc w:val="left"/>
              <w:rPr>
                <w:rFonts w:ascii="宋体" w:hAnsi="宋体" w:cs="宋体" w:eastAsia="宋体" w:hint="default"/>
                <w:sz w:val="16"/>
                <w:szCs w:val="16"/>
              </w:rPr>
            </w:pPr>
            <w:r>
              <w:rPr>
                <w:rFonts w:ascii="宋体" w:hAnsi="宋体" w:cs="宋体" w:eastAsia="宋体" w:hint="default"/>
                <w:spacing w:val="-1"/>
                <w:sz w:val="16"/>
                <w:szCs w:val="16"/>
              </w:rPr>
              <w:t>长春海吉星农产品物流有</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限公司</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100"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580,602,166.16</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1-5 </w:t>
            </w:r>
            <w:r>
              <w:rPr>
                <w:rFonts w:ascii="宋体" w:hAnsi="宋体" w:cs="宋体" w:eastAsia="宋体" w:hint="default"/>
                <w:sz w:val="16"/>
                <w:szCs w:val="16"/>
              </w:rPr>
              <w:t>年</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14.00</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97"/>
              <w:jc w:val="left"/>
              <w:rPr>
                <w:rFonts w:ascii="宋体" w:hAnsi="宋体" w:cs="宋体" w:eastAsia="宋体" w:hint="default"/>
                <w:sz w:val="16"/>
                <w:szCs w:val="16"/>
              </w:rPr>
            </w:pPr>
            <w:r>
              <w:rPr>
                <w:rFonts w:ascii="宋体" w:hAnsi="宋体" w:cs="宋体" w:eastAsia="宋体" w:hint="default"/>
                <w:spacing w:val="-1"/>
                <w:sz w:val="16"/>
                <w:szCs w:val="16"/>
              </w:rPr>
              <w:t>沈阳海吉星农产品物流有</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限公司</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0"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192,437,221.55</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1-5 </w:t>
            </w:r>
            <w:r>
              <w:rPr>
                <w:rFonts w:ascii="宋体" w:hAnsi="宋体" w:cs="宋体" w:eastAsia="宋体" w:hint="default"/>
                <w:sz w:val="16"/>
                <w:szCs w:val="16"/>
              </w:rPr>
              <w:t>年</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4.64</w:t>
            </w:r>
          </w:p>
        </w:tc>
        <w:tc>
          <w:tcPr>
            <w:tcW w:w="132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122" w:right="197"/>
              <w:jc w:val="left"/>
              <w:rPr>
                <w:rFonts w:ascii="宋体" w:hAnsi="宋体" w:cs="宋体" w:eastAsia="宋体" w:hint="default"/>
                <w:sz w:val="16"/>
                <w:szCs w:val="16"/>
              </w:rPr>
            </w:pPr>
            <w:r>
              <w:rPr>
                <w:rFonts w:ascii="宋体" w:hAnsi="宋体" w:cs="宋体" w:eastAsia="宋体" w:hint="default"/>
                <w:spacing w:val="-1"/>
                <w:sz w:val="16"/>
                <w:szCs w:val="16"/>
              </w:rPr>
              <w:t>深圳市民润农产品配送连</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锁商业有限公司</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0" w:right="0"/>
              <w:jc w:val="left"/>
              <w:rPr>
                <w:rFonts w:ascii="宋体" w:hAnsi="宋体" w:cs="宋体" w:eastAsia="宋体" w:hint="default"/>
                <w:sz w:val="16"/>
                <w:szCs w:val="16"/>
              </w:rPr>
            </w:pPr>
            <w:r>
              <w:rPr>
                <w:rFonts w:ascii="宋体" w:hAnsi="宋体" w:cs="宋体" w:eastAsia="宋体" w:hint="default"/>
                <w:sz w:val="16"/>
                <w:szCs w:val="16"/>
              </w:rPr>
              <w:t>往来款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184,513,408.01</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4.45</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184,513,408.01</w:t>
            </w:r>
          </w:p>
        </w:tc>
      </w:tr>
      <w:tr>
        <w:trPr>
          <w:trHeight w:val="461" w:hRule="exact"/>
        </w:trPr>
        <w:tc>
          <w:tcPr>
            <w:tcW w:w="20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986" w:type="dxa"/>
            <w:tcBorders>
              <w:top w:val="dotted" w:sz="4" w:space="0" w:color="000000"/>
              <w:left w:val="dotted" w:sz="4" w:space="0" w:color="000000"/>
              <w:bottom w:val="single" w:sz="12" w:space="0" w:color="000000"/>
              <w:right w:val="dotted" w:sz="4" w:space="0" w:color="000000"/>
            </w:tcBorders>
          </w:tcPr>
          <w:p>
            <w:pPr/>
          </w:p>
        </w:tc>
        <w:tc>
          <w:tcPr>
            <w:tcW w:w="13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2,611,899,472.07</w:t>
            </w:r>
          </w:p>
        </w:tc>
        <w:tc>
          <w:tcPr>
            <w:tcW w:w="869" w:type="dxa"/>
            <w:tcBorders>
              <w:top w:val="dotted" w:sz="4" w:space="0" w:color="000000"/>
              <w:left w:val="dotted" w:sz="4" w:space="0" w:color="000000"/>
              <w:bottom w:val="single" w:sz="12" w:space="0" w:color="000000"/>
              <w:right w:val="dotted" w:sz="4" w:space="0" w:color="000000"/>
            </w:tcBorders>
          </w:tcPr>
          <w:p>
            <w:pPr/>
          </w:p>
        </w:tc>
        <w:tc>
          <w:tcPr>
            <w:tcW w:w="1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62.98</w:t>
            </w:r>
          </w:p>
        </w:tc>
        <w:tc>
          <w:tcPr>
            <w:tcW w:w="13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184,513,408.01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1675"/>
        <w:jc w:val="left"/>
      </w:pPr>
      <w:r>
        <w:rPr/>
        <w:t>（</w:t>
      </w:r>
      <w:r>
        <w:rPr>
          <w:rFonts w:ascii="Times New Roman" w:hAnsi="Times New Roman" w:cs="Times New Roman" w:eastAsia="Times New Roman" w:hint="default"/>
        </w:rPr>
        <w:t>6</w:t>
      </w:r>
      <w:r>
        <w:rPr/>
        <w:t>）期末无涉及政府补助的其他应收款；</w:t>
      </w:r>
    </w:p>
    <w:p>
      <w:pPr>
        <w:pStyle w:val="BodyText"/>
        <w:spacing w:line="240" w:lineRule="auto" w:before="110"/>
        <w:ind w:right="1675"/>
        <w:jc w:val="left"/>
      </w:pPr>
      <w:r>
        <w:rPr/>
        <w:t>（</w:t>
      </w:r>
      <w:r>
        <w:rPr>
          <w:rFonts w:ascii="Times New Roman" w:hAnsi="Times New Roman" w:cs="Times New Roman" w:eastAsia="Times New Roman" w:hint="default"/>
        </w:rPr>
        <w:t>7</w:t>
      </w:r>
      <w:r>
        <w:rPr/>
        <w:t>）本期未发生因金融资产转移而终止确认的其他应收款；</w:t>
      </w:r>
    </w:p>
    <w:p>
      <w:pPr>
        <w:pStyle w:val="BodyText"/>
        <w:spacing w:line="240" w:lineRule="auto" w:before="110"/>
        <w:ind w:right="1675"/>
        <w:jc w:val="left"/>
      </w:pPr>
      <w:r>
        <w:rPr/>
        <w:t>（</w:t>
      </w:r>
      <w:r>
        <w:rPr>
          <w:rFonts w:ascii="Times New Roman" w:hAnsi="Times New Roman" w:cs="Times New Roman" w:eastAsia="Times New Roman" w:hint="default"/>
        </w:rPr>
        <w:t>8</w:t>
      </w:r>
      <w:r>
        <w:rPr/>
        <w:t>）期末无因转移其他应收款且继续涉入形成的资产、负债；</w:t>
      </w:r>
    </w:p>
    <w:p>
      <w:pPr>
        <w:spacing w:after="0" w:line="240" w:lineRule="auto"/>
        <w:jc w:val="left"/>
        <w:sectPr>
          <w:pgSz w:w="11910" w:h="16840"/>
          <w:pgMar w:header="0" w:footer="996" w:top="10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长期股权投资</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313"/>
        <w:gridCol w:w="1258"/>
        <w:gridCol w:w="696"/>
        <w:gridCol w:w="1256"/>
        <w:gridCol w:w="1258"/>
        <w:gridCol w:w="740"/>
        <w:gridCol w:w="1258"/>
      </w:tblGrid>
      <w:tr>
        <w:trPr>
          <w:trHeight w:val="461" w:hRule="exact"/>
        </w:trPr>
        <w:tc>
          <w:tcPr>
            <w:tcW w:w="131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3210"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25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
              <w:jc w:val="center"/>
              <w:rPr>
                <w:rFonts w:ascii="宋体" w:hAnsi="宋体" w:cs="宋体" w:eastAsia="宋体" w:hint="default"/>
                <w:sz w:val="13"/>
                <w:szCs w:val="13"/>
              </w:rPr>
            </w:pPr>
            <w:r>
              <w:rPr>
                <w:rFonts w:ascii="宋体" w:hAnsi="宋体" w:cs="宋体" w:eastAsia="宋体" w:hint="default"/>
                <w:sz w:val="13"/>
                <w:szCs w:val="13"/>
              </w:rPr>
              <w:t>年初余额</w:t>
            </w:r>
          </w:p>
        </w:tc>
      </w:tr>
      <w:tr>
        <w:trPr>
          <w:trHeight w:val="809" w:hRule="exact"/>
        </w:trPr>
        <w:tc>
          <w:tcPr>
            <w:tcW w:w="1313" w:type="dxa"/>
            <w:vMerge/>
            <w:tcBorders>
              <w:left w:val="nil" w:sz="6" w:space="0" w:color="auto"/>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696"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75" w:right="151" w:hanging="132"/>
              <w:jc w:val="left"/>
              <w:rPr>
                <w:rFonts w:ascii="宋体" w:hAnsi="宋体" w:cs="宋体" w:eastAsia="宋体" w:hint="default"/>
                <w:sz w:val="13"/>
                <w:szCs w:val="13"/>
              </w:rPr>
            </w:pPr>
            <w:r>
              <w:rPr>
                <w:rFonts w:ascii="宋体" w:hAnsi="宋体" w:cs="宋体" w:eastAsia="宋体" w:hint="default"/>
                <w:sz w:val="13"/>
                <w:szCs w:val="13"/>
              </w:rPr>
              <w:t>减值准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账面价值</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账面价值</w:t>
            </w:r>
          </w:p>
        </w:tc>
      </w:tr>
      <w:tr>
        <w:trPr>
          <w:trHeight w:val="451" w:hRule="exact"/>
        </w:trPr>
        <w:tc>
          <w:tcPr>
            <w:tcW w:w="1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对子公司投资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27"/>
              <w:jc w:val="center"/>
              <w:rPr>
                <w:rFonts w:ascii="Times New Roman" w:hAnsi="Times New Roman" w:cs="Times New Roman" w:eastAsia="Times New Roman" w:hint="default"/>
                <w:sz w:val="13"/>
                <w:szCs w:val="13"/>
              </w:rPr>
            </w:pPr>
            <w:r>
              <w:rPr>
                <w:rFonts w:ascii="Times New Roman"/>
                <w:sz w:val="13"/>
              </w:rPr>
              <w:t>4,006,163,370.67</w:t>
            </w:r>
          </w:p>
        </w:tc>
        <w:tc>
          <w:tcPr>
            <w:tcW w:w="696" w:type="dxa"/>
            <w:tcBorders>
              <w:top w:val="dotted" w:sz="4" w:space="0" w:color="000000"/>
              <w:left w:val="dotted" w:sz="4" w:space="0" w:color="000000"/>
              <w:bottom w:val="dotted" w:sz="4" w:space="0" w:color="000000"/>
              <w:right w:val="dotted" w:sz="4" w:space="0" w:color="000000"/>
            </w:tcBorders>
          </w:tcPr>
          <w:p>
            <w:pP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3"/>
                <w:szCs w:val="13"/>
              </w:rPr>
            </w:pPr>
            <w:r>
              <w:rPr>
                <w:rFonts w:ascii="Times New Roman"/>
                <w:sz w:val="13"/>
              </w:rPr>
              <w:t>4,006,163,370.67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3,939,163,370.67</w:t>
            </w:r>
          </w:p>
        </w:tc>
        <w:tc>
          <w:tcPr>
            <w:tcW w:w="740"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3,939,163,370.67</w:t>
            </w:r>
          </w:p>
        </w:tc>
      </w:tr>
      <w:tr>
        <w:trPr>
          <w:trHeight w:val="809" w:hRule="exact"/>
        </w:trPr>
        <w:tc>
          <w:tcPr>
            <w:tcW w:w="1313"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146"/>
              <w:jc w:val="left"/>
              <w:rPr>
                <w:rFonts w:ascii="宋体" w:hAnsi="宋体" w:cs="宋体" w:eastAsia="宋体" w:hint="default"/>
                <w:sz w:val="13"/>
                <w:szCs w:val="13"/>
              </w:rPr>
            </w:pPr>
            <w:r>
              <w:rPr>
                <w:rFonts w:ascii="宋体" w:hAnsi="宋体" w:cs="宋体" w:eastAsia="宋体" w:hint="default"/>
                <w:sz w:val="13"/>
                <w:szCs w:val="13"/>
              </w:rPr>
              <w:t>对联营、合营企业</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27"/>
              <w:jc w:val="center"/>
              <w:rPr>
                <w:rFonts w:ascii="Times New Roman" w:hAnsi="Times New Roman" w:cs="Times New Roman" w:eastAsia="Times New Roman" w:hint="default"/>
                <w:sz w:val="13"/>
                <w:szCs w:val="13"/>
              </w:rPr>
            </w:pPr>
            <w:r>
              <w:rPr>
                <w:rFonts w:ascii="Times New Roman"/>
                <w:sz w:val="13"/>
              </w:rPr>
              <w:t>2,185,612,002.57</w:t>
            </w:r>
          </w:p>
        </w:tc>
        <w:tc>
          <w:tcPr>
            <w:tcW w:w="696" w:type="dxa"/>
            <w:tcBorders>
              <w:top w:val="dotted" w:sz="4" w:space="0" w:color="000000"/>
              <w:left w:val="dotted" w:sz="4" w:space="0" w:color="000000"/>
              <w:bottom w:val="dotted" w:sz="4" w:space="0" w:color="000000"/>
              <w:right w:val="dotted" w:sz="4" w:space="0" w:color="000000"/>
            </w:tcBorders>
          </w:tcPr>
          <w:p>
            <w:pP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3"/>
                <w:szCs w:val="13"/>
              </w:rPr>
            </w:pPr>
            <w:r>
              <w:rPr>
                <w:rFonts w:ascii="Times New Roman"/>
                <w:sz w:val="13"/>
              </w:rPr>
              <w:t>2,185,612,002.57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2,024,639,489.04</w:t>
            </w:r>
          </w:p>
        </w:tc>
        <w:tc>
          <w:tcPr>
            <w:tcW w:w="740"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2,024,639,489.04</w:t>
            </w:r>
          </w:p>
        </w:tc>
      </w:tr>
      <w:tr>
        <w:trPr>
          <w:trHeight w:val="461" w:hRule="exact"/>
        </w:trPr>
        <w:tc>
          <w:tcPr>
            <w:tcW w:w="13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28"/>
              <w:jc w:val="center"/>
              <w:rPr>
                <w:rFonts w:ascii="Times New Roman" w:hAnsi="Times New Roman" w:cs="Times New Roman" w:eastAsia="Times New Roman" w:hint="default"/>
                <w:sz w:val="13"/>
                <w:szCs w:val="13"/>
              </w:rPr>
            </w:pPr>
            <w:r>
              <w:rPr>
                <w:rFonts w:ascii="Times New Roman"/>
                <w:sz w:val="13"/>
              </w:rPr>
              <w:t>6,191,775,373.24</w:t>
            </w:r>
          </w:p>
        </w:tc>
        <w:tc>
          <w:tcPr>
            <w:tcW w:w="696" w:type="dxa"/>
            <w:tcBorders>
              <w:top w:val="dotted" w:sz="4" w:space="0" w:color="000000"/>
              <w:left w:val="dotted" w:sz="4" w:space="0" w:color="000000"/>
              <w:bottom w:val="single" w:sz="12" w:space="0" w:color="000000"/>
              <w:right w:val="dotted" w:sz="4" w:space="0" w:color="000000"/>
            </w:tcBorders>
          </w:tcPr>
          <w:p>
            <w:pPr/>
          </w:p>
        </w:tc>
        <w:tc>
          <w:tcPr>
            <w:tcW w:w="1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3"/>
                <w:szCs w:val="13"/>
              </w:rPr>
            </w:pPr>
            <w:r>
              <w:rPr>
                <w:rFonts w:ascii="Times New Roman"/>
                <w:sz w:val="13"/>
              </w:rPr>
              <w:t>6,191,775,373.24</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5,963,802,859.71</w:t>
            </w:r>
          </w:p>
        </w:tc>
        <w:tc>
          <w:tcPr>
            <w:tcW w:w="740" w:type="dxa"/>
            <w:tcBorders>
              <w:top w:val="dotted" w:sz="4" w:space="0" w:color="000000"/>
              <w:left w:val="dotted" w:sz="4" w:space="0" w:color="000000"/>
              <w:bottom w:val="single" w:sz="12" w:space="0" w:color="000000"/>
              <w:right w:val="dotted" w:sz="4" w:space="0" w:color="000000"/>
            </w:tcBorders>
          </w:tcPr>
          <w:p>
            <w:pPr/>
          </w:p>
        </w:tc>
        <w:tc>
          <w:tcPr>
            <w:tcW w:w="12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5,963,802,859.71</w:t>
            </w: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1397" w:val="left" w:leader="none"/>
        </w:tabs>
        <w:spacing w:line="335" w:lineRule="exact"/>
        <w:ind w:right="1675"/>
        <w:jc w:val="left"/>
        <w:rPr>
          <w:b w:val="0"/>
          <w:bCs w:val="0"/>
        </w:rPr>
      </w:pPr>
      <w:r>
        <w:rPr>
          <w:rFonts w:ascii="Times New Roman" w:hAnsi="Times New Roman" w:cs="Times New Roman" w:eastAsia="Times New Roman" w:hint="default"/>
        </w:rPr>
        <w:t>1</w:t>
      </w:r>
      <w:r>
        <w:rPr/>
        <w:t>、</w:t>
        <w:tab/>
        <w:t>对子公司投资</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491"/>
        <w:gridCol w:w="1258"/>
        <w:gridCol w:w="1080"/>
        <w:gridCol w:w="1104"/>
        <w:gridCol w:w="1258"/>
        <w:gridCol w:w="797"/>
        <w:gridCol w:w="790"/>
      </w:tblGrid>
      <w:tr>
        <w:trPr>
          <w:trHeight w:val="821" w:hRule="exact"/>
        </w:trPr>
        <w:tc>
          <w:tcPr>
            <w:tcW w:w="149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0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3" w:right="0"/>
              <w:jc w:val="left"/>
              <w:rPr>
                <w:rFonts w:ascii="宋体" w:hAnsi="宋体" w:cs="宋体" w:eastAsia="宋体" w:hint="default"/>
                <w:sz w:val="13"/>
                <w:szCs w:val="13"/>
              </w:rPr>
            </w:pPr>
            <w:r>
              <w:rPr>
                <w:rFonts w:ascii="宋体" w:hAnsi="宋体" w:cs="宋体" w:eastAsia="宋体" w:hint="default"/>
                <w:sz w:val="13"/>
                <w:szCs w:val="13"/>
              </w:rPr>
              <w:t>本期减少</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797" w:type="dxa"/>
            <w:tcBorders>
              <w:top w:val="single" w:sz="12" w:space="0" w:color="000000"/>
              <w:left w:val="dotted" w:sz="4" w:space="0" w:color="000000"/>
              <w:bottom w:val="dotted" w:sz="4" w:space="0" w:color="000000"/>
              <w:right w:val="dotted" w:sz="4" w:space="0" w:color="000000"/>
            </w:tcBorders>
          </w:tcPr>
          <w:p>
            <w:pPr>
              <w:pStyle w:val="TableParagraph"/>
              <w:spacing w:line="360" w:lineRule="atLeast" w:before="18"/>
              <w:ind w:left="132" w:right="135"/>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790" w:type="dxa"/>
            <w:tcBorders>
              <w:top w:val="single" w:sz="12" w:space="0" w:color="000000"/>
              <w:left w:val="dotted" w:sz="4" w:space="0" w:color="000000"/>
              <w:bottom w:val="dotted" w:sz="4" w:space="0" w:color="000000"/>
              <w:right w:val="nil" w:sz="6" w:space="0" w:color="auto"/>
            </w:tcBorders>
          </w:tcPr>
          <w:p>
            <w:pPr>
              <w:pStyle w:val="TableParagraph"/>
              <w:spacing w:line="360" w:lineRule="atLeast" w:before="18"/>
              <w:ind w:left="127" w:right="137"/>
              <w:jc w:val="left"/>
              <w:rPr>
                <w:rFonts w:ascii="宋体" w:hAnsi="宋体" w:cs="宋体" w:eastAsia="宋体" w:hint="default"/>
                <w:sz w:val="13"/>
                <w:szCs w:val="13"/>
              </w:rPr>
            </w:pPr>
            <w:r>
              <w:rPr>
                <w:rFonts w:ascii="宋体" w:hAnsi="宋体" w:cs="宋体" w:eastAsia="宋体" w:hint="default"/>
                <w:sz w:val="13"/>
                <w:szCs w:val="13"/>
              </w:rPr>
              <w:t>减值准备</w:t>
            </w:r>
            <w:r>
              <w:rPr>
                <w:rFonts w:ascii="宋体" w:hAnsi="宋体" w:cs="宋体" w:eastAsia="宋体" w:hint="default"/>
                <w:w w:val="99"/>
                <w:sz w:val="13"/>
                <w:szCs w:val="13"/>
              </w:rPr>
              <w:t> </w:t>
            </w:r>
            <w:r>
              <w:rPr>
                <w:rFonts w:ascii="宋体" w:hAnsi="宋体" w:cs="宋体" w:eastAsia="宋体" w:hint="default"/>
                <w:sz w:val="13"/>
                <w:szCs w:val="13"/>
              </w:rPr>
              <w:t>期末余额</w:t>
            </w: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成都农产品中心批发</w:t>
            </w:r>
            <w:r>
              <w:rPr>
                <w:rFonts w:ascii="宋体" w:hAnsi="宋体" w:cs="宋体" w:eastAsia="宋体" w:hint="default"/>
                <w:w w:val="99"/>
                <w:sz w:val="13"/>
                <w:szCs w:val="13"/>
              </w:rPr>
              <w:t> </w:t>
            </w:r>
            <w:r>
              <w:rPr>
                <w:rFonts w:ascii="宋体" w:hAnsi="宋体" w:cs="宋体" w:eastAsia="宋体" w:hint="default"/>
                <w:sz w:val="13"/>
                <w:szCs w:val="13"/>
              </w:rPr>
              <w:t>市场有限公司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89,247,453.34</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89,247,453.34</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广西海吉星农产品国</w:t>
            </w:r>
            <w:r>
              <w:rPr>
                <w:rFonts w:ascii="宋体" w:hAnsi="宋体" w:cs="宋体" w:eastAsia="宋体" w:hint="default"/>
                <w:w w:val="99"/>
                <w:sz w:val="13"/>
                <w:szCs w:val="13"/>
              </w:rPr>
              <w:t> </w:t>
            </w:r>
            <w:r>
              <w:rPr>
                <w:rFonts w:ascii="宋体" w:hAnsi="宋体" w:cs="宋体" w:eastAsia="宋体" w:hint="default"/>
                <w:sz w:val="13"/>
                <w:szCs w:val="13"/>
              </w:rPr>
              <w:t>际物流有限公司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355,000,000.00</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18" w:right="0"/>
              <w:jc w:val="left"/>
              <w:rPr>
                <w:rFonts w:ascii="Times New Roman" w:hAnsi="Times New Roman" w:cs="Times New Roman" w:eastAsia="Times New Roman" w:hint="default"/>
                <w:sz w:val="13"/>
                <w:szCs w:val="13"/>
              </w:rPr>
            </w:pPr>
            <w:r>
              <w:rPr>
                <w:rFonts w:ascii="Times New Roman"/>
                <w:sz w:val="13"/>
              </w:rPr>
              <w:t>20,000,000.00</w:t>
            </w: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375,000,000.00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广西新柳邕农产品批</w:t>
            </w:r>
            <w:r>
              <w:rPr>
                <w:rFonts w:ascii="宋体" w:hAnsi="宋体" w:cs="宋体" w:eastAsia="宋体" w:hint="default"/>
                <w:w w:val="99"/>
                <w:sz w:val="13"/>
                <w:szCs w:val="13"/>
              </w:rPr>
              <w:t> </w:t>
            </w:r>
            <w:r>
              <w:rPr>
                <w:rFonts w:ascii="宋体" w:hAnsi="宋体" w:cs="宋体" w:eastAsia="宋体" w:hint="default"/>
                <w:sz w:val="13"/>
                <w:szCs w:val="13"/>
              </w:rPr>
              <w:t>发市场有限公司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195,000,000.00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195,000,000.00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惠州海吉星农产品国</w:t>
            </w:r>
            <w:r>
              <w:rPr>
                <w:rFonts w:ascii="宋体" w:hAnsi="宋体" w:cs="宋体" w:eastAsia="宋体" w:hint="default"/>
                <w:w w:val="99"/>
                <w:sz w:val="13"/>
                <w:szCs w:val="13"/>
              </w:rPr>
              <w:t> </w:t>
            </w:r>
            <w:r>
              <w:rPr>
                <w:rFonts w:ascii="宋体" w:hAnsi="宋体" w:cs="宋体" w:eastAsia="宋体" w:hint="default"/>
                <w:sz w:val="13"/>
                <w:szCs w:val="13"/>
              </w:rPr>
              <w:t>际物流有限公司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34,680,000.00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34,680,000.00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九江市琵琶湖农产品</w:t>
            </w:r>
            <w:r>
              <w:rPr>
                <w:rFonts w:ascii="宋体" w:hAnsi="宋体" w:cs="宋体" w:eastAsia="宋体" w:hint="default"/>
                <w:w w:val="99"/>
                <w:sz w:val="13"/>
                <w:szCs w:val="13"/>
              </w:rPr>
              <w:t> </w:t>
            </w:r>
            <w:r>
              <w:rPr>
                <w:rFonts w:ascii="宋体" w:hAnsi="宋体" w:cs="宋体" w:eastAsia="宋体" w:hint="default"/>
                <w:sz w:val="13"/>
                <w:szCs w:val="13"/>
              </w:rPr>
              <w:t>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33,000,000.00</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18" w:right="0"/>
              <w:jc w:val="left"/>
              <w:rPr>
                <w:rFonts w:ascii="Times New Roman" w:hAnsi="Times New Roman" w:cs="Times New Roman" w:eastAsia="Times New Roman" w:hint="default"/>
                <w:sz w:val="13"/>
                <w:szCs w:val="13"/>
              </w:rPr>
            </w:pPr>
            <w:r>
              <w:rPr>
                <w:rFonts w:ascii="Times New Roman"/>
                <w:sz w:val="13"/>
              </w:rPr>
              <w:t>55,000,000.00</w:t>
            </w: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88,000,000.00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4"/>
              <w:jc w:val="left"/>
              <w:rPr>
                <w:rFonts w:ascii="宋体" w:hAnsi="宋体" w:cs="宋体" w:eastAsia="宋体" w:hint="default"/>
                <w:sz w:val="13"/>
                <w:szCs w:val="13"/>
              </w:rPr>
            </w:pPr>
            <w:r>
              <w:rPr>
                <w:rFonts w:ascii="宋体" w:hAnsi="宋体" w:cs="宋体" w:eastAsia="宋体" w:hint="default"/>
                <w:sz w:val="13"/>
                <w:szCs w:val="13"/>
              </w:rPr>
              <w:t>南昌深圳农产品中心</w:t>
            </w:r>
            <w:r>
              <w:rPr>
                <w:rFonts w:ascii="宋体" w:hAnsi="宋体" w:cs="宋体" w:eastAsia="宋体" w:hint="default"/>
                <w:w w:val="99"/>
                <w:sz w:val="13"/>
                <w:szCs w:val="13"/>
              </w:rPr>
              <w:t> </w:t>
            </w:r>
            <w:r>
              <w:rPr>
                <w:rFonts w:ascii="宋体" w:hAnsi="宋体" w:cs="宋体" w:eastAsia="宋体" w:hint="default"/>
                <w:sz w:val="13"/>
                <w:szCs w:val="13"/>
              </w:rPr>
              <w:t>批发市场有限公司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78,879,404.42</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78,879,404.42</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宁夏海吉星国际农产</w:t>
            </w:r>
            <w:r>
              <w:rPr>
                <w:rFonts w:ascii="宋体" w:hAnsi="宋体" w:cs="宋体" w:eastAsia="宋体" w:hint="default"/>
                <w:w w:val="99"/>
                <w:sz w:val="13"/>
                <w:szCs w:val="13"/>
              </w:rPr>
              <w:t> </w:t>
            </w:r>
            <w:r>
              <w:rPr>
                <w:rFonts w:ascii="宋体" w:hAnsi="宋体" w:cs="宋体" w:eastAsia="宋体" w:hint="default"/>
                <w:sz w:val="13"/>
                <w:szCs w:val="13"/>
              </w:rPr>
              <w:t>品物流有限公司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84,000,000.00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84,000,000.00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上海海吉星马克市场</w:t>
            </w:r>
            <w:r>
              <w:rPr>
                <w:rFonts w:ascii="宋体" w:hAnsi="宋体" w:cs="宋体" w:eastAsia="宋体" w:hint="default"/>
                <w:w w:val="99"/>
                <w:sz w:val="13"/>
                <w:szCs w:val="13"/>
              </w:rPr>
              <w:t> </w:t>
            </w:r>
            <w:r>
              <w:rPr>
                <w:rFonts w:ascii="宋体" w:hAnsi="宋体" w:cs="宋体" w:eastAsia="宋体" w:hint="default"/>
                <w:sz w:val="13"/>
                <w:szCs w:val="13"/>
              </w:rPr>
              <w:t>管理有限公司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2,069,996.66</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2,069,996.66</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上海吉农创业投资有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10,715,353.32</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10,715,353.32</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深圳前海农产品交易</w:t>
            </w:r>
            <w:r>
              <w:rPr>
                <w:rFonts w:ascii="宋体" w:hAnsi="宋体" w:cs="宋体" w:eastAsia="宋体" w:hint="default"/>
                <w:w w:val="99"/>
                <w:sz w:val="13"/>
                <w:szCs w:val="13"/>
              </w:rPr>
              <w:t> </w:t>
            </w:r>
            <w:r>
              <w:rPr>
                <w:rFonts w:ascii="宋体" w:hAnsi="宋体" w:cs="宋体" w:eastAsia="宋体" w:hint="default"/>
                <w:sz w:val="13"/>
                <w:szCs w:val="13"/>
              </w:rPr>
              <w:t>所股份有限公司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140,000,000.00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140,000,000.00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4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70"/>
              <w:jc w:val="center"/>
              <w:rPr>
                <w:rFonts w:ascii="宋体" w:hAnsi="宋体" w:cs="宋体" w:eastAsia="宋体" w:hint="default"/>
                <w:sz w:val="13"/>
                <w:szCs w:val="13"/>
              </w:rPr>
            </w:pPr>
            <w:r>
              <w:rPr>
                <w:rFonts w:ascii="宋体" w:hAnsi="宋体" w:cs="宋体" w:eastAsia="宋体" w:hint="default"/>
                <w:sz w:val="13"/>
                <w:szCs w:val="13"/>
              </w:rPr>
              <w:t>深圳市布吉海鲜市场</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12,595,200.00</w:t>
            </w:r>
          </w:p>
        </w:tc>
        <w:tc>
          <w:tcPr>
            <w:tcW w:w="1080" w:type="dxa"/>
            <w:tcBorders>
              <w:top w:val="dotted" w:sz="4" w:space="0" w:color="000000"/>
              <w:left w:val="dotted" w:sz="4" w:space="0" w:color="000000"/>
              <w:bottom w:val="single" w:sz="12" w:space="0" w:color="000000"/>
              <w:right w:val="dotted" w:sz="4" w:space="0" w:color="000000"/>
            </w:tcBorders>
          </w:tcPr>
          <w:p>
            <w:pPr/>
          </w:p>
        </w:tc>
        <w:tc>
          <w:tcPr>
            <w:tcW w:w="1104" w:type="dxa"/>
            <w:tcBorders>
              <w:top w:val="dotted" w:sz="4" w:space="0" w:color="000000"/>
              <w:left w:val="dotted" w:sz="4" w:space="0" w:color="000000"/>
              <w:bottom w:val="single" w:sz="12" w:space="0" w:color="000000"/>
              <w:right w:val="dotted" w:sz="4" w:space="0" w:color="000000"/>
            </w:tcBorders>
          </w:tcPr>
          <w:p>
            <w:pP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12,595,200.00</w:t>
            </w:r>
          </w:p>
        </w:tc>
        <w:tc>
          <w:tcPr>
            <w:tcW w:w="797"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491"/>
        <w:gridCol w:w="1258"/>
        <w:gridCol w:w="1080"/>
        <w:gridCol w:w="1104"/>
        <w:gridCol w:w="1258"/>
        <w:gridCol w:w="797"/>
        <w:gridCol w:w="790"/>
      </w:tblGrid>
      <w:tr>
        <w:trPr>
          <w:trHeight w:val="821" w:hRule="exact"/>
        </w:trPr>
        <w:tc>
          <w:tcPr>
            <w:tcW w:w="149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427"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0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283" w:right="0"/>
              <w:jc w:val="left"/>
              <w:rPr>
                <w:rFonts w:ascii="宋体" w:hAnsi="宋体" w:cs="宋体" w:eastAsia="宋体" w:hint="default"/>
                <w:sz w:val="13"/>
                <w:szCs w:val="13"/>
              </w:rPr>
            </w:pPr>
            <w:r>
              <w:rPr>
                <w:rFonts w:ascii="宋体" w:hAnsi="宋体" w:cs="宋体" w:eastAsia="宋体" w:hint="default"/>
                <w:sz w:val="13"/>
                <w:szCs w:val="13"/>
              </w:rPr>
              <w:t>本期减少</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797" w:type="dxa"/>
            <w:tcBorders>
              <w:top w:val="single" w:sz="12" w:space="0" w:color="000000"/>
              <w:left w:val="dotted" w:sz="4" w:space="0" w:color="000000"/>
              <w:bottom w:val="dotted" w:sz="4" w:space="0" w:color="000000"/>
              <w:right w:val="dotted" w:sz="4" w:space="0" w:color="000000"/>
            </w:tcBorders>
          </w:tcPr>
          <w:p>
            <w:pPr>
              <w:pStyle w:val="TableParagraph"/>
              <w:spacing w:line="350" w:lineRule="atLeast" w:before="28"/>
              <w:ind w:left="132" w:right="135"/>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790" w:type="dxa"/>
            <w:tcBorders>
              <w:top w:val="single" w:sz="12" w:space="0" w:color="000000"/>
              <w:left w:val="dotted" w:sz="4" w:space="0" w:color="000000"/>
              <w:bottom w:val="dotted" w:sz="4" w:space="0" w:color="000000"/>
              <w:right w:val="nil" w:sz="6" w:space="0" w:color="auto"/>
            </w:tcBorders>
          </w:tcPr>
          <w:p>
            <w:pPr>
              <w:pStyle w:val="TableParagraph"/>
              <w:spacing w:line="350" w:lineRule="atLeast" w:before="28"/>
              <w:ind w:left="127" w:right="137"/>
              <w:jc w:val="left"/>
              <w:rPr>
                <w:rFonts w:ascii="宋体" w:hAnsi="宋体" w:cs="宋体" w:eastAsia="宋体" w:hint="default"/>
                <w:sz w:val="13"/>
                <w:szCs w:val="13"/>
              </w:rPr>
            </w:pPr>
            <w:r>
              <w:rPr>
                <w:rFonts w:ascii="宋体" w:hAnsi="宋体" w:cs="宋体" w:eastAsia="宋体" w:hint="default"/>
                <w:sz w:val="13"/>
                <w:szCs w:val="13"/>
              </w:rPr>
              <w:t>减值准备</w:t>
            </w:r>
            <w:r>
              <w:rPr>
                <w:rFonts w:ascii="宋体" w:hAnsi="宋体" w:cs="宋体" w:eastAsia="宋体" w:hint="default"/>
                <w:w w:val="99"/>
                <w:sz w:val="13"/>
                <w:szCs w:val="13"/>
              </w:rPr>
              <w:t> </w:t>
            </w:r>
            <w:r>
              <w:rPr>
                <w:rFonts w:ascii="宋体" w:hAnsi="宋体" w:cs="宋体" w:eastAsia="宋体" w:hint="default"/>
                <w:sz w:val="13"/>
                <w:szCs w:val="13"/>
              </w:rPr>
              <w:t>期末余额</w:t>
            </w:r>
          </w:p>
        </w:tc>
      </w:tr>
      <w:tr>
        <w:trPr>
          <w:trHeight w:val="410"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25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深圳市成业冷冻有限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深圳市福田农产品批</w:t>
            </w:r>
            <w:r>
              <w:rPr>
                <w:rFonts w:ascii="宋体" w:hAnsi="宋体" w:cs="宋体" w:eastAsia="宋体" w:hint="default"/>
                <w:w w:val="99"/>
                <w:sz w:val="13"/>
                <w:szCs w:val="13"/>
              </w:rPr>
              <w:t> </w:t>
            </w:r>
            <w:r>
              <w:rPr>
                <w:rFonts w:ascii="宋体" w:hAnsi="宋体" w:cs="宋体" w:eastAsia="宋体" w:hint="default"/>
                <w:sz w:val="13"/>
                <w:szCs w:val="13"/>
              </w:rPr>
              <w:t>发市场有限公司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107,054,950.00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107,054,950.00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深圳市果菜贸易公司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113,334,433.95</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113,334,433.95</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117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深圳市海吉星国际农</w:t>
            </w:r>
          </w:p>
          <w:p>
            <w:pPr>
              <w:pStyle w:val="TableParagraph"/>
              <w:spacing w:line="350" w:lineRule="atLeast" w:before="12"/>
              <w:ind w:left="122" w:right="193"/>
              <w:jc w:val="left"/>
              <w:rPr>
                <w:rFonts w:ascii="宋体" w:hAnsi="宋体" w:cs="宋体" w:eastAsia="宋体" w:hint="default"/>
                <w:sz w:val="13"/>
                <w:szCs w:val="13"/>
              </w:rPr>
            </w:pPr>
            <w:r>
              <w:rPr>
                <w:rFonts w:ascii="宋体" w:hAnsi="宋体" w:cs="宋体" w:eastAsia="宋体" w:hint="default"/>
                <w:sz w:val="13"/>
                <w:szCs w:val="13"/>
              </w:rPr>
              <w:t>产品物流管理有限公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深圳市海吉星国际食</w:t>
            </w:r>
            <w:r>
              <w:rPr>
                <w:rFonts w:ascii="宋体" w:hAnsi="宋体" w:cs="宋体" w:eastAsia="宋体" w:hint="default"/>
                <w:w w:val="99"/>
                <w:sz w:val="13"/>
                <w:szCs w:val="13"/>
              </w:rPr>
              <w:t> </w:t>
            </w:r>
            <w:r>
              <w:rPr>
                <w:rFonts w:ascii="宋体" w:hAnsi="宋体" w:cs="宋体" w:eastAsia="宋体" w:hint="default"/>
                <w:sz w:val="13"/>
                <w:szCs w:val="13"/>
              </w:rPr>
              <w:t>品产业发展有限公司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深圳市海吉星投资管</w:t>
            </w:r>
            <w:r>
              <w:rPr>
                <w:rFonts w:ascii="宋体" w:hAnsi="宋体" w:cs="宋体" w:eastAsia="宋体" w:hint="default"/>
                <w:w w:val="99"/>
                <w:sz w:val="13"/>
                <w:szCs w:val="13"/>
              </w:rPr>
              <w:t> </w:t>
            </w:r>
            <w:r>
              <w:rPr>
                <w:rFonts w:ascii="宋体" w:hAnsi="宋体" w:cs="宋体" w:eastAsia="宋体" w:hint="default"/>
                <w:sz w:val="13"/>
                <w:szCs w:val="13"/>
              </w:rPr>
              <w:t>理股份有限公司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208,000,000.00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208,000,000.00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深圳市海吉星置地有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81,986,949.62</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81,986,949.62</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深圳市南方农产品物</w:t>
            </w:r>
            <w:r>
              <w:rPr>
                <w:rFonts w:ascii="宋体" w:hAnsi="宋体" w:cs="宋体" w:eastAsia="宋体" w:hint="default"/>
                <w:w w:val="99"/>
                <w:sz w:val="13"/>
                <w:szCs w:val="13"/>
              </w:rPr>
              <w:t> </w:t>
            </w:r>
            <w:r>
              <w:rPr>
                <w:rFonts w:ascii="宋体" w:hAnsi="宋体" w:cs="宋体" w:eastAsia="宋体" w:hint="default"/>
                <w:sz w:val="13"/>
                <w:szCs w:val="13"/>
              </w:rPr>
              <w:t>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25,500,000.00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25,500,000.00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深圳市南山农产品批</w:t>
            </w:r>
            <w:r>
              <w:rPr>
                <w:rFonts w:ascii="宋体" w:hAnsi="宋体" w:cs="宋体" w:eastAsia="宋体" w:hint="default"/>
                <w:w w:val="99"/>
                <w:sz w:val="13"/>
                <w:szCs w:val="13"/>
              </w:rPr>
              <w:t> </w:t>
            </w:r>
            <w:r>
              <w:rPr>
                <w:rFonts w:ascii="宋体" w:hAnsi="宋体" w:cs="宋体" w:eastAsia="宋体" w:hint="default"/>
                <w:sz w:val="13"/>
                <w:szCs w:val="13"/>
              </w:rPr>
              <w:t>发配送有限公司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51,286,400.00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51,286,400.00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深圳市农产品小额贷</w:t>
            </w:r>
            <w:r>
              <w:rPr>
                <w:rFonts w:ascii="宋体" w:hAnsi="宋体" w:cs="宋体" w:eastAsia="宋体" w:hint="default"/>
                <w:w w:val="99"/>
                <w:sz w:val="13"/>
                <w:szCs w:val="13"/>
              </w:rPr>
              <w:t> </w:t>
            </w:r>
            <w:r>
              <w:rPr>
                <w:rFonts w:ascii="宋体" w:hAnsi="宋体" w:cs="宋体" w:eastAsia="宋体" w:hint="default"/>
                <w:sz w:val="13"/>
                <w:szCs w:val="13"/>
              </w:rPr>
              <w:t>款有限公司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40,000,000.00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z w:val="13"/>
              </w:rPr>
              <w:t>40,000,000.00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深圳市农产品运输服</w:t>
            </w:r>
            <w:r>
              <w:rPr>
                <w:rFonts w:ascii="宋体" w:hAnsi="宋体" w:cs="宋体" w:eastAsia="宋体" w:hint="default"/>
                <w:w w:val="99"/>
                <w:sz w:val="13"/>
                <w:szCs w:val="13"/>
              </w:rPr>
              <w:t> </w:t>
            </w:r>
            <w:r>
              <w:rPr>
                <w:rFonts w:ascii="宋体" w:hAnsi="宋体" w:cs="宋体" w:eastAsia="宋体" w:hint="default"/>
                <w:sz w:val="13"/>
                <w:szCs w:val="13"/>
              </w:rPr>
              <w:t>务有限公司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8,650,000.00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8,650,000.00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深圳市星联国际供应</w:t>
            </w:r>
            <w:r>
              <w:rPr>
                <w:rFonts w:ascii="宋体" w:hAnsi="宋体" w:cs="宋体" w:eastAsia="宋体" w:hint="default"/>
                <w:w w:val="99"/>
                <w:sz w:val="13"/>
                <w:szCs w:val="13"/>
              </w:rPr>
              <w:t> </w:t>
            </w:r>
            <w:r>
              <w:rPr>
                <w:rFonts w:ascii="宋体" w:hAnsi="宋体" w:cs="宋体" w:eastAsia="宋体" w:hint="default"/>
                <w:sz w:val="13"/>
                <w:szCs w:val="13"/>
              </w:rPr>
              <w:t>链管理有限公司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19,800,000.00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19,800,000.00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沈阳海吉星农产品物</w:t>
            </w:r>
            <w:r>
              <w:rPr>
                <w:rFonts w:ascii="宋体" w:hAnsi="宋体" w:cs="宋体" w:eastAsia="宋体" w:hint="default"/>
                <w:w w:val="99"/>
                <w:sz w:val="13"/>
                <w:szCs w:val="13"/>
              </w:rPr>
              <w:t> </w:t>
            </w:r>
            <w:r>
              <w:rPr>
                <w:rFonts w:ascii="宋体" w:hAnsi="宋体" w:cs="宋体" w:eastAsia="宋体" w:hint="default"/>
                <w:sz w:val="13"/>
                <w:szCs w:val="13"/>
              </w:rPr>
              <w:t>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121,477,400.00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121,477,400.00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天津海吉星农产品物</w:t>
            </w:r>
            <w:r>
              <w:rPr>
                <w:rFonts w:ascii="宋体" w:hAnsi="宋体" w:cs="宋体" w:eastAsia="宋体" w:hint="default"/>
                <w:w w:val="99"/>
                <w:sz w:val="13"/>
                <w:szCs w:val="13"/>
              </w:rPr>
              <w:t> </w:t>
            </w:r>
            <w:r>
              <w:rPr>
                <w:rFonts w:ascii="宋体" w:hAnsi="宋体" w:cs="宋体" w:eastAsia="宋体" w:hint="default"/>
                <w:sz w:val="13"/>
                <w:szCs w:val="13"/>
              </w:rPr>
              <w:t>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1,069,086,161.73</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1,069,086,161.73</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天津韩家墅海吉星农</w:t>
            </w:r>
            <w:r>
              <w:rPr>
                <w:rFonts w:ascii="宋体" w:hAnsi="宋体" w:cs="宋体" w:eastAsia="宋体" w:hint="default"/>
                <w:w w:val="99"/>
                <w:sz w:val="13"/>
                <w:szCs w:val="13"/>
              </w:rPr>
              <w:t> </w:t>
            </w:r>
            <w:r>
              <w:rPr>
                <w:rFonts w:ascii="宋体" w:hAnsi="宋体" w:cs="宋体" w:eastAsia="宋体" w:hint="default"/>
                <w:sz w:val="13"/>
                <w:szCs w:val="13"/>
              </w:rPr>
              <w:t>产品物流有限公司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102,000,000.00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102,000,000.00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49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9"/>
              <w:ind w:left="122" w:right="0"/>
              <w:jc w:val="left"/>
              <w:rPr>
                <w:rFonts w:ascii="宋体" w:hAnsi="宋体" w:cs="宋体" w:eastAsia="宋体" w:hint="default"/>
                <w:sz w:val="13"/>
                <w:szCs w:val="13"/>
              </w:rPr>
            </w:pPr>
            <w:r>
              <w:rPr>
                <w:rFonts w:ascii="宋体" w:hAnsi="宋体" w:cs="宋体" w:eastAsia="宋体" w:hint="default"/>
                <w:sz w:val="13"/>
                <w:szCs w:val="13"/>
              </w:rPr>
              <w:t>西安摩尔农产品股份</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99"/>
              <w:jc w:val="right"/>
              <w:rPr>
                <w:rFonts w:ascii="Times New Roman" w:hAnsi="Times New Roman" w:cs="Times New Roman" w:eastAsia="Times New Roman" w:hint="default"/>
                <w:sz w:val="13"/>
                <w:szCs w:val="13"/>
              </w:rPr>
            </w:pPr>
            <w:r>
              <w:rPr>
                <w:rFonts w:ascii="Times New Roman"/>
                <w:spacing w:val="-1"/>
                <w:sz w:val="13"/>
              </w:rPr>
              <w:t>11,892,038.00</w:t>
            </w:r>
          </w:p>
        </w:tc>
        <w:tc>
          <w:tcPr>
            <w:tcW w:w="1080" w:type="dxa"/>
            <w:tcBorders>
              <w:top w:val="dotted" w:sz="4" w:space="0" w:color="000000"/>
              <w:left w:val="dotted" w:sz="4" w:space="0" w:color="000000"/>
              <w:bottom w:val="single" w:sz="12" w:space="0" w:color="000000"/>
              <w:right w:val="dotted" w:sz="4" w:space="0" w:color="000000"/>
            </w:tcBorders>
          </w:tcPr>
          <w:p>
            <w:pPr/>
          </w:p>
        </w:tc>
        <w:tc>
          <w:tcPr>
            <w:tcW w:w="1104" w:type="dxa"/>
            <w:tcBorders>
              <w:top w:val="dotted" w:sz="4" w:space="0" w:color="000000"/>
              <w:left w:val="dotted" w:sz="4" w:space="0" w:color="000000"/>
              <w:bottom w:val="single" w:sz="12" w:space="0" w:color="000000"/>
              <w:right w:val="dotted" w:sz="4" w:space="0" w:color="000000"/>
            </w:tcBorders>
          </w:tcPr>
          <w:p>
            <w:pP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8"/>
              <w:ind w:right="99"/>
              <w:jc w:val="right"/>
              <w:rPr>
                <w:rFonts w:ascii="Times New Roman" w:hAnsi="Times New Roman" w:cs="Times New Roman" w:eastAsia="Times New Roman" w:hint="default"/>
                <w:sz w:val="13"/>
                <w:szCs w:val="13"/>
              </w:rPr>
            </w:pPr>
            <w:r>
              <w:rPr>
                <w:rFonts w:ascii="Times New Roman"/>
                <w:spacing w:val="-1"/>
                <w:sz w:val="13"/>
              </w:rPr>
              <w:t>11,892,038.00</w:t>
            </w:r>
          </w:p>
        </w:tc>
        <w:tc>
          <w:tcPr>
            <w:tcW w:w="797"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491"/>
        <w:gridCol w:w="1258"/>
        <w:gridCol w:w="1080"/>
        <w:gridCol w:w="1104"/>
        <w:gridCol w:w="1258"/>
        <w:gridCol w:w="797"/>
        <w:gridCol w:w="790"/>
      </w:tblGrid>
      <w:tr>
        <w:trPr>
          <w:trHeight w:val="821" w:hRule="exact"/>
        </w:trPr>
        <w:tc>
          <w:tcPr>
            <w:tcW w:w="149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427"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0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283" w:right="0"/>
              <w:jc w:val="left"/>
              <w:rPr>
                <w:rFonts w:ascii="宋体" w:hAnsi="宋体" w:cs="宋体" w:eastAsia="宋体" w:hint="default"/>
                <w:sz w:val="13"/>
                <w:szCs w:val="13"/>
              </w:rPr>
            </w:pPr>
            <w:r>
              <w:rPr>
                <w:rFonts w:ascii="宋体" w:hAnsi="宋体" w:cs="宋体" w:eastAsia="宋体" w:hint="default"/>
                <w:sz w:val="13"/>
                <w:szCs w:val="13"/>
              </w:rPr>
              <w:t>本期减少</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797" w:type="dxa"/>
            <w:tcBorders>
              <w:top w:val="single" w:sz="12" w:space="0" w:color="000000"/>
              <w:left w:val="dotted" w:sz="4" w:space="0" w:color="000000"/>
              <w:bottom w:val="dotted" w:sz="4" w:space="0" w:color="000000"/>
              <w:right w:val="dotted" w:sz="4" w:space="0" w:color="000000"/>
            </w:tcBorders>
          </w:tcPr>
          <w:p>
            <w:pPr>
              <w:pStyle w:val="TableParagraph"/>
              <w:spacing w:line="350" w:lineRule="atLeast" w:before="28"/>
              <w:ind w:left="132" w:right="135"/>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790" w:type="dxa"/>
            <w:tcBorders>
              <w:top w:val="single" w:sz="12" w:space="0" w:color="000000"/>
              <w:left w:val="dotted" w:sz="4" w:space="0" w:color="000000"/>
              <w:bottom w:val="dotted" w:sz="4" w:space="0" w:color="000000"/>
              <w:right w:val="nil" w:sz="6" w:space="0" w:color="auto"/>
            </w:tcBorders>
          </w:tcPr>
          <w:p>
            <w:pPr>
              <w:pStyle w:val="TableParagraph"/>
              <w:spacing w:line="350" w:lineRule="atLeast" w:before="28"/>
              <w:ind w:left="127" w:right="137"/>
              <w:jc w:val="left"/>
              <w:rPr>
                <w:rFonts w:ascii="宋体" w:hAnsi="宋体" w:cs="宋体" w:eastAsia="宋体" w:hint="default"/>
                <w:sz w:val="13"/>
                <w:szCs w:val="13"/>
              </w:rPr>
            </w:pPr>
            <w:r>
              <w:rPr>
                <w:rFonts w:ascii="宋体" w:hAnsi="宋体" w:cs="宋体" w:eastAsia="宋体" w:hint="default"/>
                <w:sz w:val="13"/>
                <w:szCs w:val="13"/>
              </w:rPr>
              <w:t>减值准备</w:t>
            </w:r>
            <w:r>
              <w:rPr>
                <w:rFonts w:ascii="宋体" w:hAnsi="宋体" w:cs="宋体" w:eastAsia="宋体" w:hint="default"/>
                <w:w w:val="99"/>
                <w:sz w:val="13"/>
                <w:szCs w:val="13"/>
              </w:rPr>
              <w:t> </w:t>
            </w:r>
            <w:r>
              <w:rPr>
                <w:rFonts w:ascii="宋体" w:hAnsi="宋体" w:cs="宋体" w:eastAsia="宋体" w:hint="default"/>
                <w:sz w:val="13"/>
                <w:szCs w:val="13"/>
              </w:rPr>
              <w:t>期末余额</w:t>
            </w:r>
          </w:p>
        </w:tc>
      </w:tr>
      <w:tr>
        <w:trPr>
          <w:trHeight w:val="410"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25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云南东盟国际农产品</w:t>
            </w:r>
            <w:r>
              <w:rPr>
                <w:rFonts w:ascii="宋体" w:hAnsi="宋体" w:cs="宋体" w:eastAsia="宋体" w:hint="default"/>
                <w:w w:val="99"/>
                <w:sz w:val="13"/>
                <w:szCs w:val="13"/>
              </w:rPr>
              <w:t> </w:t>
            </w:r>
            <w:r>
              <w:rPr>
                <w:rFonts w:ascii="宋体" w:hAnsi="宋体" w:cs="宋体" w:eastAsia="宋体" w:hint="default"/>
                <w:sz w:val="13"/>
                <w:szCs w:val="13"/>
              </w:rPr>
              <w:t>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长春海吉星农产品物</w:t>
            </w:r>
            <w:r>
              <w:rPr>
                <w:rFonts w:ascii="宋体" w:hAnsi="宋体" w:cs="宋体" w:eastAsia="宋体" w:hint="default"/>
                <w:w w:val="99"/>
                <w:sz w:val="13"/>
                <w:szCs w:val="13"/>
              </w:rPr>
              <w:t> </w:t>
            </w:r>
            <w:r>
              <w:rPr>
                <w:rFonts w:ascii="宋体" w:hAnsi="宋体" w:cs="宋体" w:eastAsia="宋体" w:hint="default"/>
                <w:sz w:val="13"/>
                <w:szCs w:val="13"/>
              </w:rPr>
              <w:t>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234,600,000.00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234,600,000.00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长沙马王堆农产品股</w:t>
            </w:r>
            <w:r>
              <w:rPr>
                <w:rFonts w:ascii="宋体" w:hAnsi="宋体" w:cs="宋体" w:eastAsia="宋体" w:hint="default"/>
                <w:w w:val="99"/>
                <w:sz w:val="13"/>
                <w:szCs w:val="13"/>
              </w:rPr>
              <w:t> </w:t>
            </w:r>
            <w:r>
              <w:rPr>
                <w:rFonts w:ascii="宋体" w:hAnsi="宋体" w:cs="宋体" w:eastAsia="宋体" w:hint="default"/>
                <w:sz w:val="13"/>
                <w:szCs w:val="13"/>
              </w:rPr>
              <w:t>份有限公司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105,960,000.00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105,960,000.00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武汉东海吉星农产品</w:t>
            </w:r>
            <w:r>
              <w:rPr>
                <w:rFonts w:ascii="宋体" w:hAnsi="宋体" w:cs="宋体" w:eastAsia="宋体" w:hint="default"/>
                <w:w w:val="99"/>
                <w:sz w:val="13"/>
                <w:szCs w:val="13"/>
              </w:rPr>
              <w:t> </w:t>
            </w:r>
            <w:r>
              <w:rPr>
                <w:rFonts w:ascii="宋体" w:hAnsi="宋体" w:cs="宋体" w:eastAsia="宋体" w:hint="default"/>
                <w:sz w:val="13"/>
                <w:szCs w:val="13"/>
              </w:rPr>
              <w:t>物流管理有限公司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35,000,000.00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35,000,000.00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深圳前海农迈天下电</w:t>
            </w:r>
            <w:r>
              <w:rPr>
                <w:rFonts w:ascii="宋体" w:hAnsi="宋体" w:cs="宋体" w:eastAsia="宋体" w:hint="default"/>
                <w:w w:val="99"/>
                <w:sz w:val="13"/>
                <w:szCs w:val="13"/>
              </w:rPr>
              <w:t> </w:t>
            </w:r>
            <w:r>
              <w:rPr>
                <w:rFonts w:ascii="宋体" w:hAnsi="宋体" w:cs="宋体" w:eastAsia="宋体" w:hint="default"/>
                <w:sz w:val="13"/>
                <w:szCs w:val="13"/>
              </w:rPr>
              <w:t>子商务有限公司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11,000,000.00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47" w:right="0"/>
              <w:jc w:val="left"/>
              <w:rPr>
                <w:rFonts w:ascii="Times New Roman" w:hAnsi="Times New Roman" w:cs="Times New Roman" w:eastAsia="Times New Roman" w:hint="default"/>
                <w:sz w:val="13"/>
                <w:szCs w:val="13"/>
              </w:rPr>
            </w:pPr>
            <w:r>
              <w:rPr>
                <w:rFonts w:ascii="Times New Roman"/>
                <w:sz w:val="13"/>
              </w:rPr>
              <w:t>11,000,000.00</w:t>
            </w:r>
          </w:p>
        </w:tc>
        <w:tc>
          <w:tcPr>
            <w:tcW w:w="1258"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济南海吉星国际农产</w:t>
            </w:r>
            <w:r>
              <w:rPr>
                <w:rFonts w:ascii="宋体" w:hAnsi="宋体" w:cs="宋体" w:eastAsia="宋体" w:hint="default"/>
                <w:w w:val="99"/>
                <w:sz w:val="13"/>
                <w:szCs w:val="13"/>
              </w:rPr>
              <w:t> </w:t>
            </w:r>
            <w:r>
              <w:rPr>
                <w:rFonts w:ascii="宋体" w:hAnsi="宋体" w:cs="宋体" w:eastAsia="宋体" w:hint="default"/>
                <w:sz w:val="13"/>
                <w:szCs w:val="13"/>
              </w:rPr>
              <w:t>品物流发展有限公司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12,000,000.00</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283" w:right="0"/>
              <w:jc w:val="left"/>
              <w:rPr>
                <w:rFonts w:ascii="Times New Roman" w:hAnsi="Times New Roman" w:cs="Times New Roman" w:eastAsia="Times New Roman" w:hint="default"/>
                <w:sz w:val="13"/>
                <w:szCs w:val="13"/>
              </w:rPr>
            </w:pPr>
            <w:r>
              <w:rPr>
                <w:rFonts w:ascii="Times New Roman"/>
                <w:sz w:val="13"/>
              </w:rPr>
              <w:t>3,000,000.00</w:t>
            </w: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岳阳海吉星国际农产</w:t>
            </w:r>
            <w:r>
              <w:rPr>
                <w:rFonts w:ascii="宋体" w:hAnsi="宋体" w:cs="宋体" w:eastAsia="宋体" w:hint="default"/>
                <w:w w:val="99"/>
                <w:sz w:val="13"/>
                <w:szCs w:val="13"/>
              </w:rPr>
              <w:t> </w:t>
            </w:r>
            <w:r>
              <w:rPr>
                <w:rFonts w:ascii="宋体" w:hAnsi="宋体" w:cs="宋体" w:eastAsia="宋体" w:hint="default"/>
                <w:sz w:val="13"/>
                <w:szCs w:val="13"/>
              </w:rPr>
              <w:t>品物流发展有限公司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烟台海吉星国际农产</w:t>
            </w:r>
            <w:r>
              <w:rPr>
                <w:rFonts w:ascii="宋体" w:hAnsi="宋体" w:cs="宋体" w:eastAsia="宋体" w:hint="default"/>
                <w:w w:val="99"/>
                <w:sz w:val="13"/>
                <w:szCs w:val="13"/>
              </w:rPr>
              <w:t> </w:t>
            </w:r>
            <w:r>
              <w:rPr>
                <w:rFonts w:ascii="宋体" w:hAnsi="宋体" w:cs="宋体" w:eastAsia="宋体" w:hint="default"/>
                <w:sz w:val="13"/>
                <w:szCs w:val="13"/>
              </w:rPr>
              <w:t>品冷链物流有限公司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10,200,000.00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10,200,000.00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福建海吉星国际农产</w:t>
            </w:r>
            <w:r>
              <w:rPr>
                <w:rFonts w:ascii="宋体" w:hAnsi="宋体" w:cs="宋体" w:eastAsia="宋体" w:hint="default"/>
                <w:w w:val="99"/>
                <w:sz w:val="13"/>
                <w:szCs w:val="13"/>
              </w:rPr>
              <w:t> </w:t>
            </w:r>
            <w:r>
              <w:rPr>
                <w:rFonts w:ascii="宋体" w:hAnsi="宋体" w:cs="宋体" w:eastAsia="宋体" w:hint="default"/>
                <w:sz w:val="13"/>
                <w:szCs w:val="13"/>
              </w:rPr>
              <w:t>品物流发展有限公司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z w:val="13"/>
              </w:rPr>
              <w:t>2,000,000.00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上海泽善电子商务有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上海农产品中心批发</w:t>
            </w:r>
          </w:p>
          <w:p>
            <w:pPr>
              <w:pStyle w:val="TableParagraph"/>
              <w:spacing w:line="350" w:lineRule="atLeast" w:before="12"/>
              <w:ind w:left="122" w:right="193"/>
              <w:jc w:val="left"/>
              <w:rPr>
                <w:rFonts w:ascii="宋体" w:hAnsi="宋体" w:cs="宋体" w:eastAsia="宋体" w:hint="default"/>
                <w:sz w:val="13"/>
                <w:szCs w:val="13"/>
              </w:rPr>
            </w:pPr>
            <w:r>
              <w:rPr>
                <w:rFonts w:ascii="宋体" w:hAnsi="宋体" w:cs="宋体" w:eastAsia="宋体" w:hint="default"/>
                <w:sz w:val="13"/>
                <w:szCs w:val="13"/>
              </w:rPr>
              <w:t>市场经营管理有限公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184,707,629.63</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184,707,629.63</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深圳市大白菜科技有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30,000,000.00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30,000,000.00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深圳市海吉星市场管</w:t>
            </w:r>
            <w:r>
              <w:rPr>
                <w:rFonts w:ascii="宋体" w:hAnsi="宋体" w:cs="宋体" w:eastAsia="宋体" w:hint="default"/>
                <w:w w:val="99"/>
                <w:sz w:val="13"/>
                <w:szCs w:val="13"/>
              </w:rPr>
              <w:t> </w:t>
            </w:r>
            <w:r>
              <w:rPr>
                <w:rFonts w:ascii="宋体" w:hAnsi="宋体" w:cs="宋体" w:eastAsia="宋体" w:hint="default"/>
                <w:sz w:val="13"/>
                <w:szCs w:val="13"/>
              </w:rPr>
              <w:t>理有限公司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广西海吉星商业管理</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2,040,000.00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2,040,000.00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491"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安庆海吉星农产品物</w:t>
            </w:r>
            <w:r>
              <w:rPr>
                <w:rFonts w:ascii="宋体" w:hAnsi="宋体" w:cs="宋体" w:eastAsia="宋体" w:hint="default"/>
                <w:w w:val="99"/>
                <w:sz w:val="13"/>
                <w:szCs w:val="13"/>
              </w:rPr>
              <w:t> </w:t>
            </w:r>
            <w:r>
              <w:rPr>
                <w:rFonts w:ascii="宋体" w:hAnsi="宋体" w:cs="宋体" w:eastAsia="宋体" w:hint="default"/>
                <w:sz w:val="13"/>
                <w:szCs w:val="13"/>
              </w:rPr>
              <w:t>流园有限公司</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80,000,000.00</w:t>
            </w:r>
          </w:p>
        </w:tc>
        <w:tc>
          <w:tcPr>
            <w:tcW w:w="1080" w:type="dxa"/>
            <w:tcBorders>
              <w:top w:val="dotted" w:sz="4" w:space="0" w:color="000000"/>
              <w:left w:val="dotted" w:sz="4" w:space="0" w:color="000000"/>
              <w:bottom w:val="single" w:sz="12" w:space="0" w:color="000000"/>
              <w:right w:val="dotted" w:sz="4" w:space="0" w:color="000000"/>
            </w:tcBorders>
          </w:tcPr>
          <w:p>
            <w:pPr/>
          </w:p>
        </w:tc>
        <w:tc>
          <w:tcPr>
            <w:tcW w:w="1104" w:type="dxa"/>
            <w:tcBorders>
              <w:top w:val="dotted" w:sz="4" w:space="0" w:color="000000"/>
              <w:left w:val="dotted" w:sz="4" w:space="0" w:color="000000"/>
              <w:bottom w:val="single" w:sz="12" w:space="0" w:color="000000"/>
              <w:right w:val="dotted" w:sz="4" w:space="0" w:color="000000"/>
            </w:tcBorders>
          </w:tcPr>
          <w:p>
            <w:pP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80,000,000.00</w:t>
            </w:r>
          </w:p>
        </w:tc>
        <w:tc>
          <w:tcPr>
            <w:tcW w:w="797"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1491"/>
        <w:gridCol w:w="1258"/>
        <w:gridCol w:w="1080"/>
        <w:gridCol w:w="1104"/>
        <w:gridCol w:w="1258"/>
        <w:gridCol w:w="797"/>
        <w:gridCol w:w="790"/>
      </w:tblGrid>
      <w:tr>
        <w:trPr>
          <w:trHeight w:val="821" w:hRule="exact"/>
        </w:trPr>
        <w:tc>
          <w:tcPr>
            <w:tcW w:w="149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0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283" w:right="0"/>
              <w:jc w:val="left"/>
              <w:rPr>
                <w:rFonts w:ascii="宋体" w:hAnsi="宋体" w:cs="宋体" w:eastAsia="宋体" w:hint="default"/>
                <w:sz w:val="13"/>
                <w:szCs w:val="13"/>
              </w:rPr>
            </w:pPr>
            <w:r>
              <w:rPr>
                <w:rFonts w:ascii="宋体" w:hAnsi="宋体" w:cs="宋体" w:eastAsia="宋体" w:hint="default"/>
                <w:sz w:val="13"/>
                <w:szCs w:val="13"/>
              </w:rPr>
              <w:t>本期减少</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797" w:type="dxa"/>
            <w:tcBorders>
              <w:top w:val="single" w:sz="12" w:space="0" w:color="000000"/>
              <w:left w:val="dotted" w:sz="4" w:space="0" w:color="000000"/>
              <w:bottom w:val="dotted" w:sz="4" w:space="0" w:color="000000"/>
              <w:right w:val="dotted" w:sz="4" w:space="0" w:color="000000"/>
            </w:tcBorders>
          </w:tcPr>
          <w:p>
            <w:pPr>
              <w:pStyle w:val="TableParagraph"/>
              <w:spacing w:line="350" w:lineRule="atLeast" w:before="28"/>
              <w:ind w:left="132" w:right="135"/>
              <w:jc w:val="left"/>
              <w:rPr>
                <w:rFonts w:ascii="宋体" w:hAnsi="宋体" w:cs="宋体" w:eastAsia="宋体" w:hint="default"/>
                <w:sz w:val="13"/>
                <w:szCs w:val="13"/>
              </w:rPr>
            </w:pPr>
            <w:r>
              <w:rPr>
                <w:rFonts w:ascii="宋体" w:hAnsi="宋体" w:cs="宋体" w:eastAsia="宋体" w:hint="default"/>
                <w:sz w:val="13"/>
                <w:szCs w:val="13"/>
              </w:rPr>
              <w:t>本期计提</w:t>
            </w:r>
            <w:r>
              <w:rPr>
                <w:rFonts w:ascii="宋体" w:hAnsi="宋体" w:cs="宋体" w:eastAsia="宋体" w:hint="default"/>
                <w:w w:val="99"/>
                <w:sz w:val="13"/>
                <w:szCs w:val="13"/>
              </w:rPr>
              <w:t> </w:t>
            </w:r>
            <w:r>
              <w:rPr>
                <w:rFonts w:ascii="宋体" w:hAnsi="宋体" w:cs="宋体" w:eastAsia="宋体" w:hint="default"/>
                <w:sz w:val="13"/>
                <w:szCs w:val="13"/>
              </w:rPr>
              <w:t>减值准备</w:t>
            </w:r>
          </w:p>
        </w:tc>
        <w:tc>
          <w:tcPr>
            <w:tcW w:w="790" w:type="dxa"/>
            <w:tcBorders>
              <w:top w:val="single" w:sz="12" w:space="0" w:color="000000"/>
              <w:left w:val="dotted" w:sz="4" w:space="0" w:color="000000"/>
              <w:bottom w:val="dotted" w:sz="4" w:space="0" w:color="000000"/>
              <w:right w:val="nil" w:sz="6" w:space="0" w:color="auto"/>
            </w:tcBorders>
          </w:tcPr>
          <w:p>
            <w:pPr>
              <w:pStyle w:val="TableParagraph"/>
              <w:spacing w:line="350" w:lineRule="atLeast" w:before="28"/>
              <w:ind w:left="127" w:right="137"/>
              <w:jc w:val="left"/>
              <w:rPr>
                <w:rFonts w:ascii="宋体" w:hAnsi="宋体" w:cs="宋体" w:eastAsia="宋体" w:hint="default"/>
                <w:sz w:val="13"/>
                <w:szCs w:val="13"/>
              </w:rPr>
            </w:pPr>
            <w:r>
              <w:rPr>
                <w:rFonts w:ascii="宋体" w:hAnsi="宋体" w:cs="宋体" w:eastAsia="宋体" w:hint="default"/>
                <w:sz w:val="13"/>
                <w:szCs w:val="13"/>
              </w:rPr>
              <w:t>减值准备</w:t>
            </w:r>
            <w:r>
              <w:rPr>
                <w:rFonts w:ascii="宋体" w:hAnsi="宋体" w:cs="宋体" w:eastAsia="宋体" w:hint="default"/>
                <w:w w:val="99"/>
                <w:sz w:val="13"/>
                <w:szCs w:val="13"/>
              </w:rPr>
              <w:t> </w:t>
            </w:r>
            <w:r>
              <w:rPr>
                <w:rFonts w:ascii="宋体" w:hAnsi="宋体" w:cs="宋体" w:eastAsia="宋体" w:hint="default"/>
                <w:sz w:val="13"/>
                <w:szCs w:val="13"/>
              </w:rPr>
              <w:t>期末余额</w:t>
            </w:r>
          </w:p>
        </w:tc>
      </w:tr>
      <w:tr>
        <w:trPr>
          <w:trHeight w:val="809" w:hRule="exact"/>
        </w:trPr>
        <w:tc>
          <w:tcPr>
            <w:tcW w:w="1491"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93"/>
              <w:jc w:val="left"/>
              <w:rPr>
                <w:rFonts w:ascii="宋体" w:hAnsi="宋体" w:cs="宋体" w:eastAsia="宋体" w:hint="default"/>
                <w:sz w:val="13"/>
                <w:szCs w:val="13"/>
              </w:rPr>
            </w:pPr>
            <w:r>
              <w:rPr>
                <w:rFonts w:ascii="宋体" w:hAnsi="宋体" w:cs="宋体" w:eastAsia="宋体" w:hint="default"/>
                <w:sz w:val="13"/>
                <w:szCs w:val="13"/>
              </w:rPr>
              <w:t>青海海吉星国际农产</w:t>
            </w:r>
            <w:r>
              <w:rPr>
                <w:rFonts w:ascii="宋体" w:hAnsi="宋体" w:cs="宋体" w:eastAsia="宋体" w:hint="default"/>
                <w:w w:val="99"/>
                <w:sz w:val="13"/>
                <w:szCs w:val="13"/>
              </w:rPr>
              <w:t> </w:t>
            </w:r>
            <w:r>
              <w:rPr>
                <w:rFonts w:ascii="宋体" w:hAnsi="宋体" w:cs="宋体" w:eastAsia="宋体" w:hint="default"/>
                <w:sz w:val="13"/>
                <w:szCs w:val="13"/>
              </w:rPr>
              <w:t>品集配中心有限公司</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1080"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51,000,000.00</w:t>
            </w:r>
          </w:p>
        </w:tc>
        <w:tc>
          <w:tcPr>
            <w:tcW w:w="797"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49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3,939,163,370.67</w:t>
            </w: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left="218" w:right="0"/>
              <w:jc w:val="left"/>
              <w:rPr>
                <w:rFonts w:ascii="Times New Roman" w:hAnsi="Times New Roman" w:cs="Times New Roman" w:eastAsia="Times New Roman" w:hint="default"/>
                <w:sz w:val="13"/>
                <w:szCs w:val="13"/>
              </w:rPr>
            </w:pPr>
            <w:r>
              <w:rPr>
                <w:rFonts w:ascii="Times New Roman"/>
                <w:sz w:val="13"/>
              </w:rPr>
              <w:t>78,000,000.00</w:t>
            </w:r>
          </w:p>
        </w:tc>
        <w:tc>
          <w:tcPr>
            <w:tcW w:w="11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left="247" w:right="0"/>
              <w:jc w:val="left"/>
              <w:rPr>
                <w:rFonts w:ascii="Times New Roman" w:hAnsi="Times New Roman" w:cs="Times New Roman" w:eastAsia="Times New Roman" w:hint="default"/>
                <w:sz w:val="13"/>
                <w:szCs w:val="13"/>
              </w:rPr>
            </w:pPr>
            <w:r>
              <w:rPr>
                <w:rFonts w:ascii="Times New Roman"/>
                <w:sz w:val="13"/>
              </w:rPr>
              <w:t>11,000,000.00</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4,006,163,370.67</w:t>
            </w:r>
          </w:p>
        </w:tc>
        <w:tc>
          <w:tcPr>
            <w:tcW w:w="797"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6"/>
        <w:tabs>
          <w:tab w:pos="1400" w:val="left" w:leader="none"/>
        </w:tabs>
        <w:spacing w:line="240" w:lineRule="auto" w:before="121"/>
        <w:ind w:left="848" w:right="230"/>
        <w:jc w:val="left"/>
        <w:rPr>
          <w:b w:val="0"/>
          <w:bCs w:val="0"/>
        </w:rPr>
      </w:pPr>
      <w:r>
        <w:rPr>
          <w:rFonts w:ascii="Times New Roman" w:hAnsi="Times New Roman" w:cs="Times New Roman" w:eastAsia="Times New Roman" w:hint="default"/>
        </w:rPr>
        <w:t>2</w:t>
      </w:r>
      <w:r>
        <w:rPr/>
        <w:t>、</w:t>
        <w:tab/>
        <w:t>对联营、合营企业投资</w:t>
      </w:r>
      <w:r>
        <w:rPr>
          <w:b w:val="0"/>
          <w:bCs w:val="0"/>
        </w:rPr>
      </w:r>
    </w:p>
    <w:tbl>
      <w:tblPr>
        <w:tblW w:w="0" w:type="auto"/>
        <w:jc w:val="left"/>
        <w:tblInd w:w="853" w:type="dxa"/>
        <w:tblLayout w:type="fixed"/>
        <w:tblCellMar>
          <w:top w:w="0" w:type="dxa"/>
          <w:left w:w="0" w:type="dxa"/>
          <w:bottom w:w="0" w:type="dxa"/>
          <w:right w:w="0" w:type="dxa"/>
        </w:tblCellMar>
        <w:tblLook w:val="01E0"/>
      </w:tblPr>
      <w:tblGrid>
        <w:gridCol w:w="1670"/>
        <w:gridCol w:w="1265"/>
        <w:gridCol w:w="1118"/>
        <w:gridCol w:w="1039"/>
        <w:gridCol w:w="1260"/>
        <w:gridCol w:w="1039"/>
        <w:gridCol w:w="1155"/>
        <w:gridCol w:w="1130"/>
        <w:gridCol w:w="667"/>
        <w:gridCol w:w="1268"/>
        <w:gridCol w:w="917"/>
        <w:gridCol w:w="811"/>
      </w:tblGrid>
      <w:tr>
        <w:trPr>
          <w:trHeight w:val="461" w:hRule="exact"/>
        </w:trPr>
        <w:tc>
          <w:tcPr>
            <w:tcW w:w="16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465"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410"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1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436" w:lineRule="auto"/>
              <w:ind w:left="153" w:right="149"/>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439" w:lineRule="auto"/>
              <w:ind w:left="172" w:right="179"/>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811" w:hRule="exact"/>
        </w:trPr>
        <w:tc>
          <w:tcPr>
            <w:tcW w:w="167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360" w:lineRule="atLeast" w:before="16"/>
              <w:ind w:left="247" w:right="173"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360" w:lineRule="atLeast" w:before="16"/>
              <w:ind w:left="287" w:right="134"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360" w:lineRule="atLeast" w:before="16"/>
              <w:ind w:left="184" w:right="106"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vMerge/>
            <w:tcBorders>
              <w:left w:val="dotted" w:sz="4" w:space="0" w:color="000000"/>
              <w:bottom w:val="dotted" w:sz="4" w:space="0" w:color="000000"/>
              <w:right w:val="dotted" w:sz="4" w:space="0" w:color="000000"/>
            </w:tcBorders>
          </w:tcPr>
          <w:p>
            <w:pPr/>
          </w:p>
        </w:tc>
        <w:tc>
          <w:tcPr>
            <w:tcW w:w="91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4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．合营企业</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深圳市集贸市场有限</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27,100,623.15</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3,629,615.62</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3,134,008.84</w:t>
            </w: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27,596,229.93</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27,100,623.15</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3,629,615.62</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3,134,008.84</w:t>
            </w: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27,596,229.93</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．联营企业</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蚌埠海吉星农产品物</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93,863,961.18</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769,152.45</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94,633,113.63</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合肥周谷堆农产品批</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发市场股份有限公司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470,070,132.56</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77,227,862.50</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26,805,000.00</w:t>
            </w: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520,492,995.06</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深圳市农产品融资担</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保有限公司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72,558,512.82</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1,525,601.23</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12,000,000.00</w:t>
            </w: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62,084,114.05</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深圳市农产品基金管</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2,829,561.72</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305,454.82</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250,000.00</w:t>
            </w: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2,885,016.54</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670"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深圳市山河设计装饰</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工程有限公司</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287,150.49</w:t>
            </w:r>
          </w:p>
        </w:tc>
        <w:tc>
          <w:tcPr>
            <w:tcW w:w="1118" w:type="dxa"/>
            <w:tcBorders>
              <w:top w:val="dotted" w:sz="4" w:space="0" w:color="000000"/>
              <w:left w:val="dotted" w:sz="4" w:space="0" w:color="000000"/>
              <w:bottom w:val="single" w:sz="12" w:space="0" w:color="000000"/>
              <w:right w:val="dotted" w:sz="4" w:space="0" w:color="000000"/>
            </w:tcBorders>
          </w:tcPr>
          <w:p>
            <w:pPr/>
          </w:p>
        </w:tc>
        <w:tc>
          <w:tcPr>
            <w:tcW w:w="1039"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200,315.57</w:t>
            </w:r>
          </w:p>
        </w:tc>
        <w:tc>
          <w:tcPr>
            <w:tcW w:w="1039"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
        </w:tc>
        <w:tc>
          <w:tcPr>
            <w:tcW w:w="1130" w:type="dxa"/>
            <w:tcBorders>
              <w:top w:val="dotted" w:sz="4" w:space="0" w:color="000000"/>
              <w:left w:val="dotted" w:sz="4" w:space="0" w:color="000000"/>
              <w:bottom w:val="single" w:sz="12" w:space="0" w:color="000000"/>
              <w:right w:val="dotted" w:sz="4" w:space="0" w:color="000000"/>
            </w:tcBorders>
          </w:tcPr>
          <w:p>
            <w:pPr/>
          </w:p>
        </w:tc>
        <w:tc>
          <w:tcPr>
            <w:tcW w:w="667"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487,466.06</w:t>
            </w:r>
          </w:p>
        </w:tc>
        <w:tc>
          <w:tcPr>
            <w:tcW w:w="917" w:type="dxa"/>
            <w:tcBorders>
              <w:top w:val="dotted" w:sz="4" w:space="0" w:color="000000"/>
              <w:left w:val="dotted" w:sz="4" w:space="0" w:color="000000"/>
              <w:bottom w:val="single" w:sz="12" w:space="0" w:color="000000"/>
              <w:right w:val="dotted" w:sz="4" w:space="0" w:color="000000"/>
            </w:tcBorders>
          </w:tcPr>
          <w:p>
            <w:pP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137"/>
          <w:footerReference w:type="default" r:id="rId138"/>
          <w:pgSz w:w="16840" w:h="11910" w:orient="landscape"/>
          <w:pgMar w:header="774" w:footer="997" w:top="1000" w:bottom="1180" w:left="1300" w:right="1200"/>
          <w:pgNumType w:start="14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853" w:type="dxa"/>
        <w:tblLayout w:type="fixed"/>
        <w:tblCellMar>
          <w:top w:w="0" w:type="dxa"/>
          <w:left w:w="0" w:type="dxa"/>
          <w:bottom w:w="0" w:type="dxa"/>
          <w:right w:w="0" w:type="dxa"/>
        </w:tblCellMar>
        <w:tblLook w:val="01E0"/>
      </w:tblPr>
      <w:tblGrid>
        <w:gridCol w:w="1670"/>
        <w:gridCol w:w="1265"/>
        <w:gridCol w:w="1118"/>
        <w:gridCol w:w="1039"/>
        <w:gridCol w:w="1260"/>
        <w:gridCol w:w="1039"/>
        <w:gridCol w:w="1155"/>
        <w:gridCol w:w="1130"/>
        <w:gridCol w:w="667"/>
        <w:gridCol w:w="1268"/>
        <w:gridCol w:w="917"/>
        <w:gridCol w:w="811"/>
      </w:tblGrid>
      <w:tr>
        <w:trPr>
          <w:trHeight w:val="461" w:hRule="exact"/>
        </w:trPr>
        <w:tc>
          <w:tcPr>
            <w:tcW w:w="16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465"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328"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410"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32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1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39" w:lineRule="auto" w:before="83"/>
              <w:ind w:left="153" w:right="149"/>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39" w:lineRule="auto"/>
              <w:ind w:left="172" w:right="179"/>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809" w:hRule="exact"/>
        </w:trPr>
        <w:tc>
          <w:tcPr>
            <w:tcW w:w="167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47" w:right="173"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87" w:right="134"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184" w:right="106"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vMerge/>
            <w:tcBorders>
              <w:left w:val="dotted" w:sz="4" w:space="0" w:color="000000"/>
              <w:bottom w:val="dotted" w:sz="4" w:space="0" w:color="000000"/>
              <w:right w:val="dotted" w:sz="4" w:space="0" w:color="000000"/>
            </w:tcBorders>
          </w:tcPr>
          <w:p>
            <w:pPr/>
          </w:p>
        </w:tc>
        <w:tc>
          <w:tcPr>
            <w:tcW w:w="91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812"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深圳市深粮控股股份</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193,022,976.53</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-12,778,897.88</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171,796,756.02</w:t>
            </w: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352,040,834.67</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深圳市运通资本投资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管理有限公司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3,396,850.65</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1,795,141.77</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5,191,992.42</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深圳市中农水产股份</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18,164,985.51</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-9,306,155.77</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8,858,829.74</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深圳市中农网股份有</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297,839,576.35</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15,870,289.39</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313,709,865.74</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深圳中央大厨房物流</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98"/>
              <w:jc w:val="right"/>
              <w:rPr>
                <w:rFonts w:ascii="Times New Roman" w:hAnsi="Times New Roman" w:cs="Times New Roman" w:eastAsia="Times New Roman" w:hint="default"/>
                <w:sz w:val="15"/>
                <w:szCs w:val="15"/>
              </w:rPr>
            </w:pPr>
            <w:r>
              <w:rPr>
                <w:rFonts w:ascii="Times New Roman"/>
                <w:spacing w:val="-1"/>
                <w:sz w:val="15"/>
              </w:rPr>
              <w:t>9,517,761.07</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-4,753,127.94</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spacing w:val="-1"/>
                <w:sz w:val="15"/>
              </w:rPr>
              <w:t>4,764,633.13</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6"/>
              <w:ind w:left="122" w:right="187"/>
              <w:jc w:val="left"/>
              <w:rPr>
                <w:rFonts w:ascii="宋体" w:hAnsi="宋体" w:cs="宋体" w:eastAsia="宋体" w:hint="default"/>
                <w:sz w:val="15"/>
                <w:szCs w:val="15"/>
              </w:rPr>
            </w:pPr>
            <w:r>
              <w:rPr>
                <w:rFonts w:ascii="宋体" w:hAnsi="宋体" w:cs="宋体" w:eastAsia="宋体" w:hint="default"/>
                <w:spacing w:val="-1"/>
                <w:sz w:val="15"/>
                <w:szCs w:val="15"/>
              </w:rPr>
              <w:t>天津海吉星建设有限</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15,935,996.34</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-1,141,140.00</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14,794,856.34</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天津海吉星农产品市</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场管理有限公司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990,810.09</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-21,762.80</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969,047.29</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7"/>
              <w:ind w:left="122" w:right="187"/>
              <w:jc w:val="left"/>
              <w:rPr>
                <w:rFonts w:ascii="宋体" w:hAnsi="宋体" w:cs="宋体" w:eastAsia="宋体" w:hint="default"/>
                <w:sz w:val="15"/>
                <w:szCs w:val="15"/>
              </w:rPr>
            </w:pPr>
            <w:r>
              <w:rPr>
                <w:rFonts w:ascii="宋体" w:hAnsi="宋体" w:cs="宋体" w:eastAsia="宋体" w:hint="default"/>
                <w:spacing w:val="-1"/>
                <w:sz w:val="15"/>
                <w:szCs w:val="15"/>
              </w:rPr>
              <w:t>天津海吉星投资发展</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98"/>
              <w:jc w:val="right"/>
              <w:rPr>
                <w:rFonts w:ascii="Times New Roman" w:hAnsi="Times New Roman" w:cs="Times New Roman" w:eastAsia="Times New Roman" w:hint="default"/>
                <w:sz w:val="15"/>
                <w:szCs w:val="15"/>
              </w:rPr>
            </w:pPr>
            <w:r>
              <w:rPr>
                <w:rFonts w:ascii="Times New Roman"/>
                <w:spacing w:val="-1"/>
                <w:sz w:val="15"/>
              </w:rPr>
              <w:t>31,595,995.51</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spacing w:val="-1"/>
                <w:sz w:val="15"/>
              </w:rPr>
              <w:t>-8,635,127.53</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spacing w:val="-1"/>
                <w:sz w:val="15"/>
              </w:rPr>
              <w:t>22,960,867.98</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6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天津津俊投资发展有</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31,141,258.58</w:t>
            </w:r>
          </w:p>
        </w:tc>
        <w:tc>
          <w:tcPr>
            <w:tcW w:w="1118" w:type="dxa"/>
            <w:tcBorders>
              <w:top w:val="dotted" w:sz="4" w:space="0" w:color="000000"/>
              <w:left w:val="dotted" w:sz="4" w:space="0" w:color="000000"/>
              <w:bottom w:val="single" w:sz="12" w:space="0" w:color="000000"/>
              <w:right w:val="dotted" w:sz="4" w:space="0" w:color="000000"/>
            </w:tcBorders>
          </w:tcPr>
          <w:p>
            <w:pPr/>
          </w:p>
        </w:tc>
        <w:tc>
          <w:tcPr>
            <w:tcW w:w="1039"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303,929.27</w:t>
            </w:r>
          </w:p>
        </w:tc>
        <w:tc>
          <w:tcPr>
            <w:tcW w:w="1039"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
        </w:tc>
        <w:tc>
          <w:tcPr>
            <w:tcW w:w="1130" w:type="dxa"/>
            <w:tcBorders>
              <w:top w:val="dotted" w:sz="4" w:space="0" w:color="000000"/>
              <w:left w:val="dotted" w:sz="4" w:space="0" w:color="000000"/>
              <w:bottom w:val="single" w:sz="12" w:space="0" w:color="000000"/>
              <w:right w:val="dotted" w:sz="4" w:space="0" w:color="000000"/>
            </w:tcBorders>
          </w:tcPr>
          <w:p>
            <w:pPr/>
          </w:p>
        </w:tc>
        <w:tc>
          <w:tcPr>
            <w:tcW w:w="667"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31,445,187.85</w:t>
            </w:r>
          </w:p>
        </w:tc>
        <w:tc>
          <w:tcPr>
            <w:tcW w:w="917" w:type="dxa"/>
            <w:tcBorders>
              <w:top w:val="dotted" w:sz="4" w:space="0" w:color="000000"/>
              <w:left w:val="dotted" w:sz="4" w:space="0" w:color="000000"/>
              <w:bottom w:val="single" w:sz="12" w:space="0" w:color="000000"/>
              <w:right w:val="dotted" w:sz="4" w:space="0" w:color="000000"/>
            </w:tcBorders>
          </w:tcPr>
          <w:p>
            <w:pP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4"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853" w:type="dxa"/>
        <w:tblLayout w:type="fixed"/>
        <w:tblCellMar>
          <w:top w:w="0" w:type="dxa"/>
          <w:left w:w="0" w:type="dxa"/>
          <w:bottom w:w="0" w:type="dxa"/>
          <w:right w:w="0" w:type="dxa"/>
        </w:tblCellMar>
        <w:tblLook w:val="01E0"/>
      </w:tblPr>
      <w:tblGrid>
        <w:gridCol w:w="1670"/>
        <w:gridCol w:w="1265"/>
        <w:gridCol w:w="1118"/>
        <w:gridCol w:w="1039"/>
        <w:gridCol w:w="1260"/>
        <w:gridCol w:w="1039"/>
        <w:gridCol w:w="1155"/>
        <w:gridCol w:w="1130"/>
        <w:gridCol w:w="667"/>
        <w:gridCol w:w="1268"/>
        <w:gridCol w:w="917"/>
        <w:gridCol w:w="811"/>
      </w:tblGrid>
      <w:tr>
        <w:trPr>
          <w:trHeight w:val="461" w:hRule="exact"/>
        </w:trPr>
        <w:tc>
          <w:tcPr>
            <w:tcW w:w="16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465"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328"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410"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32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1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39" w:lineRule="auto" w:before="83"/>
              <w:ind w:left="153" w:right="149"/>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39" w:lineRule="auto"/>
              <w:ind w:left="172" w:right="179"/>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809" w:hRule="exact"/>
        </w:trPr>
        <w:tc>
          <w:tcPr>
            <w:tcW w:w="167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47" w:right="173"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87" w:right="134"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184" w:right="106"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vMerge/>
            <w:tcBorders>
              <w:left w:val="dotted" w:sz="4" w:space="0" w:color="000000"/>
              <w:bottom w:val="dotted" w:sz="4" w:space="0" w:color="000000"/>
              <w:right w:val="dotted" w:sz="4" w:space="0" w:color="000000"/>
            </w:tcBorders>
          </w:tcPr>
          <w:p>
            <w:pPr/>
          </w:p>
        </w:tc>
        <w:tc>
          <w:tcPr>
            <w:tcW w:w="91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10"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7"/>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深圳市信祥投资发展</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有限公司</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8"/>
              <w:ind w:left="122" w:right="187"/>
              <w:jc w:val="left"/>
              <w:rPr>
                <w:rFonts w:ascii="宋体" w:hAnsi="宋体" w:cs="宋体" w:eastAsia="宋体" w:hint="default"/>
                <w:sz w:val="15"/>
                <w:szCs w:val="15"/>
              </w:rPr>
            </w:pPr>
            <w:r>
              <w:rPr>
                <w:rFonts w:ascii="宋体" w:hAnsi="宋体" w:cs="宋体" w:eastAsia="宋体" w:hint="default"/>
                <w:spacing w:val="-1"/>
                <w:sz w:val="15"/>
                <w:szCs w:val="15"/>
              </w:rPr>
              <w:t>武汉城市圈海吉星农</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产品物流有限公司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98"/>
              <w:jc w:val="right"/>
              <w:rPr>
                <w:rFonts w:ascii="Times New Roman" w:hAnsi="Times New Roman" w:cs="Times New Roman" w:eastAsia="Times New Roman" w:hint="default"/>
                <w:sz w:val="15"/>
                <w:szCs w:val="15"/>
              </w:rPr>
            </w:pPr>
            <w:r>
              <w:rPr>
                <w:rFonts w:ascii="Times New Roman"/>
                <w:spacing w:val="-1"/>
                <w:sz w:val="15"/>
              </w:rPr>
              <w:t>76,724,070.77</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103"/>
              <w:jc w:val="right"/>
              <w:rPr>
                <w:rFonts w:ascii="Times New Roman" w:hAnsi="Times New Roman" w:cs="Times New Roman" w:eastAsia="Times New Roman" w:hint="default"/>
                <w:sz w:val="15"/>
                <w:szCs w:val="15"/>
              </w:rPr>
            </w:pPr>
            <w:r>
              <w:rPr>
                <w:rFonts w:ascii="Times New Roman"/>
                <w:spacing w:val="-1"/>
                <w:sz w:val="15"/>
              </w:rPr>
              <w:t>-40,603,422.08</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101"/>
              <w:jc w:val="right"/>
              <w:rPr>
                <w:rFonts w:ascii="Times New Roman" w:hAnsi="Times New Roman" w:cs="Times New Roman" w:eastAsia="Times New Roman" w:hint="default"/>
                <w:sz w:val="15"/>
                <w:szCs w:val="15"/>
              </w:rPr>
            </w:pPr>
            <w:r>
              <w:rPr>
                <w:rFonts w:ascii="Times New Roman"/>
                <w:spacing w:val="-1"/>
                <w:sz w:val="15"/>
              </w:rPr>
              <w:t>36,120,648.69</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桂林海吉星农产品集</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团有限公司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70,085,010.27</w:t>
            </w: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Times New Roman" w:hAnsi="Times New Roman" w:cs="Times New Roman" w:eastAsia="Times New Roman" w:hint="default"/>
                <w:sz w:val="15"/>
                <w:szCs w:val="15"/>
              </w:rPr>
            </w:pPr>
            <w:r>
              <w:rPr>
                <w:rFonts w:ascii="Times New Roman"/>
                <w:sz w:val="15"/>
              </w:rPr>
              <w:t>6,400,000.00</w:t>
            </w: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2"/>
                <w:sz w:val="15"/>
              </w:rPr>
              <w:t>-118,292.28</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76,366,717.99</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350" w:lineRule="atLeast" w:before="28"/>
              <w:ind w:left="122" w:right="187"/>
              <w:jc w:val="left"/>
              <w:rPr>
                <w:rFonts w:ascii="宋体" w:hAnsi="宋体" w:cs="宋体" w:eastAsia="宋体" w:hint="default"/>
                <w:sz w:val="15"/>
                <w:szCs w:val="15"/>
              </w:rPr>
            </w:pPr>
            <w:r>
              <w:rPr>
                <w:rFonts w:ascii="宋体" w:hAnsi="宋体" w:cs="宋体" w:eastAsia="宋体" w:hint="default"/>
                <w:spacing w:val="-1"/>
                <w:sz w:val="15"/>
                <w:szCs w:val="15"/>
              </w:rPr>
              <w:t>广西北投星联国际供</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应链管理有限公司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8"/>
              <w:jc w:val="right"/>
              <w:rPr>
                <w:rFonts w:ascii="Times New Roman" w:hAnsi="Times New Roman" w:cs="Times New Roman" w:eastAsia="Times New Roman" w:hint="default"/>
                <w:sz w:val="15"/>
                <w:szCs w:val="15"/>
              </w:rPr>
            </w:pPr>
            <w:r>
              <w:rPr>
                <w:rFonts w:ascii="Times New Roman"/>
                <w:spacing w:val="-1"/>
                <w:sz w:val="15"/>
              </w:rPr>
              <w:t>40,674,854.35</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2"/>
              <w:jc w:val="right"/>
              <w:rPr>
                <w:rFonts w:ascii="Times New Roman" w:hAnsi="Times New Roman" w:cs="Times New Roman" w:eastAsia="Times New Roman" w:hint="default"/>
                <w:sz w:val="15"/>
                <w:szCs w:val="15"/>
              </w:rPr>
            </w:pPr>
            <w:r>
              <w:rPr>
                <w:rFonts w:ascii="Times New Roman"/>
                <w:spacing w:val="-1"/>
                <w:sz w:val="15"/>
              </w:rPr>
              <w:t>487,467.25</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1"/>
              <w:jc w:val="right"/>
              <w:rPr>
                <w:rFonts w:ascii="Times New Roman" w:hAnsi="Times New Roman" w:cs="Times New Roman" w:eastAsia="Times New Roman" w:hint="default"/>
                <w:sz w:val="15"/>
                <w:szCs w:val="15"/>
              </w:rPr>
            </w:pPr>
            <w:r>
              <w:rPr>
                <w:rFonts w:ascii="Times New Roman"/>
                <w:spacing w:val="-1"/>
                <w:sz w:val="15"/>
              </w:rPr>
              <w:t>41,162,321.60</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深圳市大铲湾海吉星</w:t>
            </w:r>
          </w:p>
          <w:p>
            <w:pPr>
              <w:pStyle w:val="TableParagraph"/>
              <w:spacing w:line="350" w:lineRule="atLeast" w:before="12"/>
              <w:ind w:left="122" w:right="187"/>
              <w:jc w:val="left"/>
              <w:rPr>
                <w:rFonts w:ascii="宋体" w:hAnsi="宋体" w:cs="宋体" w:eastAsia="宋体" w:hint="default"/>
                <w:sz w:val="15"/>
                <w:szCs w:val="15"/>
              </w:rPr>
            </w:pPr>
            <w:r>
              <w:rPr>
                <w:rFonts w:ascii="宋体" w:hAnsi="宋体" w:cs="宋体" w:eastAsia="宋体" w:hint="default"/>
                <w:spacing w:val="-1"/>
                <w:sz w:val="15"/>
                <w:szCs w:val="15"/>
              </w:rPr>
              <w:t>港口产业发展有限公</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1,803,214.57</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2"/>
              <w:jc w:val="right"/>
              <w:rPr>
                <w:rFonts w:ascii="Times New Roman" w:hAnsi="Times New Roman" w:cs="Times New Roman" w:eastAsia="Times New Roman" w:hint="default"/>
                <w:sz w:val="15"/>
                <w:szCs w:val="15"/>
              </w:rPr>
            </w:pPr>
            <w:r>
              <w:rPr>
                <w:rFonts w:ascii="Times New Roman"/>
                <w:spacing w:val="-1"/>
                <w:sz w:val="15"/>
              </w:rPr>
              <w:t>3,580.80</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1,806,795.37</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1172"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深圳市农产品流通产</w:t>
            </w:r>
          </w:p>
          <w:p>
            <w:pPr>
              <w:pStyle w:val="TableParagraph"/>
              <w:spacing w:line="360" w:lineRule="atLeast"/>
              <w:ind w:left="122" w:right="98"/>
              <w:jc w:val="left"/>
              <w:rPr>
                <w:rFonts w:ascii="宋体" w:hAnsi="宋体" w:cs="宋体" w:eastAsia="宋体" w:hint="default"/>
                <w:sz w:val="15"/>
                <w:szCs w:val="15"/>
              </w:rPr>
            </w:pPr>
            <w:r>
              <w:rPr>
                <w:rFonts w:ascii="宋体" w:hAnsi="宋体" w:cs="宋体" w:eastAsia="宋体" w:hint="default"/>
                <w:spacing w:val="-8"/>
                <w:w w:val="100"/>
                <w:sz w:val="15"/>
                <w:szCs w:val="15"/>
              </w:rPr>
              <w:t>业发展投资企业（有限</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z w:val="15"/>
                <w:szCs w:val="15"/>
              </w:rPr>
              <w:t>合伙）</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554,731,396.45</w:t>
            </w:r>
          </w:p>
        </w:tc>
        <w:tc>
          <w:tcPr>
            <w:tcW w:w="1118"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-961,668.69</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553,769,727.76</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670" w:type="dxa"/>
            <w:tcBorders>
              <w:top w:val="dotted" w:sz="4" w:space="0" w:color="000000"/>
              <w:left w:val="nil" w:sz="6" w:space="0" w:color="auto"/>
              <w:bottom w:val="single" w:sz="12" w:space="0" w:color="000000"/>
              <w:right w:val="dotted" w:sz="4" w:space="0" w:color="000000"/>
            </w:tcBorders>
          </w:tcPr>
          <w:p>
            <w:pPr>
              <w:pStyle w:val="TableParagraph"/>
              <w:spacing w:line="360" w:lineRule="atLeast" w:before="16"/>
              <w:ind w:left="122" w:right="187"/>
              <w:jc w:val="left"/>
              <w:rPr>
                <w:rFonts w:ascii="宋体" w:hAnsi="宋体" w:cs="宋体" w:eastAsia="宋体" w:hint="default"/>
                <w:sz w:val="15"/>
                <w:szCs w:val="15"/>
              </w:rPr>
            </w:pPr>
            <w:r>
              <w:rPr>
                <w:rFonts w:ascii="宋体" w:hAnsi="宋体" w:cs="宋体" w:eastAsia="宋体" w:hint="default"/>
                <w:spacing w:val="-1"/>
                <w:sz w:val="15"/>
                <w:szCs w:val="15"/>
              </w:rPr>
              <w:t>深圳凯吉星农产品检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测认证有限公司</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12,304,790.08</w:t>
            </w:r>
          </w:p>
        </w:tc>
        <w:tc>
          <w:tcPr>
            <w:tcW w:w="1118" w:type="dxa"/>
            <w:tcBorders>
              <w:top w:val="dotted" w:sz="4" w:space="0" w:color="000000"/>
              <w:left w:val="dotted" w:sz="4" w:space="0" w:color="000000"/>
              <w:bottom w:val="single" w:sz="12" w:space="0" w:color="000000"/>
              <w:right w:val="dotted" w:sz="4" w:space="0" w:color="000000"/>
            </w:tcBorders>
          </w:tcPr>
          <w:p>
            <w:pPr/>
          </w:p>
        </w:tc>
        <w:tc>
          <w:tcPr>
            <w:tcW w:w="1039"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1,788,656.23</w:t>
            </w:r>
          </w:p>
        </w:tc>
        <w:tc>
          <w:tcPr>
            <w:tcW w:w="1039"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
        </w:tc>
        <w:tc>
          <w:tcPr>
            <w:tcW w:w="11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45" w:right="0"/>
              <w:jc w:val="left"/>
              <w:rPr>
                <w:rFonts w:ascii="Times New Roman" w:hAnsi="Times New Roman" w:cs="Times New Roman" w:eastAsia="Times New Roman" w:hint="default"/>
                <w:sz w:val="15"/>
                <w:szCs w:val="15"/>
              </w:rPr>
            </w:pPr>
            <w:r>
              <w:rPr>
                <w:rFonts w:ascii="Times New Roman"/>
                <w:sz w:val="15"/>
              </w:rPr>
              <w:t>622,705.58</w:t>
            </w:r>
          </w:p>
        </w:tc>
        <w:tc>
          <w:tcPr>
            <w:tcW w:w="667"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13,470,740.73</w:t>
            </w:r>
          </w:p>
        </w:tc>
        <w:tc>
          <w:tcPr>
            <w:tcW w:w="917" w:type="dxa"/>
            <w:tcBorders>
              <w:top w:val="dotted" w:sz="4" w:space="0" w:color="000000"/>
              <w:left w:val="dotted" w:sz="4" w:space="0" w:color="000000"/>
              <w:bottom w:val="single" w:sz="12" w:space="0" w:color="000000"/>
              <w:right w:val="dotted" w:sz="4" w:space="0" w:color="000000"/>
            </w:tcBorders>
          </w:tcPr>
          <w:p>
            <w:pP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74" w:footer="997" w:top="1000" w:bottom="11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tbl>
      <w:tblPr>
        <w:tblW w:w="0" w:type="auto"/>
        <w:jc w:val="left"/>
        <w:tblInd w:w="853" w:type="dxa"/>
        <w:tblLayout w:type="fixed"/>
        <w:tblCellMar>
          <w:top w:w="0" w:type="dxa"/>
          <w:left w:w="0" w:type="dxa"/>
          <w:bottom w:w="0" w:type="dxa"/>
          <w:right w:w="0" w:type="dxa"/>
        </w:tblCellMar>
        <w:tblLook w:val="01E0"/>
      </w:tblPr>
      <w:tblGrid>
        <w:gridCol w:w="1670"/>
        <w:gridCol w:w="1265"/>
        <w:gridCol w:w="1118"/>
        <w:gridCol w:w="1039"/>
        <w:gridCol w:w="1260"/>
        <w:gridCol w:w="1039"/>
        <w:gridCol w:w="1155"/>
        <w:gridCol w:w="1130"/>
        <w:gridCol w:w="667"/>
        <w:gridCol w:w="1268"/>
        <w:gridCol w:w="917"/>
        <w:gridCol w:w="811"/>
      </w:tblGrid>
      <w:tr>
        <w:trPr>
          <w:trHeight w:val="461" w:hRule="exact"/>
        </w:trPr>
        <w:tc>
          <w:tcPr>
            <w:tcW w:w="16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465"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328"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410"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32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1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39" w:lineRule="auto" w:before="83"/>
              <w:ind w:left="153" w:right="149"/>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39" w:lineRule="auto"/>
              <w:ind w:left="172" w:right="179"/>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809" w:hRule="exact"/>
        </w:trPr>
        <w:tc>
          <w:tcPr>
            <w:tcW w:w="167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47" w:right="173"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1039"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287" w:right="134"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6"/>
              <w:ind w:left="184" w:right="106"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6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vMerge/>
            <w:tcBorders>
              <w:left w:val="dotted" w:sz="4" w:space="0" w:color="000000"/>
              <w:bottom w:val="dotted" w:sz="4" w:space="0" w:color="000000"/>
              <w:right w:val="dotted" w:sz="4" w:space="0" w:color="000000"/>
            </w:tcBorders>
          </w:tcPr>
          <w:p>
            <w:pPr/>
          </w:p>
        </w:tc>
        <w:tc>
          <w:tcPr>
            <w:tcW w:w="91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51" w:hRule="exact"/>
        </w:trPr>
        <w:tc>
          <w:tcPr>
            <w:tcW w:w="16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1,997,538,865.89</w:t>
            </w: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8" w:right="0"/>
              <w:jc w:val="left"/>
              <w:rPr>
                <w:rFonts w:ascii="Times New Roman" w:hAnsi="Times New Roman" w:cs="Times New Roman" w:eastAsia="Times New Roman" w:hint="default"/>
                <w:sz w:val="15"/>
                <w:szCs w:val="15"/>
              </w:rPr>
            </w:pPr>
            <w:r>
              <w:rPr>
                <w:rFonts w:ascii="Times New Roman"/>
                <w:sz w:val="15"/>
              </w:rPr>
              <w:t>6,400,000.00</w:t>
            </w:r>
          </w:p>
        </w:tc>
        <w:tc>
          <w:tcPr>
            <w:tcW w:w="1039"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21,957,856.31</w:t>
            </w:r>
          </w:p>
        </w:tc>
        <w:tc>
          <w:tcPr>
            <w:tcW w:w="1039"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171,796,756.02</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39,677,705.58</w:t>
            </w:r>
          </w:p>
        </w:tc>
        <w:tc>
          <w:tcPr>
            <w:tcW w:w="667"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2,158,015,772.64</w:t>
            </w:r>
          </w:p>
        </w:tc>
        <w:tc>
          <w:tcPr>
            <w:tcW w:w="91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6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2,024,639,489.04</w:t>
            </w:r>
          </w:p>
        </w:tc>
        <w:tc>
          <w:tcPr>
            <w:tcW w:w="11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8" w:right="0"/>
              <w:jc w:val="left"/>
              <w:rPr>
                <w:rFonts w:ascii="Times New Roman" w:hAnsi="Times New Roman" w:cs="Times New Roman" w:eastAsia="Times New Roman" w:hint="default"/>
                <w:sz w:val="15"/>
                <w:szCs w:val="15"/>
              </w:rPr>
            </w:pPr>
            <w:r>
              <w:rPr>
                <w:rFonts w:ascii="Times New Roman"/>
                <w:sz w:val="15"/>
              </w:rPr>
              <w:t>6,400,000.00</w:t>
            </w:r>
          </w:p>
        </w:tc>
        <w:tc>
          <w:tcPr>
            <w:tcW w:w="1039" w:type="dxa"/>
            <w:tcBorders>
              <w:top w:val="dotted" w:sz="4" w:space="0" w:color="000000"/>
              <w:left w:val="dotted" w:sz="4" w:space="0" w:color="000000"/>
              <w:bottom w:val="single" w:sz="12" w:space="0" w:color="000000"/>
              <w:right w:val="dotted" w:sz="4" w:space="0" w:color="000000"/>
            </w:tcBorders>
          </w:tcPr>
          <w:p>
            <w:pP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25,587,471.93</w:t>
            </w:r>
          </w:p>
        </w:tc>
        <w:tc>
          <w:tcPr>
            <w:tcW w:w="1039" w:type="dxa"/>
            <w:tcBorders>
              <w:top w:val="dotted" w:sz="4" w:space="0" w:color="000000"/>
              <w:left w:val="dotted" w:sz="4" w:space="0" w:color="000000"/>
              <w:bottom w:val="single" w:sz="12" w:space="0" w:color="000000"/>
              <w:right w:val="dotted" w:sz="4" w:space="0" w:color="000000"/>
            </w:tcBorders>
          </w:tcPr>
          <w:p>
            <w:pP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171,796,756.02</w:t>
            </w:r>
          </w:p>
        </w:tc>
        <w:tc>
          <w:tcPr>
            <w:tcW w:w="11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42,811,714.42</w:t>
            </w:r>
          </w:p>
        </w:tc>
        <w:tc>
          <w:tcPr>
            <w:tcW w:w="667" w:type="dxa"/>
            <w:tcBorders>
              <w:top w:val="dotted" w:sz="4" w:space="0" w:color="000000"/>
              <w:left w:val="dotted" w:sz="4" w:space="0" w:color="000000"/>
              <w:bottom w:val="single" w:sz="12" w:space="0" w:color="000000"/>
              <w:right w:val="dotted" w:sz="4" w:space="0" w:color="000000"/>
            </w:tcBorders>
          </w:tcPr>
          <w:p>
            <w:pP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2,185,612,002.57</w:t>
            </w:r>
          </w:p>
        </w:tc>
        <w:tc>
          <w:tcPr>
            <w:tcW w:w="917" w:type="dxa"/>
            <w:tcBorders>
              <w:top w:val="dotted" w:sz="4" w:space="0" w:color="000000"/>
              <w:left w:val="dotted" w:sz="4" w:space="0" w:color="000000"/>
              <w:bottom w:val="single" w:sz="12" w:space="0" w:color="000000"/>
              <w:right w:val="dotted" w:sz="4" w:space="0" w:color="000000"/>
            </w:tcBorders>
          </w:tcPr>
          <w:p>
            <w:pP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139"/>
          <w:pgSz w:w="16840" w:h="11910" w:orient="landscape"/>
          <w:pgMar w:footer="997" w:header="774" w:top="1000" w:bottom="1180" w:left="1300" w:right="1200"/>
          <w:pgNumType w:start="15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营业收入和营业成本</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1666"/>
        <w:gridCol w:w="1526"/>
        <w:gridCol w:w="1527"/>
        <w:gridCol w:w="1529"/>
        <w:gridCol w:w="1529"/>
      </w:tblGrid>
      <w:tr>
        <w:trPr>
          <w:trHeight w:val="461" w:hRule="exact"/>
        </w:trPr>
        <w:tc>
          <w:tcPr>
            <w:tcW w:w="1666"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58"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1666" w:type="dxa"/>
            <w:vMerge/>
            <w:tcBorders>
              <w:left w:val="nil" w:sz="6" w:space="0" w:color="auto"/>
              <w:bottom w:val="dotted" w:sz="4" w:space="0" w:color="000000"/>
              <w:right w:val="dotted" w:sz="4" w:space="0" w:color="000000"/>
            </w:tcBorders>
          </w:tcPr>
          <w:p>
            <w:pP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1" w:hRule="exact"/>
        </w:trPr>
        <w:tc>
          <w:tcPr>
            <w:tcW w:w="1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371,813,592.05</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126,978,369.58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350,052,907.09</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127,218,906.59</w:t>
            </w:r>
          </w:p>
        </w:tc>
      </w:tr>
      <w:tr>
        <w:trPr>
          <w:trHeight w:val="449" w:hRule="exact"/>
        </w:trPr>
        <w:tc>
          <w:tcPr>
            <w:tcW w:w="1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26" w:type="dxa"/>
            <w:tcBorders>
              <w:top w:val="dotted" w:sz="4" w:space="0" w:color="000000"/>
              <w:left w:val="dotted" w:sz="4" w:space="0" w:color="000000"/>
              <w:bottom w:val="dotted" w:sz="4" w:space="0" w:color="000000"/>
              <w:right w:val="dotted" w:sz="4" w:space="0" w:color="000000"/>
            </w:tcBorders>
          </w:tcPr>
          <w:p>
            <w:pPr/>
          </w:p>
        </w:tc>
        <w:tc>
          <w:tcPr>
            <w:tcW w:w="1527"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16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371,813,592.05</w:t>
            </w:r>
          </w:p>
        </w:tc>
        <w:tc>
          <w:tcPr>
            <w:tcW w:w="15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126,978,369.58</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350,052,907.09</w:t>
            </w:r>
          </w:p>
        </w:tc>
        <w:tc>
          <w:tcPr>
            <w:tcW w:w="15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127,218,906.59</w:t>
            </w:r>
          </w:p>
        </w:tc>
      </w:tr>
    </w:tbl>
    <w:p>
      <w:pPr>
        <w:spacing w:line="240" w:lineRule="auto" w:before="15"/>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投资收益</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4374"/>
        <w:gridCol w:w="1843"/>
        <w:gridCol w:w="1561"/>
      </w:tblGrid>
      <w:tr>
        <w:trPr>
          <w:trHeight w:val="461" w:hRule="exact"/>
        </w:trPr>
        <w:tc>
          <w:tcPr>
            <w:tcW w:w="43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32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43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102,142,604.85</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99,269,128.99</w:t>
            </w:r>
          </w:p>
        </w:tc>
      </w:tr>
      <w:tr>
        <w:trPr>
          <w:trHeight w:val="449" w:hRule="exact"/>
        </w:trPr>
        <w:tc>
          <w:tcPr>
            <w:tcW w:w="43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25,587,471.93</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58,232,150.13</w:t>
            </w:r>
          </w:p>
        </w:tc>
      </w:tr>
      <w:tr>
        <w:trPr>
          <w:trHeight w:val="451" w:hRule="exact"/>
        </w:trPr>
        <w:tc>
          <w:tcPr>
            <w:tcW w:w="43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-10,999,999.00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9,708,311.56</w:t>
            </w:r>
          </w:p>
        </w:tc>
      </w:tr>
      <w:tr>
        <w:trPr>
          <w:trHeight w:val="461" w:hRule="exact"/>
        </w:trPr>
        <w:tc>
          <w:tcPr>
            <w:tcW w:w="43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116,730,077.78</w:t>
            </w: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167,209,590.68</w:t>
            </w:r>
          </w:p>
        </w:tc>
      </w:tr>
    </w:tbl>
    <w:p>
      <w:pPr>
        <w:spacing w:line="240" w:lineRule="auto" w:before="1"/>
        <w:rPr>
          <w:rFonts w:ascii="Microsoft JhengHei" w:hAnsi="Microsoft JhengHei" w:cs="Microsoft JhengHei" w:eastAsia="Microsoft JhengHei" w:hint="default"/>
          <w:b/>
          <w:bCs/>
          <w:sz w:val="20"/>
          <w:szCs w:val="20"/>
        </w:rPr>
      </w:pPr>
    </w:p>
    <w:p>
      <w:pPr>
        <w:pStyle w:val="Heading6"/>
        <w:spacing w:line="335" w:lineRule="exact"/>
        <w:ind w:left="138" w:right="1675"/>
        <w:jc w:val="left"/>
        <w:rPr>
          <w:b w:val="0"/>
          <w:bCs w:val="0"/>
        </w:rPr>
      </w:pPr>
      <w:r>
        <w:rPr/>
        <w:t>十六、</w:t>
      </w:r>
      <w:r>
        <w:rPr>
          <w:spacing w:val="34"/>
        </w:rPr>
        <w:t> </w:t>
      </w:r>
      <w:r>
        <w:rPr/>
        <w:t>补充资料</w:t>
      </w:r>
      <w:r>
        <w:rPr>
          <w:b w:val="0"/>
          <w:bCs w:val="0"/>
        </w:rPr>
      </w:r>
    </w:p>
    <w:p>
      <w:pPr>
        <w:pStyle w:val="Heading6"/>
        <w:tabs>
          <w:tab w:pos="850" w:val="left" w:leader="none"/>
        </w:tabs>
        <w:spacing w:line="240" w:lineRule="auto" w:before="35"/>
        <w:ind w:left="126" w:right="167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当期非经常性损益明细表</w:t>
      </w:r>
      <w:r>
        <w:rPr>
          <w:b w:val="0"/>
          <w:bCs w:val="0"/>
        </w:rPr>
      </w:r>
    </w:p>
    <w:tbl>
      <w:tblPr>
        <w:tblW w:w="0" w:type="auto"/>
        <w:jc w:val="left"/>
        <w:tblInd w:w="769" w:type="dxa"/>
        <w:tblLayout w:type="fixed"/>
        <w:tblCellMar>
          <w:top w:w="0" w:type="dxa"/>
          <w:left w:w="0" w:type="dxa"/>
          <w:bottom w:w="0" w:type="dxa"/>
          <w:right w:w="0" w:type="dxa"/>
        </w:tblCellMar>
        <w:tblLook w:val="01E0"/>
      </w:tblPr>
      <w:tblGrid>
        <w:gridCol w:w="4482"/>
        <w:gridCol w:w="1663"/>
        <w:gridCol w:w="1633"/>
      </w:tblGrid>
      <w:tr>
        <w:trPr>
          <w:trHeight w:val="458" w:hRule="exact"/>
        </w:trPr>
        <w:tc>
          <w:tcPr>
            <w:tcW w:w="44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81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107,938,962.11</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附注五</w:t>
            </w:r>
            <w:r>
              <w:rPr>
                <w:rFonts w:ascii="宋体" w:hAnsi="宋体" w:cs="宋体" w:eastAsia="宋体" w:hint="default"/>
                <w:spacing w:val="-116"/>
                <w:sz w:val="18"/>
                <w:szCs w:val="18"/>
              </w:rPr>
              <w:t>、</w:t>
            </w:r>
            <w:r>
              <w:rPr>
                <w:rFonts w:ascii="宋体" w:hAnsi="宋体" w:cs="宋体" w:eastAsia="宋体" w:hint="default"/>
                <w:sz w:val="18"/>
                <w:szCs w:val="18"/>
              </w:rPr>
              <w:t>（四十三）</w:t>
            </w:r>
          </w:p>
          <w:p>
            <w:pPr>
              <w:pStyle w:val="TableParagraph"/>
              <w:spacing w:line="240" w:lineRule="auto" w:before="122"/>
              <w:ind w:left="100" w:right="0"/>
              <w:jc w:val="left"/>
              <w:rPr>
                <w:rFonts w:ascii="宋体" w:hAnsi="宋体" w:cs="宋体" w:eastAsia="宋体" w:hint="default"/>
                <w:sz w:val="18"/>
                <w:szCs w:val="18"/>
              </w:rPr>
            </w:pPr>
            <w:r>
              <w:rPr>
                <w:rFonts w:ascii="宋体" w:hAnsi="宋体" w:cs="宋体" w:eastAsia="宋体" w:hint="default"/>
                <w:sz w:val="18"/>
                <w:szCs w:val="18"/>
              </w:rPr>
              <w:t>（四十四）</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663" w:type="dxa"/>
            <w:tcBorders>
              <w:top w:val="dotted" w:sz="4" w:space="0" w:color="000000"/>
              <w:left w:val="dotted" w:sz="4" w:space="0" w:color="000000"/>
              <w:bottom w:val="dotted" w:sz="4" w:space="0" w:color="000000"/>
              <w:right w:val="dotted" w:sz="4" w:space="0" w:color="000000"/>
            </w:tcBorders>
          </w:tcPr>
          <w:p>
            <w:pP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104"/>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w:t>
            </w:r>
            <w:r>
              <w:rPr>
                <w:rFonts w:ascii="宋体" w:hAnsi="宋体" w:cs="宋体" w:eastAsia="宋体" w:hint="default"/>
                <w:sz w:val="18"/>
                <w:szCs w:val="18"/>
              </w:rPr>
              <w:t> 国家统一标准定额或定量享受的政府补助除外）</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155,264,564.49</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附注五</w:t>
            </w:r>
            <w:r>
              <w:rPr>
                <w:rFonts w:ascii="宋体" w:hAnsi="宋体" w:cs="宋体" w:eastAsia="宋体" w:hint="default"/>
                <w:spacing w:val="-116"/>
                <w:sz w:val="18"/>
                <w:szCs w:val="18"/>
              </w:rPr>
              <w:t>、</w:t>
            </w:r>
            <w:r>
              <w:rPr>
                <w:rFonts w:ascii="宋体" w:hAnsi="宋体" w:cs="宋体" w:eastAsia="宋体" w:hint="default"/>
                <w:sz w:val="18"/>
                <w:szCs w:val="18"/>
              </w:rPr>
              <w:t>（四十二）</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23,500,625.42</w:t>
            </w: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9,418,465.75</w:t>
            </w: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单独进行减值测试的应收款项、合同资产减值准备转回</w:t>
            </w:r>
          </w:p>
        </w:tc>
        <w:tc>
          <w:tcPr>
            <w:tcW w:w="1663" w:type="dxa"/>
            <w:tcBorders>
              <w:top w:val="dotted" w:sz="4" w:space="0" w:color="000000"/>
              <w:left w:val="dotted" w:sz="4" w:space="0" w:color="000000"/>
              <w:bottom w:val="dotted" w:sz="4" w:space="0" w:color="000000"/>
              <w:right w:val="dotted" w:sz="4" w:space="0" w:color="000000"/>
            </w:tcBorders>
          </w:tcPr>
          <w:p>
            <w:pP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-29,823,460.17</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附注五</w:t>
            </w:r>
            <w:r>
              <w:rPr>
                <w:rFonts w:ascii="宋体" w:hAnsi="宋体" w:cs="宋体" w:eastAsia="宋体" w:hint="default"/>
                <w:spacing w:val="-116"/>
                <w:sz w:val="18"/>
                <w:szCs w:val="18"/>
              </w:rPr>
              <w:t>、</w:t>
            </w:r>
            <w:r>
              <w:rPr>
                <w:rFonts w:ascii="宋体" w:hAnsi="宋体" w:cs="宋体" w:eastAsia="宋体" w:hint="default"/>
                <w:sz w:val="18"/>
                <w:szCs w:val="18"/>
              </w:rPr>
              <w:t>（四十五）</w:t>
            </w:r>
          </w:p>
          <w:p>
            <w:pPr>
              <w:pStyle w:val="TableParagraph"/>
              <w:spacing w:line="240" w:lineRule="auto" w:before="122"/>
              <w:ind w:left="100" w:right="0"/>
              <w:jc w:val="left"/>
              <w:rPr>
                <w:rFonts w:ascii="宋体" w:hAnsi="宋体" w:cs="宋体" w:eastAsia="宋体" w:hint="default"/>
                <w:sz w:val="18"/>
                <w:szCs w:val="18"/>
              </w:rPr>
            </w:pPr>
            <w:r>
              <w:rPr>
                <w:rFonts w:ascii="宋体" w:hAnsi="宋体" w:cs="宋体" w:eastAsia="宋体" w:hint="default"/>
                <w:sz w:val="18"/>
                <w:szCs w:val="18"/>
              </w:rPr>
              <w:t>（四十六）</w:t>
            </w:r>
          </w:p>
        </w:tc>
      </w:tr>
      <w:tr>
        <w:trPr>
          <w:trHeight w:val="449"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-42,771,092.11</w:t>
            </w: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44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6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-47,288,188.35</w:t>
            </w: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44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176,239,877.14</w:t>
            </w:r>
          </w:p>
        </w:tc>
        <w:tc>
          <w:tcPr>
            <w:tcW w:w="163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6"/>
          <w:szCs w:val="26"/>
        </w:rPr>
      </w:pPr>
    </w:p>
    <w:p>
      <w:pPr>
        <w:pStyle w:val="Heading6"/>
        <w:tabs>
          <w:tab w:pos="850" w:val="left" w:leader="none"/>
        </w:tabs>
        <w:spacing w:line="335" w:lineRule="exact"/>
        <w:ind w:left="126" w:right="167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净资产收益率及每股收益</w:t>
      </w:r>
      <w:r>
        <w:rPr>
          <w:b w:val="0"/>
          <w:bCs w:val="0"/>
        </w:rPr>
      </w:r>
    </w:p>
    <w:p>
      <w:pPr>
        <w:spacing w:after="0" w:line="335" w:lineRule="exact"/>
        <w:jc w:val="left"/>
        <w:sectPr>
          <w:headerReference w:type="default" r:id="rId140"/>
          <w:footerReference w:type="default" r:id="rId141"/>
          <w:pgSz w:w="11910" w:h="16840"/>
          <w:pgMar w:header="774" w:footer="996" w:top="1000" w:bottom="1180" w:left="1660" w:right="0"/>
          <w:pgNumType w:start="15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69" w:type="dxa"/>
        <w:tblLayout w:type="fixed"/>
        <w:tblCellMar>
          <w:top w:w="0" w:type="dxa"/>
          <w:left w:w="0" w:type="dxa"/>
          <w:bottom w:w="0" w:type="dxa"/>
          <w:right w:w="0" w:type="dxa"/>
        </w:tblCellMar>
        <w:tblLook w:val="01E0"/>
      </w:tblPr>
      <w:tblGrid>
        <w:gridCol w:w="3236"/>
        <w:gridCol w:w="1808"/>
        <w:gridCol w:w="1445"/>
        <w:gridCol w:w="1289"/>
      </w:tblGrid>
      <w:tr>
        <w:trPr>
          <w:trHeight w:val="461" w:hRule="exact"/>
        </w:trPr>
        <w:tc>
          <w:tcPr>
            <w:tcW w:w="323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0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7" w:lineRule="auto" w:before="154"/>
              <w:ind w:left="463" w:right="178" w:hanging="286"/>
              <w:jc w:val="left"/>
              <w:rPr>
                <w:rFonts w:ascii="宋体" w:hAnsi="宋体" w:cs="宋体" w:eastAsia="宋体" w:hint="default"/>
                <w:sz w:val="18"/>
                <w:szCs w:val="18"/>
              </w:rPr>
            </w:pPr>
            <w:r>
              <w:rPr>
                <w:rFonts w:ascii="宋体" w:hAnsi="宋体" w:cs="宋体" w:eastAsia="宋体" w:hint="default"/>
                <w:sz w:val="18"/>
                <w:szCs w:val="18"/>
              </w:rPr>
              <w:t>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3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729"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809" w:hRule="exact"/>
        </w:trPr>
        <w:tc>
          <w:tcPr>
            <w:tcW w:w="3236" w:type="dxa"/>
            <w:vMerge/>
            <w:tcBorders>
              <w:left w:val="nil" w:sz="6" w:space="0" w:color="auto"/>
              <w:bottom w:val="dotted" w:sz="4" w:space="0" w:color="000000"/>
              <w:right w:val="dotted" w:sz="4" w:space="0" w:color="000000"/>
            </w:tcBorders>
          </w:tcPr>
          <w:p>
            <w:pPr/>
          </w:p>
        </w:tc>
        <w:tc>
          <w:tcPr>
            <w:tcW w:w="1808" w:type="dxa"/>
            <w:vMerge/>
            <w:tcBorders>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3"/>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89" w:type="dxa"/>
            <w:tcBorders>
              <w:top w:val="dotted" w:sz="4" w:space="0" w:color="000000"/>
              <w:left w:val="dotted" w:sz="4" w:space="0" w:color="000000"/>
              <w:bottom w:val="dotted" w:sz="4" w:space="0" w:color="000000"/>
              <w:right w:val="nil" w:sz="6" w:space="0" w:color="auto"/>
            </w:tcBorders>
          </w:tcPr>
          <w:p>
            <w:pPr>
              <w:pStyle w:val="TableParagraph"/>
              <w:spacing w:line="367" w:lineRule="auto" w:before="135"/>
              <w:ind w:left="549" w:right="192"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r>
      <w:tr>
        <w:trPr>
          <w:trHeight w:val="451"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0.89</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0.0252</w:t>
            </w:r>
          </w:p>
        </w:tc>
        <w:tc>
          <w:tcPr>
            <w:tcW w:w="12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0.0252</w:t>
            </w:r>
          </w:p>
        </w:tc>
      </w:tr>
      <w:tr>
        <w:trPr>
          <w:trHeight w:val="821" w:hRule="exact"/>
        </w:trPr>
        <w:tc>
          <w:tcPr>
            <w:tcW w:w="3236"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122" w:right="22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8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710" w:right="0"/>
              <w:jc w:val="left"/>
              <w:rPr>
                <w:rFonts w:ascii="Times New Roman" w:hAnsi="Times New Roman" w:cs="Times New Roman" w:eastAsia="Times New Roman" w:hint="default"/>
                <w:sz w:val="18"/>
                <w:szCs w:val="18"/>
              </w:rPr>
            </w:pPr>
            <w:r>
              <w:rPr>
                <w:rFonts w:ascii="Times New Roman"/>
                <w:sz w:val="18"/>
              </w:rPr>
              <w:t>-2.77</w:t>
            </w:r>
          </w:p>
        </w:tc>
        <w:tc>
          <w:tcPr>
            <w:tcW w:w="14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-0.0786</w:t>
            </w:r>
          </w:p>
        </w:tc>
        <w:tc>
          <w:tcPr>
            <w:tcW w:w="128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62" w:right="0"/>
              <w:jc w:val="left"/>
              <w:rPr>
                <w:rFonts w:ascii="Times New Roman" w:hAnsi="Times New Roman" w:cs="Times New Roman" w:eastAsia="Times New Roman" w:hint="default"/>
                <w:sz w:val="18"/>
                <w:szCs w:val="18"/>
              </w:rPr>
            </w:pPr>
            <w:r>
              <w:rPr>
                <w:rFonts w:ascii="Times New Roman"/>
                <w:sz w:val="18"/>
              </w:rPr>
              <w:t>-0.0786</w:t>
            </w:r>
          </w:p>
        </w:tc>
      </w:tr>
    </w:tbl>
    <w:p>
      <w:pPr>
        <w:spacing w:after="0" w:line="240" w:lineRule="auto"/>
        <w:jc w:val="left"/>
        <w:rPr>
          <w:rFonts w:ascii="Times New Roman" w:hAnsi="Times New Roman" w:cs="Times New Roman" w:eastAsia="Times New Roman" w:hint="default"/>
          <w:sz w:val="18"/>
          <w:szCs w:val="18"/>
        </w:rPr>
        <w:sectPr>
          <w:pgSz w:w="11910" w:h="16840"/>
          <w:pgMar w:header="774" w:footer="996" w:top="1000" w:bottom="11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BodyText"/>
        <w:spacing w:line="240" w:lineRule="auto"/>
        <w:ind w:left="111" w:right="1675"/>
        <w:jc w:val="left"/>
        <w:rPr>
          <w:rFonts w:ascii="宋体" w:hAnsi="宋体" w:cs="宋体" w:eastAsia="宋体" w:hint="default"/>
        </w:rPr>
      </w:pPr>
      <w:r>
        <w:rPr>
          <w:rFonts w:ascii="宋体" w:hAnsi="宋体" w:cs="宋体" w:eastAsia="宋体" w:hint="default"/>
        </w:rPr>
        <w:t>（本页仅用于</w:t>
      </w:r>
      <w:r>
        <w:rPr>
          <w:rFonts w:ascii="宋体" w:hAnsi="宋体" w:cs="宋体" w:eastAsia="宋体" w:hint="default"/>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rFonts w:ascii="宋体" w:hAnsi="宋体" w:cs="宋体" w:eastAsia="宋体" w:hint="default"/>
        </w:rPr>
        <w:t>年度报告全文签字页）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BodyText"/>
        <w:tabs>
          <w:tab w:pos="5493" w:val="left" w:leader="none"/>
        </w:tabs>
        <w:spacing w:line="240" w:lineRule="auto" w:before="0"/>
        <w:ind w:left="138" w:right="1675"/>
        <w:jc w:val="left"/>
        <w:rPr>
          <w:rFonts w:ascii="宋体" w:hAnsi="宋体" w:cs="宋体" w:eastAsia="宋体" w:hint="default"/>
        </w:rPr>
      </w:pPr>
      <w:r>
        <w:rPr>
          <w:rFonts w:ascii="宋体" w:hAnsi="宋体" w:cs="宋体" w:eastAsia="宋体" w:hint="default"/>
          <w:spacing w:val="-2"/>
        </w:rPr>
        <w:t>法定代表人：何建锋</w:t>
        <w:tab/>
        <w:t>总裁：黄明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tabs>
          <w:tab w:pos="5493" w:val="left" w:leader="none"/>
        </w:tabs>
        <w:spacing w:line="240" w:lineRule="auto" w:before="0"/>
        <w:ind w:left="138" w:right="1675"/>
        <w:jc w:val="left"/>
        <w:rPr>
          <w:rFonts w:ascii="宋体" w:hAnsi="宋体" w:cs="宋体" w:eastAsia="宋体" w:hint="default"/>
        </w:rPr>
      </w:pPr>
      <w:r>
        <w:rPr>
          <w:rFonts w:ascii="宋体" w:hAnsi="宋体" w:cs="宋体" w:eastAsia="宋体" w:hint="default"/>
          <w:spacing w:val="-1"/>
        </w:rPr>
        <w:t>财务总监：张磊</w:t>
        <w:tab/>
      </w:r>
      <w:r>
        <w:rPr>
          <w:rFonts w:ascii="宋体" w:hAnsi="宋体" w:cs="宋体" w:eastAsia="宋体" w:hint="default"/>
          <w:spacing w:val="-2"/>
        </w:rPr>
        <w:t>会计机构负责人：向自力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0"/>
        <w:ind w:left="138" w:right="1675"/>
        <w:jc w:val="left"/>
        <w:rPr>
          <w:rFonts w:ascii="宋体" w:hAnsi="宋体" w:cs="宋体" w:eastAsia="宋体" w:hint="default"/>
        </w:rPr>
      </w:pPr>
      <w:r>
        <w:rPr>
          <w:rFonts w:ascii="宋体" w:hAnsi="宋体" w:cs="宋体" w:eastAsia="宋体" w:hint="default"/>
        </w:rPr>
        <w:t>日期：</w:t>
      </w:r>
      <w:r>
        <w:rPr>
          <w:rFonts w:ascii="Times New Roman" w:hAnsi="Times New Roman" w:cs="Times New Roman" w:eastAsia="Times New Roman" w:hint="default"/>
        </w:rPr>
        <w:t>2019 </w:t>
      </w:r>
      <w:r>
        <w:rPr>
          <w:rFonts w:ascii="宋体" w:hAnsi="宋体" w:cs="宋体" w:eastAsia="宋体" w:hint="default"/>
        </w:rPr>
        <w:t>年</w:t>
      </w:r>
      <w:r>
        <w:rPr>
          <w:rFonts w:ascii="宋体" w:hAnsi="宋体" w:cs="宋体" w:eastAsia="宋体" w:hint="default"/>
          <w:spacing w:val="-55"/>
        </w:rPr>
        <w:t> </w:t>
      </w:r>
      <w:r>
        <w:rPr>
          <w:rFonts w:ascii="Times New Roman" w:hAnsi="Times New Roman" w:cs="Times New Roman" w:eastAsia="Times New Roman" w:hint="default"/>
        </w:rPr>
        <w:t>4 </w:t>
      </w:r>
      <w:r>
        <w:rPr>
          <w:rFonts w:ascii="宋体" w:hAnsi="宋体" w:cs="宋体" w:eastAsia="宋体" w:hint="default"/>
        </w:rPr>
        <w:t>月</w:t>
      </w:r>
      <w:r>
        <w:rPr>
          <w:rFonts w:ascii="宋体" w:hAnsi="宋体" w:cs="宋体" w:eastAsia="宋体" w:hint="default"/>
          <w:spacing w:val="-53"/>
        </w:rPr>
        <w:t> </w:t>
      </w:r>
      <w:r>
        <w:rPr>
          <w:rFonts w:ascii="Times New Roman" w:hAnsi="Times New Roman" w:cs="Times New Roman" w:eastAsia="Times New Roman" w:hint="default"/>
        </w:rPr>
        <w:t>25 </w:t>
      </w:r>
      <w:r>
        <w:rPr>
          <w:rFonts w:ascii="宋体" w:hAnsi="宋体" w:cs="宋体" w:eastAsia="宋体" w:hint="default"/>
        </w:rPr>
        <w:t>日</w:t>
      </w:r>
    </w:p>
    <w:sectPr>
      <w:pgSz w:w="11910" w:h="16840"/>
      <w:pgMar w:header="774" w:footer="996" w:top="1000" w:bottom="118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8328" type="#_x0000_t75" stroked="false">
          <v:imagedata r:id="rId1" o:title=""/>
        </v:shape>
      </w:pict>
    </w:r>
    <w:r>
      <w:rPr/>
      <w:pict>
        <v:shape style="position:absolute;margin-left:527.659973pt;margin-top:767.677917pt;width:13.15pt;height:11pt;mso-position-horizontal-relative:page;mso-position-vertical-relative:page;z-index:-1638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7632" type="#_x0000_t75" stroked="false">
          <v:imagedata r:id="rId1" o:title=""/>
        </v:shape>
      </w:pict>
    </w:r>
    <w:r>
      <w:rPr/>
      <w:pict>
        <v:shape style="position:absolute;margin-left:759.039978pt;margin-top:521.053955pt;width:13.15pt;height:11pt;mso-position-horizontal-relative:page;mso-position-vertical-relative:page;z-index:-163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1637536" type="#_x0000_t75" stroked="false">
          <v:imagedata r:id="rId1" o:title=""/>
        </v:shape>
      </w:pict>
    </w:r>
    <w:r>
      <w:rPr/>
      <w:pict>
        <v:shape style="position:absolute;margin-left:494.660004pt;margin-top:767.773926pt;width:13.15pt;height:11pt;mso-position-horizontal-relative:page;mso-position-vertical-relative:page;z-index:-1637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5874pt;margin-top:806.836975pt;width:59.499296pt;height:26.797393pt;mso-position-horizontal-relative:page;mso-position-vertical-relative:page;z-index:-1637488" type="#_x0000_t75" stroked="false">
          <v:imagedata r:id="rId1" o:title=""/>
        </v:shape>
      </w:pict>
    </w:r>
    <w:r>
      <w:rPr/>
      <w:pict>
        <v:shape style="position:absolute;margin-left:494.660004pt;margin-top:767.773926pt;width:13.15pt;height:11pt;mso-position-horizontal-relative:page;mso-position-vertical-relative:page;z-index:-163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440" type="#_x0000_t75" stroked="false">
          <v:imagedata r:id="rId1" o:title=""/>
        </v:shape>
      </w:pict>
    </w:r>
    <w:r>
      <w:rPr/>
      <w:pict>
        <v:shape style="position:absolute;margin-left:500.100006pt;margin-top:767.677917pt;width:6.5pt;height:11pt;mso-position-horizontal-relative:page;mso-position-vertical-relative:page;z-index:-1637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392" type="#_x0000_t75" stroked="false">
          <v:imagedata r:id="rId1" o:title=""/>
        </v:shape>
      </w:pict>
    </w:r>
    <w:r>
      <w:rPr/>
      <w:pict>
        <v:shape style="position:absolute;margin-left:500.100006pt;margin-top:767.677917pt;width:6.5pt;height:11pt;mso-position-horizontal-relative:page;mso-position-vertical-relative:page;z-index:-1637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344" type="#_x0000_t75" stroked="false">
          <v:imagedata r:id="rId1" o:title=""/>
        </v:shape>
      </w:pict>
    </w:r>
    <w:r>
      <w:rPr/>
      <w:pict>
        <v:shape style="position:absolute;margin-left:262.929993pt;margin-top:781.105591pt;width:69.7pt;height:11.5pt;mso-position-horizontal-relative:page;mso-position-vertical-relative:page;z-index:-1637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296" type="#_x0000_t75" stroked="false">
          <v:imagedata r:id="rId1" o:title=""/>
        </v:shape>
      </w:pict>
    </w:r>
    <w:r>
      <w:rPr/>
      <w:pict>
        <v:shape style="position:absolute;margin-left:262.929993pt;margin-top:781.105591pt;width:69.7pt;height:11.5pt;mso-position-horizontal-relative:page;mso-position-vertical-relative:page;z-index:-1637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248" type="#_x0000_t75" stroked="false">
          <v:imagedata r:id="rId1" o:title=""/>
        </v:shape>
      </w:pict>
    </w:r>
    <w:r>
      <w:rPr/>
      <w:pict>
        <v:shape style="position:absolute;margin-left:262.929993pt;margin-top:781.105591pt;width:69.7pt;height:11.5pt;mso-position-horizontal-relative:page;mso-position-vertical-relative:page;z-index:-1637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200" type="#_x0000_t75" stroked="false">
          <v:imagedata r:id="rId1" o:title=""/>
        </v:shape>
      </w:pict>
    </w:r>
    <w:r>
      <w:rPr/>
      <w:pict>
        <v:shape style="position:absolute;margin-left:262.929993pt;margin-top:781.105591pt;width:69.7pt;height:11.5pt;mso-position-horizontal-relative:page;mso-position-vertical-relative:page;z-index:-1637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152" type="#_x0000_t75" stroked="false">
          <v:imagedata r:id="rId1" o:title=""/>
        </v:shape>
      </w:pict>
    </w:r>
    <w:r>
      <w:rPr/>
      <w:pict>
        <v:shape style="position:absolute;margin-left:262.929993pt;margin-top:781.105591pt;width:69.7pt;height:11.5pt;mso-position-horizontal-relative:page;mso-position-vertical-relative:page;z-index:-1637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8280" type="#_x0000_t75" stroked="false">
          <v:imagedata r:id="rId1" o:title=""/>
        </v:shape>
      </w:pict>
    </w:r>
    <w:r>
      <w:rPr/>
      <w:pict>
        <v:shape style="position:absolute;margin-left:527.659973pt;margin-top:767.677917pt;width:13.15pt;height:11pt;mso-position-horizontal-relative:page;mso-position-vertical-relative:page;z-index:-1638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104" type="#_x0000_t75" stroked="false">
          <v:imagedata r:id="rId1" o:title=""/>
        </v:shape>
      </w:pict>
    </w:r>
    <w:r>
      <w:rPr/>
      <w:pict>
        <v:shape style="position:absolute;margin-left:262.929993pt;margin-top:781.105591pt;width:69.7pt;height:11.5pt;mso-position-horizontal-relative:page;mso-position-vertical-relative:page;z-index:-1637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056" type="#_x0000_t75" stroked="false">
          <v:imagedata r:id="rId1" o:title=""/>
        </v:shape>
      </w:pict>
    </w:r>
    <w:r>
      <w:rPr/>
      <w:pict>
        <v:shape style="position:absolute;margin-left:271.929993pt;margin-top:802.345581pt;width:51.7pt;height:11.5pt;mso-position-horizontal-relative:page;mso-position-vertical-relative:page;z-index:-1637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008" type="#_x0000_t75" stroked="false">
          <v:imagedata r:id="rId1" o:title=""/>
        </v:shape>
      </w:pict>
    </w:r>
    <w:r>
      <w:rPr/>
      <w:pict>
        <v:shape style="position:absolute;margin-left:271.929993pt;margin-top:802.345581pt;width:51.7pt;height:11.5pt;mso-position-horizontal-relative:page;mso-position-vertical-relative:page;z-index:-1636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960" type="#_x0000_t75" stroked="false">
          <v:imagedata r:id="rId1" o:title=""/>
        </v:shape>
      </w:pict>
    </w:r>
    <w:r>
      <w:rPr/>
      <w:pict>
        <v:shape style="position:absolute;margin-left:271.929993pt;margin-top:802.345581pt;width:51.7pt;height:11.5pt;mso-position-horizontal-relative:page;mso-position-vertical-relative:page;z-index:-1636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912" type="#_x0000_t75" stroked="false">
          <v:imagedata r:id="rId1" o:title=""/>
        </v:shape>
      </w:pict>
    </w:r>
    <w:r>
      <w:rPr/>
      <w:pict>
        <v:shape style="position:absolute;margin-left:271.929993pt;margin-top:802.345581pt;width:51.7pt;height:11.5pt;mso-position-horizontal-relative:page;mso-position-vertical-relative:page;z-index:-1636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864" type="#_x0000_t75" stroked="false">
          <v:imagedata r:id="rId1" o:title=""/>
        </v:shape>
      </w:pict>
    </w:r>
    <w:r>
      <w:rPr/>
      <w:pict>
        <v:shape style="position:absolute;margin-left:271.929993pt;margin-top:802.345581pt;width:51.7pt;height:11.5pt;mso-position-horizontal-relative:page;mso-position-vertical-relative:page;z-index:-1636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816" type="#_x0000_t75" stroked="false">
          <v:imagedata r:id="rId1" o:title=""/>
        </v:shape>
      </w:pict>
    </w:r>
    <w:r>
      <w:rPr/>
      <w:pict>
        <v:shape style="position:absolute;margin-left:269.769989pt;margin-top:802.345581pt;width:56.15pt;height:11.5pt;mso-position-horizontal-relative:page;mso-position-vertical-relative:page;z-index:-1636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768" type="#_x0000_t75" stroked="false">
          <v:imagedata r:id="rId1" o:title=""/>
        </v:shape>
      </w:pict>
    </w:r>
    <w:r>
      <w:rPr/>
      <w:pict>
        <v:shape style="position:absolute;margin-left:271.929993pt;margin-top:802.345581pt;width:51.7pt;height:11.5pt;mso-position-horizontal-relative:page;mso-position-vertical-relative:page;z-index:-1636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720" type="#_x0000_t75" stroked="false">
          <v:imagedata r:id="rId1" o:title=""/>
        </v:shape>
      </w:pict>
    </w:r>
    <w:r>
      <w:rPr/>
      <w:pict>
        <v:shape style="position:absolute;margin-left:271.929993pt;margin-top:802.345581pt;width:51.7pt;height:11.5pt;mso-position-horizontal-relative:page;mso-position-vertical-relative:page;z-index:-1636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672" type="#_x0000_t75" stroked="false">
          <v:imagedata r:id="rId1" o:title=""/>
        </v:shape>
      </w:pict>
    </w:r>
    <w:r>
      <w:rPr/>
      <w:pict>
        <v:shape style="position:absolute;margin-left:271.929993pt;margin-top:802.345581pt;width:51.7pt;height:11.5pt;mso-position-horizontal-relative:page;mso-position-vertical-relative:page;z-index:-1636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8208" type="#_x0000_t75" stroked="false">
          <v:imagedata r:id="rId1" o:title=""/>
        </v:shape>
      </w:pict>
    </w:r>
    <w:r>
      <w:rPr/>
      <w:pict>
        <v:shape style="position:absolute;margin-left:759.039978pt;margin-top:521.053955pt;width:13.15pt;height:11pt;mso-position-horizontal-relative:page;mso-position-vertical-relative:page;z-index:-1638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624" type="#_x0000_t75" stroked="false">
          <v:imagedata r:id="rId1" o:title=""/>
        </v:shape>
      </w:pict>
    </w:r>
    <w:r>
      <w:rPr/>
      <w:pict>
        <v:shape style="position:absolute;margin-left:269.769989pt;margin-top:802.345581pt;width:56.15pt;height:11.5pt;mso-position-horizontal-relative:page;mso-position-vertical-relative:page;z-index:-1636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576" type="#_x0000_t75" stroked="false">
          <v:imagedata r:id="rId1" o:title=""/>
        </v:shape>
      </w:pict>
    </w:r>
    <w:r>
      <w:rPr/>
      <w:pict>
        <v:shape style="position:absolute;margin-left:269.890015pt;margin-top:802.345581pt;width:55.8pt;height:11.5pt;mso-position-horizontal-relative:page;mso-position-vertical-relative:page;z-index:-1636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528" type="#_x0000_t75" stroked="false">
          <v:imagedata r:id="rId1" o:title=""/>
        </v:shape>
      </w:pict>
    </w:r>
    <w:r>
      <w:rPr/>
      <w:pict>
        <v:shape style="position:absolute;margin-left:269.769989pt;margin-top:802.345581pt;width:56.15pt;height:11.5pt;mso-position-horizontal-relative:page;mso-position-vertical-relative:page;z-index:-1636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480" type="#_x0000_t75" stroked="false">
          <v:imagedata r:id="rId1" o:title=""/>
        </v:shape>
      </w:pict>
    </w:r>
    <w:r>
      <w:rPr/>
      <w:pict>
        <v:shape style="position:absolute;margin-left:269.769989pt;margin-top:802.345581pt;width:56.15pt;height:11.5pt;mso-position-horizontal-relative:page;mso-position-vertical-relative:page;z-index:-1636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432" type="#_x0000_t75" stroked="false">
          <v:imagedata r:id="rId1" o:title=""/>
        </v:shape>
      </w:pict>
    </w:r>
    <w:r>
      <w:rPr/>
      <w:pict>
        <v:shape style="position:absolute;margin-left:269.769989pt;margin-top:802.345581pt;width:56.15pt;height:11.5pt;mso-position-horizontal-relative:page;mso-position-vertical-relative:page;z-index:-1636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384" type="#_x0000_t75" stroked="false">
          <v:imagedata r:id="rId1" o:title=""/>
        </v:shape>
      </w:pict>
    </w:r>
    <w:r>
      <w:rPr/>
      <w:pict>
        <v:shape style="position:absolute;margin-left:269.769989pt;margin-top:802.345581pt;width:56.15pt;height:11.5pt;mso-position-horizontal-relative:page;mso-position-vertical-relative:page;z-index:-1636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336" type="#_x0000_t75" stroked="false">
          <v:imagedata r:id="rId1" o:title=""/>
        </v:shape>
      </w:pict>
    </w:r>
    <w:r>
      <w:rPr/>
      <w:pict>
        <v:shape style="position:absolute;margin-left:269.769989pt;margin-top:802.345581pt;width:56.15pt;height:11.5pt;mso-position-horizontal-relative:page;mso-position-vertical-relative:page;z-index:-1636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6288" type="#_x0000_t75" stroked="false">
          <v:imagedata r:id="rId1" o:title=""/>
        </v:shape>
      </w:pict>
    </w:r>
    <w:r>
      <w:rPr/>
      <w:pict>
        <v:shape style="position:absolute;margin-left:393.029999pt;margin-top:555.721619pt;width:56.15pt;height:11.5pt;mso-position-horizontal-relative:page;mso-position-vertical-relative:page;z-index:-1636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6240" type="#_x0000_t75" stroked="false">
          <v:imagedata r:id="rId1" o:title=""/>
        </v:shape>
      </w:pict>
    </w:r>
    <w:r>
      <w:rPr/>
      <w:pict>
        <v:shape style="position:absolute;margin-left:393.029999pt;margin-top:555.721619pt;width:56.15pt;height:11.5pt;mso-position-horizontal-relative:page;mso-position-vertical-relative:page;z-index:-1636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6168" type="#_x0000_t75" stroked="false">
          <v:imagedata r:id="rId1" o:title=""/>
        </v:shape>
      </w:pict>
    </w:r>
    <w:r>
      <w:rPr/>
      <w:pict>
        <v:shape style="position:absolute;margin-left:393.029999pt;margin-top:555.721619pt;width:56.15pt;height:11.5pt;mso-position-horizontal-relative:page;mso-position-vertical-relative:page;z-index:-1636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8160" type="#_x0000_t75" stroked="false">
          <v:imagedata r:id="rId1" o:title=""/>
        </v:shape>
      </w:pict>
    </w:r>
    <w:r>
      <w:rPr/>
      <w:pict>
        <v:shape style="position:absolute;margin-left:759.039978pt;margin-top:521.053955pt;width:13.1pt;height:11pt;mso-position-horizontal-relative:page;mso-position-vertical-relative:page;z-index:-163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6120" type="#_x0000_t75" stroked="false">
          <v:imagedata r:id="rId1" o:title=""/>
        </v:shape>
      </w:pict>
    </w:r>
    <w:r>
      <w:rPr/>
      <w:pict>
        <v:shape style="position:absolute;margin-left:393.029999pt;margin-top:555.721619pt;width:56.15pt;height:11.5pt;mso-position-horizontal-relative:page;mso-position-vertical-relative:page;z-index:-1636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6024" type="#_x0000_t75" stroked="false">
          <v:imagedata r:id="rId1" o:title=""/>
        </v:shape>
      </w:pict>
    </w:r>
    <w:r>
      <w:rPr/>
      <w:pict>
        <v:shape style="position:absolute;margin-left:251.770004pt;margin-top:781.105591pt;width:92.15pt;height:11.5pt;mso-position-horizontal-relative:page;mso-position-vertical-relative:page;z-index:-1636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5976" type="#_x0000_t75" stroked="false">
          <v:imagedata r:id="rId1" o:title=""/>
        </v:shape>
      </w:pict>
    </w:r>
    <w:r>
      <w:rPr/>
      <w:pict>
        <v:shape style="position:absolute;margin-left:251.770004pt;margin-top:781.105591pt;width:92.15pt;height:11.5pt;mso-position-horizontal-relative:page;mso-position-vertical-relative:page;z-index:-1635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5928" type="#_x0000_t75" stroked="false">
          <v:imagedata r:id="rId1" o:title=""/>
        </v:shape>
      </w:pict>
    </w:r>
    <w:r>
      <w:rPr/>
      <w:pict>
        <v:shape style="position:absolute;margin-left:251.770004pt;margin-top:781.105591pt;width:92.15pt;height:11.5pt;mso-position-horizontal-relative:page;mso-position-vertical-relative:page;z-index:-1635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5832" type="#_x0000_t75" stroked="false">
          <v:imagedata r:id="rId1" o:title=""/>
        </v:shape>
      </w:pict>
    </w:r>
    <w:r>
      <w:rPr/>
      <w:pict>
        <v:shape style="position:absolute;margin-left:375.01001pt;margin-top:534.481628pt;width:92.15pt;height:11.5pt;mso-position-horizontal-relative:page;mso-position-vertical-relative:page;z-index:-1635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5736" type="#_x0000_t75" stroked="false">
          <v:imagedata r:id="rId1" o:title=""/>
        </v:shape>
      </w:pict>
    </w:r>
    <w:r>
      <w:rPr/>
      <w:pict>
        <v:shape style="position:absolute;margin-left:251.770004pt;margin-top:781.105591pt;width:92.15pt;height:11.5pt;mso-position-horizontal-relative:page;mso-position-vertical-relative:page;z-index:-1635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5640" type="#_x0000_t75" stroked="false">
          <v:imagedata r:id="rId1" o:title=""/>
        </v:shape>
      </w:pict>
    </w:r>
    <w:r>
      <w:rPr/>
      <w:pict>
        <v:shape style="position:absolute;margin-left:375.01001pt;margin-top:534.481628pt;width:92.15pt;height:11.5pt;mso-position-horizontal-relative:page;mso-position-vertical-relative:page;z-index:-1635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5544" type="#_x0000_t75" stroked="false">
          <v:imagedata r:id="rId1" o:title=""/>
        </v:shape>
      </w:pict>
    </w:r>
    <w:r>
      <w:rPr/>
      <w:pict>
        <v:shape style="position:absolute;margin-left:251.770004pt;margin-top:781.105591pt;width:92.15pt;height:11.5pt;mso-position-horizontal-relative:page;mso-position-vertical-relative:page;z-index:-1635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8064" type="#_x0000_t75" stroked="false">
          <v:imagedata r:id="rId1" o:title=""/>
        </v:shape>
      </w:pict>
    </w:r>
    <w:r>
      <w:rPr/>
      <w:pict>
        <v:shape style="position:absolute;margin-left:527.659973pt;margin-top:767.677917pt;width:13.15pt;height:11pt;mso-position-horizontal-relative:page;mso-position-vertical-relative:page;z-index:-163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5448" type="#_x0000_t75" stroked="false">
          <v:imagedata r:id="rId1" o:title=""/>
        </v:shape>
      </w:pict>
    </w:r>
    <w:r>
      <w:rPr/>
      <w:pict>
        <v:shape style="position:absolute;margin-left:375.01001pt;margin-top:534.481628pt;width:92.15pt;height:11.5pt;mso-position-horizontal-relative:page;mso-position-vertical-relative:page;z-index:-1635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49</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5352" type="#_x0000_t75" stroked="false">
          <v:imagedata r:id="rId1" o:title=""/>
        </v:shape>
      </w:pict>
    </w:r>
    <w:r>
      <w:rPr/>
      <w:pict>
        <v:shape style="position:absolute;margin-left:251.770004pt;margin-top:781.105591pt;width:92.15pt;height:11.5pt;mso-position-horizontal-relative:page;mso-position-vertical-relative:page;z-index:-1635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5256" type="#_x0000_t75" stroked="false">
          <v:imagedata r:id="rId1" o:title=""/>
        </v:shape>
      </w:pict>
    </w:r>
    <w:r>
      <w:rPr/>
      <w:pict>
        <v:shape style="position:absolute;margin-left:375.01001pt;margin-top:534.481628pt;width:92.15pt;height:11.5pt;mso-position-horizontal-relative:page;mso-position-vertical-relative:page;z-index:-1635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5160" type="#_x0000_t75" stroked="false">
          <v:imagedata r:id="rId1" o:title=""/>
        </v:shape>
      </w:pict>
    </w:r>
    <w:r>
      <w:rPr/>
      <w:pict>
        <v:shape style="position:absolute;margin-left:251.770004pt;margin-top:781.105591pt;width:92.15pt;height:11.5pt;mso-position-horizontal-relative:page;mso-position-vertical-relative:page;z-index:-1635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5064" type="#_x0000_t75" stroked="false">
          <v:imagedata r:id="rId1" o:title=""/>
        </v:shape>
      </w:pict>
    </w:r>
    <w:r>
      <w:rPr/>
      <w:pict>
        <v:shape style="position:absolute;margin-left:375.01001pt;margin-top:534.481628pt;width:92.15pt;height:11.5pt;mso-position-horizontal-relative:page;mso-position-vertical-relative:page;z-index:-1635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968" type="#_x0000_t75" stroked="false">
          <v:imagedata r:id="rId1" o:title=""/>
        </v:shape>
      </w:pict>
    </w:r>
    <w:r>
      <w:rPr/>
      <w:pict>
        <v:shape style="position:absolute;margin-left:251.770004pt;margin-top:781.105591pt;width:92.15pt;height:11.5pt;mso-position-horizontal-relative:page;mso-position-vertical-relative:page;z-index:-1634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896" type="#_x0000_t75" stroked="false">
          <v:imagedata r:id="rId1" o:title=""/>
        </v:shape>
      </w:pict>
    </w:r>
    <w:r>
      <w:rPr/>
      <w:pict>
        <v:shape style="position:absolute;margin-left:251.770004pt;margin-top:781.105591pt;width:92.15pt;height:11.5pt;mso-position-horizontal-relative:page;mso-position-vertical-relative:page;z-index:-1634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7992" type="#_x0000_t75" stroked="false">
          <v:imagedata r:id="rId1" o:title=""/>
        </v:shape>
      </w:pict>
    </w:r>
    <w:r>
      <w:rPr/>
      <w:pict>
        <v:shape style="position:absolute;margin-left:759.039978pt;margin-top:521.053955pt;width:13.15pt;height:11pt;mso-position-horizontal-relative:page;mso-position-vertical-relative:page;z-index:-1637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4800" type="#_x0000_t75" stroked="false">
          <v:imagedata r:id="rId1" o:title=""/>
        </v:shape>
      </w:pict>
    </w:r>
    <w:r>
      <w:rPr/>
      <w:pict>
        <v:shape style="position:absolute;margin-left:372.730011pt;margin-top:534.481628pt;width:96.7pt;height:11.5pt;mso-position-horizontal-relative:page;mso-position-vertical-relative:page;z-index:-1634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704" type="#_x0000_t75" stroked="false">
          <v:imagedata r:id="rId1" o:title=""/>
        </v:shape>
      </w:pict>
    </w:r>
    <w:r>
      <w:rPr/>
      <w:pict>
        <v:shape style="position:absolute;margin-left:249.610001pt;margin-top:781.105591pt;width:96.35pt;height:11.5pt;mso-position-horizontal-relative:page;mso-position-vertical-relative:page;z-index:-1634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656" type="#_x0000_t75" stroked="false">
          <v:imagedata r:id="rId1" o:title=""/>
        </v:shape>
      </w:pict>
    </w:r>
    <w:r>
      <w:rPr/>
      <w:pict>
        <v:shape style="position:absolute;margin-left:249.490005pt;margin-top:781.105591pt;width:96.7pt;height:11.5pt;mso-position-horizontal-relative:page;mso-position-vertical-relative:page;z-index:-1634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608" type="#_x0000_t75" stroked="false">
          <v:imagedata r:id="rId1" o:title=""/>
        </v:shape>
      </w:pict>
    </w:r>
    <w:r>
      <w:rPr/>
      <w:pict>
        <v:shape style="position:absolute;margin-left:249.490005pt;margin-top:781.105591pt;width:96.7pt;height:11.5pt;mso-position-horizontal-relative:page;mso-position-vertical-relative:page;z-index:-1634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560" type="#_x0000_t75" stroked="false">
          <v:imagedata r:id="rId1" o:title=""/>
        </v:shape>
      </w:pict>
    </w:r>
    <w:r>
      <w:rPr/>
      <w:pict>
        <v:shape style="position:absolute;margin-left:249.490005pt;margin-top:781.105591pt;width:96.7pt;height:11.5pt;mso-position-horizontal-relative:page;mso-position-vertical-relative:page;z-index:-1634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512" type="#_x0000_t75" stroked="false">
          <v:imagedata r:id="rId1" o:title=""/>
        </v:shape>
      </w:pict>
    </w:r>
    <w:r>
      <w:rPr/>
      <w:pict>
        <v:shape style="position:absolute;margin-left:249.490005pt;margin-top:781.105591pt;width:96.7pt;height:11.5pt;mso-position-horizontal-relative:page;mso-position-vertical-relative:page;z-index:-1634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4416" type="#_x0000_t75" stroked="false">
          <v:imagedata r:id="rId1" o:title=""/>
        </v:shape>
      </w:pict>
    </w:r>
    <w:r>
      <w:rPr/>
      <w:pict>
        <v:shape style="position:absolute;margin-left:372.730011pt;margin-top:534.481628pt;width:96.7pt;height:11.5pt;mso-position-horizontal-relative:page;mso-position-vertical-relative:page;z-index:-1634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4368" type="#_x0000_t75" stroked="false">
          <v:imagedata r:id="rId1" o:title=""/>
        </v:shape>
      </w:pict>
    </w:r>
    <w:r>
      <w:rPr/>
      <w:pict>
        <v:shape style="position:absolute;margin-left:372.730011pt;margin-top:534.481628pt;width:96.7pt;height:11.5pt;mso-position-horizontal-relative:page;mso-position-vertical-relative:page;z-index:-1634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896" type="#_x0000_t75" stroked="false">
          <v:imagedata r:id="rId1" o:title=""/>
        </v:shape>
      </w:pict>
    </w:r>
    <w:r>
      <w:rPr/>
      <w:pict>
        <v:shape style="position:absolute;margin-left:527.659973pt;margin-top:767.677917pt;width:13.15pt;height:11pt;mso-position-horizontal-relative:page;mso-position-vertical-relative:page;z-index:-163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4272" type="#_x0000_t75" stroked="false">
          <v:imagedata r:id="rId1" o:title=""/>
        </v:shape>
      </w:pict>
    </w:r>
    <w:r>
      <w:rPr/>
      <w:pict>
        <v:shape style="position:absolute;margin-left:249.490005pt;margin-top:781.105591pt;width:96.7pt;height:11.5pt;mso-position-horizontal-relative:page;mso-position-vertical-relative:page;z-index:-1634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637824" type="#_x0000_t75" stroked="false">
          <v:imagedata r:id="rId1" o:title=""/>
        </v:shape>
      </w:pict>
    </w:r>
    <w:r>
      <w:rPr/>
      <w:pict>
        <v:shape style="position:absolute;margin-left:759.039978pt;margin-top:521.053955pt;width:13.15pt;height:11pt;mso-position-horizontal-relative:page;mso-position-vertical-relative:page;z-index:-163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37704" type="#_x0000_t75" stroked="false">
          <v:imagedata r:id="rId1" o:title=""/>
        </v:shape>
      </w:pict>
    </w:r>
    <w:r>
      <w:rPr/>
      <w:pict>
        <v:shape style="position:absolute;margin-left:527.659973pt;margin-top:767.677917pt;width:13.15pt;height:11pt;mso-position-horizontal-relative:page;mso-position-vertical-relative:page;z-index:-163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83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070007pt;margin-top:42.865608pt;width:204.75pt;height:11.5pt;mso-position-horizontal-relative:page;mso-position-vertical-relative:page;z-index:-1638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78pt;width:418.65pt;height:.1pt;mso-position-horizontal-relative:page;mso-position-vertical-relative:page;z-index:-1637584" coordorigin="1769,1111" coordsize="8373,2">
          <v:shape style="position:absolute;left:1769;top:1111;width:8373;height:2" coordorigin="1769,1111" coordsize="8373,0" path="m1769,1111l10142,1111e" filled="false" stroked="true" strokeweight=".72pt" strokecolor="#000000">
            <v:path arrowok="t"/>
          </v:shape>
          <w10:wrap type="none"/>
        </v:group>
      </w:pict>
    </w:r>
    <w:r>
      <w:rPr/>
      <w:pict>
        <v:shape style="position:absolute;margin-left:302.049988pt;margin-top:42.865604pt;width:204.75pt;height:11.5pt;mso-position-horizontal-relative:page;mso-position-vertical-relative:page;z-index:-1637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7pt;height:11.5pt;mso-position-horizontal-relative:page;mso-position-vertical-relative:page;z-index:-1638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8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638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769989pt;margin-top:86.205635pt;width:128.4500pt;height:11pt;mso-position-horizontal-relative:page;mso-position-vertical-relative:page;z-index:-1636192"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sz w:val="18"/>
                    <w:szCs w:val="18"/>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7pt;height:11.5pt;mso-position-horizontal-relative:page;mso-position-vertical-relative:page;z-index:-1638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639984pt;width:416.85pt;height:.1pt;mso-position-horizontal-relative:page;mso-position-vertical-relative:page;z-index:-1636072" coordorigin="1769,1013" coordsize="8337,2">
          <v:shape style="position:absolute;left:1769;top:1013;width:8337;height:2" coordorigin="1769,1013" coordsize="8337,0" path="m1769,1013l10106,1013e" filled="false" stroked="true" strokeweight=".48pt" strokecolor="#000000">
            <v:path arrowok="t"/>
          </v:shape>
          <w10:wrap type="none"/>
        </v:group>
      </w:pict>
    </w:r>
    <w:r>
      <w:rPr/>
      <w:pict>
        <v:shape style="position:absolute;margin-left:292.809998pt;margin-top:37.945606pt;width:204.7pt;height:11.5pt;mso-position-horizontal-relative:page;mso-position-vertical-relative:page;z-index:-1636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0.640007pt;width:699.15pt;height:.1pt;mso-position-horizontal-relative:page;mso-position-vertical-relative:page;z-index:-1635880" coordorigin="1411,1013" coordsize="13983,2">
          <v:shape style="position:absolute;left:1411;top:1013;width:13983;height:2" coordorigin="1411,1013" coordsize="13983,0" path="m1411,1013l15394,1013e" filled="false" stroked="true" strokeweight=".48pt" strokecolor="#000000">
            <v:path arrowok="t"/>
          </v:shape>
          <w10:wrap type="none"/>
        </v:group>
      </w:pict>
    </w:r>
    <w:r>
      <w:rPr/>
      <w:pict>
        <v:shape style="position:absolute;margin-left:557.219971pt;margin-top:37.945633pt;width:204.7pt;height:11.5pt;mso-position-horizontal-relative:page;mso-position-vertical-relative:page;z-index:-1635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639984pt;width:416.85pt;height:.1pt;mso-position-horizontal-relative:page;mso-position-vertical-relative:page;z-index:-1635784" coordorigin="1769,1013" coordsize="8337,2">
          <v:shape style="position:absolute;left:1769;top:1013;width:8337;height:2" coordorigin="1769,1013" coordsize="8337,0" path="m1769,1013l10106,1013e" filled="false" stroked="true" strokeweight=".48pt" strokecolor="#000000">
            <v:path arrowok="t"/>
          </v:shape>
          <w10:wrap type="none"/>
        </v:group>
      </w:pict>
    </w:r>
    <w:r>
      <w:rPr/>
      <w:pict>
        <v:shape style="position:absolute;margin-left:292.809998pt;margin-top:37.945606pt;width:204.7pt;height:11.5pt;mso-position-horizontal-relative:page;mso-position-vertical-relative:page;z-index:-1635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0.640007pt;width:699.15pt;height:.1pt;mso-position-horizontal-relative:page;mso-position-vertical-relative:page;z-index:-1635688" coordorigin="1411,1013" coordsize="13983,2">
          <v:shape style="position:absolute;left:1411;top:1013;width:13983;height:2" coordorigin="1411,1013" coordsize="13983,0" path="m1411,1013l15394,1013e" filled="false" stroked="true" strokeweight=".48pt" strokecolor="#000000">
            <v:path arrowok="t"/>
          </v:shape>
          <w10:wrap type="none"/>
        </v:group>
      </w:pict>
    </w:r>
    <w:r>
      <w:rPr/>
      <w:pict>
        <v:shape style="position:absolute;margin-left:557.219971pt;margin-top:37.945633pt;width:204.7pt;height:11.5pt;mso-position-horizontal-relative:page;mso-position-vertical-relative:page;z-index:-1635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639984pt;width:416.85pt;height:.1pt;mso-position-horizontal-relative:page;mso-position-vertical-relative:page;z-index:-1635592" coordorigin="1769,1013" coordsize="8337,2">
          <v:shape style="position:absolute;left:1769;top:1013;width:8337;height:2" coordorigin="1769,1013" coordsize="8337,0" path="m1769,1013l10106,1013e" filled="false" stroked="true" strokeweight=".48pt" strokecolor="#000000">
            <v:path arrowok="t"/>
          </v:shape>
          <w10:wrap type="none"/>
        </v:group>
      </w:pict>
    </w:r>
    <w:r>
      <w:rPr/>
      <w:pict>
        <v:shape style="position:absolute;margin-left:292.809998pt;margin-top:37.945606pt;width:204.7pt;height:11.5pt;mso-position-horizontal-relative:page;mso-position-vertical-relative:page;z-index:-1635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0.640007pt;width:699.15pt;height:.1pt;mso-position-horizontal-relative:page;mso-position-vertical-relative:page;z-index:-1635496" coordorigin="1411,1013" coordsize="13983,2">
          <v:shape style="position:absolute;left:1411;top:1013;width:13983;height:2" coordorigin="1411,1013" coordsize="13983,0" path="m1411,1013l15394,1013e" filled="false" stroked="true" strokeweight=".48pt" strokecolor="#000000">
            <v:path arrowok="t"/>
          </v:shape>
          <w10:wrap type="none"/>
        </v:group>
      </w:pict>
    </w:r>
    <w:r>
      <w:rPr/>
      <w:pict>
        <v:shape style="position:absolute;margin-left:557.219971pt;margin-top:37.945633pt;width:204.7pt;height:11.5pt;mso-position-horizontal-relative:page;mso-position-vertical-relative:page;z-index:-1635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639984pt;width:416.85pt;height:.1pt;mso-position-horizontal-relative:page;mso-position-vertical-relative:page;z-index:-1635400" coordorigin="1769,1013" coordsize="8337,2">
          <v:shape style="position:absolute;left:1769;top:1013;width:8337;height:2" coordorigin="1769,1013" coordsize="8337,0" path="m1769,1013l10106,1013e" filled="false" stroked="true" strokeweight=".48pt" strokecolor="#000000">
            <v:path arrowok="t"/>
          </v:shape>
          <w10:wrap type="none"/>
        </v:group>
      </w:pict>
    </w:r>
    <w:r>
      <w:rPr/>
      <w:pict>
        <v:shape style="position:absolute;margin-left:292.809998pt;margin-top:37.945606pt;width:204.7pt;height:11.5pt;mso-position-horizontal-relative:page;mso-position-vertical-relative:page;z-index:-1635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7.720009pt;width:699.15pt;height:.1pt;mso-position-horizontal-relative:page;mso-position-vertical-relative:page;z-index:-1635304" coordorigin="1411,1154" coordsize="13983,2">
          <v:shape style="position:absolute;left:1411;top:1154;width:13983;height:2" coordorigin="1411,1154" coordsize="13983,0" path="m1411,1154l15394,1154e" filled="false" stroked="true" strokeweight=".48pt" strokecolor="#000000">
            <v:path arrowok="t"/>
          </v:shape>
          <w10:wrap type="none"/>
        </v:group>
      </w:pict>
    </w:r>
    <w:r>
      <w:rPr/>
      <w:pict>
        <v:shape style="position:absolute;margin-left:557.219971pt;margin-top:45.145634pt;width:204.7pt;height:11.5pt;mso-position-horizontal-relative:page;mso-position-vertical-relative:page;z-index:-1635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7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637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639984pt;width:416.85pt;height:.1pt;mso-position-horizontal-relative:page;mso-position-vertical-relative:page;z-index:-1635208" coordorigin="1769,1013" coordsize="8337,2">
          <v:shape style="position:absolute;left:1769;top:1013;width:8337;height:2" coordorigin="1769,1013" coordsize="8337,0" path="m1769,1013l10106,1013e" filled="false" stroked="true" strokeweight=".48pt" strokecolor="#000000">
            <v:path arrowok="t"/>
          </v:shape>
          <w10:wrap type="none"/>
        </v:group>
      </w:pict>
    </w:r>
    <w:r>
      <w:rPr/>
      <w:pict>
        <v:shape style="position:absolute;margin-left:292.809998pt;margin-top:37.945606pt;width:204.7pt;height:11.5pt;mso-position-horizontal-relative:page;mso-position-vertical-relative:page;z-index:-1635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0.640007pt;width:699.15pt;height:.1pt;mso-position-horizontal-relative:page;mso-position-vertical-relative:page;z-index:-1635112" coordorigin="1411,1013" coordsize="13983,2">
          <v:shape style="position:absolute;left:1411;top:1013;width:13983;height:2" coordorigin="1411,1013" coordsize="13983,0" path="m1411,1013l15394,1013e" filled="false" stroked="true" strokeweight=".48pt" strokecolor="#000000">
            <v:path arrowok="t"/>
          </v:shape>
          <w10:wrap type="none"/>
        </v:group>
      </w:pict>
    </w:r>
    <w:r>
      <w:rPr/>
      <w:pict>
        <v:shape style="position:absolute;margin-left:557.219971pt;margin-top:37.945633pt;width:204.7pt;height:11.5pt;mso-position-horizontal-relative:page;mso-position-vertical-relative:page;z-index:-1635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639984pt;width:416.85pt;height:.1pt;mso-position-horizontal-relative:page;mso-position-vertical-relative:page;z-index:-1635016" coordorigin="1769,1013" coordsize="8337,2">
          <v:shape style="position:absolute;left:1769;top:1013;width:8337;height:2" coordorigin="1769,1013" coordsize="8337,0" path="m1769,1013l10106,1013e" filled="false" stroked="true" strokeweight=".48pt" strokecolor="#000000">
            <v:path arrowok="t"/>
          </v:shape>
          <w10:wrap type="none"/>
        </v:group>
      </w:pict>
    </w:r>
    <w:r>
      <w:rPr/>
      <w:pict>
        <v:shape style="position:absolute;margin-left:292.809998pt;margin-top:37.945606pt;width:204.7pt;height:11.5pt;mso-position-horizontal-relative:page;mso-position-vertical-relative:page;z-index:-1634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809998pt;margin-top:37.945606pt;width:204.7pt;height:11.5pt;mso-position-horizontal-relative:page;mso-position-vertical-relative:page;z-index:-1634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0.400009pt;width:700.95pt;height:.1pt;mso-position-horizontal-relative:page;mso-position-vertical-relative:page;z-index:-1634848" coordorigin="1411,1008" coordsize="14019,2">
          <v:shape style="position:absolute;left:1411;top:1008;width:14019;height:2" coordorigin="1411,1008" coordsize="14019,0" path="m1411,1008l15430,1008e" filled="false" stroked="true" strokeweight=".48pt" strokecolor="#000000">
            <v:path arrowok="t"/>
          </v:shape>
          <w10:wrap type="none"/>
        </v:group>
      </w:pict>
    </w:r>
    <w:r>
      <w:rPr/>
      <w:pict>
        <v:shape style="position:absolute;margin-left:566.460022pt;margin-top:37.705631pt;width:204.7pt;height:11.5pt;mso-position-horizontal-relative:page;mso-position-vertical-relative:page;z-index:-1634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399982pt;width:418.65pt;height:.1pt;mso-position-horizontal-relative:page;mso-position-vertical-relative:page;z-index:-1634752" coordorigin="1769,1008" coordsize="8373,2">
          <v:shape style="position:absolute;left:1769;top:1008;width:8373;height:2" coordorigin="1769,1008" coordsize="8373,0" path="m1769,1008l10142,1008e" filled="false" stroked="true" strokeweight=".48pt" strokecolor="#000000">
            <v:path arrowok="t"/>
          </v:shape>
          <w10:wrap type="none"/>
        </v:group>
      </w:pict>
    </w:r>
    <w:r>
      <w:rPr/>
      <w:pict>
        <v:shape style="position:absolute;margin-left:302.049988pt;margin-top:37.705608pt;width:204.75pt;height:11.5pt;mso-position-horizontal-relative:page;mso-position-vertical-relative:page;z-index:-1634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59.805634pt;width:204.7pt;height:11.5pt;mso-position-horizontal-relative:page;mso-position-vertical-relative:page;z-index:-1637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0.400009pt;width:700.95pt;height:.1pt;mso-position-horizontal-relative:page;mso-position-vertical-relative:page;z-index:-1634464" coordorigin="1411,1008" coordsize="14019,2">
          <v:shape style="position:absolute;left:1411;top:1008;width:14019;height:2" coordorigin="1411,1008" coordsize="14019,0" path="m1411,1008l15430,1008e" filled="false" stroked="true" strokeweight=".48pt" strokecolor="#000000">
            <v:path arrowok="t"/>
          </v:shape>
          <w10:wrap type="none"/>
        </v:group>
      </w:pict>
    </w:r>
    <w:r>
      <w:rPr/>
      <w:pict>
        <v:shape style="position:absolute;margin-left:566.460022pt;margin-top:37.705631pt;width:204.7pt;height:11.5pt;mso-position-horizontal-relative:page;mso-position-vertical-relative:page;z-index:-1634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0.399982pt;width:418.65pt;height:.1pt;mso-position-horizontal-relative:page;mso-position-vertical-relative:page;z-index:-1634320" coordorigin="1769,1008" coordsize="8373,2">
          <v:shape style="position:absolute;left:1769;top:1008;width:8373;height:2" coordorigin="1769,1008" coordsize="8373,0" path="m1769,1008l10142,1008e" filled="false" stroked="true" strokeweight=".48pt" strokecolor="#000000">
            <v:path arrowok="t"/>
          </v:shape>
          <w10:wrap type="none"/>
        </v:group>
      </w:pict>
    </w:r>
    <w:r>
      <w:rPr/>
      <w:pict>
        <v:shape style="position:absolute;margin-left:302.049988pt;margin-top:37.705608pt;width:204.75pt;height:11.5pt;mso-position-horizontal-relative:page;mso-position-vertical-relative:page;z-index:-1634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7pt;height:11.5pt;mso-position-horizontal-relative:page;mso-position-vertical-relative:page;z-index:-1637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6377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637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7pt;height:11.5pt;mso-position-horizontal-relative:page;mso-position-vertical-relative:page;z-index:-1637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2"/>
      <w:ind w:left="157"/>
    </w:pPr>
    <w:rPr>
      <w:rFonts w:ascii="Microsoft JhengHei" w:hAnsi="Microsoft JhengHei" w:eastAsia="Microsoft JhengHei"/>
      <w:b/>
      <w:bCs/>
      <w:sz w:val="28"/>
      <w:szCs w:val="28"/>
    </w:rPr>
  </w:style>
  <w:style w:styleId="BodyText" w:type="paragraph">
    <w:name w:val="Body Text"/>
    <w:basedOn w:val="Normal"/>
    <w:uiPriority w:val="1"/>
    <w:qFormat/>
    <w:pPr>
      <w:spacing w:before="36"/>
      <w:ind w:left="1414"/>
    </w:pPr>
    <w:rPr>
      <w:rFonts w:ascii="宋体" w:hAnsi="宋体" w:eastAsia="宋体"/>
      <w:sz w:val="21"/>
      <w:szCs w:val="21"/>
    </w:rPr>
  </w:style>
  <w:style w:styleId="Heading1" w:type="paragraph">
    <w:name w:val="Heading 1"/>
    <w:basedOn w:val="Normal"/>
    <w:uiPriority w:val="1"/>
    <w:qFormat/>
    <w:pPr>
      <w:ind w:left="2601"/>
      <w:outlineLvl w:val="1"/>
    </w:pPr>
    <w:rPr>
      <w:rFonts w:ascii="Microsoft JhengHei" w:hAnsi="Microsoft JhengHei" w:eastAsia="Microsoft JhengHei"/>
      <w:b/>
      <w:bCs/>
      <w:sz w:val="32"/>
      <w:szCs w:val="32"/>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18" w:firstLine="566"/>
      <w:outlineLvl w:val="3"/>
    </w:pPr>
    <w:rPr>
      <w:rFonts w:ascii="宋体" w:hAnsi="宋体" w:eastAsia="宋体"/>
      <w:sz w:val="28"/>
      <w:szCs w:val="28"/>
    </w:rPr>
  </w:style>
  <w:style w:styleId="Heading4" w:type="paragraph">
    <w:name w:val="Heading 4"/>
    <w:basedOn w:val="Normal"/>
    <w:uiPriority w:val="1"/>
    <w:qFormat/>
    <w:pPr>
      <w:ind w:left="212"/>
      <w:outlineLvl w:val="4"/>
    </w:pPr>
    <w:rPr>
      <w:rFonts w:ascii="Microsoft JhengHei" w:hAnsi="Microsoft JhengHei" w:eastAsia="Microsoft JhengHei"/>
      <w:b/>
      <w:bCs/>
      <w:sz w:val="24"/>
      <w:szCs w:val="24"/>
    </w:rPr>
  </w:style>
  <w:style w:styleId="Heading5" w:type="paragraph">
    <w:name w:val="Heading 5"/>
    <w:basedOn w:val="Normal"/>
    <w:uiPriority w:val="1"/>
    <w:qFormat/>
    <w:pPr>
      <w:spacing w:before="77"/>
      <w:ind w:left="152" w:firstLine="439"/>
      <w:outlineLvl w:val="5"/>
    </w:pPr>
    <w:rPr>
      <w:rFonts w:ascii="宋体" w:hAnsi="宋体" w:eastAsia="宋体"/>
      <w:sz w:val="22"/>
      <w:szCs w:val="22"/>
    </w:rPr>
  </w:style>
  <w:style w:styleId="Heading6" w:type="paragraph">
    <w:name w:val="Heading 6"/>
    <w:basedOn w:val="Normal"/>
    <w:uiPriority w:val="1"/>
    <w:qFormat/>
    <w:pPr>
      <w:ind w:left="846"/>
      <w:outlineLvl w:val="6"/>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szap.com/" TargetMode="External"/><Relationship Id="rId10" Type="http://schemas.openxmlformats.org/officeDocument/2006/relationships/hyperlink" Target="mailto:IR@szap.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eader" Target="header6.xml"/><Relationship Id="rId23" Type="http://schemas.openxmlformats.org/officeDocument/2006/relationships/footer" Target="footer8.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header" Target="header9.xml"/><Relationship Id="rId28" Type="http://schemas.openxmlformats.org/officeDocument/2006/relationships/footer" Target="footer10.xml"/><Relationship Id="rId29" Type="http://schemas.openxmlformats.org/officeDocument/2006/relationships/header" Target="head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11.xml"/><Relationship Id="rId34" Type="http://schemas.openxmlformats.org/officeDocument/2006/relationships/footer" Target="footer14.xml"/><Relationship Id="rId35" Type="http://schemas.openxmlformats.org/officeDocument/2006/relationships/header" Target="header12.xml"/><Relationship Id="rId36" Type="http://schemas.openxmlformats.org/officeDocument/2006/relationships/footer" Target="footer15.xml"/><Relationship Id="rId37" Type="http://schemas.openxmlformats.org/officeDocument/2006/relationships/header" Target="header13.xml"/><Relationship Id="rId38" Type="http://schemas.openxmlformats.org/officeDocument/2006/relationships/footer" Target="footer16.xml"/><Relationship Id="rId39" Type="http://schemas.openxmlformats.org/officeDocument/2006/relationships/header" Target="header14.xml"/><Relationship Id="rId40" Type="http://schemas.openxmlformats.org/officeDocument/2006/relationships/footer" Target="footer17.xml"/><Relationship Id="rId41" Type="http://schemas.openxmlformats.org/officeDocument/2006/relationships/header" Target="header15.xml"/><Relationship Id="rId42" Type="http://schemas.openxmlformats.org/officeDocument/2006/relationships/footer" Target="footer18.xml"/><Relationship Id="rId43" Type="http://schemas.openxmlformats.org/officeDocument/2006/relationships/header" Target="header16.xml"/><Relationship Id="rId44" Type="http://schemas.openxmlformats.org/officeDocument/2006/relationships/footer" Target="footer19.xml"/><Relationship Id="rId45" Type="http://schemas.openxmlformats.org/officeDocument/2006/relationships/header" Target="header17.xml"/><Relationship Id="rId46" Type="http://schemas.openxmlformats.org/officeDocument/2006/relationships/footer" Target="footer20.xml"/><Relationship Id="rId47" Type="http://schemas.openxmlformats.org/officeDocument/2006/relationships/header" Target="header18.xml"/><Relationship Id="rId48" Type="http://schemas.openxmlformats.org/officeDocument/2006/relationships/footer" Target="footer21.xml"/><Relationship Id="rId49" Type="http://schemas.openxmlformats.org/officeDocument/2006/relationships/header" Target="header19.xml"/><Relationship Id="rId50" Type="http://schemas.openxmlformats.org/officeDocument/2006/relationships/footer" Target="footer22.xml"/><Relationship Id="rId51" Type="http://schemas.openxmlformats.org/officeDocument/2006/relationships/header" Target="header20.xml"/><Relationship Id="rId52" Type="http://schemas.openxmlformats.org/officeDocument/2006/relationships/footer" Target="footer23.xml"/><Relationship Id="rId53" Type="http://schemas.openxmlformats.org/officeDocument/2006/relationships/header" Target="header21.xml"/><Relationship Id="rId54" Type="http://schemas.openxmlformats.org/officeDocument/2006/relationships/footer" Target="footer24.xml"/><Relationship Id="rId55" Type="http://schemas.openxmlformats.org/officeDocument/2006/relationships/header" Target="header22.xml"/><Relationship Id="rId56" Type="http://schemas.openxmlformats.org/officeDocument/2006/relationships/footer" Target="footer25.xml"/><Relationship Id="rId57" Type="http://schemas.openxmlformats.org/officeDocument/2006/relationships/header" Target="header23.xml"/><Relationship Id="rId58" Type="http://schemas.openxmlformats.org/officeDocument/2006/relationships/footer" Target="footer26.xml"/><Relationship Id="rId59" Type="http://schemas.openxmlformats.org/officeDocument/2006/relationships/header" Target="header24.xml"/><Relationship Id="rId60" Type="http://schemas.openxmlformats.org/officeDocument/2006/relationships/footer" Target="footer27.xml"/><Relationship Id="rId61" Type="http://schemas.openxmlformats.org/officeDocument/2006/relationships/header" Target="header25.xml"/><Relationship Id="rId62" Type="http://schemas.openxmlformats.org/officeDocument/2006/relationships/footer" Target="footer28.xml"/><Relationship Id="rId63" Type="http://schemas.openxmlformats.org/officeDocument/2006/relationships/header" Target="header26.xml"/><Relationship Id="rId64" Type="http://schemas.openxmlformats.org/officeDocument/2006/relationships/footer" Target="footer29.xml"/><Relationship Id="rId65" Type="http://schemas.openxmlformats.org/officeDocument/2006/relationships/header" Target="header27.xml"/><Relationship Id="rId66" Type="http://schemas.openxmlformats.org/officeDocument/2006/relationships/footer" Target="footer30.xml"/><Relationship Id="rId67" Type="http://schemas.openxmlformats.org/officeDocument/2006/relationships/header" Target="header28.xml"/><Relationship Id="rId68" Type="http://schemas.openxmlformats.org/officeDocument/2006/relationships/footer" Target="footer31.xml"/><Relationship Id="rId69" Type="http://schemas.openxmlformats.org/officeDocument/2006/relationships/header" Target="header29.xml"/><Relationship Id="rId70" Type="http://schemas.openxmlformats.org/officeDocument/2006/relationships/footer" Target="footer32.xml"/><Relationship Id="rId71" Type="http://schemas.openxmlformats.org/officeDocument/2006/relationships/header" Target="header30.xml"/><Relationship Id="rId72" Type="http://schemas.openxmlformats.org/officeDocument/2006/relationships/footer" Target="footer33.xml"/><Relationship Id="rId73" Type="http://schemas.openxmlformats.org/officeDocument/2006/relationships/header" Target="header31.xml"/><Relationship Id="rId74" Type="http://schemas.openxmlformats.org/officeDocument/2006/relationships/footer" Target="footer34.xml"/><Relationship Id="rId75" Type="http://schemas.openxmlformats.org/officeDocument/2006/relationships/header" Target="header32.xml"/><Relationship Id="rId76" Type="http://schemas.openxmlformats.org/officeDocument/2006/relationships/footer" Target="footer35.xml"/><Relationship Id="rId77" Type="http://schemas.openxmlformats.org/officeDocument/2006/relationships/header" Target="header33.xml"/><Relationship Id="rId78" Type="http://schemas.openxmlformats.org/officeDocument/2006/relationships/footer" Target="footer36.xml"/><Relationship Id="rId79" Type="http://schemas.openxmlformats.org/officeDocument/2006/relationships/header" Target="header34.xml"/><Relationship Id="rId80" Type="http://schemas.openxmlformats.org/officeDocument/2006/relationships/footer" Target="footer37.xml"/><Relationship Id="rId81" Type="http://schemas.openxmlformats.org/officeDocument/2006/relationships/header" Target="header35.xml"/><Relationship Id="rId82" Type="http://schemas.openxmlformats.org/officeDocument/2006/relationships/footer" Target="footer38.xml"/><Relationship Id="rId83" Type="http://schemas.openxmlformats.org/officeDocument/2006/relationships/header" Target="header36.xml"/><Relationship Id="rId84" Type="http://schemas.openxmlformats.org/officeDocument/2006/relationships/header" Target="header37.xml"/><Relationship Id="rId85" Type="http://schemas.openxmlformats.org/officeDocument/2006/relationships/header" Target="header38.xml"/><Relationship Id="rId86" Type="http://schemas.openxmlformats.org/officeDocument/2006/relationships/footer" Target="footer39.xml"/><Relationship Id="rId87" Type="http://schemas.openxmlformats.org/officeDocument/2006/relationships/header" Target="header39.xml"/><Relationship Id="rId88" Type="http://schemas.openxmlformats.org/officeDocument/2006/relationships/footer" Target="footer40.xml"/><Relationship Id="rId89" Type="http://schemas.openxmlformats.org/officeDocument/2006/relationships/header" Target="header40.xml"/><Relationship Id="rId90" Type="http://schemas.openxmlformats.org/officeDocument/2006/relationships/footer" Target="footer41.xml"/><Relationship Id="rId91" Type="http://schemas.openxmlformats.org/officeDocument/2006/relationships/header" Target="header41.xml"/><Relationship Id="rId92" Type="http://schemas.openxmlformats.org/officeDocument/2006/relationships/footer" Target="footer42.xml"/><Relationship Id="rId93" Type="http://schemas.openxmlformats.org/officeDocument/2006/relationships/image" Target="media/image1.jpeg"/><Relationship Id="rId94" Type="http://schemas.openxmlformats.org/officeDocument/2006/relationships/footer" Target="footer43.xml"/><Relationship Id="rId95" Type="http://schemas.openxmlformats.org/officeDocument/2006/relationships/header" Target="header42.xml"/><Relationship Id="rId96" Type="http://schemas.openxmlformats.org/officeDocument/2006/relationships/footer" Target="footer44.xml"/><Relationship Id="rId97" Type="http://schemas.openxmlformats.org/officeDocument/2006/relationships/footer" Target="footer45.xml"/><Relationship Id="rId98" Type="http://schemas.openxmlformats.org/officeDocument/2006/relationships/header" Target="header43.xml"/><Relationship Id="rId99" Type="http://schemas.openxmlformats.org/officeDocument/2006/relationships/footer" Target="footer46.xml"/><Relationship Id="rId100" Type="http://schemas.openxmlformats.org/officeDocument/2006/relationships/header" Target="header44.xml"/><Relationship Id="rId101" Type="http://schemas.openxmlformats.org/officeDocument/2006/relationships/footer" Target="footer47.xml"/><Relationship Id="rId102" Type="http://schemas.openxmlformats.org/officeDocument/2006/relationships/header" Target="header45.xml"/><Relationship Id="rId103" Type="http://schemas.openxmlformats.org/officeDocument/2006/relationships/footer" Target="footer48.xml"/><Relationship Id="rId104" Type="http://schemas.openxmlformats.org/officeDocument/2006/relationships/header" Target="header46.xml"/><Relationship Id="rId105" Type="http://schemas.openxmlformats.org/officeDocument/2006/relationships/footer" Target="footer49.xml"/><Relationship Id="rId106" Type="http://schemas.openxmlformats.org/officeDocument/2006/relationships/header" Target="header47.xml"/><Relationship Id="rId107" Type="http://schemas.openxmlformats.org/officeDocument/2006/relationships/footer" Target="footer50.xml"/><Relationship Id="rId108" Type="http://schemas.openxmlformats.org/officeDocument/2006/relationships/header" Target="header48.xml"/><Relationship Id="rId109" Type="http://schemas.openxmlformats.org/officeDocument/2006/relationships/footer" Target="footer51.xml"/><Relationship Id="rId110" Type="http://schemas.openxmlformats.org/officeDocument/2006/relationships/header" Target="header49.xml"/><Relationship Id="rId111" Type="http://schemas.openxmlformats.org/officeDocument/2006/relationships/footer" Target="footer52.xml"/><Relationship Id="rId112" Type="http://schemas.openxmlformats.org/officeDocument/2006/relationships/header" Target="header50.xml"/><Relationship Id="rId113" Type="http://schemas.openxmlformats.org/officeDocument/2006/relationships/footer" Target="footer53.xml"/><Relationship Id="rId114" Type="http://schemas.openxmlformats.org/officeDocument/2006/relationships/header" Target="header51.xml"/><Relationship Id="rId115" Type="http://schemas.openxmlformats.org/officeDocument/2006/relationships/footer" Target="footer54.xml"/><Relationship Id="rId116" Type="http://schemas.openxmlformats.org/officeDocument/2006/relationships/header" Target="header52.xml"/><Relationship Id="rId117" Type="http://schemas.openxmlformats.org/officeDocument/2006/relationships/footer" Target="footer55.xml"/><Relationship Id="rId118" Type="http://schemas.openxmlformats.org/officeDocument/2006/relationships/header" Target="header53.xml"/><Relationship Id="rId119" Type="http://schemas.openxmlformats.org/officeDocument/2006/relationships/footer" Target="footer56.xml"/><Relationship Id="rId120" Type="http://schemas.openxmlformats.org/officeDocument/2006/relationships/footer" Target="footer57.xml"/><Relationship Id="rId121" Type="http://schemas.openxmlformats.org/officeDocument/2006/relationships/header" Target="header54.xml"/><Relationship Id="rId122" Type="http://schemas.openxmlformats.org/officeDocument/2006/relationships/header" Target="header55.xml"/><Relationship Id="rId123" Type="http://schemas.openxmlformats.org/officeDocument/2006/relationships/footer" Target="footer58.xml"/><Relationship Id="rId124" Type="http://schemas.openxmlformats.org/officeDocument/2006/relationships/footer" Target="footer59.xml"/><Relationship Id="rId125" Type="http://schemas.openxmlformats.org/officeDocument/2006/relationships/header" Target="header56.xml"/><Relationship Id="rId126" Type="http://schemas.openxmlformats.org/officeDocument/2006/relationships/footer" Target="footer60.xml"/><Relationship Id="rId127" Type="http://schemas.openxmlformats.org/officeDocument/2006/relationships/header" Target="header57.xml"/><Relationship Id="rId128" Type="http://schemas.openxmlformats.org/officeDocument/2006/relationships/footer" Target="footer61.xml"/><Relationship Id="rId129" Type="http://schemas.openxmlformats.org/officeDocument/2006/relationships/footer" Target="footer62.xml"/><Relationship Id="rId130" Type="http://schemas.openxmlformats.org/officeDocument/2006/relationships/footer" Target="footer63.xml"/><Relationship Id="rId131" Type="http://schemas.openxmlformats.org/officeDocument/2006/relationships/header" Target="header58.xml"/><Relationship Id="rId132" Type="http://schemas.openxmlformats.org/officeDocument/2006/relationships/footer" Target="footer64.xml"/><Relationship Id="rId133" Type="http://schemas.openxmlformats.org/officeDocument/2006/relationships/footer" Target="footer65.xml"/><Relationship Id="rId134" Type="http://schemas.openxmlformats.org/officeDocument/2006/relationships/header" Target="header59.xml"/><Relationship Id="rId135" Type="http://schemas.openxmlformats.org/officeDocument/2006/relationships/footer" Target="footer66.xml"/><Relationship Id="rId136" Type="http://schemas.openxmlformats.org/officeDocument/2006/relationships/footer" Target="footer67.xml"/><Relationship Id="rId137" Type="http://schemas.openxmlformats.org/officeDocument/2006/relationships/header" Target="header60.xml"/><Relationship Id="rId138" Type="http://schemas.openxmlformats.org/officeDocument/2006/relationships/footer" Target="footer68.xml"/><Relationship Id="rId139" Type="http://schemas.openxmlformats.org/officeDocument/2006/relationships/footer" Target="footer69.xml"/><Relationship Id="rId140" Type="http://schemas.openxmlformats.org/officeDocument/2006/relationships/header" Target="header61.xml"/><Relationship Id="rId141" Type="http://schemas.openxmlformats.org/officeDocument/2006/relationships/footer" Target="footer7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39.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0.xml.rels><?xml version="1.0" encoding="UTF-8" standalone="yes"?>
<Relationships xmlns="http://schemas.openxmlformats.org/package/2006/relationships"><Relationship Id="rId1" Type="http://schemas.openxmlformats.org/officeDocument/2006/relationships/image" Target="media/image1.jpeg"/></Relationships>

</file>

<file path=word/_rels/footer41.xml.rels><?xml version="1.0" encoding="UTF-8" standalone="yes"?>
<Relationships xmlns="http://schemas.openxmlformats.org/package/2006/relationships"><Relationship Id="rId1" Type="http://schemas.openxmlformats.org/officeDocument/2006/relationships/image" Target="media/image1.jpeg"/></Relationships>

</file>

<file path=word/_rels/footer43.xml.rels><?xml version="1.0" encoding="UTF-8" standalone="yes"?>
<Relationships xmlns="http://schemas.openxmlformats.org/package/2006/relationships"><Relationship Id="rId1" Type="http://schemas.openxmlformats.org/officeDocument/2006/relationships/image" Target="media/image1.jpeg"/></Relationships>

</file>

<file path=word/_rels/footer45.xml.rels><?xml version="1.0" encoding="UTF-8" standalone="yes"?>
<Relationships xmlns="http://schemas.openxmlformats.org/package/2006/relationships"><Relationship Id="rId1" Type="http://schemas.openxmlformats.org/officeDocument/2006/relationships/image" Target="media/image1.jpeg"/></Relationships>

</file>

<file path=word/_rels/footer46.xml.rels><?xml version="1.0" encoding="UTF-8" standalone="yes"?>
<Relationships xmlns="http://schemas.openxmlformats.org/package/2006/relationships"><Relationship Id="rId1" Type="http://schemas.openxmlformats.org/officeDocument/2006/relationships/image" Target="media/image1.jpeg"/></Relationships>

</file>

<file path=word/_rels/footer47.xml.rels><?xml version="1.0" encoding="UTF-8" standalone="yes"?>
<Relationships xmlns="http://schemas.openxmlformats.org/package/2006/relationships"><Relationship Id="rId1" Type="http://schemas.openxmlformats.org/officeDocument/2006/relationships/image" Target="media/image1.jpeg"/></Relationships>

</file>

<file path=word/_rels/footer48.xml.rels><?xml version="1.0" encoding="UTF-8" standalone="yes"?>
<Relationships xmlns="http://schemas.openxmlformats.org/package/2006/relationships"><Relationship Id="rId1" Type="http://schemas.openxmlformats.org/officeDocument/2006/relationships/image" Target="media/image1.jpeg"/></Relationships>

</file>

<file path=word/_rels/footer49.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50.xml.rels><?xml version="1.0" encoding="UTF-8" standalone="yes"?>
<Relationships xmlns="http://schemas.openxmlformats.org/package/2006/relationships"><Relationship Id="rId1" Type="http://schemas.openxmlformats.org/officeDocument/2006/relationships/image" Target="media/image1.jpeg"/></Relationships>

</file>

<file path=word/_rels/footer51.xml.rels><?xml version="1.0" encoding="UTF-8" standalone="yes"?>
<Relationships xmlns="http://schemas.openxmlformats.org/package/2006/relationships"><Relationship Id="rId1" Type="http://schemas.openxmlformats.org/officeDocument/2006/relationships/image" Target="media/image1.jpeg"/></Relationships>

</file>

<file path=word/_rels/footer52.xml.rels><?xml version="1.0" encoding="UTF-8" standalone="yes"?>
<Relationships xmlns="http://schemas.openxmlformats.org/package/2006/relationships"><Relationship Id="rId1" Type="http://schemas.openxmlformats.org/officeDocument/2006/relationships/image" Target="media/image1.jpeg"/></Relationships>

</file>

<file path=word/_rels/footer53.xml.rels><?xml version="1.0" encoding="UTF-8" standalone="yes"?>
<Relationships xmlns="http://schemas.openxmlformats.org/package/2006/relationships"><Relationship Id="rId1" Type="http://schemas.openxmlformats.org/officeDocument/2006/relationships/image" Target="media/image1.jpeg"/></Relationships>

</file>

<file path=word/_rels/footer54.xml.rels><?xml version="1.0" encoding="UTF-8" standalone="yes"?>
<Relationships xmlns="http://schemas.openxmlformats.org/package/2006/relationships"><Relationship Id="rId1" Type="http://schemas.openxmlformats.org/officeDocument/2006/relationships/image" Target="media/image1.jpeg"/></Relationships>

</file>

<file path=word/_rels/footer57.xml.rels><?xml version="1.0" encoding="UTF-8" standalone="yes"?>
<Relationships xmlns="http://schemas.openxmlformats.org/package/2006/relationships"><Relationship Id="rId1" Type="http://schemas.openxmlformats.org/officeDocument/2006/relationships/image" Target="media/image1.jpeg"/></Relationships>

</file>

<file path=word/_rels/footer59.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60.xml.rels><?xml version="1.0" encoding="UTF-8" standalone="yes"?>
<Relationships xmlns="http://schemas.openxmlformats.org/package/2006/relationships"><Relationship Id="rId1" Type="http://schemas.openxmlformats.org/officeDocument/2006/relationships/image" Target="media/image1.jpeg"/></Relationships>

</file>

<file path=word/_rels/footer61.xml.rels><?xml version="1.0" encoding="UTF-8" standalone="yes"?>
<Relationships xmlns="http://schemas.openxmlformats.org/package/2006/relationships"><Relationship Id="rId1" Type="http://schemas.openxmlformats.org/officeDocument/2006/relationships/image" Target="media/image1.jpeg"/></Relationships>

</file>

<file path=word/_rels/footer62.xml.rels><?xml version="1.0" encoding="UTF-8" standalone="yes"?>
<Relationships xmlns="http://schemas.openxmlformats.org/package/2006/relationships"><Relationship Id="rId1" Type="http://schemas.openxmlformats.org/officeDocument/2006/relationships/image" Target="media/image1.jpeg"/></Relationships>

</file>

<file path=word/_rels/footer63.xml.rels><?xml version="1.0" encoding="UTF-8" standalone="yes"?>
<Relationships xmlns="http://schemas.openxmlformats.org/package/2006/relationships"><Relationship Id="rId1" Type="http://schemas.openxmlformats.org/officeDocument/2006/relationships/image" Target="media/image1.jpeg"/></Relationships>

</file>

<file path=word/_rels/footer65.xml.rels><?xml version="1.0" encoding="UTF-8" standalone="yes"?>
<Relationships xmlns="http://schemas.openxmlformats.org/package/2006/relationships"><Relationship Id="rId1" Type="http://schemas.openxmlformats.org/officeDocument/2006/relationships/image" Target="media/image1.jpeg"/></Relationships>

</file>

<file path=word/_rels/footer67.xml.rels><?xml version="1.0" encoding="UTF-8" standalone="yes"?>
<Relationships xmlns="http://schemas.openxmlformats.org/package/2006/relationships"><Relationship Id="rId1" Type="http://schemas.openxmlformats.org/officeDocument/2006/relationships/image" Target="media/image1.jpeg"/></Relationships>

</file>

<file path=word/_rels/footer68.xml.rels><?xml version="1.0" encoding="UTF-8" standalone="yes"?>
<Relationships xmlns="http://schemas.openxmlformats.org/package/2006/relationships"><Relationship Id="rId1" Type="http://schemas.openxmlformats.org/officeDocument/2006/relationships/image" Target="media/image1.jpeg"/></Relationships>

</file>

<file path=word/_rels/footer69.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70.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深圳市农产品股份有限公司</dc:creator>
  <dc:title>深圳市农产品股份有限公司2017年年度报告</dc:title>
  <dcterms:created xsi:type="dcterms:W3CDTF">2020-05-05T04:17:25Z</dcterms:created>
  <dcterms:modified xsi:type="dcterms:W3CDTF">2020-05-05T04:17:25Z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2013</vt:lpwstr>
  </property>
  <property fmtid="{D5CDD505-2E9C-101B-9397-08002B2CF9AE}" pid="4" name="LastSaved">
    <vt:filetime>2020-05-04T00:00:00Z</vt:filetime>
  </property>
</Properties>
</file>