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7.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28.xml" ContentType="application/vnd.openxmlformats-officedocument.wordprocessingml.header+xml"/>
  <Override PartName="/word/footer35.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3"/>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spacing w:line="136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08668" cy="866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8668" cy="866775"/>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45" w:right="148" w:firstLine="0"/>
        <w:jc w:val="center"/>
        <w:rPr>
          <w:rFonts w:ascii="宋体" w:hAnsi="宋体" w:cs="宋体" w:eastAsia="宋体" w:hint="default"/>
          <w:sz w:val="36"/>
          <w:szCs w:val="36"/>
        </w:rPr>
      </w:pPr>
      <w:r>
        <w:rPr>
          <w:rFonts w:ascii="宋体" w:hAnsi="宋体" w:cs="宋体" w:eastAsia="宋体" w:hint="default"/>
          <w:b/>
          <w:bCs/>
          <w:sz w:val="36"/>
          <w:szCs w:val="36"/>
        </w:rPr>
        <w:t>中国长城计算机深圳股份有限公司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47" w:right="14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148" w:right="14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2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left="2802" w:right="15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49"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408" w:lineRule="auto" w:before="162"/>
        <w:ind w:right="149" w:firstLine="562"/>
        <w:jc w:val="both"/>
        <w:rPr>
          <w:b w:val="0"/>
          <w:bCs w:val="0"/>
        </w:rPr>
      </w:pPr>
      <w:r>
        <w:rPr>
          <w:spacing w:val="2"/>
        </w:rPr>
        <w:t>公司负责人杨军、主管会计工作负责人彭海朝及会计机构负责人（会计主</w:t>
      </w:r>
      <w:r>
        <w:rPr>
          <w:w w:val="99"/>
        </w:rPr>
        <w:t> </w:t>
      </w:r>
      <w:r>
        <w:rPr/>
        <w:t>管人员）宋艳艳声明：保证年度报告中财务报告的真实、准确、完整。</w:t>
      </w:r>
      <w:r>
        <w:rPr>
          <w:b w:val="0"/>
          <w:bCs w:val="0"/>
        </w:rPr>
      </w:r>
    </w:p>
    <w:p>
      <w:pPr>
        <w:pStyle w:val="Heading2"/>
        <w:spacing w:line="472" w:lineRule="auto" w:before="162"/>
        <w:ind w:left="714" w:right="153"/>
        <w:jc w:val="left"/>
        <w:rPr>
          <w:b w:val="0"/>
          <w:bCs w:val="0"/>
        </w:rPr>
      </w:pPr>
      <w:r>
        <w:rPr/>
        <w:t>所有董事均已出席了审议本报告的董事会会议。</w:t>
      </w:r>
      <w:r>
        <w:rPr>
          <w:w w:val="99"/>
        </w:rPr>
        <w:t> </w:t>
      </w:r>
      <w:r>
        <w:rPr>
          <w:spacing w:val="2"/>
        </w:rPr>
        <w:t>本年度报告内涉及的未来计划、发展战略等前瞻性陈述不构成公司对投资</w:t>
      </w:r>
      <w:r>
        <w:rPr>
          <w:b w:val="0"/>
          <w:bCs w:val="0"/>
          <w:spacing w:val="2"/>
        </w:rPr>
      </w:r>
    </w:p>
    <w:p>
      <w:pPr>
        <w:pStyle w:val="Heading2"/>
        <w:spacing w:line="475" w:lineRule="auto"/>
        <w:ind w:left="714" w:right="0" w:hanging="563"/>
        <w:jc w:val="left"/>
        <w:rPr>
          <w:b w:val="0"/>
          <w:bCs w:val="0"/>
        </w:rPr>
      </w:pPr>
      <w:r>
        <w:rPr/>
        <w:t>者的实质承诺，请投资者注意投资风险。</w:t>
      </w:r>
      <w:r>
        <w:rPr>
          <w:w w:val="99"/>
        </w:rPr>
        <w:t> </w:t>
      </w:r>
      <w:r>
        <w:rPr>
          <w:spacing w:val="6"/>
        </w:rPr>
        <w:t>公司风险因素已经于第四节</w:t>
      </w:r>
      <w:r>
        <w:rPr>
          <w:rFonts w:ascii="Times New Roman" w:hAnsi="Times New Roman" w:cs="Times New Roman" w:eastAsia="Times New Roman" w:hint="default"/>
          <w:spacing w:val="6"/>
        </w:rPr>
        <w:t>“</w:t>
      </w:r>
      <w:r>
        <w:rPr>
          <w:spacing w:val="6"/>
        </w:rPr>
        <w:t>公司未来发展的展望</w:t>
      </w:r>
      <w:r>
        <w:rPr>
          <w:rFonts w:ascii="Times New Roman" w:hAnsi="Times New Roman" w:cs="Times New Roman" w:eastAsia="Times New Roman" w:hint="default"/>
          <w:spacing w:val="6"/>
        </w:rPr>
        <w:t>”</w:t>
      </w:r>
      <w:r>
        <w:rPr>
          <w:spacing w:val="6"/>
        </w:rPr>
        <w:t>和财务报告附注的</w:t>
      </w:r>
      <w:r>
        <w:rPr>
          <w:rFonts w:ascii="Times New Roman" w:hAnsi="Times New Roman" w:cs="Times New Roman" w:eastAsia="Times New Roman" w:hint="default"/>
          <w:spacing w:val="6"/>
        </w:rPr>
        <w:t>“</w:t>
      </w:r>
      <w:r>
        <w:rPr>
          <w:spacing w:val="6"/>
        </w:rPr>
        <w:t>与</w:t>
      </w:r>
      <w:r>
        <w:rPr>
          <w:b w:val="0"/>
          <w:bCs w:val="0"/>
          <w:spacing w:val="6"/>
        </w:rPr>
      </w:r>
    </w:p>
    <w:p>
      <w:pPr>
        <w:pStyle w:val="Heading2"/>
        <w:spacing w:line="320" w:lineRule="exact"/>
        <w:ind w:right="0"/>
        <w:jc w:val="left"/>
        <w:rPr>
          <w:b w:val="0"/>
          <w:bCs w:val="0"/>
        </w:rPr>
      </w:pPr>
      <w:r>
        <w:rPr>
          <w:spacing w:val="2"/>
          <w:w w:val="99"/>
        </w:rPr>
        <w:t>金融工具相</w:t>
      </w:r>
      <w:r>
        <w:rPr>
          <w:spacing w:val="4"/>
          <w:w w:val="99"/>
        </w:rPr>
        <w:t>关</w:t>
      </w:r>
      <w:r>
        <w:rPr>
          <w:spacing w:val="2"/>
          <w:w w:val="99"/>
        </w:rPr>
        <w:t>风</w:t>
      </w:r>
      <w:r>
        <w:rPr>
          <w:spacing w:val="4"/>
          <w:w w:val="99"/>
        </w:rPr>
        <w:t>险</w:t>
      </w:r>
      <w:r>
        <w:rPr>
          <w:rFonts w:ascii="Times New Roman" w:hAnsi="Times New Roman" w:cs="Times New Roman" w:eastAsia="Times New Roman" w:hint="default"/>
          <w:spacing w:val="1"/>
          <w:w w:val="100"/>
        </w:rPr>
        <w:t>”</w:t>
      </w:r>
      <w:r>
        <w:rPr>
          <w:spacing w:val="2"/>
          <w:w w:val="99"/>
        </w:rPr>
        <w:t>中披</w:t>
      </w:r>
      <w:r>
        <w:rPr>
          <w:spacing w:val="4"/>
          <w:w w:val="99"/>
        </w:rPr>
        <w:t>露</w:t>
      </w:r>
      <w:r>
        <w:rPr>
          <w:spacing w:val="-140"/>
          <w:w w:val="99"/>
        </w:rPr>
        <w:t>；</w:t>
      </w:r>
      <w:r>
        <w:rPr>
          <w:spacing w:val="2"/>
          <w:w w:val="99"/>
        </w:rPr>
        <w:t>《中国证</w:t>
      </w:r>
      <w:r>
        <w:rPr>
          <w:spacing w:val="4"/>
          <w:w w:val="99"/>
        </w:rPr>
        <w:t>券报</w:t>
      </w:r>
      <w:r>
        <w:rPr>
          <w:spacing w:val="-140"/>
          <w:w w:val="99"/>
        </w:rPr>
        <w:t>》、</w:t>
      </w:r>
      <w:r>
        <w:rPr>
          <w:spacing w:val="2"/>
          <w:w w:val="99"/>
        </w:rPr>
        <w:t>《证券时</w:t>
      </w:r>
      <w:r>
        <w:rPr>
          <w:spacing w:val="4"/>
          <w:w w:val="99"/>
        </w:rPr>
        <w:t>报</w:t>
      </w:r>
      <w:r>
        <w:rPr>
          <w:spacing w:val="-140"/>
          <w:w w:val="99"/>
        </w:rPr>
        <w:t>》、</w:t>
      </w:r>
      <w:r>
        <w:rPr>
          <w:spacing w:val="2"/>
          <w:w w:val="99"/>
        </w:rPr>
        <w:t>《上海证券</w:t>
      </w:r>
      <w:r>
        <w:rPr>
          <w:spacing w:val="4"/>
          <w:w w:val="99"/>
        </w:rPr>
        <w:t>报</w:t>
      </w:r>
      <w:r>
        <w:rPr>
          <w:spacing w:val="2"/>
          <w:w w:val="99"/>
        </w:rPr>
        <w:t>》和</w:t>
      </w:r>
      <w:r>
        <w:rPr>
          <w:w w:val="99"/>
        </w:rPr>
        <w:t>巨</w:t>
      </w:r>
      <w:r>
        <w:rPr>
          <w:b w:val="0"/>
          <w:bCs w:val="0"/>
        </w:rPr>
      </w:r>
    </w:p>
    <w:p>
      <w:pPr>
        <w:pStyle w:val="Heading2"/>
        <w:spacing w:line="386" w:lineRule="auto" w:before="237"/>
        <w:ind w:right="0"/>
        <w:jc w:val="left"/>
        <w:rPr>
          <w:b w:val="0"/>
          <w:bCs w:val="0"/>
        </w:rPr>
      </w:pPr>
      <w:r>
        <w:rPr>
          <w:spacing w:val="-1"/>
        </w:rPr>
        <w:t>潮资讯网（</w:t>
      </w:r>
      <w:hyperlink r:id="rId8">
        <w:r>
          <w:rPr>
            <w:rFonts w:ascii="Times New Roman" w:hAnsi="Times New Roman" w:cs="Times New Roman" w:eastAsia="Times New Roman" w:hint="default"/>
            <w:spacing w:val="-1"/>
          </w:rPr>
          <w:t>www.cninfo.com.cn</w:t>
        </w:r>
      </w:hyperlink>
      <w:r>
        <w:rPr>
          <w:spacing w:val="-1"/>
        </w:rPr>
        <w:t>）为公司选定的信息披露媒体，本公司所有信息</w:t>
      </w:r>
      <w:r>
        <w:rPr>
          <w:spacing w:val="-117"/>
        </w:rPr>
        <w:t> </w:t>
      </w:r>
      <w:r>
        <w:rPr>
          <w:spacing w:val="-117"/>
        </w:rPr>
      </w:r>
      <w:r>
        <w:rPr/>
        <w:t>均以在上述选定媒体刊登的信息为准，敬请投资者注意投资风险。</w:t>
      </w:r>
      <w:r>
        <w:rPr>
          <w:b w:val="0"/>
          <w:bCs w:val="0"/>
        </w:rPr>
      </w:r>
    </w:p>
    <w:p>
      <w:pPr>
        <w:pStyle w:val="Heading2"/>
        <w:spacing w:line="240" w:lineRule="auto" w:before="187"/>
        <w:ind w:left="714" w:right="153"/>
        <w:jc w:val="left"/>
        <w:rPr>
          <w:b w:val="0"/>
          <w:bCs w:val="0"/>
        </w:rPr>
      </w:pPr>
      <w:r>
        <w:rPr/>
        <w:t>公司计划不派发现金红利，不送红股，不以公积金转增股本。</w:t>
      </w:r>
      <w:r>
        <w:rPr>
          <w:b w:val="0"/>
          <w:bCs w:val="0"/>
        </w:rPr>
      </w:r>
    </w:p>
    <w:p>
      <w:pPr>
        <w:spacing w:after="0" w:line="240" w:lineRule="auto"/>
        <w:jc w:val="left"/>
        <w:sectPr>
          <w:headerReference w:type="default" r:id="rId6"/>
          <w:footerReference w:type="default" r:id="rId7"/>
          <w:pgSz w:w="11910" w:h="16840"/>
          <w:pgMar w:header="877" w:footer="980" w:top="1100" w:bottom="1160" w:left="980" w:right="9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148" w:right="14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0" w:top="1100" w:bottom="1160" w:left="980" w:right="980"/>
        </w:sectPr>
      </w:pPr>
    </w:p>
    <w:p>
      <w:pPr>
        <w:spacing w:before="894"/>
        <w:ind w:left="148" w:right="14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527"/>
        <w:gridCol w:w="619"/>
        <w:gridCol w:w="5425"/>
      </w:tblGrid>
      <w:tr>
        <w:trPr>
          <w:trHeight w:val="403" w:hRule="exact"/>
        </w:trPr>
        <w:tc>
          <w:tcPr>
            <w:tcW w:w="3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本公司、公司、长城电脑</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3"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中国电子、实际控制人</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1"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长城科技、控股股东</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r>
      <w:tr>
        <w:trPr>
          <w:trHeight w:val="161" w:hRule="exact"/>
        </w:trPr>
        <w:tc>
          <w:tcPr>
            <w:tcW w:w="3527"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22"/>
              <w:jc w:val="left"/>
              <w:rPr>
                <w:rFonts w:ascii="宋体" w:hAnsi="宋体" w:cs="宋体" w:eastAsia="宋体" w:hint="default"/>
                <w:sz w:val="18"/>
                <w:szCs w:val="18"/>
              </w:rPr>
            </w:pPr>
            <w:r>
              <w:rPr>
                <w:rFonts w:ascii="宋体" w:hAnsi="宋体" w:cs="宋体" w:eastAsia="宋体" w:hint="default"/>
                <w:spacing w:val="-2"/>
                <w:sz w:val="18"/>
                <w:szCs w:val="18"/>
              </w:rPr>
              <w:t>冠捷科技有限公司，香港和新加坡两地上市公司，为本公司控股子公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w:t>
            </w:r>
          </w:p>
        </w:tc>
      </w:tr>
      <w:tr>
        <w:trPr>
          <w:trHeight w:val="394" w:hRule="exact"/>
        </w:trPr>
        <w:tc>
          <w:tcPr>
            <w:tcW w:w="3527"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0" w:space="0" w:color="D2D2D2"/>
              <w:right w:val="single" w:sz="4" w:space="0" w:color="000000"/>
            </w:tcBorders>
          </w:tcPr>
          <w:p>
            <w:pPr/>
          </w:p>
        </w:tc>
      </w:tr>
      <w:tr>
        <w:trPr>
          <w:trHeight w:val="161" w:hRule="exact"/>
        </w:trPr>
        <w:tc>
          <w:tcPr>
            <w:tcW w:w="3527"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10" w:space="0" w:color="D2D2D2"/>
              <w:bottom w:val="single" w:sz="4" w:space="0" w:color="000000"/>
              <w:right w:val="single" w:sz="4" w:space="0" w:color="000000"/>
            </w:tcBorders>
          </w:tcPr>
          <w:p>
            <w:pPr/>
          </w:p>
        </w:tc>
      </w:tr>
      <w:tr>
        <w:trPr>
          <w:trHeight w:val="161" w:hRule="exact"/>
        </w:trPr>
        <w:tc>
          <w:tcPr>
            <w:tcW w:w="3527"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冠捷投资</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31"/>
              <w:jc w:val="left"/>
              <w:rPr>
                <w:rFonts w:ascii="宋体" w:hAnsi="宋体" w:cs="宋体" w:eastAsia="宋体" w:hint="default"/>
                <w:sz w:val="18"/>
                <w:szCs w:val="18"/>
              </w:rPr>
            </w:pPr>
            <w:r>
              <w:rPr>
                <w:rFonts w:ascii="宋体" w:hAnsi="宋体" w:cs="宋体" w:eastAsia="宋体" w:hint="default"/>
                <w:spacing w:val="-2"/>
                <w:sz w:val="18"/>
                <w:szCs w:val="18"/>
              </w:rPr>
              <w:t>冠捷投资有限公司（</w:t>
            </w:r>
            <w:r>
              <w:rPr>
                <w:rFonts w:ascii="Times New Roman" w:hAnsi="Times New Roman" w:cs="Times New Roman" w:eastAsia="Times New Roman" w:hint="default"/>
                <w:spacing w:val="-2"/>
                <w:sz w:val="18"/>
                <w:szCs w:val="18"/>
              </w:rPr>
              <w:t>Top</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3"/>
                <w:w w:val="99"/>
                <w:sz w:val="18"/>
                <w:szCs w:val="18"/>
              </w:rPr>
              <w:t>Victory</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1"/>
                <w:w w:val="99"/>
                <w:sz w:val="18"/>
                <w:szCs w:val="18"/>
              </w:rPr>
              <w:t>Investments</w:t>
            </w:r>
            <w:r>
              <w:rPr>
                <w:rFonts w:ascii="Times New Roman" w:hAnsi="Times New Roman" w:cs="Times New Roman" w:eastAsia="Times New Roman" w:hint="default"/>
                <w:spacing w:val="11"/>
                <w:w w:val="99"/>
                <w:sz w:val="18"/>
                <w:szCs w:val="18"/>
              </w:rPr>
              <w:t> </w:t>
            </w:r>
            <w:r>
              <w:rPr>
                <w:rFonts w:ascii="Times New Roman" w:hAnsi="Times New Roman" w:cs="Times New Roman" w:eastAsia="Times New Roman" w:hint="default"/>
                <w:spacing w:val="-7"/>
                <w:sz w:val="18"/>
                <w:szCs w:val="18"/>
              </w:rPr>
              <w:t>Limited</w:t>
            </w:r>
            <w:r>
              <w:rPr>
                <w:rFonts w:ascii="宋体" w:hAnsi="宋体" w:cs="宋体" w:eastAsia="宋体" w:hint="default"/>
                <w:spacing w:val="-7"/>
                <w:sz w:val="18"/>
                <w:szCs w:val="18"/>
              </w:rPr>
              <w:t>），一家于香港注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册成立的冠捷科技的全资子公司</w:t>
            </w:r>
          </w:p>
        </w:tc>
      </w:tr>
      <w:tr>
        <w:trPr>
          <w:trHeight w:val="391" w:hRule="exact"/>
        </w:trPr>
        <w:tc>
          <w:tcPr>
            <w:tcW w:w="3527"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0" w:space="0" w:color="D2D2D2"/>
              <w:right w:val="single" w:sz="4" w:space="0" w:color="000000"/>
            </w:tcBorders>
          </w:tcPr>
          <w:p>
            <w:pPr/>
          </w:p>
        </w:tc>
      </w:tr>
      <w:tr>
        <w:trPr>
          <w:trHeight w:val="161" w:hRule="exact"/>
        </w:trPr>
        <w:tc>
          <w:tcPr>
            <w:tcW w:w="3527"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10" w:space="0" w:color="D2D2D2"/>
              <w:bottom w:val="single" w:sz="4" w:space="0" w:color="000000"/>
              <w:right w:val="single" w:sz="4" w:space="0" w:color="000000"/>
            </w:tcBorders>
          </w:tcPr>
          <w:p>
            <w:pPr/>
          </w:p>
        </w:tc>
      </w:tr>
      <w:tr>
        <w:trPr>
          <w:trHeight w:val="161" w:hRule="exact"/>
        </w:trPr>
        <w:tc>
          <w:tcPr>
            <w:tcW w:w="3527"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桑菲通信</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22"/>
              <w:jc w:val="left"/>
              <w:rPr>
                <w:rFonts w:ascii="宋体" w:hAnsi="宋体" w:cs="宋体" w:eastAsia="宋体" w:hint="default"/>
                <w:sz w:val="18"/>
                <w:szCs w:val="18"/>
              </w:rPr>
            </w:pPr>
            <w:r>
              <w:rPr>
                <w:rFonts w:ascii="宋体" w:hAnsi="宋体" w:cs="宋体" w:eastAsia="宋体" w:hint="default"/>
                <w:spacing w:val="-2"/>
                <w:sz w:val="18"/>
                <w:szCs w:val="18"/>
              </w:rPr>
              <w:t>深圳桑菲消费通信有限公司，报告期内被冠捷科技下属公司收购，现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为冠捷科技间接全资附属公司</w:t>
            </w:r>
          </w:p>
        </w:tc>
      </w:tr>
      <w:tr>
        <w:trPr>
          <w:trHeight w:val="394" w:hRule="exact"/>
        </w:trPr>
        <w:tc>
          <w:tcPr>
            <w:tcW w:w="3527"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0" w:space="0" w:color="D2D2D2"/>
              <w:right w:val="single" w:sz="4" w:space="0" w:color="000000"/>
            </w:tcBorders>
          </w:tcPr>
          <w:p>
            <w:pPr/>
          </w:p>
        </w:tc>
      </w:tr>
      <w:tr>
        <w:trPr>
          <w:trHeight w:val="161" w:hRule="exact"/>
        </w:trPr>
        <w:tc>
          <w:tcPr>
            <w:tcW w:w="3527"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10" w:space="0" w:color="D2D2D2"/>
              <w:bottom w:val="single" w:sz="4" w:space="0" w:color="000000"/>
              <w:right w:val="single" w:sz="4" w:space="0" w:color="000000"/>
            </w:tcBorders>
          </w:tcPr>
          <w:p>
            <w:pPr/>
          </w:p>
        </w:tc>
      </w:tr>
      <w:tr>
        <w:trPr>
          <w:trHeight w:val="401"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中国长城计算机（香港）控股有限公司，为本公司全资子公司</w:t>
            </w:r>
          </w:p>
        </w:tc>
      </w:tr>
      <w:tr>
        <w:trPr>
          <w:trHeight w:val="403"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柏怡国际控股有限公司，为长城香港的控股子公司</w:t>
            </w:r>
          </w:p>
        </w:tc>
      </w:tr>
      <w:tr>
        <w:trPr>
          <w:trHeight w:val="401"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柏怡香港</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柏怡电子（香港）有限公司，为柏怡国际的全资子公司</w:t>
            </w:r>
          </w:p>
        </w:tc>
      </w:tr>
      <w:tr>
        <w:trPr>
          <w:trHeight w:val="403"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长城能源</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深圳中电长城能源有限公司，为本公司全资子公司</w:t>
            </w:r>
          </w:p>
        </w:tc>
      </w:tr>
      <w:tr>
        <w:trPr>
          <w:trHeight w:val="401"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北海长城能源科技有限公司，为本公司全资子公司</w:t>
            </w:r>
          </w:p>
        </w:tc>
      </w:tr>
      <w:tr>
        <w:trPr>
          <w:trHeight w:val="404" w:hRule="exact"/>
        </w:trPr>
        <w:tc>
          <w:tcPr>
            <w:tcW w:w="35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湖南长城</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湖南长城计算机系统有限公司，为本公司全资子公司</w:t>
            </w:r>
          </w:p>
        </w:tc>
      </w:tr>
      <w:tr>
        <w:trPr>
          <w:trHeight w:val="161" w:hRule="exact"/>
        </w:trPr>
        <w:tc>
          <w:tcPr>
            <w:tcW w:w="3527"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深圳中电长城信息安全系统有限公司，为本公司参股公司，公司持有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其股权比例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14.89%</w:t>
            </w:r>
          </w:p>
        </w:tc>
      </w:tr>
      <w:tr>
        <w:trPr>
          <w:trHeight w:val="391" w:hRule="exact"/>
        </w:trPr>
        <w:tc>
          <w:tcPr>
            <w:tcW w:w="3527"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0" w:space="0" w:color="D2D2D2"/>
              <w:right w:val="single" w:sz="4" w:space="0" w:color="000000"/>
            </w:tcBorders>
          </w:tcPr>
          <w:p>
            <w:pPr/>
          </w:p>
        </w:tc>
      </w:tr>
      <w:tr>
        <w:trPr>
          <w:trHeight w:val="161" w:hRule="exact"/>
        </w:trPr>
        <w:tc>
          <w:tcPr>
            <w:tcW w:w="3527"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10" w:space="0" w:color="D2D2D2"/>
              <w:bottom w:val="single" w:sz="4" w:space="0" w:color="000000"/>
              <w:right w:val="single" w:sz="4" w:space="0" w:color="000000"/>
            </w:tcBorders>
          </w:tcPr>
          <w:p>
            <w:pPr/>
          </w:p>
        </w:tc>
      </w:tr>
    </w:tbl>
    <w:p>
      <w:pPr>
        <w:spacing w:after="0"/>
        <w:sectPr>
          <w:pgSz w:w="11910" w:h="16840"/>
          <w:pgMar w:header="877" w:footer="980" w:top="1100" w:bottom="1160" w:left="980" w:right="980"/>
        </w:sectPr>
      </w:pPr>
    </w:p>
    <w:p>
      <w:pPr>
        <w:spacing w:line="240" w:lineRule="auto" w:before="0"/>
        <w:rPr>
          <w:rFonts w:ascii="宋体" w:hAnsi="宋体" w:cs="宋体" w:eastAsia="宋体" w:hint="default"/>
          <w:b/>
          <w:bCs/>
          <w:sz w:val="20"/>
          <w:szCs w:val="20"/>
        </w:rPr>
      </w:pPr>
      <w:r>
        <w:rPr/>
        <w:pict>
          <v:group style="position:absolute;margin-left:174.020004pt;margin-top:272.78598pt;width:361.55pt;height:19.6pt;mso-position-horizontal-relative:page;mso-position-vertical-relative:page;z-index:-1193704" coordorigin="3480,5456" coordsize="7231,392">
            <v:shape style="position:absolute;left:3480;top:5456;width:7231;height:392" coordorigin="3480,5456" coordsize="7231,392" path="m3480,5847l10711,5847,10711,5456,3480,5456,3480,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642" w:right="15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5"/>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93" w:type="dxa"/>
        <w:tblLayout w:type="fixed"/>
        <w:tblCellMar>
          <w:top w:w="0" w:type="dxa"/>
          <w:left w:w="0" w:type="dxa"/>
          <w:bottom w:w="0" w:type="dxa"/>
          <w:right w:w="0" w:type="dxa"/>
        </w:tblCellMar>
        <w:tblLook w:val="01E0"/>
      </w:tblPr>
      <w:tblGrid>
        <w:gridCol w:w="2262"/>
        <w:gridCol w:w="2975"/>
        <w:gridCol w:w="2134"/>
        <w:gridCol w:w="2187"/>
      </w:tblGrid>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长城电脑</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000066</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长城电脑</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CHINA </w:t>
            </w:r>
            <w:r>
              <w:rPr>
                <w:rFonts w:ascii="Times New Roman" w:hAnsi="Times New Roman" w:cs="Times New Roman" w:eastAsia="Times New Roman" w:hint="default"/>
                <w:spacing w:val="-5"/>
                <w:sz w:val="18"/>
                <w:szCs w:val="18"/>
              </w:rPr>
              <w:t>GREATWALL </w:t>
            </w:r>
            <w:r>
              <w:rPr>
                <w:rFonts w:ascii="Times New Roman" w:hAnsi="Times New Roman" w:cs="Times New Roman" w:eastAsia="Times New Roman" w:hint="default"/>
                <w:sz w:val="18"/>
                <w:szCs w:val="18"/>
              </w:rPr>
              <w:t>COMPUTER SHENZHEN</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1" w:hRule="exact"/>
        </w:trPr>
        <w:tc>
          <w:tcPr>
            <w:tcW w:w="226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52"/>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6" w:type="dxa"/>
            <w:gridSpan w:val="3"/>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pacing w:val="-5"/>
                <w:sz w:val="18"/>
              </w:rPr>
              <w:t>GREATWALL</w:t>
            </w:r>
            <w:r>
              <w:rPr>
                <w:rFonts w:ascii="Times New Roman"/>
                <w:spacing w:val="-7"/>
                <w:sz w:val="18"/>
              </w:rPr>
              <w:t> </w:t>
            </w:r>
            <w:r>
              <w:rPr>
                <w:rFonts w:ascii="Times New Roman"/>
                <w:sz w:val="18"/>
              </w:rPr>
              <w:t>COMPUTER</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杨军</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www.greatwall.cn</w:t>
              </w:r>
            </w:hyperlink>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1"/>
        <w:rPr>
          <w:rFonts w:ascii="宋体" w:hAnsi="宋体" w:cs="宋体" w:eastAsia="宋体" w:hint="default"/>
          <w:b/>
          <w:bCs/>
          <w:sz w:val="18"/>
          <w:szCs w:val="18"/>
        </w:rPr>
      </w:pPr>
    </w:p>
    <w:p>
      <w:pPr>
        <w:pStyle w:val="Heading5"/>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93"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龚建凤</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0755-26634759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0755-26634759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0755-26631106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0755-26631106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1"/>
        <w:rPr>
          <w:rFonts w:ascii="宋体" w:hAnsi="宋体" w:cs="宋体" w:eastAsia="宋体" w:hint="default"/>
          <w:b/>
          <w:bCs/>
          <w:sz w:val="18"/>
          <w:szCs w:val="18"/>
        </w:rPr>
      </w:pPr>
    </w:p>
    <w:p>
      <w:pPr>
        <w:pStyle w:val="Heading5"/>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992"/>
        <w:gridCol w:w="5576"/>
      </w:tblGrid>
      <w:tr>
        <w:trPr>
          <w:trHeight w:val="40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8">
              <w:r>
                <w:rPr>
                  <w:rFonts w:ascii="Times New Roman"/>
                  <w:sz w:val="18"/>
                </w:rPr>
                <w:t>www.cninfo.com.cn</w:t>
              </w:r>
            </w:hyperlink>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9"/>
        <w:rPr>
          <w:rFonts w:ascii="宋体" w:hAnsi="宋体" w:cs="宋体" w:eastAsia="宋体" w:hint="default"/>
          <w:b/>
          <w:bCs/>
          <w:sz w:val="19"/>
          <w:szCs w:val="19"/>
        </w:rPr>
      </w:pPr>
    </w:p>
    <w:p>
      <w:pPr>
        <w:pStyle w:val="Heading5"/>
        <w:spacing w:line="240" w:lineRule="auto" w:before="26"/>
        <w:ind w:right="15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191"/>
        <w:gridCol w:w="637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27935126-1</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firstLine="360"/>
              <w:jc w:val="left"/>
              <w:rPr>
                <w:rFonts w:ascii="宋体" w:hAnsi="宋体" w:cs="宋体" w:eastAsia="宋体" w:hint="default"/>
                <w:sz w:val="18"/>
                <w:szCs w:val="18"/>
              </w:rPr>
            </w:pPr>
            <w:r>
              <w:rPr>
                <w:rFonts w:ascii="宋体" w:hAnsi="宋体" w:cs="宋体" w:eastAsia="宋体" w:hint="default"/>
                <w:sz w:val="18"/>
                <w:szCs w:val="18"/>
              </w:rPr>
              <w:t>自上市以来，公司一直以计算机及相关设备制造为主要业务，所处行业未发 生变更。</w:t>
            </w:r>
          </w:p>
        </w:tc>
      </w:tr>
      <w:tr>
        <w:trPr>
          <w:trHeight w:val="52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月，公司由中国长城计算机集团公司独家发起重组设立；</w:t>
            </w:r>
          </w:p>
          <w:p>
            <w:pPr>
              <w:pStyle w:val="TableParagraph"/>
              <w:spacing w:line="240" w:lineRule="auto" w:before="10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月，中国长城计算机集团公司通过股权重组独家发起设立长城科技</w:t>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股份有限公司，并于同年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月在香港联交所上市。经过此次股权重组，本公司的 国有法人股股权由长城科技股份有限公司持有，公司控股股东变更为长城科技股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份有限公司。</w:t>
            </w:r>
          </w:p>
          <w:p>
            <w:pPr>
              <w:pStyle w:val="TableParagraph"/>
              <w:spacing w:line="309" w:lineRule="auto" w:before="65"/>
              <w:ind w:left="23" w:right="1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月，公司发布关于中国证监会核准中国电子公告收购报告书并豁免 其要约收购义务的相关公告，公司实际控制人中国电子联合中电长城计算机集团</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公司（原为中国长城计算机集团公司，简称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长城集团</w:t>
            </w:r>
            <w:r>
              <w:rPr>
                <w:rFonts w:ascii="Times New Roman" w:hAnsi="Times New Roman" w:cs="Times New Roman" w:eastAsia="Times New Roman" w:hint="default"/>
                <w:sz w:val="18"/>
                <w:szCs w:val="18"/>
              </w:rPr>
              <w:t>”</w:t>
            </w:r>
            <w:r>
              <w:rPr>
                <w:rFonts w:ascii="宋体" w:hAnsi="宋体" w:cs="宋体" w:eastAsia="宋体" w:hint="default"/>
                <w:sz w:val="18"/>
                <w:szCs w:val="18"/>
              </w:rPr>
              <w:t>）以要约收购方式私有化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公司控股股东长城科技，同时中国电子吸收合并长城集团和长城科技，中国电子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将通过此次重组承继取得长城科技所持本公司</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53.92%</w:t>
            </w:r>
            <w:r>
              <w:rPr>
                <w:rFonts w:ascii="宋体" w:hAnsi="宋体" w:cs="宋体" w:eastAsia="宋体" w:hint="default"/>
                <w:spacing w:val="-3"/>
                <w:sz w:val="18"/>
                <w:szCs w:val="18"/>
              </w:rPr>
              <w:t>股权，从而成为本公司控股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股东。</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月，经香港联合交易所有限公司批准，长城科技撤回</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股上市地</w:t>
            </w:r>
            <w:r>
              <w:rPr>
                <w:rFonts w:ascii="宋体" w:hAnsi="宋体" w:cs="宋体" w:eastAsia="宋体" w:hint="default"/>
                <w:spacing w:val="-88"/>
                <w:sz w:val="18"/>
                <w:szCs w:val="18"/>
              </w:rPr>
              <w:t> </w:t>
            </w:r>
            <w:r>
              <w:rPr>
                <w:rFonts w:ascii="宋体" w:hAnsi="宋体" w:cs="宋体" w:eastAsia="宋体" w:hint="default"/>
                <w:spacing w:val="-5"/>
                <w:sz w:val="18"/>
                <w:szCs w:val="18"/>
              </w:rPr>
              <w:t>位正式生效，《吸收合并协议》约定的生效条件至此已全部满足。中国电子将适时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实施合并长城集团和长城科技；待合并完成后，长城集团和长城科技将注销法人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资格，中国电子将成为公司的控股股东。截至目前，该事项仍在进行中。</w:t>
            </w:r>
          </w:p>
          <w:p>
            <w:pPr>
              <w:pStyle w:val="TableParagraph"/>
              <w:spacing w:line="300" w:lineRule="auto" w:before="62"/>
              <w:ind w:left="23" w:right="20"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日，中国电子未直接持有本公司股份，中国电子下属企</w:t>
            </w:r>
            <w:r>
              <w:rPr>
                <w:rFonts w:ascii="宋体" w:hAnsi="宋体" w:cs="宋体" w:eastAsia="宋体" w:hint="default"/>
                <w:sz w:val="18"/>
                <w:szCs w:val="18"/>
              </w:rPr>
              <w:t> 业长城科技直接持有本公司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53.92%</w:t>
            </w:r>
            <w:r>
              <w:rPr>
                <w:rFonts w:ascii="宋体" w:hAnsi="宋体" w:cs="宋体" w:eastAsia="宋体" w:hint="default"/>
                <w:sz w:val="18"/>
                <w:szCs w:val="18"/>
              </w:rPr>
              <w:t>股权。</w:t>
            </w:r>
          </w:p>
        </w:tc>
      </w:tr>
    </w:tbl>
    <w:p>
      <w:pPr>
        <w:spacing w:line="240" w:lineRule="auto" w:before="1"/>
        <w:rPr>
          <w:rFonts w:ascii="宋体" w:hAnsi="宋体" w:cs="宋体" w:eastAsia="宋体" w:hint="default"/>
          <w:b/>
          <w:bCs/>
          <w:sz w:val="18"/>
          <w:szCs w:val="18"/>
        </w:rPr>
      </w:pPr>
    </w:p>
    <w:p>
      <w:pPr>
        <w:pStyle w:val="Heading5"/>
        <w:spacing w:line="240" w:lineRule="auto" w:before="26"/>
        <w:ind w:right="153"/>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662"/>
        <w:gridCol w:w="6906"/>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谭小青、张媛</w:t>
            </w:r>
          </w:p>
        </w:tc>
      </w:tr>
    </w:tbl>
    <w:p>
      <w:pPr>
        <w:pStyle w:val="BodyText"/>
        <w:spacing w:line="240" w:lineRule="auto" w:before="49"/>
        <w:ind w:right="153"/>
        <w:jc w:val="left"/>
      </w:pPr>
      <w:r>
        <w:rPr/>
        <w:t>公司聘请的报告期内履行持续督导职责的保荐机构</w:t>
      </w:r>
    </w:p>
    <w:p>
      <w:pPr>
        <w:pStyle w:val="BodyText"/>
        <w:spacing w:line="360" w:lineRule="auto" w:before="115"/>
        <w:ind w:right="5814"/>
        <w:jc w:val="left"/>
      </w:pPr>
      <w:r>
        <w:rPr/>
        <w:t>□ 适用 √</w:t>
      </w:r>
      <w:r>
        <w:rPr>
          <w:spacing w:val="3"/>
        </w:rPr>
        <w:t> </w:t>
      </w:r>
      <w:r>
        <w:rPr/>
        <w:t>不适用</w:t>
      </w:r>
      <w:r>
        <w:rPr/>
        <w:t> 公司聘请的报告期内履行持续督导职责的财务顾问</w:t>
      </w:r>
    </w:p>
    <w:p>
      <w:pPr>
        <w:pStyle w:val="BodyText"/>
        <w:spacing w:line="240" w:lineRule="auto" w:before="27"/>
        <w:ind w:right="153"/>
        <w:jc w:val="left"/>
      </w:pPr>
      <w:r>
        <w:rPr/>
        <w:t>□ 适用 √</w:t>
      </w:r>
      <w:r>
        <w:rPr>
          <w:spacing w:val="3"/>
        </w:rPr>
        <w:t> </w:t>
      </w:r>
      <w:r>
        <w:rPr/>
        <w:t>不适用</w:t>
      </w:r>
    </w:p>
    <w:p>
      <w:pPr>
        <w:spacing w:after="0" w:line="240" w:lineRule="auto"/>
        <w:jc w:val="left"/>
        <w:sectPr>
          <w:pgSz w:w="11910" w:h="16840"/>
          <w:pgMar w:header="877" w:footer="980" w:top="1100" w:bottom="1160" w:left="980" w:right="980"/>
        </w:sectPr>
      </w:pPr>
    </w:p>
    <w:p>
      <w:pPr>
        <w:spacing w:line="240" w:lineRule="auto" w:before="10"/>
        <w:rPr>
          <w:rFonts w:ascii="宋体" w:hAnsi="宋体" w:cs="宋体" w:eastAsia="宋体" w:hint="default"/>
          <w:sz w:val="25"/>
          <w:szCs w:val="25"/>
        </w:rPr>
      </w:pPr>
    </w:p>
    <w:p>
      <w:pPr>
        <w:pStyle w:val="Heading5"/>
        <w:spacing w:line="240" w:lineRule="auto" w:before="26"/>
        <w:ind w:left="492" w:right="0"/>
        <w:jc w:val="left"/>
        <w:rPr>
          <w:b w:val="0"/>
          <w:bCs w:val="0"/>
        </w:rPr>
      </w:pPr>
      <w:r>
        <w:rPr/>
        <w:t>六、主要会计数据和财务指标</w:t>
      </w:r>
      <w:r>
        <w:rPr>
          <w:b w:val="0"/>
          <w:bCs w:val="0"/>
        </w:rPr>
      </w:r>
    </w:p>
    <w:p>
      <w:pPr>
        <w:pStyle w:val="BodyText"/>
        <w:spacing w:line="240" w:lineRule="auto" w:before="164"/>
        <w:ind w:left="492" w:right="0"/>
        <w:jc w:val="left"/>
      </w:pPr>
      <w:r>
        <w:rPr/>
        <w:t>公司是否因会计政策变更及会计差错更正等追溯调整或重述以前年度会计数据</w:t>
      </w:r>
    </w:p>
    <w:p>
      <w:pPr>
        <w:pStyle w:val="BodyText"/>
        <w:spacing w:line="240" w:lineRule="auto" w:before="117"/>
        <w:ind w:left="492" w:right="0"/>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947"/>
        <w:gridCol w:w="1441"/>
        <w:gridCol w:w="1440"/>
        <w:gridCol w:w="1440"/>
        <w:gridCol w:w="1260"/>
        <w:gridCol w:w="1441"/>
        <w:gridCol w:w="1438"/>
      </w:tblGrid>
      <w:tr>
        <w:trPr>
          <w:trHeight w:val="161" w:hRule="exact"/>
        </w:trPr>
        <w:tc>
          <w:tcPr>
            <w:tcW w:w="1947" w:type="dxa"/>
            <w:vMerge w:val="restart"/>
            <w:tcBorders>
              <w:top w:val="single" w:sz="4" w:space="0" w:color="000000"/>
              <w:left w:val="single" w:sz="4" w:space="0" w:color="000000"/>
              <w:right w:val="single" w:sz="4" w:space="0" w:color="000000"/>
            </w:tcBorders>
            <w:shd w:val="clear" w:color="auto" w:fill="D2D2D2"/>
          </w:tcPr>
          <w:p>
            <w:pPr/>
          </w:p>
        </w:tc>
        <w:tc>
          <w:tcPr>
            <w:tcW w:w="1441" w:type="dxa"/>
            <w:vMerge w:val="restart"/>
            <w:tcBorders>
              <w:top w:val="single" w:sz="4" w:space="0" w:color="000000"/>
              <w:left w:val="single" w:sz="4" w:space="0" w:color="000000"/>
              <w:right w:val="single" w:sz="4" w:space="0" w:color="000000"/>
            </w:tcBorders>
            <w:shd w:val="clear" w:color="auto" w:fill="D2D2D2"/>
          </w:tcPr>
          <w:p>
            <w:pPr/>
          </w:p>
        </w:tc>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80" w:right="83" w:hanging="195"/>
              <w:jc w:val="left"/>
              <w:rPr>
                <w:rFonts w:ascii="宋体" w:hAnsi="宋体" w:cs="宋体" w:eastAsia="宋体"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947" w:type="dxa"/>
            <w:vMerge/>
            <w:tcBorders>
              <w:left w:val="single" w:sz="4" w:space="0" w:color="000000"/>
              <w:bottom w:val="nil" w:sz="6" w:space="0" w:color="auto"/>
              <w:right w:val="single" w:sz="4" w:space="0" w:color="000000"/>
            </w:tcBorders>
            <w:shd w:val="clear" w:color="auto" w:fill="D2D2D2"/>
          </w:tcPr>
          <w:p>
            <w:pPr/>
          </w:p>
        </w:tc>
        <w:tc>
          <w:tcPr>
            <w:tcW w:w="1441" w:type="dxa"/>
            <w:vMerge/>
            <w:tcBorders>
              <w:left w:val="single" w:sz="4" w:space="0" w:color="000000"/>
              <w:bottom w:val="nil" w:sz="6" w:space="0" w:color="auto"/>
              <w:right w:val="single" w:sz="4" w:space="0" w:color="000000"/>
            </w:tcBorders>
            <w:shd w:val="clear" w:color="auto" w:fill="D2D2D2"/>
          </w:tcPr>
          <w:p>
            <w:pPr/>
          </w:p>
        </w:tc>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0" w:type="dxa"/>
            <w:vMerge/>
            <w:tcBorders>
              <w:left w:val="single" w:sz="4" w:space="0" w:color="000000"/>
              <w:right w:val="single" w:sz="4" w:space="0" w:color="000000"/>
            </w:tcBorders>
            <w:shd w:val="clear" w:color="auto" w:fill="D2D2D2"/>
          </w:tcPr>
          <w:p>
            <w:pPr/>
          </w:p>
        </w:tc>
        <w:tc>
          <w:tcPr>
            <w:tcW w:w="287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51" w:hRule="exact"/>
        </w:trPr>
        <w:tc>
          <w:tcPr>
            <w:tcW w:w="1947" w:type="dxa"/>
            <w:vMerge w:val="restart"/>
            <w:tcBorders>
              <w:top w:val="nil" w:sz="6" w:space="0" w:color="auto"/>
              <w:left w:val="single" w:sz="4" w:space="0" w:color="000000"/>
              <w:right w:val="single" w:sz="4" w:space="0" w:color="000000"/>
            </w:tcBorders>
            <w:shd w:val="clear" w:color="auto" w:fill="D2D2D2"/>
          </w:tcPr>
          <w:p>
            <w:pPr/>
          </w:p>
        </w:tc>
        <w:tc>
          <w:tcPr>
            <w:tcW w:w="14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1260" w:type="dxa"/>
            <w:vMerge/>
            <w:tcBorders>
              <w:left w:val="single" w:sz="4" w:space="0" w:color="000000"/>
              <w:right w:val="single" w:sz="4" w:space="0" w:color="000000"/>
            </w:tcBorders>
            <w:shd w:val="clear" w:color="auto" w:fill="D2D2D2"/>
          </w:tcPr>
          <w:p>
            <w:pPr/>
          </w:p>
        </w:tc>
        <w:tc>
          <w:tcPr>
            <w:tcW w:w="2878"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47" w:type="dxa"/>
            <w:vMerge/>
            <w:tcBorders>
              <w:left w:val="single" w:sz="4" w:space="0" w:color="000000"/>
              <w:bottom w:val="nil" w:sz="6" w:space="0" w:color="auto"/>
              <w:right w:val="single" w:sz="4" w:space="0" w:color="000000"/>
            </w:tcBorders>
            <w:shd w:val="clear" w:color="auto" w:fill="D2D2D2"/>
          </w:tcPr>
          <w:p>
            <w:pPr/>
          </w:p>
        </w:tc>
        <w:tc>
          <w:tcPr>
            <w:tcW w:w="1441" w:type="dxa"/>
            <w:vMerge/>
            <w:tcBorders>
              <w:left w:val="single" w:sz="4" w:space="0" w:color="000000"/>
              <w:bottom w:val="nil" w:sz="6" w:space="0" w:color="auto"/>
              <w:right w:val="single" w:sz="4" w:space="0" w:color="000000"/>
            </w:tcBorders>
            <w:shd w:val="clear" w:color="auto" w:fill="D2D2D2"/>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28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72,935,851,650.45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75,801,744,903.21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77,205,375,635.56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77,858,636,643.28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79,454,839,646.92</w:t>
            </w:r>
          </w:p>
        </w:tc>
      </w:tr>
      <w:tr>
        <w:trPr>
          <w:trHeight w:val="634"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23"/>
              <w:jc w:val="left"/>
              <w:rPr>
                <w:rFonts w:ascii="宋体" w:hAnsi="宋体" w:cs="宋体" w:eastAsia="宋体" w:hint="default"/>
                <w:sz w:val="18"/>
                <w:szCs w:val="18"/>
              </w:rPr>
            </w:pPr>
            <w:r>
              <w:rPr>
                <w:rFonts w:ascii="宋体" w:hAnsi="宋体" w:cs="宋体" w:eastAsia="宋体" w:hint="default"/>
                <w:sz w:val="18"/>
                <w:szCs w:val="18"/>
              </w:rPr>
              <w:t>归属于上市公司股东的 净利润</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-35,666,709.39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57,723,671.21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-13,074,608.76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29,486,339.57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13,622,986.33</w:t>
            </w:r>
          </w:p>
        </w:tc>
      </w:tr>
      <w:tr>
        <w:trPr>
          <w:trHeight w:val="946"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23"/>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-374,599,746.06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-169,057,941.38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-170,930,374.53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2"/>
                <w:sz w:val="18"/>
              </w:rPr>
              <w:t>-357,112,115.56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-363,791,964.48</w:t>
            </w:r>
          </w:p>
        </w:tc>
      </w:tr>
      <w:tr>
        <w:trPr>
          <w:trHeight w:val="637"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 w:right="123"/>
              <w:jc w:val="left"/>
              <w:rPr>
                <w:rFonts w:ascii="宋体" w:hAnsi="宋体" w:cs="宋体" w:eastAsia="宋体" w:hint="default"/>
                <w:sz w:val="18"/>
                <w:szCs w:val="18"/>
              </w:rPr>
            </w:pPr>
            <w:r>
              <w:rPr>
                <w:rFonts w:ascii="宋体" w:hAnsi="宋体" w:cs="宋体" w:eastAsia="宋体" w:hint="default"/>
                <w:sz w:val="18"/>
                <w:szCs w:val="18"/>
              </w:rPr>
              <w:t>经营活动产生的现金流 量净额</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1,687,412,319.73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2,603,621,199.44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2,631,912,246.94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-35.89%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645,084,238.09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654,151,172.98</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0.022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0.010</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0.022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0.010</w:t>
            </w:r>
          </w:p>
        </w:tc>
      </w:tr>
      <w:tr>
        <w:trPr>
          <w:trHeight w:val="32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-0.90%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0.47%</w:t>
            </w:r>
          </w:p>
        </w:tc>
      </w:tr>
      <w:tr>
        <w:trPr>
          <w:trHeight w:val="161" w:hRule="exact"/>
        </w:trPr>
        <w:tc>
          <w:tcPr>
            <w:tcW w:w="1947" w:type="dxa"/>
            <w:vMerge w:val="restart"/>
            <w:tcBorders>
              <w:top w:val="single" w:sz="4" w:space="0" w:color="000000"/>
              <w:left w:val="single" w:sz="4" w:space="0" w:color="000000"/>
              <w:right w:val="single" w:sz="4" w:space="0" w:color="000000"/>
            </w:tcBorders>
            <w:shd w:val="clear" w:color="auto" w:fill="D2D2D2"/>
          </w:tcPr>
          <w:p>
            <w:pPr/>
          </w:p>
        </w:tc>
        <w:tc>
          <w:tcPr>
            <w:tcW w:w="1441" w:type="dxa"/>
            <w:vMerge w:val="restart"/>
            <w:tcBorders>
              <w:top w:val="single" w:sz="4" w:space="0" w:color="000000"/>
              <w:left w:val="single" w:sz="4" w:space="0" w:color="000000"/>
              <w:right w:val="single" w:sz="4" w:space="0" w:color="000000"/>
            </w:tcBorders>
            <w:shd w:val="clear" w:color="auto" w:fill="D2D2D2"/>
          </w:tcPr>
          <w:p>
            <w:pPr/>
          </w:p>
        </w:tc>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00" w:right="83" w:hanging="15"/>
              <w:jc w:val="left"/>
              <w:rPr>
                <w:rFonts w:ascii="宋体" w:hAnsi="宋体" w:cs="宋体" w:eastAsia="宋体"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947" w:type="dxa"/>
            <w:vMerge/>
            <w:tcBorders>
              <w:left w:val="single" w:sz="4" w:space="0" w:color="000000"/>
              <w:bottom w:val="nil" w:sz="6" w:space="0" w:color="auto"/>
              <w:right w:val="single" w:sz="4" w:space="0" w:color="000000"/>
            </w:tcBorders>
            <w:shd w:val="clear" w:color="auto" w:fill="D2D2D2"/>
          </w:tcPr>
          <w:p>
            <w:pPr/>
          </w:p>
        </w:tc>
        <w:tc>
          <w:tcPr>
            <w:tcW w:w="1441" w:type="dxa"/>
            <w:vMerge/>
            <w:tcBorders>
              <w:left w:val="single" w:sz="4" w:space="0" w:color="000000"/>
              <w:bottom w:val="nil" w:sz="6" w:space="0" w:color="auto"/>
              <w:right w:val="single" w:sz="4" w:space="0" w:color="000000"/>
            </w:tcBorders>
            <w:shd w:val="clear" w:color="auto" w:fill="D2D2D2"/>
          </w:tcPr>
          <w:p>
            <w:pPr/>
          </w:p>
        </w:tc>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60" w:type="dxa"/>
            <w:vMerge/>
            <w:tcBorders>
              <w:left w:val="single" w:sz="4" w:space="0" w:color="000000"/>
              <w:right w:val="single" w:sz="4" w:space="0" w:color="000000"/>
            </w:tcBorders>
            <w:shd w:val="clear" w:color="auto" w:fill="D2D2D2"/>
          </w:tcPr>
          <w:p>
            <w:pPr/>
          </w:p>
        </w:tc>
        <w:tc>
          <w:tcPr>
            <w:tcW w:w="287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51" w:hRule="exact"/>
        </w:trPr>
        <w:tc>
          <w:tcPr>
            <w:tcW w:w="1947" w:type="dxa"/>
            <w:vMerge w:val="restart"/>
            <w:tcBorders>
              <w:top w:val="nil" w:sz="6" w:space="0" w:color="auto"/>
              <w:left w:val="single" w:sz="4" w:space="0" w:color="000000"/>
              <w:right w:val="single" w:sz="4" w:space="0" w:color="000000"/>
            </w:tcBorders>
            <w:shd w:val="clear" w:color="auto" w:fill="D2D2D2"/>
          </w:tcPr>
          <w:p>
            <w:pPr/>
          </w:p>
        </w:tc>
        <w:tc>
          <w:tcPr>
            <w:tcW w:w="14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1260" w:type="dxa"/>
            <w:vMerge/>
            <w:tcBorders>
              <w:left w:val="single" w:sz="4" w:space="0" w:color="000000"/>
              <w:right w:val="single" w:sz="4" w:space="0" w:color="000000"/>
            </w:tcBorders>
            <w:shd w:val="clear" w:color="auto" w:fill="D2D2D2"/>
          </w:tcPr>
          <w:p>
            <w:pPr/>
          </w:p>
        </w:tc>
        <w:tc>
          <w:tcPr>
            <w:tcW w:w="2878"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47" w:type="dxa"/>
            <w:vMerge/>
            <w:tcBorders>
              <w:left w:val="single" w:sz="4" w:space="0" w:color="000000"/>
              <w:bottom w:val="nil" w:sz="6" w:space="0" w:color="auto"/>
              <w:right w:val="single" w:sz="4" w:space="0" w:color="000000"/>
            </w:tcBorders>
            <w:shd w:val="clear" w:color="auto" w:fill="D2D2D2"/>
          </w:tcPr>
          <w:p>
            <w:pPr/>
          </w:p>
        </w:tc>
        <w:tc>
          <w:tcPr>
            <w:tcW w:w="1441" w:type="dxa"/>
            <w:vMerge/>
            <w:tcBorders>
              <w:left w:val="single" w:sz="4" w:space="0" w:color="000000"/>
              <w:bottom w:val="nil" w:sz="6" w:space="0" w:color="auto"/>
              <w:right w:val="single" w:sz="4" w:space="0" w:color="000000"/>
            </w:tcBorders>
            <w:shd w:val="clear" w:color="auto" w:fill="D2D2D2"/>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28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4"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39,456,067,228.40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39,715,144,725.20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40,551,722,167.22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39,225,526,460.61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40,276,503,985.71</w:t>
            </w:r>
          </w:p>
        </w:tc>
      </w:tr>
      <w:tr>
        <w:trPr>
          <w:trHeight w:val="634"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23"/>
              <w:jc w:val="left"/>
              <w:rPr>
                <w:rFonts w:ascii="宋体" w:hAnsi="宋体" w:cs="宋体" w:eastAsia="宋体" w:hint="default"/>
                <w:sz w:val="18"/>
                <w:szCs w:val="18"/>
              </w:rPr>
            </w:pPr>
            <w:r>
              <w:rPr>
                <w:rFonts w:ascii="宋体" w:hAnsi="宋体" w:cs="宋体" w:eastAsia="宋体" w:hint="default"/>
                <w:sz w:val="18"/>
                <w:szCs w:val="18"/>
              </w:rPr>
              <w:t>归属于上市公司股东的 净资产</w:t>
            </w:r>
          </w:p>
        </w:tc>
        <w:tc>
          <w:tcPr>
            <w:tcW w:w="14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2,590,356,817.19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2,549,796,710.30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2,541,089,598.47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2,681,778,115.00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2,733,323,512.24</w:t>
            </w:r>
          </w:p>
        </w:tc>
      </w:tr>
    </w:tbl>
    <w:p>
      <w:pPr>
        <w:pStyle w:val="BodyText"/>
        <w:spacing w:line="357" w:lineRule="auto" w:before="49"/>
        <w:ind w:left="853" w:right="0" w:hanging="361"/>
        <w:jc w:val="left"/>
      </w:pPr>
      <w:r>
        <w:rPr>
          <w:rFonts w:ascii="宋体" w:hAnsi="宋体" w:cs="宋体" w:eastAsia="宋体" w:hint="default"/>
          <w:b/>
          <w:bCs/>
        </w:rPr>
        <w:t>追溯调整情况说明</w:t>
      </w:r>
      <w:r>
        <w:rPr>
          <w:rFonts w:ascii="宋体" w:hAnsi="宋体" w:cs="宋体" w:eastAsia="宋体" w:hint="default"/>
          <w:b/>
          <w:bCs/>
          <w:w w:val="99"/>
        </w:rPr>
        <w:t> </w:t>
      </w:r>
      <w:r>
        <w:rPr>
          <w:spacing w:val="-2"/>
        </w:rPr>
        <w:t>报告期内，冠捷科技通过下属公司完成了对桑菲通信全部股权的收购，并以同一控制下的企业合并方式将其纳入合并报</w:t>
      </w:r>
    </w:p>
    <w:p>
      <w:pPr>
        <w:pStyle w:val="BodyText"/>
        <w:spacing w:line="237" w:lineRule="exact"/>
        <w:ind w:left="492" w:right="0"/>
        <w:jc w:val="left"/>
      </w:pPr>
      <w:r>
        <w:rPr/>
        <w:t>表范围。鉴于此，根据《企业会计准则第</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企业合并》的相关规定，公司需将桑菲通信以同一控制下的企业合并方式</w:t>
      </w:r>
    </w:p>
    <w:p>
      <w:pPr>
        <w:pStyle w:val="BodyText"/>
        <w:spacing w:line="360" w:lineRule="auto" w:before="63"/>
        <w:ind w:left="853" w:right="3473" w:hanging="361"/>
        <w:jc w:val="left"/>
      </w:pPr>
      <w:r>
        <w:rPr/>
        <w:t>纳入到本公司合并范围并对可比期间的相关数据进行追溯调整。 公司报告期无会计政策变更及会计差错更正情况，也不存在需追溯重述的情况。</w:t>
      </w:r>
    </w:p>
    <w:p>
      <w:pPr>
        <w:pStyle w:val="Heading5"/>
        <w:spacing w:line="240" w:lineRule="auto" w:before="60"/>
        <w:ind w:left="492" w:right="0"/>
        <w:jc w:val="left"/>
        <w:rPr>
          <w:b w:val="0"/>
          <w:bCs w:val="0"/>
        </w:rPr>
      </w:pPr>
      <w:r>
        <w:rPr/>
        <w:t>七、境内外会计准则下会计数据差异</w:t>
      </w:r>
      <w:r>
        <w:rPr>
          <w:b w:val="0"/>
          <w:bCs w:val="0"/>
        </w:rPr>
      </w:r>
    </w:p>
    <w:p>
      <w:pPr>
        <w:pStyle w:val="BodyText"/>
        <w:spacing w:line="240" w:lineRule="auto" w:before="164"/>
        <w:ind w:left="853" w:right="0"/>
        <w:jc w:val="left"/>
      </w:pPr>
      <w:r>
        <w:rPr/>
        <w:t>不适用。</w:t>
      </w:r>
    </w:p>
    <w:p>
      <w:pPr>
        <w:pStyle w:val="Heading5"/>
        <w:spacing w:line="240" w:lineRule="auto" w:before="150"/>
        <w:ind w:left="492" w:right="0"/>
        <w:jc w:val="left"/>
        <w:rPr>
          <w:b w:val="0"/>
          <w:bCs w:val="0"/>
        </w:rPr>
      </w:pPr>
      <w:r>
        <w:rPr/>
        <w:t>八、分季度主要财务指标</w:t>
      </w:r>
      <w:r>
        <w:rPr>
          <w:b w:val="0"/>
          <w:bCs w:val="0"/>
        </w:rPr>
      </w:r>
    </w:p>
    <w:p>
      <w:pPr>
        <w:pStyle w:val="BodyText"/>
        <w:spacing w:line="240" w:lineRule="auto" w:before="164"/>
        <w:ind w:left="0" w:right="511"/>
        <w:jc w:val="right"/>
      </w:pPr>
      <w:r>
        <w:rPr/>
        <w:t>单位：元</w:t>
      </w:r>
    </w:p>
    <w:p>
      <w:pPr>
        <w:spacing w:line="240" w:lineRule="auto" w:before="4"/>
        <w:rPr>
          <w:rFonts w:ascii="宋体" w:hAnsi="宋体" w:cs="宋体" w:eastAsia="宋体" w:hint="default"/>
          <w:sz w:val="8"/>
          <w:szCs w:val="8"/>
        </w:rPr>
      </w:pPr>
    </w:p>
    <w:tbl>
      <w:tblPr>
        <w:tblW w:w="0" w:type="auto"/>
        <w:jc w:val="left"/>
        <w:tblInd w:w="533"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15,849,705,817.71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17,084,567,258.32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18,842,436,824.46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21,159,141,749.96</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-92,936,298.11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-16,721,623.70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-26,732,781.47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100,723,993.89</w:t>
            </w:r>
          </w:p>
        </w:tc>
      </w:tr>
      <w:tr>
        <w:trPr>
          <w:trHeight w:val="63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-99,542,184.57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-138,797,947.21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-83,627,303.24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-52,632,311.04</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-624,596,419.43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-212,185,921.45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1,152,001,195.11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1,372,193,465.50</w:t>
            </w:r>
          </w:p>
        </w:tc>
      </w:tr>
    </w:tbl>
    <w:p>
      <w:pPr>
        <w:pStyle w:val="BodyText"/>
        <w:spacing w:line="240" w:lineRule="auto" w:before="49"/>
        <w:ind w:left="492" w:right="0"/>
        <w:jc w:val="left"/>
      </w:pPr>
      <w:r>
        <w:rPr/>
        <w:t>上述财务指标或其加总数是否与公司已披露季度报告、半年度报告相关财务指标存在重大差异</w:t>
      </w:r>
    </w:p>
    <w:p>
      <w:pPr>
        <w:pStyle w:val="BodyText"/>
        <w:spacing w:line="240" w:lineRule="auto" w:before="114"/>
        <w:ind w:left="492" w:right="0"/>
        <w:jc w:val="left"/>
      </w:pPr>
      <w:r>
        <w:rPr/>
        <w:t>□ 是 √</w:t>
      </w:r>
      <w:r>
        <w:rPr>
          <w:spacing w:val="3"/>
        </w:rPr>
        <w:t> </w:t>
      </w:r>
      <w:r>
        <w:rPr/>
        <w:t>否</w:t>
      </w:r>
    </w:p>
    <w:p>
      <w:pPr>
        <w:spacing w:after="0" w:line="240" w:lineRule="auto"/>
        <w:jc w:val="left"/>
        <w:sectPr>
          <w:pgSz w:w="11910" w:h="16840"/>
          <w:pgMar w:header="877" w:footer="980" w:top="1100" w:bottom="1160" w:left="640" w:right="620"/>
        </w:sectPr>
      </w:pPr>
    </w:p>
    <w:p>
      <w:pPr>
        <w:spacing w:line="240" w:lineRule="auto" w:before="9"/>
        <w:rPr>
          <w:rFonts w:ascii="宋体" w:hAnsi="宋体" w:cs="宋体" w:eastAsia="宋体" w:hint="default"/>
          <w:sz w:val="19"/>
          <w:szCs w:val="19"/>
        </w:rPr>
      </w:pPr>
    </w:p>
    <w:p>
      <w:pPr>
        <w:pStyle w:val="Heading5"/>
        <w:spacing w:line="240" w:lineRule="auto" w:before="26"/>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3273"/>
        <w:gridCol w:w="1530"/>
        <w:gridCol w:w="1522"/>
        <w:gridCol w:w="1522"/>
        <w:gridCol w:w="1709"/>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36,010,980.11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-14,692,676.05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633,952,739.40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276,801,713.26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227,534,920.56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263,824,665.29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0" w:type="dxa"/>
            <w:tcBorders>
              <w:top w:val="single" w:sz="4" w:space="0" w:color="000000"/>
              <w:left w:val="single" w:sz="9"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28,796,008.50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-34,808,642.06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-291,109,687.74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-65,226,501.42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1,002,122,812.73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513,448,242.49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-30,575,226.28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25,666,444.94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34,404,706.58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31,984,162.02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2,141,502.67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1,800,579.89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48,040,054.68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51,900,159.25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115,994,718.84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106,353,697.96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84,031,419.02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33,403,539.63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106,684,012.69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936,870,515.21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396,121,499.17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533,050,636.65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338,933,036.67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157,855,765.77</w:t>
            </w:r>
          </w:p>
        </w:tc>
        <w:tc>
          <w:tcPr>
            <w:tcW w:w="152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377,414,950.81</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264"/>
        <w:gridCol w:w="2127"/>
        <w:gridCol w:w="5178"/>
      </w:tblGrid>
      <w:tr>
        <w:trPr>
          <w:trHeight w:val="40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28,449,299.75</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下属子公司购买理财产品实现投资收益</w:t>
            </w:r>
          </w:p>
        </w:tc>
      </w:tr>
      <w:tr>
        <w:trPr>
          <w:trHeight w:val="10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或有对价</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23,450,859.50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根据冠捷科技收购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3"/>
                <w:sz w:val="18"/>
                <w:szCs w:val="18"/>
              </w:rPr>
              <w:t>Vision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的相关协议，收购或有对价系根据平 均比例息税前盈利乘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的公式计算，如计算结果为负数，或有对 价将被视为零。</w:t>
            </w:r>
          </w:p>
        </w:tc>
      </w:tr>
    </w:tbl>
    <w:p>
      <w:pPr>
        <w:spacing w:after="0" w:line="300" w:lineRule="auto"/>
        <w:jc w:val="left"/>
        <w:rPr>
          <w:rFonts w:ascii="宋体" w:hAnsi="宋体" w:cs="宋体" w:eastAsia="宋体" w:hint="default"/>
          <w:sz w:val="18"/>
          <w:szCs w:val="18"/>
        </w:rPr>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48"/>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13"/>
        <w:rPr>
          <w:rFonts w:ascii="宋体" w:hAnsi="宋体" w:cs="宋体" w:eastAsia="宋体" w:hint="default"/>
          <w:b/>
          <w:bCs/>
          <w:sz w:val="38"/>
          <w:szCs w:val="38"/>
        </w:rPr>
      </w:pPr>
    </w:p>
    <w:p>
      <w:pPr>
        <w:pStyle w:val="Heading5"/>
        <w:spacing w:line="240" w:lineRule="auto"/>
        <w:ind w:right="0"/>
        <w:jc w:val="both"/>
        <w:rPr>
          <w:b w:val="0"/>
          <w:bCs w:val="0"/>
        </w:rPr>
      </w:pPr>
      <w:r>
        <w:rPr/>
        <w:t>一、报告期内公司从事的主要业务</w:t>
      </w:r>
      <w:r>
        <w:rPr>
          <w:b w:val="0"/>
          <w:bCs w:val="0"/>
        </w:rPr>
      </w:r>
    </w:p>
    <w:p>
      <w:pPr>
        <w:spacing w:line="240" w:lineRule="auto" w:before="12"/>
        <w:rPr>
          <w:rFonts w:ascii="宋体" w:hAnsi="宋体" w:cs="宋体" w:eastAsia="宋体" w:hint="default"/>
          <w:b/>
          <w:bCs/>
          <w:sz w:val="27"/>
          <w:szCs w:val="27"/>
        </w:rPr>
      </w:pPr>
    </w:p>
    <w:p>
      <w:pPr>
        <w:pStyle w:val="BodyText"/>
        <w:spacing w:line="516" w:lineRule="auto"/>
        <w:ind w:left="513" w:right="0"/>
        <w:jc w:val="left"/>
      </w:pPr>
      <w:r>
        <w:rPr/>
        <w:t>报告期内公司从事的主要业务包括：新型显示业务、电源业务、信息化基础设施业务以及自主可控与可信安全业务。 </w:t>
      </w:r>
      <w:r>
        <w:rPr>
          <w:spacing w:val="-2"/>
        </w:rPr>
        <w:t>新型显示业务由公司旗下冠捷科技有限公司承担，主要产品有显示器和液晶电视。冠捷科技是全球最大的显视器研发制</w:t>
      </w:r>
    </w:p>
    <w:p>
      <w:pPr>
        <w:pStyle w:val="BodyText"/>
        <w:spacing w:line="240" w:lineRule="auto" w:before="25"/>
        <w:ind w:right="0"/>
        <w:jc w:val="both"/>
        <w:rPr>
          <w:rFonts w:ascii="Times New Roman" w:hAnsi="Times New Roman" w:cs="Times New Roman" w:eastAsia="Times New Roman" w:hint="default"/>
        </w:rPr>
      </w:pPr>
      <w:r>
        <w:rPr/>
        <w:t>造商</w:t>
      </w:r>
      <w:r>
        <w:rPr>
          <w:spacing w:val="-89"/>
        </w:rPr>
        <w:t>、</w:t>
      </w:r>
      <w:r>
        <w:rPr/>
        <w:t>全球第三大液晶电视研发制造商</w:t>
      </w:r>
      <w:r>
        <w:rPr>
          <w:spacing w:val="-89"/>
        </w:rPr>
        <w:t>，</w:t>
      </w:r>
      <w:r>
        <w:rPr/>
        <w:t>多年雄踞全球显示类产品领域的龙头地位</w:t>
      </w:r>
      <w:r>
        <w:rPr>
          <w:spacing w:val="-89"/>
        </w:rPr>
        <w:t>，</w:t>
      </w:r>
      <w:r>
        <w:rPr/>
        <w:t>冠捷科技除运营</w:t>
      </w:r>
      <w:r>
        <w:rPr>
          <w:spacing w:val="-45"/>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OC</w:t>
      </w:r>
      <w:r>
        <w:rPr>
          <w:spacing w:val="-89"/>
        </w:rPr>
        <w:t>、</w:t>
      </w:r>
      <w:r>
        <w:rPr>
          <w:rFonts w:ascii="Times New Roman" w:hAnsi="Times New Roman" w:cs="Times New Roman" w:eastAsia="Times New Roman" w:hint="default"/>
        </w:rPr>
        <w:t>E</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2"/>
        </w:rPr>
        <w:t>v</w:t>
      </w:r>
      <w:r>
        <w:rPr>
          <w:rFonts w:ascii="Times New Roman" w:hAnsi="Times New Roman" w:cs="Times New Roman" w:eastAsia="Times New Roman" w:hint="default"/>
          <w:w w:val="99"/>
        </w:rPr>
        <w:t>isi</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1"/>
        </w:rPr>
        <w:t>n</w:t>
      </w:r>
      <w:r>
        <w:rPr>
          <w:spacing w:val="-89"/>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spacing w:val="2"/>
          <w:w w:val="99"/>
        </w:rPr>
        <w:t>r</w:t>
      </w:r>
      <w:r>
        <w:rPr>
          <w:rFonts w:ascii="Times New Roman" w:hAnsi="Times New Roman" w:cs="Times New Roman" w:eastAsia="Times New Roman" w:hint="default"/>
          <w:spacing w:val="-1"/>
          <w:w w:val="99"/>
        </w:rPr>
        <w:t>ea</w:t>
      </w:r>
      <w:r>
        <w:rPr>
          <w:rFonts w:ascii="Times New Roman" w:hAnsi="Times New Roman" w:cs="Times New Roman" w:eastAsia="Times New Roman" w:hint="default"/>
          <w:w w:val="99"/>
        </w:rPr>
        <w:t>t</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ll</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9"/>
          <w:szCs w:val="19"/>
        </w:rPr>
      </w:pPr>
    </w:p>
    <w:p>
      <w:pPr>
        <w:pStyle w:val="BodyText"/>
        <w:spacing w:line="518" w:lineRule="auto"/>
        <w:ind w:left="513" w:right="0" w:hanging="361"/>
        <w:jc w:val="left"/>
      </w:pPr>
      <w:r>
        <w:rPr/>
        <w:t>等自有品牌产品外，还拥有飞利浦显示器在全球的独家分销权，拥有飞利浦品牌电视在全球大部分地区的独家分销权。 </w:t>
      </w:r>
      <w:r>
        <w:rPr>
          <w:spacing w:val="-2"/>
        </w:rPr>
        <w:t>公司具备强大的电源研发和制造能力，电源产品涵盖工业电源、消费电源以及光伏系统电源。计算机电源多年来雄踞国</w:t>
      </w:r>
    </w:p>
    <w:p>
      <w:pPr>
        <w:pStyle w:val="BodyText"/>
        <w:spacing w:line="463" w:lineRule="auto" w:before="24"/>
        <w:ind w:right="151"/>
        <w:jc w:val="both"/>
      </w:pPr>
      <w:r>
        <w:rPr>
          <w:spacing w:val="-2"/>
        </w:rPr>
        <w:t>内市场占有率第一，服务器电源、通讯电源等高端电源产品近年来销量稳步提升。消费电源产品跻身国际一线水平，主要面</w:t>
      </w:r>
      <w:r>
        <w:rPr>
          <w:spacing w:val="-65"/>
        </w:rPr>
        <w:t> </w:t>
      </w:r>
      <w:r>
        <w:rPr>
          <w:spacing w:val="-65"/>
        </w:rPr>
      </w:r>
      <w:r>
        <w:rPr/>
        <w:t>向国际大客户供货。在光伏逆变器业务领域，公司在以前年度收购美国 </w:t>
      </w:r>
      <w:r>
        <w:rPr>
          <w:rFonts w:ascii="Times New Roman" w:hAnsi="Times New Roman" w:cs="Times New Roman" w:eastAsia="Times New Roman" w:hint="default"/>
        </w:rPr>
        <w:t>Satcon</w:t>
      </w:r>
      <w:r>
        <w:rPr>
          <w:rFonts w:ascii="Times New Roman" w:hAnsi="Times New Roman" w:cs="Times New Roman" w:eastAsia="Times New Roman" w:hint="default"/>
          <w:spacing w:val="11"/>
        </w:rPr>
        <w:t> </w:t>
      </w:r>
      <w:r>
        <w:rPr/>
        <w:t>公司核心资产后，业务已逐渐向设备供应、 工程总包和电站建设、全业务链运作的业务模式转型并取得了一定的成效。</w:t>
      </w:r>
    </w:p>
    <w:p>
      <w:pPr>
        <w:pStyle w:val="BodyText"/>
        <w:spacing w:line="477" w:lineRule="auto" w:before="106"/>
        <w:ind w:right="153" w:firstLine="360"/>
        <w:jc w:val="both"/>
      </w:pPr>
      <w:r>
        <w:rPr>
          <w:spacing w:val="-2"/>
        </w:rPr>
        <w:t>信息化基础设施业务是公司确定的战略培育业务，重点跟踪云计算、大数据等产业趋势，市场化方式参与市场竞争，寻</w:t>
      </w:r>
      <w:r>
        <w:rPr/>
        <w:t> 找发展机会，逐步与自主可控与可信安全业务形成协同。</w:t>
      </w:r>
    </w:p>
    <w:p>
      <w:pPr>
        <w:pStyle w:val="BodyText"/>
        <w:spacing w:line="477" w:lineRule="auto" w:before="92"/>
        <w:ind w:right="151" w:firstLine="360"/>
        <w:jc w:val="both"/>
      </w:pPr>
      <w:r>
        <w:rPr>
          <w:spacing w:val="-2"/>
        </w:rPr>
        <w:t>自主可控与可信安全业务以关系国家安全和国民经济命脉的重要行业和领域为主要市场，提供软硬结合的核心产品、行</w:t>
      </w:r>
      <w:r>
        <w:rPr/>
        <w:t> </w:t>
      </w:r>
      <w:r>
        <w:rPr>
          <w:spacing w:val="-2"/>
        </w:rPr>
        <w:t>业解决方案和服务。经过多年持续投入，公司目前拥有自主设计、研发和制造自主可控计算机整机及系统的能力。该领域的</w:t>
      </w:r>
      <w:r>
        <w:rPr>
          <w:spacing w:val="-65"/>
        </w:rPr>
        <w:t> </w:t>
      </w:r>
      <w:r>
        <w:rPr>
          <w:spacing w:val="-65"/>
        </w:rPr>
      </w:r>
      <w:r>
        <w:rPr/>
        <w:t>市场还处于培育期，相信国家政策的引导将使得该领域未来市场前景广阔。</w:t>
      </w:r>
    </w:p>
    <w:p>
      <w:pPr>
        <w:spacing w:line="240" w:lineRule="auto" w:before="12"/>
        <w:rPr>
          <w:rFonts w:ascii="宋体" w:hAnsi="宋体" w:cs="宋体" w:eastAsia="宋体" w:hint="default"/>
          <w:sz w:val="12"/>
          <w:szCs w:val="12"/>
        </w:rPr>
      </w:pPr>
    </w:p>
    <w:p>
      <w:pPr>
        <w:pStyle w:val="Heading5"/>
        <w:spacing w:line="240" w:lineRule="auto"/>
        <w:ind w:right="0"/>
        <w:jc w:val="both"/>
        <w:rPr>
          <w:b w:val="0"/>
          <w:bCs w:val="0"/>
        </w:rPr>
      </w:pPr>
      <w:r>
        <w:rPr/>
        <w:t>二、主要资产重大变化情况</w:t>
      </w:r>
      <w:r>
        <w:rPr>
          <w:b w:val="0"/>
          <w:bCs w:val="0"/>
        </w:rPr>
      </w:r>
    </w:p>
    <w:p>
      <w:pPr>
        <w:spacing w:line="240" w:lineRule="auto" w:before="2"/>
        <w:rPr>
          <w:rFonts w:ascii="宋体" w:hAnsi="宋体" w:cs="宋体" w:eastAsia="宋体" w:hint="default"/>
          <w:b/>
          <w:bCs/>
          <w:sz w:val="20"/>
          <w:szCs w:val="20"/>
        </w:rPr>
      </w:pPr>
    </w:p>
    <w:p>
      <w:pPr>
        <w:pStyle w:val="Heading8"/>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0"/>
          <w:szCs w:val="20"/>
        </w:rPr>
      </w:pPr>
    </w:p>
    <w:tbl>
      <w:tblPr>
        <w:tblW w:w="0" w:type="auto"/>
        <w:jc w:val="left"/>
        <w:tblInd w:w="196" w:type="dxa"/>
        <w:tblLayout w:type="fixed"/>
        <w:tblCellMar>
          <w:top w:w="0" w:type="dxa"/>
          <w:left w:w="0" w:type="dxa"/>
          <w:bottom w:w="0" w:type="dxa"/>
          <w:right w:w="0" w:type="dxa"/>
        </w:tblCellMar>
        <w:tblLook w:val="01E0"/>
      </w:tblPr>
      <w:tblGrid>
        <w:gridCol w:w="3039"/>
        <w:gridCol w:w="6517"/>
      </w:tblGrid>
      <w:tr>
        <w:trPr>
          <w:trHeight w:val="19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2"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8"/>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4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left="1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4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left="1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4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left="1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4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left="1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44"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其他资产的变化情况详见第四节中</w:t>
            </w:r>
            <w:r>
              <w:rPr>
                <w:rFonts w:ascii="Times New Roman" w:hAnsi="Times New Roman" w:cs="Times New Roman" w:eastAsia="Times New Roman" w:hint="default"/>
                <w:sz w:val="18"/>
                <w:szCs w:val="18"/>
              </w:rPr>
              <w:t>“</w:t>
            </w:r>
            <w:r>
              <w:rPr>
                <w:rFonts w:ascii="宋体" w:hAnsi="宋体" w:cs="宋体" w:eastAsia="宋体" w:hint="default"/>
                <w:sz w:val="18"/>
                <w:szCs w:val="18"/>
              </w:rPr>
              <w:t>资产构成重大变动情况</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的相关介绍。</w:t>
            </w:r>
          </w:p>
        </w:tc>
      </w:tr>
    </w:tbl>
    <w:p>
      <w:pPr>
        <w:spacing w:line="240" w:lineRule="auto" w:before="8"/>
        <w:rPr>
          <w:rFonts w:ascii="宋体" w:hAnsi="宋体" w:cs="宋体" w:eastAsia="宋体" w:hint="default"/>
          <w:b/>
          <w:bCs/>
          <w:sz w:val="14"/>
          <w:szCs w:val="14"/>
        </w:rPr>
      </w:pPr>
    </w:p>
    <w:p>
      <w:pPr>
        <w:pStyle w:val="Heading8"/>
        <w:spacing w:line="240" w:lineRule="auto" w:before="36"/>
        <w:ind w:right="15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668"/>
        <w:gridCol w:w="1039"/>
        <w:gridCol w:w="1493"/>
        <w:gridCol w:w="857"/>
        <w:gridCol w:w="1080"/>
        <w:gridCol w:w="2057"/>
        <w:gridCol w:w="1441"/>
        <w:gridCol w:w="960"/>
        <w:gridCol w:w="879"/>
      </w:tblGrid>
      <w:tr>
        <w:trPr>
          <w:trHeight w:val="1025"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9"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1"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7"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665" w:right="300" w:hanging="360"/>
              <w:jc w:val="left"/>
              <w:rPr>
                <w:rFonts w:ascii="宋体" w:hAnsi="宋体" w:cs="宋体" w:eastAsia="宋体" w:hint="default"/>
                <w:sz w:val="18"/>
                <w:szCs w:val="18"/>
              </w:rPr>
            </w:pPr>
            <w:r>
              <w:rPr>
                <w:rFonts w:ascii="宋体" w:hAnsi="宋体" w:cs="宋体" w:eastAsia="宋体" w:hint="default"/>
                <w:sz w:val="18"/>
                <w:szCs w:val="18"/>
              </w:rPr>
              <w:t>保障资产安全性的 控制措施</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5"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45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right="127"/>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3,567,473.85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7"/>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783,927.92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百慕大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left="2" w:right="-13"/>
              <w:jc w:val="left"/>
              <w:rPr>
                <w:rFonts w:ascii="宋体" w:hAnsi="宋体" w:cs="宋体" w:eastAsia="宋体" w:hint="default"/>
                <w:sz w:val="18"/>
                <w:szCs w:val="18"/>
              </w:rPr>
            </w:pPr>
            <w:r>
              <w:rPr>
                <w:rFonts w:ascii="宋体" w:hAnsi="宋体" w:cs="宋体" w:eastAsia="宋体" w:hint="default"/>
                <w:sz w:val="18"/>
                <w:szCs w:val="18"/>
              </w:rPr>
              <w:t>设计、生产、 销售型</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2" w:right="63"/>
              <w:jc w:val="both"/>
              <w:rPr>
                <w:rFonts w:ascii="宋体" w:hAnsi="宋体" w:cs="宋体" w:eastAsia="宋体" w:hint="default"/>
                <w:sz w:val="18"/>
                <w:szCs w:val="18"/>
              </w:rPr>
            </w:pPr>
            <w:r>
              <w:rPr>
                <w:rFonts w:ascii="宋体" w:hAnsi="宋体" w:cs="宋体" w:eastAsia="宋体" w:hint="default"/>
                <w:sz w:val="18"/>
                <w:szCs w:val="18"/>
              </w:rPr>
              <w:t>由冠捷科技按照其运营策 略及其上市地要求进行统 一部署和风险管控。</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6,915,058.78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1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-24,420.60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90.07%</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 w:right="34"/>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right="127"/>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152,184.10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3"/>
              <w:ind w:left="-1"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7"/>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11,033.76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 w:right="-13"/>
              <w:jc w:val="left"/>
              <w:rPr>
                <w:rFonts w:ascii="宋体" w:hAnsi="宋体" w:cs="宋体" w:eastAsia="宋体" w:hint="default"/>
                <w:sz w:val="18"/>
                <w:szCs w:val="18"/>
              </w:rPr>
            </w:pPr>
            <w:r>
              <w:rPr>
                <w:rFonts w:ascii="宋体" w:hAnsi="宋体" w:cs="宋体" w:eastAsia="宋体" w:hint="default"/>
                <w:sz w:val="18"/>
                <w:szCs w:val="18"/>
              </w:rPr>
              <w:t>设计、生产、 销售型</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 w:right="63"/>
              <w:jc w:val="both"/>
              <w:rPr>
                <w:rFonts w:ascii="宋体" w:hAnsi="宋体" w:cs="宋体" w:eastAsia="宋体" w:hint="default"/>
                <w:sz w:val="18"/>
                <w:szCs w:val="18"/>
              </w:rPr>
            </w:pPr>
            <w:r>
              <w:rPr>
                <w:rFonts w:ascii="宋体" w:hAnsi="宋体" w:cs="宋体" w:eastAsia="宋体" w:hint="default"/>
                <w:sz w:val="18"/>
                <w:szCs w:val="18"/>
              </w:rPr>
              <w:t>公司本部定期对其资产及 经营状况进行分析和审阅 并要求其按照公司治理规 范制度体系履行审批流程 和开展生产运营。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173,535.13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11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4,370.12 </w:t>
            </w:r>
            <w:r>
              <w:rPr>
                <w:rFonts w:ascii="宋体" w:hAnsi="宋体" w:cs="宋体" w:eastAsia="宋体" w:hint="default"/>
                <w:sz w:val="18"/>
                <w:szCs w:val="18"/>
              </w:rPr>
              <w:t>万元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9806"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right="4" w:firstLine="359"/>
              <w:jc w:val="left"/>
              <w:rPr>
                <w:rFonts w:ascii="宋体" w:hAnsi="宋体" w:cs="宋体" w:eastAsia="宋体" w:hint="default"/>
                <w:sz w:val="18"/>
                <w:szCs w:val="18"/>
              </w:rPr>
            </w:pPr>
            <w:r>
              <w:rPr>
                <w:rFonts w:ascii="宋体" w:hAnsi="宋体" w:cs="宋体" w:eastAsia="宋体" w:hint="default"/>
                <w:sz w:val="18"/>
                <w:szCs w:val="18"/>
              </w:rPr>
              <w:t>冠捷科技业务遍布全球，在美国、巴西、俄罗斯、捷克等多地设有子公司或工厂；长城香港除其本部资产及业务位于香 港外，其主要下属公司柏怡国际在深圳横岗及江西龙南设有工厂，在上海、台湾、日本等地设有分支机构。</w:t>
            </w:r>
          </w:p>
        </w:tc>
      </w:tr>
    </w:tbl>
    <w:p>
      <w:pPr>
        <w:spacing w:line="240" w:lineRule="auto" w:before="4"/>
        <w:rPr>
          <w:rFonts w:ascii="宋体" w:hAnsi="宋体" w:cs="宋体" w:eastAsia="宋体" w:hint="default"/>
          <w:sz w:val="10"/>
          <w:szCs w:val="10"/>
        </w:rPr>
      </w:pPr>
    </w:p>
    <w:p>
      <w:pPr>
        <w:pStyle w:val="Heading5"/>
        <w:spacing w:line="240" w:lineRule="auto" w:before="26"/>
        <w:ind w:left="1032" w:right="934"/>
        <w:jc w:val="left"/>
        <w:rPr>
          <w:b w:val="0"/>
          <w:bCs w:val="0"/>
        </w:rPr>
      </w:pPr>
      <w:r>
        <w:rPr/>
        <w:t>三、核心竞争力分析</w:t>
      </w:r>
      <w:r>
        <w:rPr>
          <w:b w:val="0"/>
          <w:bCs w:val="0"/>
        </w:rPr>
      </w:r>
    </w:p>
    <w:p>
      <w:pPr>
        <w:spacing w:line="240" w:lineRule="auto" w:before="11"/>
        <w:rPr>
          <w:rFonts w:ascii="宋体" w:hAnsi="宋体" w:cs="宋体" w:eastAsia="宋体" w:hint="default"/>
          <w:b/>
          <w:bCs/>
          <w:sz w:val="24"/>
          <w:szCs w:val="24"/>
        </w:rPr>
      </w:pPr>
    </w:p>
    <w:p>
      <w:pPr>
        <w:pStyle w:val="BodyText"/>
        <w:spacing w:line="516" w:lineRule="auto"/>
        <w:ind w:left="1393" w:right="934"/>
        <w:jc w:val="left"/>
      </w:pPr>
      <w:r>
        <w:rPr/>
        <w:t>报告期内公司核心竞争力有所增强。 </w:t>
      </w:r>
      <w:r>
        <w:rPr>
          <w:spacing w:val="-2"/>
        </w:rPr>
        <w:t>作为信息安全产业领域的国有控股企业，在信息安全上升成为国家战略形势下，公司确定的核心业务高度符合国家战略</w:t>
      </w:r>
    </w:p>
    <w:p>
      <w:pPr>
        <w:pStyle w:val="BodyText"/>
        <w:spacing w:line="477" w:lineRule="auto" w:before="25"/>
        <w:ind w:left="1032" w:right="934"/>
        <w:jc w:val="left"/>
      </w:pPr>
      <w:r>
        <w:rPr>
          <w:spacing w:val="-2"/>
        </w:rPr>
        <w:t>需要。公司的实际控制人中国电子是电子信息产业领域最大的中央企业，信息安全是其三大系统工程之一，在信息安全领域</w:t>
      </w:r>
      <w:r>
        <w:rPr>
          <w:spacing w:val="-63"/>
        </w:rPr>
        <w:t> </w:t>
      </w:r>
      <w:r>
        <w:rPr>
          <w:spacing w:val="-63"/>
        </w:rPr>
      </w:r>
      <w:r>
        <w:rPr/>
        <w:t>形成了全产业链的竞争优势，提升了公司在信息安全业务领域的竞争力。</w:t>
      </w:r>
    </w:p>
    <w:p>
      <w:pPr>
        <w:pStyle w:val="BodyText"/>
        <w:spacing w:line="463" w:lineRule="auto" w:before="95"/>
        <w:ind w:left="1032" w:right="934" w:firstLine="360"/>
        <w:jc w:val="left"/>
      </w:pPr>
      <w:r>
        <w:rPr>
          <w:spacing w:val="-2"/>
        </w:rPr>
        <w:t>公司高度重视科技创新能力的提升，强调技术研发自主创新与集成创新的有效结合。公司拥有国家级企业技术中心、广</w:t>
      </w:r>
      <w:r>
        <w:rPr/>
        <w:t> </w:t>
      </w:r>
      <w:r>
        <w:rPr>
          <w:spacing w:val="-2"/>
        </w:rPr>
        <w:t>东省重点工程技术研究开发中心、深圳市工程技术研究开发中心、深圳市重点实验室各一个，设有深圳市博士后创新实践基</w:t>
      </w:r>
      <w:r>
        <w:rPr>
          <w:spacing w:val="-63"/>
        </w:rPr>
        <w:t> </w:t>
      </w:r>
      <w:r>
        <w:rPr>
          <w:spacing w:val="-63"/>
        </w:rPr>
      </w:r>
      <w:r>
        <w:rPr>
          <w:spacing w:val="-2"/>
        </w:rPr>
        <w:t>地，是国家高新技术企业、深圳市首批</w:t>
      </w:r>
      <w:r>
        <w:rPr>
          <w:rFonts w:ascii="Times New Roman" w:hAnsi="Times New Roman" w:cs="Times New Roman" w:eastAsia="Times New Roman" w:hint="default"/>
          <w:spacing w:val="-2"/>
        </w:rPr>
        <w:t>“</w:t>
      </w:r>
      <w:r>
        <w:rPr>
          <w:spacing w:val="-2"/>
        </w:rPr>
        <w:t>自主创新行业龙头企业</w:t>
      </w:r>
      <w:r>
        <w:rPr>
          <w:rFonts w:ascii="Times New Roman" w:hAnsi="Times New Roman" w:cs="Times New Roman" w:eastAsia="Times New Roman" w:hint="default"/>
          <w:spacing w:val="-2"/>
        </w:rPr>
        <w:t>”</w:t>
      </w:r>
      <w:r>
        <w:rPr>
          <w:spacing w:val="-2"/>
        </w:rPr>
        <w:t>。公司建有安全可靠信息系统联合实验室，在安全计算机主</w:t>
      </w:r>
      <w:r>
        <w:rPr>
          <w:spacing w:val="-45"/>
        </w:rPr>
        <w:t> </w:t>
      </w:r>
      <w:r>
        <w:rPr>
          <w:spacing w:val="-45"/>
        </w:rPr>
      </w:r>
      <w:r>
        <w:rPr/>
        <w:t>板及系统研发方面领先于国内同类企业；建有深圳市电源关键技术企业重点实验室，其研发的产品和技术达国际先进水平。 在液晶显示器</w:t>
      </w:r>
      <w:r>
        <w:rPr>
          <w:rFonts w:ascii="Times New Roman" w:hAnsi="Times New Roman" w:cs="Times New Roman" w:eastAsia="Times New Roman" w:hint="default"/>
        </w:rPr>
        <w:t>/</w:t>
      </w:r>
      <w:r>
        <w:rPr/>
        <w:t>电视、消费电源领域，技术水平处于行业领先。报告期内公司有多项研究成果通过国家或省市级科技鉴定，</w:t>
      </w:r>
      <w:r>
        <w:rPr>
          <w:spacing w:val="-47"/>
        </w:rPr>
        <w:t> </w:t>
      </w:r>
      <w:r>
        <w:rPr>
          <w:spacing w:val="-47"/>
        </w:rPr>
      </w:r>
      <w:r>
        <w:rPr>
          <w:spacing w:val="-15"/>
        </w:rPr>
        <w:t>其中，《基于国产</w:t>
      </w:r>
      <w:r>
        <w:rPr>
          <w:spacing w:val="-38"/>
        </w:rPr>
        <w:t> </w:t>
      </w:r>
      <w:r>
        <w:rPr>
          <w:rFonts w:ascii="Times New Roman" w:hAnsi="Times New Roman" w:cs="Times New Roman" w:eastAsia="Times New Roman" w:hint="default"/>
          <w:w w:val="99"/>
        </w:rPr>
        <w:t>CPU/OS</w:t>
      </w:r>
      <w:r>
        <w:rPr>
          <w:rFonts w:ascii="Times New Roman" w:hAnsi="Times New Roman" w:cs="Times New Roman" w:eastAsia="Times New Roman" w:hint="default"/>
          <w:spacing w:val="7"/>
          <w:w w:val="99"/>
        </w:rPr>
        <w:t> </w:t>
      </w:r>
      <w:r>
        <w:rPr>
          <w:spacing w:val="-4"/>
        </w:rPr>
        <w:t>的长城飞腾计算机》项目获得中国电子学会科学技术奖二等奖，《长城飞腾安全可靠计算机》项目</w:t>
      </w:r>
      <w:r>
        <w:rPr>
          <w:spacing w:val="-77"/>
        </w:rPr>
        <w:t> </w:t>
      </w:r>
      <w:r>
        <w:rPr>
          <w:spacing w:val="-77"/>
        </w:rPr>
      </w:r>
      <w:r>
        <w:rPr/>
        <w:t>获中国电子科学技术三等奖。</w:t>
      </w:r>
    </w:p>
    <w:p>
      <w:pPr>
        <w:pStyle w:val="BodyText"/>
        <w:spacing w:line="451" w:lineRule="auto" w:before="106"/>
        <w:ind w:left="1032" w:right="1031" w:firstLine="360"/>
        <w:jc w:val="both"/>
      </w:pPr>
      <w:r>
        <w:rPr/>
        <w:t>通过与国内外领先企业的多年合作，公司建立了先进的制造体系，在</w:t>
      </w:r>
      <w:r>
        <w:rPr>
          <w:spacing w:val="29"/>
        </w:rPr>
        <w:t> </w:t>
      </w:r>
      <w:r>
        <w:rPr>
          <w:rFonts w:ascii="Times New Roman" w:hAnsi="Times New Roman" w:cs="Times New Roman" w:eastAsia="Times New Roman" w:hint="default"/>
        </w:rPr>
        <w:t>ERP</w:t>
      </w:r>
      <w:r>
        <w:rPr/>
        <w:t>、精益制造、供应链管理、产品与系统测试 等方面，达到行业领先水平。公司具备强大的电源、信息终端、计算机及服务器等产品 </w:t>
      </w:r>
      <w:r>
        <w:rPr>
          <w:rFonts w:ascii="Times New Roman" w:hAnsi="Times New Roman" w:cs="Times New Roman" w:eastAsia="Times New Roman" w:hint="default"/>
        </w:rPr>
        <w:t>ODM/OEM</w:t>
      </w:r>
      <w:r>
        <w:rPr>
          <w:rFonts w:ascii="Times New Roman" w:hAnsi="Times New Roman" w:cs="Times New Roman" w:eastAsia="Times New Roman" w:hint="default"/>
          <w:spacing w:val="-7"/>
        </w:rPr>
        <w:t> </w:t>
      </w:r>
      <w:r>
        <w:rPr/>
        <w:t>制造能力、产品质量管 控能力，深受客户认同。</w:t>
      </w:r>
    </w:p>
    <w:p>
      <w:pPr>
        <w:pStyle w:val="BodyText"/>
        <w:spacing w:line="477" w:lineRule="auto" w:before="112"/>
        <w:ind w:left="1032" w:right="934" w:firstLine="360"/>
        <w:jc w:val="left"/>
      </w:pPr>
      <w:r>
        <w:rPr>
          <w:spacing w:val="-2"/>
        </w:rPr>
        <w:t>公司将以战略规划为引领，加强提质增效工作，持续提升核心竞争力，保持主要业务的行业领先地位，坚定不移地推动</w:t>
      </w:r>
      <w:r>
        <w:rPr/>
        <w:t> 实现战略转型。</w:t>
      </w:r>
    </w:p>
    <w:p>
      <w:pPr>
        <w:spacing w:after="0" w:line="477" w:lineRule="auto"/>
        <w:jc w:val="left"/>
        <w:sectPr>
          <w:pgSz w:w="11910" w:h="16840"/>
          <w:pgMar w:header="877" w:footer="980" w:top="1100" w:bottom="1160" w:left="10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125" w:right="89"/>
        <w:jc w:val="left"/>
        <w:rPr>
          <w:b w:val="0"/>
          <w:bCs w:val="0"/>
        </w:rPr>
      </w:pPr>
      <w:bookmarkStart w:name="_bookmark3" w:id="4"/>
      <w:bookmarkEnd w:id="4"/>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5"/>
        <w:spacing w:line="240" w:lineRule="auto" w:before="26"/>
        <w:ind w:right="89"/>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63" w:lineRule="auto"/>
        <w:ind w:right="189"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年世界经济整体复苏疲弱、增长乏力，工业生产低速增长，贸易持续低迷，金融市场动荡加剧，大宗商品价格大 幅下跌。发达国家经济复苏缓慢，新兴经济体增速进一步回落，业绩分化态势明显。我国全年</w:t>
      </w:r>
      <w:r>
        <w:rPr>
          <w:spacing w:val="-62"/>
        </w:rPr>
        <w:t> </w:t>
      </w:r>
      <w:r>
        <w:rPr>
          <w:rFonts w:ascii="Times New Roman" w:hAnsi="Times New Roman" w:cs="Times New Roman" w:eastAsia="Times New Roman" w:hint="default"/>
        </w:rPr>
        <w:t>GDP</w:t>
      </w:r>
      <w:r>
        <w:rPr>
          <w:rFonts w:ascii="Times New Roman" w:hAnsi="Times New Roman" w:cs="Times New Roman" w:eastAsia="Times New Roman" w:hint="default"/>
          <w:spacing w:val="-16"/>
        </w:rPr>
        <w:t> </w:t>
      </w:r>
      <w:r>
        <w:rPr/>
        <w:t>增长</w:t>
      </w:r>
      <w:r>
        <w:rPr>
          <w:spacing w:val="-62"/>
        </w:rPr>
        <w:t> </w:t>
      </w:r>
      <w:r>
        <w:rPr>
          <w:rFonts w:ascii="Times New Roman" w:hAnsi="Times New Roman" w:cs="Times New Roman" w:eastAsia="Times New Roman" w:hint="default"/>
        </w:rPr>
        <w:t>6.9%</w:t>
      </w:r>
      <w:r>
        <w:rPr/>
        <w:t>，经济运行呈 </w:t>
      </w:r>
      <w:r>
        <w:rPr>
          <w:spacing w:val="-2"/>
        </w:rPr>
        <w:t>现稳中趋缓、稳中有进的特征，但经济下行压力持续加大。面对错综复杂的国内外经济形势，公司经营班子坚决执行董事会</w:t>
      </w:r>
      <w:r>
        <w:rPr>
          <w:spacing w:val="-64"/>
        </w:rPr>
        <w:t> </w:t>
      </w:r>
      <w:r>
        <w:rPr>
          <w:spacing w:val="-64"/>
        </w:rPr>
      </w:r>
      <w:r>
        <w:rPr>
          <w:spacing w:val="-2"/>
        </w:rPr>
        <w:t>的战略部署，全面有序开展公司经营活动，公司主要业务得到稳定发展，主要经营指标取得一定改善，战略转型得到进一步</w:t>
      </w:r>
      <w:r>
        <w:rPr>
          <w:spacing w:val="-64"/>
        </w:rPr>
        <w:t> </w:t>
      </w:r>
      <w:r>
        <w:rPr>
          <w:spacing w:val="-64"/>
        </w:rPr>
      </w:r>
      <w:r>
        <w:rPr/>
        <w:t>推进。</w:t>
      </w:r>
    </w:p>
    <w:p>
      <w:pPr>
        <w:pStyle w:val="BodyText"/>
        <w:spacing w:line="489" w:lineRule="auto" w:before="104"/>
        <w:ind w:left="513" w:right="89"/>
        <w:jc w:val="left"/>
      </w:pPr>
      <w:r>
        <w:rPr/>
        <w:t>报告期内，公司实现营业收入约</w:t>
      </w:r>
      <w:r>
        <w:rPr>
          <w:spacing w:val="-45"/>
        </w:rPr>
        <w:t> </w:t>
      </w:r>
      <w:r>
        <w:rPr>
          <w:rFonts w:ascii="Times New Roman" w:hAnsi="Times New Roman" w:cs="Times New Roman" w:eastAsia="Times New Roman" w:hint="default"/>
        </w:rPr>
        <w:t>729 </w:t>
      </w:r>
      <w:r>
        <w:rPr/>
        <w:t>亿元，利润总额约</w:t>
      </w:r>
      <w:r>
        <w:rPr>
          <w:spacing w:val="-48"/>
        </w:rPr>
        <w:t> </w:t>
      </w:r>
      <w:r>
        <w:rPr>
          <w:rFonts w:ascii="Times New Roman" w:hAnsi="Times New Roman" w:cs="Times New Roman" w:eastAsia="Times New Roman" w:hint="default"/>
        </w:rPr>
        <w:t>0.95</w:t>
      </w:r>
      <w:r>
        <w:rPr>
          <w:rFonts w:ascii="Times New Roman" w:hAnsi="Times New Roman" w:cs="Times New Roman" w:eastAsia="Times New Roman" w:hint="default"/>
          <w:spacing w:val="-2"/>
        </w:rPr>
        <w:t> </w:t>
      </w:r>
      <w:r>
        <w:rPr/>
        <w:t>亿元，主要业务继续保持行业领先地位。 </w:t>
      </w:r>
      <w:r>
        <w:rPr>
          <w:spacing w:val="-5"/>
        </w:rPr>
        <w:t>显示器业务：受全球 </w:t>
      </w:r>
      <w:r>
        <w:rPr>
          <w:rFonts w:ascii="Times New Roman" w:hAnsi="Times New Roman" w:cs="Times New Roman" w:eastAsia="Times New Roman" w:hint="default"/>
        </w:rPr>
        <w:t>PC</w:t>
      </w:r>
      <w:r>
        <w:rPr>
          <w:rFonts w:ascii="Times New Roman" w:hAnsi="Times New Roman" w:cs="Times New Roman" w:eastAsia="Times New Roman" w:hint="default"/>
          <w:spacing w:val="5"/>
        </w:rPr>
        <w:t> </w:t>
      </w:r>
      <w:r>
        <w:rPr>
          <w:spacing w:val="-3"/>
        </w:rPr>
        <w:t>市场持续低迷直接影响，显示器付运量逐年下跌，但冠捷科技在显示器市场继续保持主导地位，</w:t>
      </w:r>
    </w:p>
    <w:p>
      <w:pPr>
        <w:pStyle w:val="BodyText"/>
        <w:spacing w:line="451" w:lineRule="auto" w:before="11"/>
        <w:ind w:right="187"/>
        <w:jc w:val="left"/>
      </w:pPr>
      <w:r>
        <w:rPr/>
        <w:t>占全球市场份额</w:t>
      </w:r>
      <w:r>
        <w:rPr>
          <w:spacing w:val="-10"/>
        </w:rPr>
        <w:t> </w:t>
      </w:r>
      <w:r>
        <w:rPr>
          <w:rFonts w:ascii="Times New Roman" w:hAnsi="Times New Roman" w:cs="Times New Roman" w:eastAsia="Times New Roman" w:hint="default"/>
          <w:spacing w:val="-2"/>
        </w:rPr>
        <w:t>34.9%</w:t>
      </w:r>
      <w:r>
        <w:rPr>
          <w:spacing w:val="-2"/>
        </w:rPr>
        <w:t>。此外，因为售出更多大尺寸产品及先进款式，产品平均售价有所增长。该业务整体盈利能力稳定提</w:t>
      </w:r>
      <w:r>
        <w:rPr>
          <w:spacing w:val="-82"/>
        </w:rPr>
        <w:t> </w:t>
      </w:r>
      <w:r>
        <w:rPr>
          <w:spacing w:val="-82"/>
        </w:rPr>
      </w:r>
      <w:r>
        <w:rPr/>
        <w:t>升。</w:t>
      </w:r>
    </w:p>
    <w:p>
      <w:pPr>
        <w:pStyle w:val="BodyText"/>
        <w:spacing w:line="477" w:lineRule="auto" w:before="115"/>
        <w:ind w:right="188" w:firstLine="360"/>
        <w:jc w:val="both"/>
      </w:pPr>
      <w:r>
        <w:rPr>
          <w:spacing w:val="-2"/>
        </w:rPr>
        <w:t>液晶电视业务：在全球电视市场表现疲弱的情况下，公司液晶电视产品全年的付运量与销售收入有所上升。但由于下半</w:t>
      </w:r>
      <w:r>
        <w:rPr/>
        <w:t> 年电视面板价格的大幅下跌以及市场沉寂等多方面因素影响，产品平均售价及毛利率均有一定程度下跌。</w:t>
      </w:r>
    </w:p>
    <w:p>
      <w:pPr>
        <w:pStyle w:val="BodyText"/>
        <w:spacing w:line="468" w:lineRule="auto" w:before="92"/>
        <w:ind w:right="94" w:firstLine="360"/>
        <w:jc w:val="left"/>
      </w:pPr>
      <w:r>
        <w:rPr>
          <w:spacing w:val="-2"/>
        </w:rPr>
        <w:t>电源业务：持续优化产品结构和客户结构，转型升级成效显著。工业电源中，服务器电源、通信电源等高端产品销售额</w:t>
      </w:r>
      <w:r>
        <w:rPr/>
        <w:t> 大幅增长、销售占比持续提升，进一步增强了整体盈利能力。消费电源在全球需求不振的情况下，致力于开拓优质大客户， </w:t>
      </w:r>
      <w:r>
        <w:rPr>
          <w:spacing w:val="-7"/>
        </w:rPr>
        <w:t>并通过整合供应链渠道及转移生产力等多种方式应对成本上升。光伏逆变器业务向自主研发、生产、销售、光伏电站</w:t>
      </w:r>
      <w:r>
        <w:rPr>
          <w:spacing w:val="-32"/>
        </w:rPr>
        <w:t> </w:t>
      </w:r>
      <w:r>
        <w:rPr>
          <w:rFonts w:ascii="Times New Roman" w:hAnsi="Times New Roman" w:cs="Times New Roman" w:eastAsia="Times New Roman" w:hint="default"/>
          <w:spacing w:val="-1"/>
          <w:w w:val="99"/>
        </w:rPr>
        <w:t>BOT/EPC</w:t>
      </w:r>
      <w:r>
        <w:rPr>
          <w:rFonts w:ascii="Times New Roman" w:hAnsi="Times New Roman" w:cs="Times New Roman" w:eastAsia="Times New Roman" w:hint="default"/>
          <w:spacing w:val="-24"/>
          <w:w w:val="99"/>
        </w:rPr>
        <w:t> </w:t>
      </w:r>
      <w:r>
        <w:rPr>
          <w:rFonts w:ascii="Times New Roman" w:hAnsi="Times New Roman" w:cs="Times New Roman" w:eastAsia="Times New Roman" w:hint="default"/>
          <w:spacing w:val="-24"/>
          <w:w w:val="99"/>
        </w:rPr>
      </w:r>
      <w:r>
        <w:rPr/>
        <w:t>模式转型，以光伏电站建设带动销售，但进展低于预期。</w:t>
      </w:r>
    </w:p>
    <w:p>
      <w:pPr>
        <w:pStyle w:val="BodyText"/>
        <w:spacing w:line="451" w:lineRule="auto" w:before="102"/>
        <w:ind w:right="192" w:firstLine="360"/>
        <w:jc w:val="both"/>
      </w:pPr>
      <w:r>
        <w:rPr>
          <w:spacing w:val="-2"/>
        </w:rPr>
        <w:t>自主可控与可信安全业务：公司在</w:t>
      </w:r>
      <w:r>
        <w:rPr>
          <w:rFonts w:ascii="Times New Roman" w:hAnsi="Times New Roman" w:cs="Times New Roman" w:eastAsia="Times New Roman" w:hint="default"/>
          <w:spacing w:val="-2"/>
        </w:rPr>
        <w:t>“</w:t>
      </w:r>
      <w:r>
        <w:rPr>
          <w:spacing w:val="-2"/>
        </w:rPr>
        <w:t>国产化替代</w:t>
      </w:r>
      <w:r>
        <w:rPr>
          <w:rFonts w:ascii="Times New Roman" w:hAnsi="Times New Roman" w:cs="Times New Roman" w:eastAsia="Times New Roman" w:hint="default"/>
          <w:spacing w:val="-2"/>
        </w:rPr>
        <w:t>”</w:t>
      </w:r>
      <w:r>
        <w:rPr>
          <w:spacing w:val="-2"/>
        </w:rPr>
        <w:t>重大项目的首批示范工程中取得桌面终端产品排名第一、服务器排名第</w:t>
      </w:r>
      <w:r>
        <w:rPr/>
        <w:t> 三的成绩，自主可控产品研发亦取得积极成果，基于国产</w:t>
      </w:r>
      <w:r>
        <w:rPr>
          <w:spacing w:val="-37"/>
        </w:rPr>
        <w:t> </w:t>
      </w:r>
      <w:r>
        <w:rPr>
          <w:rFonts w:ascii="Times New Roman" w:hAnsi="Times New Roman" w:cs="Times New Roman" w:eastAsia="Times New Roman" w:hint="default"/>
        </w:rPr>
        <w:t>CPU</w:t>
      </w:r>
      <w:r>
        <w:rPr>
          <w:rFonts w:ascii="Times New Roman" w:hAnsi="Times New Roman" w:cs="Times New Roman" w:eastAsia="Times New Roman" w:hint="default"/>
          <w:spacing w:val="7"/>
        </w:rPr>
        <w:t> </w:t>
      </w:r>
      <w:r>
        <w:rPr/>
        <w:t>飞腾和龙芯研发的多款产品已交付系统集成商进行测试；同 时完成了自主可控整机规模生产技改项目，提升了自主可控产品的制造能力。</w:t>
      </w:r>
    </w:p>
    <w:p>
      <w:pPr>
        <w:pStyle w:val="BodyText"/>
        <w:spacing w:line="477" w:lineRule="auto" w:before="115"/>
        <w:ind w:right="190" w:firstLine="360"/>
        <w:jc w:val="both"/>
      </w:pPr>
      <w:r>
        <w:rPr>
          <w:spacing w:val="-2"/>
        </w:rPr>
        <w:t>信息化基础设施业务：作为公司战略转型的业务方向，公司加大对信息化基础设施业务的投入，提升了重要行业市场的</w:t>
      </w:r>
      <w:r>
        <w:rPr/>
        <w:t> 竞争力。</w:t>
      </w:r>
    </w:p>
    <w:p>
      <w:pPr>
        <w:spacing w:line="240" w:lineRule="auto" w:before="5"/>
        <w:rPr>
          <w:rFonts w:ascii="宋体" w:hAnsi="宋体" w:cs="宋体" w:eastAsia="宋体" w:hint="default"/>
          <w:sz w:val="17"/>
          <w:szCs w:val="17"/>
        </w:rPr>
      </w:pPr>
    </w:p>
    <w:p>
      <w:pPr>
        <w:pStyle w:val="Heading5"/>
        <w:spacing w:line="240" w:lineRule="auto"/>
        <w:ind w:right="89"/>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8"/>
        <w:spacing w:line="240" w:lineRule="auto"/>
        <w:ind w:right="89"/>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89"/>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8"/>
        <w:spacing w:line="240" w:lineRule="auto" w:before="36"/>
        <w:ind w:right="153"/>
        <w:jc w:val="left"/>
        <w:rPr>
          <w:b w:val="0"/>
          <w:bCs w:val="0"/>
        </w:rPr>
      </w:pPr>
      <w:r>
        <w:rPr>
          <w:rFonts w:ascii="Times New Roman" w:hAnsi="Times New Roman" w:cs="Times New Roman" w:eastAsia="Times New Roman" w:hint="default"/>
        </w:rPr>
        <w:t>2</w:t>
      </w:r>
      <w:r>
        <w:rPr/>
        <w:t>、收入与成本</w:t>
      </w:r>
      <w:r>
        <w:rPr>
          <w:b w:val="0"/>
          <w:bCs w:val="0"/>
        </w:rPr>
      </w:r>
    </w:p>
    <w:p>
      <w:pPr>
        <w:pStyle w:val="Heading8"/>
        <w:spacing w:line="240" w:lineRule="auto" w:before="182"/>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11"/>
          <w:szCs w:val="11"/>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18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18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2"/>
              <w:ind w:right="11"/>
              <w:jc w:val="right"/>
              <w:rPr>
                <w:rFonts w:ascii="Times New Roman" w:hAnsi="Times New Roman" w:cs="Times New Roman" w:eastAsia="Times New Roman" w:hint="default"/>
                <w:sz w:val="18"/>
                <w:szCs w:val="18"/>
              </w:rPr>
            </w:pPr>
            <w:r>
              <w:rPr>
                <w:rFonts w:ascii="Times New Roman"/>
                <w:spacing w:val="-1"/>
                <w:sz w:val="18"/>
              </w:rPr>
              <w:t>72,935,851,650.45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pacing w:val="-1"/>
                <w:sz w:val="18"/>
              </w:rPr>
              <w:t>77,205,375,635.56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-5.53%</w:t>
            </w:r>
          </w:p>
        </w:tc>
      </w:tr>
      <w:tr>
        <w:trPr>
          <w:trHeight w:val="355"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67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4" w:right="123"/>
              <w:jc w:val="left"/>
              <w:rPr>
                <w:rFonts w:ascii="宋体" w:hAnsi="宋体" w:cs="宋体" w:eastAsia="宋体" w:hint="default"/>
                <w:sz w:val="18"/>
                <w:szCs w:val="18"/>
              </w:rPr>
            </w:pPr>
            <w:r>
              <w:rPr>
                <w:rFonts w:ascii="宋体" w:hAnsi="宋体" w:cs="宋体" w:eastAsia="宋体" w:hint="default"/>
                <w:sz w:val="18"/>
                <w:szCs w:val="18"/>
              </w:rPr>
              <w:t>计算机相关设备制 造业务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72,163,427,123.68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76,301,566,189.46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74,683,924.92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50,019,085.08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49.31%</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97,055,615.98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110,595,389.58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-12.24%</w:t>
            </w:r>
          </w:p>
        </w:tc>
      </w:tr>
      <w:tr>
        <w:trPr>
          <w:trHeight w:val="3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600,684,985.87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743,194,971.44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-19.18%</w:t>
            </w:r>
          </w:p>
        </w:tc>
      </w:tr>
      <w:tr>
        <w:trPr>
          <w:trHeight w:val="360"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36,452,941,115.47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z w:val="18"/>
              </w:rPr>
              <w:t>49.98%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Times New Roman" w:hAnsi="Times New Roman" w:cs="Times New Roman" w:eastAsia="Times New Roman" w:hint="default"/>
                <w:sz w:val="18"/>
                <w:szCs w:val="18"/>
              </w:rPr>
            </w:pPr>
            <w:r>
              <w:rPr>
                <w:rFonts w:ascii="Times New Roman"/>
                <w:spacing w:val="-1"/>
                <w:sz w:val="18"/>
              </w:rPr>
              <w:t>41,031,158,232.73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Times New Roman" w:hAnsi="Times New Roman" w:cs="Times New Roman" w:eastAsia="Times New Roman" w:hint="default"/>
                <w:sz w:val="18"/>
                <w:szCs w:val="18"/>
              </w:rPr>
            </w:pPr>
            <w:r>
              <w:rPr>
                <w:rFonts w:ascii="Times New Roman"/>
                <w:sz w:val="18"/>
              </w:rPr>
              <w:t>53.15%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pacing w:val="-1"/>
                <w:sz w:val="18"/>
              </w:rPr>
              <w:t>-11.16%</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31,368,326,453.50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43.01%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30,364,985,165.69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39.33%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3.30%</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打印机</w:t>
            </w:r>
            <w:r>
              <w:rPr>
                <w:rFonts w:ascii="宋体" w:hAnsi="宋体" w:cs="宋体" w:eastAsia="宋体" w:hint="default"/>
                <w:spacing w:val="-80"/>
                <w:sz w:val="18"/>
                <w:szCs w:val="18"/>
              </w:rPr>
              <w:t>、</w:t>
            </w:r>
            <w:r>
              <w:rPr>
                <w:rFonts w:ascii="宋体" w:hAnsi="宋体" w:cs="宋体" w:eastAsia="宋体" w:hint="default"/>
                <w:sz w:val="18"/>
                <w:szCs w:val="18"/>
              </w:rPr>
              <w:t>耗材及其他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4,439,215,170.69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6.09%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5,016,018,180.62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pacing w:val="-1"/>
                <w:sz w:val="18"/>
              </w:rPr>
              <w:t>-11.50%</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74,683,924.92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50,019,085.08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49.31%</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600,684,985.87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743,194,971.44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-19.18%</w:t>
            </w:r>
          </w:p>
        </w:tc>
      </w:tr>
      <w:tr>
        <w:trPr>
          <w:trHeight w:val="360"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28,906,499,405.36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z w:val="18"/>
              </w:rPr>
              <w:t>39.63%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Times New Roman" w:hAnsi="Times New Roman" w:cs="Times New Roman" w:eastAsia="Times New Roman" w:hint="default"/>
                <w:sz w:val="18"/>
                <w:szCs w:val="18"/>
              </w:rPr>
            </w:pPr>
            <w:r>
              <w:rPr>
                <w:rFonts w:ascii="Times New Roman"/>
                <w:spacing w:val="-1"/>
                <w:sz w:val="18"/>
              </w:rPr>
              <w:t>26,921,667,237.75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Times New Roman" w:hAnsi="Times New Roman" w:cs="Times New Roman" w:eastAsia="Times New Roman" w:hint="default"/>
                <w:sz w:val="18"/>
                <w:szCs w:val="18"/>
              </w:rPr>
            </w:pPr>
            <w:r>
              <w:rPr>
                <w:rFonts w:ascii="Times New Roman"/>
                <w:sz w:val="18"/>
              </w:rPr>
              <w:t>34.87%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7.37%</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16,296,067,792.68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22.34%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14,458,408,045.79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12.71%</w:t>
            </w:r>
          </w:p>
        </w:tc>
      </w:tr>
      <w:tr>
        <w:trPr>
          <w:trHeight w:val="36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4,651,387,481.25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6.38%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6,437,598,513.26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8.34%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-27.75%</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15,395,286,319.66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pacing w:val="-1"/>
                <w:sz w:val="18"/>
              </w:rPr>
              <w:t>21.11%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19,010,588,274.77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24.62%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-19.02%</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154,947,608.28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119,376,967.32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29.80%</w:t>
            </w:r>
          </w:p>
        </w:tc>
      </w:tr>
      <w:tr>
        <w:trPr>
          <w:trHeight w:val="36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540,921,014.24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547,597,210.86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-1.22%</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6,390,057,043.11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8.76%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Times New Roman" w:hAnsi="Times New Roman" w:cs="Times New Roman" w:eastAsia="Times New Roman" w:hint="default"/>
                <w:sz w:val="18"/>
                <w:szCs w:val="18"/>
              </w:rPr>
            </w:pPr>
            <w:r>
              <w:rPr>
                <w:rFonts w:ascii="Times New Roman"/>
                <w:spacing w:val="-1"/>
                <w:sz w:val="18"/>
              </w:rPr>
              <w:t>8,966,944,414.37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Times New Roman" w:hAnsi="Times New Roman" w:cs="Times New Roman" w:eastAsia="Times New Roman" w:hint="default"/>
                <w:sz w:val="18"/>
                <w:szCs w:val="18"/>
              </w:rPr>
            </w:pPr>
            <w:r>
              <w:rPr>
                <w:rFonts w:ascii="Times New Roman"/>
                <w:spacing w:val="-1"/>
                <w:sz w:val="18"/>
              </w:rPr>
              <w:t>11.61%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z w:val="18"/>
              </w:rPr>
              <w:t>-28.74%</w:t>
            </w:r>
          </w:p>
        </w:tc>
      </w:tr>
      <w:tr>
        <w:trPr>
          <w:trHeight w:val="36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600,684,985.87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pacing w:val="-1"/>
                <w:sz w:val="18"/>
              </w:rPr>
              <w:t>743,194,971.44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0.96%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-19.18%</w:t>
            </w:r>
          </w:p>
        </w:tc>
      </w:tr>
    </w:tbl>
    <w:p>
      <w:pPr>
        <w:spacing w:line="240" w:lineRule="auto" w:before="7"/>
        <w:rPr>
          <w:rFonts w:ascii="宋体" w:hAnsi="宋体" w:cs="宋体" w:eastAsia="宋体" w:hint="default"/>
          <w:sz w:val="8"/>
          <w:szCs w:val="8"/>
        </w:rPr>
      </w:pPr>
    </w:p>
    <w:p>
      <w:pPr>
        <w:pStyle w:val="Heading8"/>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12"/>
          <w:szCs w:val="12"/>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515"/>
        <w:gridCol w:w="1440"/>
        <w:gridCol w:w="1145"/>
        <w:gridCol w:w="1368"/>
        <w:gridCol w:w="1366"/>
        <w:gridCol w:w="1373"/>
      </w:tblGrid>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137"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计算机相关设备 制造业务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72,163,427,123.68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65,719,281,707.32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74,683,924.92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57,485,046.98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97,055,615.98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84,847,379.02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6"/>
        <w:gridCol w:w="1515"/>
        <w:gridCol w:w="1440"/>
        <w:gridCol w:w="1145"/>
        <w:gridCol w:w="1368"/>
        <w:gridCol w:w="1366"/>
        <w:gridCol w:w="1373"/>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36,452,941,115.47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33,167,221,020.45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-12.15%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31,368,326,453.50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28,671,976,831.00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打印机、耗材及 其他</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4,439,215,170.69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3,964,931,234.89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74,683,924.92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57,485,046.98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28,906,499,405.36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26,551,544,021.00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16,296,067,792.68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14,858,824,716.21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4,651,387,481.25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4,024,600,788.04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r>
      <w:tr>
        <w:trPr>
          <w:trHeight w:val="40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15,395,286,319.66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13,957,833,491.75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-4.64%</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154,947,608.28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125,074,822.13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9.04%</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540,921,014.24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486,521,512.45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0.96%</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6,390,057,043.11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5,857,214,781.74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-30.42%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bl>
    <w:p>
      <w:pPr>
        <w:pStyle w:val="BodyText"/>
        <w:spacing w:line="240" w:lineRule="auto" w:before="49"/>
        <w:ind w:right="15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1"/>
        <w:ind w:right="153"/>
        <w:jc w:val="left"/>
      </w:pPr>
      <w:r>
        <w:rPr/>
        <w:t>□ 适用 √</w:t>
      </w:r>
      <w:r>
        <w:rPr>
          <w:spacing w:val="3"/>
        </w:rPr>
        <w:t> </w:t>
      </w:r>
      <w:r>
        <w:rPr/>
        <w:t>不适用</w:t>
      </w:r>
    </w:p>
    <w:p>
      <w:pPr>
        <w:spacing w:line="240" w:lineRule="auto" w:before="7"/>
        <w:rPr>
          <w:rFonts w:ascii="宋体" w:hAnsi="宋体" w:cs="宋体" w:eastAsia="宋体" w:hint="default"/>
          <w:sz w:val="16"/>
          <w:szCs w:val="16"/>
        </w:rPr>
      </w:pPr>
    </w:p>
    <w:p>
      <w:pPr>
        <w:pStyle w:val="Heading8"/>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153"/>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计算机相关设备制 造业务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149,832,735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138,347,945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8.30%</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132,185,773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122,782,194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12,322,941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11,610,979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6.13%</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98.52%</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96.77%</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-3.47%</w:t>
            </w:r>
          </w:p>
        </w:tc>
      </w:tr>
    </w:tbl>
    <w:p>
      <w:pPr>
        <w:pStyle w:val="BodyText"/>
        <w:spacing w:line="240" w:lineRule="auto" w:before="49"/>
        <w:ind w:right="15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53"/>
        <w:jc w:val="left"/>
      </w:pPr>
      <w:r>
        <w:rPr/>
        <w:t>√ 适用 □</w:t>
      </w:r>
      <w:r>
        <w:rPr>
          <w:spacing w:val="3"/>
        </w:rPr>
        <w:t> </w:t>
      </w:r>
      <w:r>
        <w:rPr/>
        <w:t>不适用</w:t>
      </w:r>
    </w:p>
    <w:p>
      <w:pPr>
        <w:pStyle w:val="BodyText"/>
        <w:spacing w:line="300" w:lineRule="auto" w:before="117"/>
        <w:ind w:right="138" w:firstLine="360"/>
        <w:jc w:val="left"/>
      </w:pPr>
      <w:r>
        <w:rPr/>
        <w:t>计算机相关设备制造业务将桑菲通信去年同期数据纳入统计范围因此调整</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年相关数据；新能源业务因公司加大了 逆变器销售力度导致相关数据同比变动较大。</w:t>
      </w:r>
    </w:p>
    <w:p>
      <w:pPr>
        <w:spacing w:line="240" w:lineRule="auto" w:before="2"/>
        <w:rPr>
          <w:rFonts w:ascii="宋体" w:hAnsi="宋体" w:cs="宋体" w:eastAsia="宋体" w:hint="default"/>
          <w:sz w:val="13"/>
          <w:szCs w:val="13"/>
        </w:rPr>
      </w:pPr>
    </w:p>
    <w:p>
      <w:pPr>
        <w:pStyle w:val="Heading8"/>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153"/>
        <w:jc w:val="left"/>
      </w:pPr>
      <w:r>
        <w:rPr/>
        <w:t>□ 适用 √</w:t>
      </w:r>
      <w:r>
        <w:rPr>
          <w:spacing w:val="3"/>
        </w:rPr>
        <w:t> </w:t>
      </w:r>
      <w:r>
        <w:rPr/>
        <w:t>不适用</w:t>
      </w:r>
    </w:p>
    <w:p>
      <w:pPr>
        <w:spacing w:line="240" w:lineRule="auto" w:before="7"/>
        <w:rPr>
          <w:rFonts w:ascii="宋体" w:hAnsi="宋体" w:cs="宋体" w:eastAsia="宋体" w:hint="default"/>
          <w:sz w:val="16"/>
          <w:szCs w:val="16"/>
        </w:rPr>
      </w:pPr>
    </w:p>
    <w:p>
      <w:pPr>
        <w:pStyle w:val="Heading8"/>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153"/>
        <w:jc w:val="left"/>
      </w:pPr>
      <w:r>
        <w:rPr/>
        <w:t>行业和产品分类</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71"/>
        <w:gridCol w:w="1366"/>
        <w:gridCol w:w="1585"/>
        <w:gridCol w:w="1440"/>
        <w:gridCol w:w="1440"/>
        <w:gridCol w:w="1357"/>
        <w:gridCol w:w="1111"/>
      </w:tblGrid>
      <w:tr>
        <w:trPr>
          <w:trHeight w:val="36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86"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4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计算机相关设备 制造业务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61,086,117,227.53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92.75%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64,283,240,958.73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92.99%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-4.97%</w:t>
            </w:r>
          </w:p>
        </w:tc>
      </w:tr>
      <w:tr>
        <w:trPr>
          <w:trHeight w:val="362" w:hRule="exact"/>
        </w:trPr>
        <w:tc>
          <w:tcPr>
            <w:tcW w:w="1371" w:type="dxa"/>
            <w:vMerge/>
            <w:tcBorders>
              <w:left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1,148,109,720.35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1.74%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1,177,562,512.18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1.70%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-2.50%</w:t>
            </w:r>
          </w:p>
        </w:tc>
      </w:tr>
      <w:tr>
        <w:trPr>
          <w:trHeight w:val="362" w:hRule="exact"/>
        </w:trPr>
        <w:tc>
          <w:tcPr>
            <w:tcW w:w="13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3,485,054,759.44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5.29%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3,532,050,491.48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-1.33%</w:t>
            </w: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47,824,566.63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24,030,820.52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99.01%</w:t>
            </w:r>
          </w:p>
        </w:tc>
      </w:tr>
      <w:tr>
        <w:trPr>
          <w:trHeight w:val="360" w:hRule="exact"/>
        </w:trPr>
        <w:tc>
          <w:tcPr>
            <w:tcW w:w="1371" w:type="dxa"/>
            <w:vMerge/>
            <w:tcBorders>
              <w:left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4,851,716.39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7,379,692.73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0.01%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-34.26%</w:t>
            </w:r>
          </w:p>
        </w:tc>
      </w:tr>
      <w:tr>
        <w:trPr>
          <w:trHeight w:val="362" w:hRule="exact"/>
        </w:trPr>
        <w:tc>
          <w:tcPr>
            <w:tcW w:w="13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4,808,763.96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7,854,769.04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0.01%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z w:val="18"/>
              </w:rPr>
              <w:t>-38.78%</w:t>
            </w: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84,847,379.02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94,447,275.41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0.14%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-10.16%</w:t>
            </w:r>
          </w:p>
        </w:tc>
      </w:tr>
      <w:tr>
        <w:trPr>
          <w:trHeight w:val="362" w:hRule="exact"/>
        </w:trPr>
        <w:tc>
          <w:tcPr>
            <w:tcW w:w="1371" w:type="dxa"/>
            <w:vMerge/>
            <w:tcBorders>
              <w:left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71"/>
        <w:gridCol w:w="1366"/>
        <w:gridCol w:w="1585"/>
        <w:gridCol w:w="1440"/>
        <w:gridCol w:w="1440"/>
        <w:gridCol w:w="1357"/>
        <w:gridCol w:w="1111"/>
      </w:tblGrid>
      <w:tr>
        <w:trPr>
          <w:trHeight w:val="36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6"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4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30,691,405,615.62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46.60%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35,052,123,094.98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50.71%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-12.44%</w:t>
            </w:r>
          </w:p>
        </w:tc>
      </w:tr>
      <w:tr>
        <w:trPr>
          <w:trHeight w:val="362" w:hRule="exact"/>
        </w:trPr>
        <w:tc>
          <w:tcPr>
            <w:tcW w:w="1371" w:type="dxa"/>
            <w:vMerge/>
            <w:tcBorders>
              <w:left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695,067,821.16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1.06%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745,388,416.33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1.08%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-6.75%</w:t>
            </w:r>
          </w:p>
        </w:tc>
      </w:tr>
      <w:tr>
        <w:trPr>
          <w:trHeight w:val="360" w:hRule="exact"/>
        </w:trPr>
        <w:tc>
          <w:tcPr>
            <w:tcW w:w="13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1,780,747,583.67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2.70%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1,958,693,497.76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2.83%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-9.08%</w:t>
            </w: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26,746,544,157.15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z w:val="18"/>
              </w:rPr>
              <w:t>40.61%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25,060,868,382.15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36.25%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6.73%</w:t>
            </w:r>
          </w:p>
        </w:tc>
      </w:tr>
      <w:tr>
        <w:trPr>
          <w:trHeight w:val="362" w:hRule="exact"/>
        </w:trPr>
        <w:tc>
          <w:tcPr>
            <w:tcW w:w="1371" w:type="dxa"/>
            <w:vMerge/>
            <w:tcBorders>
              <w:left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404,339,606.16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368,620,866.28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0.53%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9.69%</w:t>
            </w:r>
          </w:p>
        </w:tc>
      </w:tr>
      <w:tr>
        <w:trPr>
          <w:trHeight w:val="362" w:hRule="exact"/>
        </w:trPr>
        <w:tc>
          <w:tcPr>
            <w:tcW w:w="13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1,521,093,067.69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2.31%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1,367,589,067.27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1.98%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pacing w:val="-1"/>
                <w:sz w:val="18"/>
              </w:rPr>
              <w:t>11.22%</w:t>
            </w:r>
          </w:p>
        </w:tc>
      </w:tr>
      <w:tr>
        <w:trPr>
          <w:trHeight w:val="363"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打印机、耗材及 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3,733,014,833.78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5.67%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4,264,696,757.01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6.17%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-12.47%</w:t>
            </w:r>
          </w:p>
        </w:tc>
      </w:tr>
      <w:tr>
        <w:trPr>
          <w:trHeight w:val="362" w:hRule="exact"/>
        </w:trPr>
        <w:tc>
          <w:tcPr>
            <w:tcW w:w="1371" w:type="dxa"/>
            <w:vMerge/>
            <w:tcBorders>
              <w:left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48,702,293.03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63,553,229.57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-23.37%</w:t>
            </w:r>
          </w:p>
        </w:tc>
      </w:tr>
      <w:tr>
        <w:trPr>
          <w:trHeight w:val="360" w:hRule="exact"/>
        </w:trPr>
        <w:tc>
          <w:tcPr>
            <w:tcW w:w="13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183,214,108.08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205,767,926.45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-10.96%</w:t>
            </w:r>
          </w:p>
        </w:tc>
      </w:tr>
      <w:tr>
        <w:trPr>
          <w:trHeight w:val="362"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47,824,566.63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24,030,820.52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0.03%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Times New Roman" w:hAnsi="Times New Roman" w:cs="Times New Roman" w:eastAsia="Times New Roman" w:hint="default"/>
                <w:sz w:val="18"/>
                <w:szCs w:val="18"/>
              </w:rPr>
            </w:pPr>
            <w:r>
              <w:rPr>
                <w:rFonts w:ascii="Times New Roman"/>
                <w:sz w:val="18"/>
              </w:rPr>
              <w:t>99.01%</w:t>
            </w:r>
          </w:p>
        </w:tc>
      </w:tr>
      <w:tr>
        <w:trPr>
          <w:trHeight w:val="362" w:hRule="exact"/>
        </w:trPr>
        <w:tc>
          <w:tcPr>
            <w:tcW w:w="1371" w:type="dxa"/>
            <w:vMerge/>
            <w:tcBorders>
              <w:left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4,851,716.39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7,379,692.73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0.01%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-34.26%</w:t>
            </w:r>
          </w:p>
        </w:tc>
      </w:tr>
      <w:tr>
        <w:trPr>
          <w:trHeight w:val="362" w:hRule="exact"/>
        </w:trPr>
        <w:tc>
          <w:tcPr>
            <w:tcW w:w="13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4,808,763.96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7,854,769.04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0.01%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-38.78%</w:t>
            </w:r>
          </w:p>
        </w:tc>
      </w:tr>
    </w:tbl>
    <w:p>
      <w:pPr>
        <w:spacing w:line="240" w:lineRule="auto" w:before="7"/>
        <w:rPr>
          <w:rFonts w:ascii="宋体" w:hAnsi="宋体" w:cs="宋体" w:eastAsia="宋体" w:hint="default"/>
          <w:sz w:val="8"/>
          <w:szCs w:val="8"/>
        </w:rPr>
      </w:pPr>
    </w:p>
    <w:p>
      <w:pPr>
        <w:pStyle w:val="Heading8"/>
        <w:spacing w:line="240" w:lineRule="auto" w:before="36"/>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153"/>
        <w:jc w:val="left"/>
      </w:pPr>
      <w:r>
        <w:rPr/>
        <w:t>√ 是 □</w:t>
      </w:r>
      <w:r>
        <w:rPr>
          <w:spacing w:val="3"/>
        </w:rPr>
        <w:t> </w:t>
      </w:r>
      <w:r>
        <w:rPr/>
        <w:t>否</w:t>
      </w:r>
    </w:p>
    <w:p>
      <w:pPr>
        <w:pStyle w:val="BodyText"/>
        <w:spacing w:line="300" w:lineRule="auto" w:before="117"/>
        <w:ind w:right="151" w:firstLine="360"/>
        <w:jc w:val="both"/>
      </w:pPr>
      <w:r>
        <w:rPr>
          <w:rFonts w:ascii="Times New Roman" w:hAnsi="Times New Roman" w:cs="Times New Roman" w:eastAsia="Times New Roman" w:hint="default"/>
        </w:rPr>
        <w:t>1</w:t>
      </w:r>
      <w:r>
        <w:rPr/>
        <w:t>）关于子公司冠捷科技本期合并报表范围变化情况详见附注中的相关介绍，其中由于报告期内其将桑菲通信以同一控 制下的企业合并方式纳入合并范围，因此根据《企业会计准则第</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企业合并》的相关规定，公司需追溯调整可比期间 的合并报表数据；</w:t>
      </w:r>
    </w:p>
    <w:p>
      <w:pPr>
        <w:pStyle w:val="BodyText"/>
        <w:spacing w:line="240" w:lineRule="auto" w:before="73"/>
        <w:ind w:left="513" w:right="153"/>
        <w:jc w:val="left"/>
      </w:pPr>
      <w:r>
        <w:rPr>
          <w:rFonts w:ascii="Times New Roman" w:hAnsi="Times New Roman" w:cs="Times New Roman" w:eastAsia="Times New Roman" w:hint="default"/>
        </w:rPr>
        <w:t>2</w:t>
      </w:r>
      <w:r>
        <w:rPr/>
        <w:t>）将报告期内新设立的子公司湖南长城纳入公司财务报表合并范围；</w:t>
      </w:r>
    </w:p>
    <w:p>
      <w:pPr>
        <w:pStyle w:val="BodyText"/>
        <w:spacing w:line="240" w:lineRule="auto" w:before="101"/>
        <w:ind w:left="513" w:right="153"/>
        <w:jc w:val="left"/>
      </w:pPr>
      <w:r>
        <w:rPr>
          <w:rFonts w:ascii="Times New Roman" w:hAnsi="Times New Roman" w:cs="Times New Roman" w:eastAsia="Times New Roman" w:hint="default"/>
        </w:rPr>
        <w:t>3</w:t>
      </w:r>
      <w:r>
        <w:rPr/>
        <w:t>）关于子公司长城能源本期合并报表范围变化情况详见附注中的相关介绍。</w:t>
      </w:r>
    </w:p>
    <w:p>
      <w:pPr>
        <w:spacing w:line="240" w:lineRule="auto" w:before="7"/>
        <w:rPr>
          <w:rFonts w:ascii="宋体" w:hAnsi="宋体" w:cs="宋体" w:eastAsia="宋体" w:hint="default"/>
          <w:sz w:val="15"/>
          <w:szCs w:val="15"/>
        </w:rPr>
      </w:pPr>
    </w:p>
    <w:p>
      <w:pPr>
        <w:pStyle w:val="Heading8"/>
        <w:spacing w:line="240" w:lineRule="auto"/>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0"/>
          <w:szCs w:val="20"/>
        </w:rPr>
      </w:pPr>
    </w:p>
    <w:p>
      <w:pPr>
        <w:pStyle w:val="Heading8"/>
        <w:spacing w:line="240" w:lineRule="auto" w:before="36"/>
        <w:ind w:right="89"/>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15"/>
          <w:szCs w:val="15"/>
        </w:rPr>
      </w:pPr>
    </w:p>
    <w:p>
      <w:pPr>
        <w:pStyle w:val="BodyText"/>
        <w:spacing w:line="240" w:lineRule="auto"/>
        <w:ind w:right="89"/>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256"/>
        <w:gridCol w:w="5312"/>
      </w:tblGrid>
      <w:tr>
        <w:trPr>
          <w:trHeight w:val="36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23,473,380,562.25</w:t>
            </w:r>
          </w:p>
        </w:tc>
      </w:tr>
      <w:tr>
        <w:trPr>
          <w:trHeight w:val="36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32.18%</w:t>
            </w:r>
          </w:p>
        </w:tc>
      </w:tr>
    </w:tbl>
    <w:p>
      <w:pPr>
        <w:pStyle w:val="BodyText"/>
        <w:spacing w:line="240" w:lineRule="auto" w:before="49"/>
        <w:ind w:right="89"/>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779"/>
        <w:gridCol w:w="3311"/>
        <w:gridCol w:w="2324"/>
        <w:gridCol w:w="3142"/>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6,807,601,049.50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6,065,922,376.00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4,475,089,203.25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3,552,543,123.75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2,572,224,809.75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23,473,380,562.25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32.18%</w:t>
            </w:r>
          </w:p>
        </w:tc>
      </w:tr>
    </w:tbl>
    <w:p>
      <w:pPr>
        <w:pStyle w:val="BodyText"/>
        <w:spacing w:line="240" w:lineRule="auto" w:before="49"/>
        <w:ind w:right="89"/>
        <w:jc w:val="left"/>
      </w:pPr>
      <w:r>
        <w:rPr/>
        <w:t>主要客户其他情况说明</w:t>
      </w:r>
    </w:p>
    <w:p>
      <w:pPr>
        <w:pStyle w:val="BodyText"/>
        <w:spacing w:line="360" w:lineRule="auto" w:before="115"/>
        <w:ind w:left="513" w:right="273" w:hanging="361"/>
        <w:jc w:val="left"/>
      </w:pPr>
      <w:r>
        <w:rPr/>
        <w:t>√ 适用 □</w:t>
      </w:r>
      <w:r>
        <w:rPr>
          <w:spacing w:val="3"/>
        </w:rPr>
        <w:t> </w:t>
      </w:r>
      <w:r>
        <w:rPr/>
        <w:t>不适用</w:t>
      </w:r>
      <w:r>
        <w:rPr/>
        <w:t> 本公司与前五名客户不存在关联关系，本公司董事、监事、高级管理人员等在主要客户中未直接或者间接拥有权益。</w:t>
      </w:r>
    </w:p>
    <w:p>
      <w:pPr>
        <w:pStyle w:val="BodyText"/>
        <w:spacing w:line="240" w:lineRule="auto" w:before="27"/>
        <w:ind w:right="89"/>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256"/>
        <w:gridCol w:w="5312"/>
      </w:tblGrid>
      <w:tr>
        <w:trPr>
          <w:trHeight w:val="36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25,653,143,569.00</w:t>
            </w:r>
          </w:p>
        </w:tc>
      </w:tr>
      <w:tr>
        <w:trPr>
          <w:trHeight w:val="36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38.98%</w:t>
            </w:r>
          </w:p>
        </w:tc>
      </w:tr>
    </w:tbl>
    <w:p>
      <w:pPr>
        <w:pStyle w:val="BodyText"/>
        <w:spacing w:line="240" w:lineRule="auto" w:before="49"/>
        <w:ind w:right="89"/>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911"/>
        <w:gridCol w:w="3179"/>
        <w:gridCol w:w="2324"/>
        <w:gridCol w:w="3142"/>
      </w:tblGrid>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11,186,128,624.25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17.00%</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4,835,881,737.50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3,940,437,063.75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3,013,710,016.75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2,676,986,126.75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25,653,143,569.00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38.98%</w:t>
            </w:r>
          </w:p>
        </w:tc>
      </w:tr>
    </w:tbl>
    <w:p>
      <w:pPr>
        <w:pStyle w:val="BodyText"/>
        <w:spacing w:line="240" w:lineRule="auto" w:before="49"/>
        <w:ind w:right="89"/>
        <w:jc w:val="left"/>
      </w:pPr>
      <w:r>
        <w:rPr/>
        <w:t>主要供应商其他情况说明</w:t>
      </w:r>
    </w:p>
    <w:p>
      <w:pPr>
        <w:pStyle w:val="BodyText"/>
        <w:spacing w:line="357" w:lineRule="auto" w:before="117"/>
        <w:ind w:left="513" w:right="89" w:hanging="361"/>
        <w:jc w:val="left"/>
      </w:pPr>
      <w:r>
        <w:rPr/>
        <w:t>√ 适用 □</w:t>
      </w:r>
      <w:r>
        <w:rPr>
          <w:spacing w:val="3"/>
        </w:rPr>
        <w:t> </w:t>
      </w:r>
      <w:r>
        <w:rPr/>
        <w:t>不适用</w:t>
      </w:r>
      <w:r>
        <w:rPr/>
        <w:t> </w:t>
      </w:r>
      <w:r>
        <w:rPr>
          <w:spacing w:val="-4"/>
        </w:rPr>
        <w:t>本公司与前五名供应商不存在关联关系，本公司董事、监事、高级管理人员等在主要供应商中未直接或者间接拥有权益。</w:t>
      </w:r>
    </w:p>
    <w:p>
      <w:pPr>
        <w:pStyle w:val="Heading8"/>
        <w:spacing w:line="240" w:lineRule="auto" w:before="128"/>
        <w:ind w:right="89"/>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15"/>
          <w:szCs w:val="15"/>
        </w:rPr>
      </w:pPr>
    </w:p>
    <w:p>
      <w:pPr>
        <w:pStyle w:val="BodyText"/>
        <w:spacing w:line="240" w:lineRule="auto"/>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892"/>
        <w:gridCol w:w="1649"/>
        <w:gridCol w:w="1637"/>
        <w:gridCol w:w="1460"/>
        <w:gridCol w:w="2919"/>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2,835,454,144.41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3,447,890,210.83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2,836,128,599.86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3,245,351,540.96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1,650,413,852.76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1,518,362,632.63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940"/>
        </w:sectPr>
      </w:pPr>
    </w:p>
    <w:p>
      <w:pPr>
        <w:spacing w:line="240" w:lineRule="auto" w:before="11"/>
        <w:rPr>
          <w:rFonts w:ascii="宋体" w:hAnsi="宋体" w:cs="宋体" w:eastAsia="宋体" w:hint="default"/>
          <w:sz w:val="20"/>
          <w:szCs w:val="20"/>
        </w:rPr>
      </w:pPr>
    </w:p>
    <w:p>
      <w:pPr>
        <w:pStyle w:val="Heading8"/>
        <w:spacing w:line="240" w:lineRule="auto" w:before="36"/>
        <w:ind w:right="89"/>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15"/>
          <w:szCs w:val="15"/>
        </w:rPr>
      </w:pPr>
    </w:p>
    <w:p>
      <w:pPr>
        <w:pStyle w:val="BodyText"/>
        <w:spacing w:line="240" w:lineRule="auto"/>
        <w:ind w:right="89"/>
        <w:jc w:val="left"/>
      </w:pPr>
      <w:r>
        <w:rPr/>
        <w:t>√ 适用 □</w:t>
      </w:r>
      <w:r>
        <w:rPr>
          <w:spacing w:val="3"/>
        </w:rPr>
        <w:t> </w:t>
      </w:r>
      <w:r>
        <w:rPr/>
        <w:t>不适用</w:t>
      </w:r>
    </w:p>
    <w:p>
      <w:pPr>
        <w:pStyle w:val="BodyText"/>
        <w:spacing w:line="304" w:lineRule="auto" w:before="115"/>
        <w:ind w:right="191"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年，长城电脑坚持科技创新的发展战略，持续加大自主创新力度和科技研发投入，积极拓展新技术领域，攻克技 </w:t>
      </w:r>
      <w:r>
        <w:rPr>
          <w:spacing w:val="-2"/>
        </w:rPr>
        <w:t>术难关，推出系列创新型产品，科技工作取得丰硕成果。在信息安全及自主可控领域，公司自主研发的安全可靠产品在科技</w:t>
      </w:r>
      <w:r>
        <w:rPr>
          <w:spacing w:val="-64"/>
        </w:rPr>
        <w:t> </w:t>
      </w:r>
      <w:r>
        <w:rPr>
          <w:spacing w:val="-64"/>
        </w:rPr>
      </w:r>
      <w:r>
        <w:rPr/>
        <w:t>创新领域再结硕果，</w:t>
      </w:r>
      <w:r>
        <w:rPr>
          <w:rFonts w:ascii="Times New Roman" w:hAnsi="Times New Roman" w:cs="Times New Roman" w:eastAsia="Times New Roman" w:hint="default"/>
        </w:rPr>
        <w:t>“</w:t>
      </w:r>
      <w:r>
        <w:rPr/>
        <w:t>基于国产 </w:t>
      </w:r>
      <w:r>
        <w:rPr>
          <w:rFonts w:ascii="Times New Roman" w:hAnsi="Times New Roman" w:cs="Times New Roman" w:eastAsia="Times New Roman" w:hint="default"/>
        </w:rPr>
        <w:t>CPU/OS</w:t>
      </w:r>
      <w:r>
        <w:rPr>
          <w:rFonts w:ascii="Times New Roman" w:hAnsi="Times New Roman" w:cs="Times New Roman" w:eastAsia="Times New Roman" w:hint="default"/>
          <w:spacing w:val="-11"/>
        </w:rPr>
        <w:t> </w:t>
      </w:r>
      <w:r>
        <w:rPr/>
        <w:t>的长城飞腾计算机</w:t>
      </w:r>
      <w:r>
        <w:rPr>
          <w:rFonts w:ascii="Times New Roman" w:hAnsi="Times New Roman" w:cs="Times New Roman" w:eastAsia="Times New Roman" w:hint="default"/>
        </w:rPr>
        <w:t>”</w:t>
      </w:r>
      <w:r>
        <w:rPr/>
        <w:t>项目荣获中国电子学会科学技术奖二等奖，</w:t>
      </w:r>
      <w:r>
        <w:rPr>
          <w:rFonts w:ascii="Times New Roman" w:hAnsi="Times New Roman" w:cs="Times New Roman" w:eastAsia="Times New Roman" w:hint="default"/>
        </w:rPr>
        <w:t>“</w:t>
      </w:r>
      <w:r>
        <w:rPr/>
        <w:t>长城飞腾安全可靠 计算机</w:t>
      </w:r>
      <w:r>
        <w:rPr>
          <w:rFonts w:ascii="Times New Roman" w:hAnsi="Times New Roman" w:cs="Times New Roman" w:eastAsia="Times New Roman" w:hint="default"/>
        </w:rPr>
        <w:t>”</w:t>
      </w:r>
      <w:r>
        <w:rPr/>
        <w:t>项目荣获中国电子科学技术三等奖；在新兴能源领域，</w:t>
      </w:r>
      <w:r>
        <w:rPr>
          <w:rFonts w:ascii="Times New Roman" w:hAnsi="Times New Roman" w:cs="Times New Roman" w:eastAsia="Times New Roman" w:hint="default"/>
        </w:rPr>
        <w:t>“3000W</w:t>
      </w:r>
      <w:r>
        <w:rPr>
          <w:rFonts w:ascii="Times New Roman" w:hAnsi="Times New Roman" w:cs="Times New Roman" w:eastAsia="Times New Roman" w:hint="default"/>
          <w:spacing w:val="-1"/>
        </w:rPr>
        <w:t> </w:t>
      </w:r>
      <w:r>
        <w:rPr/>
        <w:t>高性能超级计算机电源</w:t>
      </w:r>
      <w:r>
        <w:rPr>
          <w:rFonts w:ascii="Times New Roman" w:hAnsi="Times New Roman" w:cs="Times New Roman" w:eastAsia="Times New Roman" w:hint="default"/>
        </w:rPr>
        <w:t>”</w:t>
      </w:r>
      <w:r>
        <w:rPr/>
        <w:t>荣获第三届中国电源学会科 学技术奖二等奖。</w:t>
      </w:r>
    </w:p>
    <w:p>
      <w:pPr>
        <w:pStyle w:val="BodyText"/>
        <w:spacing w:line="316" w:lineRule="auto" w:before="68"/>
        <w:ind w:right="94" w:firstLine="360"/>
        <w:jc w:val="left"/>
      </w:pPr>
      <w:r>
        <w:rPr>
          <w:spacing w:val="-2"/>
        </w:rPr>
        <w:t>在云计算与数据存储领域：针对政府、教育行业用户，使用云计算技术来变革物理资源的使用模式与服务交付模式，整</w:t>
      </w:r>
      <w:r>
        <w:rPr/>
        <w:t> </w:t>
      </w:r>
      <w:r>
        <w:rPr>
          <w:spacing w:val="-4"/>
        </w:rPr>
        <w:t>合包括计算、存储、网络以及自动服务技术所提供的相关功能，从动态云计算平台切入，充分利用主机计算能力、存储空间，</w:t>
      </w:r>
      <w:r>
        <w:rPr>
          <w:spacing w:val="-46"/>
        </w:rPr>
        <w:t> </w:t>
      </w:r>
      <w:r>
        <w:rPr>
          <w:spacing w:val="-46"/>
        </w:rPr>
      </w:r>
      <w:r>
        <w:rPr/>
        <w:t>提供灵活多变、按需分配的服务方式；打造全新个性化、差异化、精细化的信息化服务；解决运维效率低、机器低利用率、 </w:t>
      </w:r>
      <w:r>
        <w:rPr>
          <w:spacing w:val="-2"/>
        </w:rPr>
        <w:t>信息安全等诸多问题，并提供一个统一的运营管理平台；同时减少管理复杂度、提升可用性，为政务云和教育云带来一种革</w:t>
      </w:r>
      <w:r>
        <w:rPr>
          <w:spacing w:val="-65"/>
        </w:rPr>
        <w:t> </w:t>
      </w:r>
      <w:r>
        <w:rPr>
          <w:spacing w:val="-65"/>
        </w:rPr>
      </w:r>
      <w:r>
        <w:rPr/>
        <w:t>命性的运维模式。</w:t>
      </w:r>
    </w:p>
    <w:p>
      <w:pPr>
        <w:pStyle w:val="BodyText"/>
        <w:spacing w:line="309" w:lineRule="auto" w:before="60"/>
        <w:ind w:right="190" w:firstLine="360"/>
        <w:jc w:val="both"/>
      </w:pPr>
      <w:r>
        <w:rPr/>
        <w:t>在信息安全与自主可控领域：积极跟进自主可控领域技术发展方向，基于国产飞腾</w:t>
      </w:r>
      <w:r>
        <w:rPr>
          <w:spacing w:val="-65"/>
        </w:rPr>
        <w:t> </w:t>
      </w:r>
      <w:r>
        <w:rPr>
          <w:rFonts w:ascii="Times New Roman" w:hAnsi="Times New Roman" w:cs="Times New Roman" w:eastAsia="Times New Roman" w:hint="default"/>
        </w:rPr>
        <w:t>ARM</w:t>
      </w:r>
      <w:r>
        <w:rPr>
          <w:rFonts w:ascii="Times New Roman" w:hAnsi="Times New Roman" w:cs="Times New Roman" w:eastAsia="Times New Roman" w:hint="default"/>
          <w:spacing w:val="-19"/>
        </w:rPr>
        <w:t> </w:t>
      </w:r>
      <w:r>
        <w:rPr/>
        <w:t>处理器研制新一代自主可控终 </w:t>
      </w:r>
      <w:r>
        <w:rPr>
          <w:spacing w:val="-2"/>
        </w:rPr>
        <w:t>端和服务器主板及整机产品并进行产业化，充分分析云计算、大数据等新技术、新应用及日益增长的信息安全需求，开展高</w:t>
      </w:r>
      <w:r>
        <w:rPr>
          <w:spacing w:val="-63"/>
        </w:rPr>
        <w:t> </w:t>
      </w:r>
      <w:r>
        <w:rPr>
          <w:spacing w:val="-63"/>
        </w:rPr>
      </w:r>
      <w:r>
        <w:rPr/>
        <w:t>端自主可控服务器等产品的研发工作。</w:t>
      </w:r>
    </w:p>
    <w:p>
      <w:pPr>
        <w:pStyle w:val="BodyText"/>
        <w:spacing w:line="300" w:lineRule="auto" w:before="62"/>
        <w:ind w:right="93" w:firstLine="360"/>
        <w:jc w:val="left"/>
      </w:pPr>
      <w:r>
        <w:rPr>
          <w:spacing w:val="-4"/>
        </w:rPr>
        <w:t>在新型显示技术及产品领域：（</w:t>
      </w:r>
      <w:r>
        <w:rPr>
          <w:rFonts w:ascii="Times New Roman" w:hAnsi="Times New Roman" w:cs="Times New Roman" w:eastAsia="Times New Roman" w:hint="default"/>
          <w:spacing w:val="-4"/>
        </w:rPr>
        <w:t>1</w:t>
      </w:r>
      <w:r>
        <w:rPr>
          <w:spacing w:val="-4"/>
        </w:rPr>
        <w:t>）传统显示器产品方向，持续向大尺寸、高分辨率发展；加重在特殊、商用显示器领域</w:t>
      </w:r>
      <w:r>
        <w:rPr/>
        <w:t> </w:t>
      </w:r>
      <w:r>
        <w:rPr>
          <w:spacing w:val="-4"/>
        </w:rPr>
        <w:t>的技术开发工作，包括结合安卓系统的</w:t>
      </w:r>
      <w:r>
        <w:rPr>
          <w:spacing w:val="-43"/>
        </w:rPr>
        <w:t> </w:t>
      </w:r>
      <w:r>
        <w:rPr>
          <w:rFonts w:ascii="Times New Roman" w:hAnsi="Times New Roman" w:cs="Times New Roman" w:eastAsia="Times New Roman" w:hint="default"/>
        </w:rPr>
        <w:t>AIO</w:t>
      </w:r>
      <w:r>
        <w:rPr>
          <w:rFonts w:ascii="Times New Roman" w:hAnsi="Times New Roman" w:cs="Times New Roman" w:eastAsia="Times New Roman" w:hint="default"/>
          <w:spacing w:val="1"/>
        </w:rPr>
        <w:t> </w:t>
      </w:r>
      <w:r>
        <w:rPr>
          <w:spacing w:val="-5"/>
        </w:rPr>
        <w:t>显示器产品、适用于商店展示的</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吋至</w:t>
      </w:r>
      <w:r>
        <w:rPr>
          <w:spacing w:val="-44"/>
        </w:rPr>
        <w:t> </w:t>
      </w:r>
      <w:r>
        <w:rPr>
          <w:rFonts w:ascii="Times New Roman" w:hAnsi="Times New Roman" w:cs="Times New Roman" w:eastAsia="Times New Roman" w:hint="default"/>
        </w:rPr>
        <w:t>98</w:t>
      </w:r>
      <w:r>
        <w:rPr>
          <w:rFonts w:ascii="Times New Roman" w:hAnsi="Times New Roman" w:cs="Times New Roman" w:eastAsia="Times New Roman" w:hint="default"/>
          <w:spacing w:val="2"/>
        </w:rPr>
        <w:t> </w:t>
      </w:r>
      <w:r>
        <w:rPr/>
        <w:t>吋</w:t>
      </w:r>
      <w:r>
        <w:rPr>
          <w:spacing w:val="-46"/>
        </w:rPr>
        <w:t> </w:t>
      </w:r>
      <w:r>
        <w:rPr>
          <w:rFonts w:ascii="Times New Roman" w:hAnsi="Times New Roman" w:cs="Times New Roman" w:eastAsia="Times New Roman" w:hint="default"/>
        </w:rPr>
        <w:t>Public</w:t>
      </w:r>
      <w:r>
        <w:rPr>
          <w:rFonts w:ascii="Times New Roman" w:hAnsi="Times New Roman" w:cs="Times New Roman" w:eastAsia="Times New Roman" w:hint="default"/>
          <w:spacing w:val="1"/>
        </w:rPr>
        <w:t> </w:t>
      </w:r>
      <w:r>
        <w:rPr>
          <w:rFonts w:ascii="Times New Roman" w:hAnsi="Times New Roman" w:cs="Times New Roman" w:eastAsia="Times New Roman" w:hint="default"/>
        </w:rPr>
        <w:t>Display/</w:t>
      </w:r>
      <w:r>
        <w:rPr/>
        <w:t>数字标牌等产品线、 </w:t>
      </w:r>
      <w:r>
        <w:rPr>
          <w:spacing w:val="-2"/>
        </w:rPr>
        <w:t>适用于数字教室的云显示终端、医疗用显示器等创新产品。（</w:t>
      </w:r>
      <w:r>
        <w:rPr>
          <w:rFonts w:ascii="Times New Roman" w:hAnsi="Times New Roman" w:cs="Times New Roman" w:eastAsia="Times New Roman" w:hint="default"/>
          <w:spacing w:val="-2"/>
        </w:rPr>
        <w:t>2</w:t>
      </w:r>
      <w:r>
        <w:rPr>
          <w:spacing w:val="-2"/>
        </w:rPr>
        <w:t>）在液晶电视方向，加重智能化以及次世代显示技术的开发。</w:t>
      </w:r>
      <w:r>
        <w:rPr>
          <w:spacing w:val="-68"/>
        </w:rPr>
        <w:t> </w:t>
      </w:r>
      <w:r>
        <w:rPr/>
        <w:t>在智能化方面，与谷歌、</w:t>
      </w:r>
      <w:r>
        <w:rPr>
          <w:rFonts w:ascii="Times New Roman" w:hAnsi="Times New Roman" w:cs="Times New Roman" w:eastAsia="Times New Roman" w:hint="default"/>
        </w:rPr>
        <w:t>SOC </w:t>
      </w:r>
      <w:r>
        <w:rPr/>
        <w:t>厂商携手合作，在欧洲领先推出安卓</w:t>
      </w:r>
      <w:r>
        <w:rPr>
          <w:spacing w:val="-65"/>
        </w:rPr>
        <w:t> </w:t>
      </w:r>
      <w:r>
        <w:rPr>
          <w:rFonts w:ascii="Times New Roman" w:hAnsi="Times New Roman" w:cs="Times New Roman" w:eastAsia="Times New Roman" w:hint="default"/>
        </w:rPr>
        <w:t>TV</w:t>
      </w:r>
      <w:r>
        <w:rPr/>
        <w:t>，并持续在安卓操作系统上进行深化开发工作；在显 示技术方面，超高清分辨率已成为主流，</w:t>
      </w:r>
      <w:r>
        <w:rPr>
          <w:rFonts w:ascii="Times New Roman" w:hAnsi="Times New Roman" w:cs="Times New Roman" w:eastAsia="Times New Roman" w:hint="default"/>
        </w:rPr>
        <w:t>3D </w:t>
      </w:r>
      <w:r>
        <w:rPr/>
        <w:t>话题逐渐退场，逐渐将技术发展转向</w:t>
      </w:r>
      <w:r>
        <w:rPr>
          <w:spacing w:val="-18"/>
        </w:rPr>
        <w:t> </w:t>
      </w:r>
      <w:r>
        <w:rPr>
          <w:rFonts w:ascii="Times New Roman" w:hAnsi="Times New Roman" w:cs="Times New Roman" w:eastAsia="Times New Roman" w:hint="default"/>
        </w:rPr>
        <w:t>OLED</w:t>
      </w:r>
      <w:r>
        <w:rPr/>
        <w:t>、曲面、广色域等领域发展，并在 </w:t>
      </w:r>
      <w:r>
        <w:rPr>
          <w:spacing w:val="-4"/>
        </w:rPr>
        <w:t>这些领域积累了多项技术能力；在电视本体结构方面，也持续向更薄、无边框等技术深化发展。（</w:t>
      </w:r>
      <w:r>
        <w:rPr>
          <w:rFonts w:ascii="Times New Roman" w:hAnsi="Times New Roman" w:cs="Times New Roman" w:eastAsia="Times New Roman" w:hint="default"/>
          <w:spacing w:val="-4"/>
        </w:rPr>
        <w:t>3</w:t>
      </w:r>
      <w:r>
        <w:rPr>
          <w:spacing w:val="-4"/>
        </w:rPr>
        <w:t>）手机技术方向：从人机</w:t>
      </w:r>
      <w:r>
        <w:rPr>
          <w:spacing w:val="-45"/>
        </w:rPr>
        <w:t> </w:t>
      </w:r>
      <w:r>
        <w:rPr>
          <w:spacing w:val="-45"/>
        </w:rPr>
      </w:r>
      <w:r>
        <w:rPr/>
        <w:t>接口入手，发展出第一套手机专用的</w:t>
      </w:r>
      <w:r>
        <w:rPr>
          <w:spacing w:val="-45"/>
        </w:rPr>
        <w:t> </w:t>
      </w:r>
      <w:r>
        <w:rPr>
          <w:rFonts w:ascii="Times New Roman" w:hAnsi="Times New Roman" w:cs="Times New Roman" w:eastAsia="Times New Roman" w:hint="default"/>
        </w:rPr>
        <w:t>UI</w:t>
      </w:r>
      <w:r>
        <w:rPr/>
        <w:t>，着重于强调手机与电视间的多屏互动功能；</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年将推广至平板计算机产品线使 用。</w:t>
      </w:r>
    </w:p>
    <w:p>
      <w:pPr>
        <w:pStyle w:val="BodyText"/>
        <w:spacing w:line="300" w:lineRule="auto" w:before="72"/>
        <w:ind w:right="100" w:firstLine="360"/>
        <w:jc w:val="left"/>
      </w:pPr>
      <w:r>
        <w:rPr>
          <w:spacing w:val="-5"/>
        </w:rPr>
        <w:t>在新兴能源领域：（</w:t>
      </w:r>
      <w:r>
        <w:rPr>
          <w:rFonts w:ascii="Times New Roman" w:hAnsi="Times New Roman" w:cs="Times New Roman" w:eastAsia="Times New Roman" w:hint="default"/>
          <w:spacing w:val="-5"/>
        </w:rPr>
        <w:t>1</w:t>
      </w:r>
      <w:r>
        <w:rPr>
          <w:spacing w:val="-5"/>
        </w:rPr>
        <w:t>）开关电源方向，重点聚焦</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1"/>
          <w:w w:val="99"/>
        </w:rPr>
        <w:t>大业务：服务器电源、台式机电源、</w:t>
      </w:r>
      <w:r>
        <w:rPr>
          <w:rFonts w:ascii="Times New Roman" w:hAnsi="Times New Roman" w:cs="Times New Roman" w:eastAsia="Times New Roman" w:hint="default"/>
          <w:spacing w:val="-1"/>
          <w:w w:val="99"/>
        </w:rPr>
        <w:t>LED</w:t>
      </w:r>
      <w:r>
        <w:rPr>
          <w:rFonts w:ascii="Times New Roman" w:hAnsi="Times New Roman" w:cs="Times New Roman" w:eastAsia="Times New Roman" w:hint="default"/>
          <w:spacing w:val="4"/>
          <w:w w:val="99"/>
        </w:rPr>
        <w:t> </w:t>
      </w:r>
      <w:r>
        <w:rPr>
          <w:spacing w:val="-1"/>
        </w:rPr>
        <w:t>电源、通讯电源。</w:t>
      </w:r>
      <w:r>
        <w:rPr>
          <w:rFonts w:ascii="Times New Roman" w:hAnsi="Times New Roman" w:cs="Times New Roman" w:eastAsia="Times New Roman" w:hint="default"/>
          <w:spacing w:val="-1"/>
        </w:rPr>
        <w:t>a</w:t>
      </w:r>
      <w:r>
        <w:rPr>
          <w:spacing w:val="-1"/>
        </w:rPr>
        <w:t>）服务</w:t>
      </w:r>
      <w:r>
        <w:rPr/>
        <w:t> 器电源，重点攻关高功率密度、超高转换效率、智能通讯、数字化控制等技术，研发并量产了</w:t>
      </w:r>
      <w:r>
        <w:rPr>
          <w:spacing w:val="-45"/>
        </w:rPr>
        <w:t> </w:t>
      </w:r>
      <w:r>
        <w:rPr>
          <w:rFonts w:ascii="Times New Roman" w:hAnsi="Times New Roman" w:cs="Times New Roman" w:eastAsia="Times New Roman" w:hint="default"/>
        </w:rPr>
        <w:t>CRPS</w:t>
      </w:r>
      <w:r>
        <w:rPr>
          <w:rFonts w:ascii="Times New Roman" w:hAnsi="Times New Roman" w:cs="Times New Roman" w:eastAsia="Times New Roman" w:hint="default"/>
          <w:spacing w:val="-1"/>
        </w:rPr>
        <w:t> </w:t>
      </w:r>
      <w:r>
        <w:rPr/>
        <w:t>系列高端服务器电源， 继续保持国内领先地位；</w:t>
      </w:r>
      <w:r>
        <w:rPr>
          <w:rFonts w:ascii="Times New Roman" w:hAnsi="Times New Roman" w:cs="Times New Roman" w:eastAsia="Times New Roman" w:hint="default"/>
        </w:rPr>
        <w:t>b</w:t>
      </w:r>
      <w:r>
        <w:rPr/>
        <w:t>）台式机电源，主要进行差异化、个性化产品设计，推出</w:t>
      </w:r>
      <w:r>
        <w:rPr>
          <w:rFonts w:ascii="Times New Roman" w:hAnsi="Times New Roman" w:cs="Times New Roman" w:eastAsia="Times New Roman" w:hint="default"/>
        </w:rPr>
        <w:t>“</w:t>
      </w:r>
      <w:r>
        <w:rPr/>
        <w:t>智控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分贝</w:t>
      </w:r>
      <w:r>
        <w:rPr>
          <w:rFonts w:ascii="Times New Roman" w:hAnsi="Times New Roman" w:cs="Times New Roman" w:eastAsia="Times New Roman" w:hint="default"/>
        </w:rPr>
        <w:t>”</w:t>
      </w:r>
      <w:r>
        <w:rPr/>
        <w:t>系列、</w:t>
      </w:r>
      <w:r>
        <w:rPr>
          <w:rFonts w:ascii="Times New Roman" w:hAnsi="Times New Roman" w:cs="Times New Roman" w:eastAsia="Times New Roman" w:hint="default"/>
        </w:rPr>
        <w:t>“</w:t>
      </w:r>
      <w:r>
        <w:rPr/>
        <w:t>智能管家</w:t>
      </w:r>
      <w:r>
        <w:rPr>
          <w:rFonts w:ascii="Times New Roman" w:hAnsi="Times New Roman" w:cs="Times New Roman" w:eastAsia="Times New Roman" w:hint="default"/>
        </w:rPr>
        <w:t>”</w:t>
      </w:r>
      <w:r>
        <w:rPr/>
        <w:t>系列， 继续保持市场领导地位；</w:t>
      </w:r>
      <w:r>
        <w:rPr>
          <w:rFonts w:ascii="Times New Roman" w:hAnsi="Times New Roman" w:cs="Times New Roman" w:eastAsia="Times New Roman" w:hint="default"/>
        </w:rPr>
        <w:t>c</w:t>
      </w:r>
      <w:r>
        <w:rPr/>
        <w:t>）</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驱动电源，主要面向大功率、小体积，高可靠性等新的发展趋势展开技术研发，逐步形成 系列化产品；</w:t>
      </w:r>
      <w:r>
        <w:rPr>
          <w:rFonts w:ascii="Times New Roman" w:hAnsi="Times New Roman" w:cs="Times New Roman" w:eastAsia="Times New Roman" w:hint="default"/>
        </w:rPr>
        <w:t>d</w:t>
      </w:r>
      <w:r>
        <w:rPr/>
        <w:t>）通讯电源，主要面向大客户定制化设计，在防雷、小型化、高效率、高可靠性的方向展开技术研发，使其</w:t>
      </w:r>
      <w:r>
        <w:rPr>
          <w:spacing w:val="-83"/>
        </w:rPr>
        <w:t> </w:t>
      </w:r>
      <w:r>
        <w:rPr>
          <w:spacing w:val="-83"/>
        </w:rPr>
      </w:r>
      <w:r>
        <w:rPr>
          <w:spacing w:val="-5"/>
        </w:rPr>
        <w:t>技术指标达到国内先进技术水平。（</w:t>
      </w:r>
      <w:r>
        <w:rPr>
          <w:rFonts w:ascii="Times New Roman" w:hAnsi="Times New Roman" w:cs="Times New Roman" w:eastAsia="Times New Roman" w:hint="default"/>
          <w:spacing w:val="-5"/>
        </w:rPr>
        <w:t>2</w:t>
      </w:r>
      <w:r>
        <w:rPr>
          <w:spacing w:val="-5"/>
        </w:rPr>
        <w:t>）太阳能逆变电源方向，</w:t>
      </w:r>
      <w:r>
        <w:rPr>
          <w:rFonts w:ascii="Times New Roman" w:hAnsi="Times New Roman" w:cs="Times New Roman" w:eastAsia="Times New Roman" w:hint="default"/>
          <w:spacing w:val="-5"/>
        </w:rPr>
        <w:t>a</w:t>
      </w:r>
      <w:r>
        <w:rPr>
          <w:spacing w:val="-5"/>
        </w:rPr>
        <w:t>）继续对</w:t>
      </w:r>
      <w:r>
        <w:rPr>
          <w:spacing w:val="-30"/>
        </w:rPr>
        <w:t> </w:t>
      </w:r>
      <w:r>
        <w:rPr>
          <w:rFonts w:ascii="Times New Roman" w:hAnsi="Times New Roman" w:cs="Times New Roman" w:eastAsia="Times New Roman" w:hint="default"/>
          <w:spacing w:val="-2"/>
          <w:w w:val="99"/>
        </w:rPr>
        <w:t>PowerGate</w:t>
      </w:r>
      <w:r>
        <w:rPr>
          <w:spacing w:val="-2"/>
          <w:w w:val="99"/>
        </w:rPr>
        <w:t>、</w:t>
      </w:r>
      <w:r>
        <w:rPr>
          <w:rFonts w:ascii="Times New Roman" w:hAnsi="Times New Roman" w:cs="Times New Roman" w:eastAsia="Times New Roman" w:hint="default"/>
          <w:spacing w:val="-2"/>
          <w:w w:val="99"/>
        </w:rPr>
        <w:t>EQX</w:t>
      </w:r>
      <w:r>
        <w:rPr>
          <w:rFonts w:ascii="Times New Roman" w:hAnsi="Times New Roman" w:cs="Times New Roman" w:eastAsia="Times New Roman" w:hint="default"/>
          <w:spacing w:val="16"/>
          <w:w w:val="99"/>
        </w:rPr>
        <w:t> </w:t>
      </w:r>
      <w:r>
        <w:rPr>
          <w:spacing w:val="-1"/>
        </w:rPr>
        <w:t>产品系列的硬件、软件进行升级，</w:t>
      </w:r>
      <w:r>
        <w:rPr>
          <w:spacing w:val="-85"/>
        </w:rPr>
        <w:t> </w:t>
      </w:r>
      <w:r>
        <w:rPr>
          <w:spacing w:val="-85"/>
        </w:rPr>
      </w:r>
      <w:r>
        <w:rPr/>
        <w:t>已通过</w:t>
      </w:r>
      <w:r>
        <w:rPr>
          <w:spacing w:val="-45"/>
        </w:rPr>
        <w:t> </w:t>
      </w:r>
      <w:r>
        <w:rPr>
          <w:rFonts w:ascii="Times New Roman" w:hAnsi="Times New Roman" w:cs="Times New Roman" w:eastAsia="Times New Roman" w:hint="default"/>
          <w:spacing w:val="-6"/>
        </w:rPr>
        <w:t>CQC</w:t>
      </w:r>
      <w:r>
        <w:rPr>
          <w:spacing w:val="-6"/>
        </w:rPr>
        <w:t>、</w:t>
      </w:r>
      <w:r>
        <w:rPr>
          <w:rFonts w:ascii="Times New Roman" w:hAnsi="Times New Roman" w:cs="Times New Roman" w:eastAsia="Times New Roman" w:hint="default"/>
          <w:spacing w:val="-6"/>
        </w:rPr>
        <w:t>CSA</w:t>
      </w:r>
      <w:r>
        <w:rPr>
          <w:spacing w:val="-6"/>
        </w:rPr>
        <w:t>、</w:t>
      </w:r>
      <w:r>
        <w:rPr>
          <w:rFonts w:ascii="Times New Roman" w:hAnsi="Times New Roman" w:cs="Times New Roman" w:eastAsia="Times New Roman" w:hint="default"/>
          <w:spacing w:val="-6"/>
        </w:rPr>
        <w:t>ZVRT</w:t>
      </w:r>
      <w:r>
        <w:rPr>
          <w:rFonts w:ascii="Times New Roman" w:hAnsi="Times New Roman" w:cs="Times New Roman" w:eastAsia="Times New Roman" w:hint="default"/>
          <w:spacing w:val="-3"/>
        </w:rPr>
        <w:t> </w:t>
      </w:r>
      <w:r>
        <w:rPr>
          <w:spacing w:val="-5"/>
        </w:rPr>
        <w:t>认证，泰国</w:t>
      </w:r>
      <w:r>
        <w:rPr>
          <w:spacing w:val="-45"/>
        </w:rPr>
        <w:t> </w:t>
      </w:r>
      <w:r>
        <w:rPr>
          <w:rFonts w:ascii="Times New Roman" w:hAnsi="Times New Roman" w:cs="Times New Roman" w:eastAsia="Times New Roman" w:hint="default"/>
        </w:rPr>
        <w:t>PEA</w:t>
      </w:r>
      <w:r>
        <w:rPr>
          <w:rFonts w:ascii="Times New Roman" w:hAnsi="Times New Roman" w:cs="Times New Roman" w:eastAsia="Times New Roman" w:hint="default"/>
          <w:spacing w:val="-3"/>
        </w:rPr>
        <w:t> </w:t>
      </w:r>
      <w:r>
        <w:rPr>
          <w:spacing w:val="-5"/>
        </w:rPr>
        <w:t>认证，德国</w:t>
      </w:r>
      <w:r>
        <w:rPr>
          <w:spacing w:val="-46"/>
        </w:rPr>
        <w:t> </w:t>
      </w:r>
      <w:r>
        <w:rPr>
          <w:rFonts w:ascii="Times New Roman" w:hAnsi="Times New Roman" w:cs="Times New Roman" w:eastAsia="Times New Roman" w:hint="default"/>
        </w:rPr>
        <w:t>VDE-4105</w:t>
      </w:r>
      <w:r>
        <w:rPr>
          <w:rFonts w:ascii="Times New Roman" w:hAnsi="Times New Roman" w:cs="Times New Roman" w:eastAsia="Times New Roman" w:hint="default"/>
          <w:spacing w:val="1"/>
        </w:rPr>
        <w:t> </w:t>
      </w:r>
      <w:r>
        <w:rPr>
          <w:spacing w:val="-5"/>
        </w:rPr>
        <w:t>等认证。</w:t>
      </w:r>
      <w:r>
        <w:rPr>
          <w:rFonts w:ascii="Times New Roman" w:hAnsi="Times New Roman" w:cs="Times New Roman" w:eastAsia="Times New Roman" w:hint="default"/>
          <w:spacing w:val="-5"/>
        </w:rPr>
        <w:t>b</w:t>
      </w:r>
      <w:r>
        <w:rPr>
          <w:spacing w:val="-5"/>
        </w:rPr>
        <w:t>）全新开发多</w:t>
      </w:r>
      <w:r>
        <w:rPr>
          <w:spacing w:val="-48"/>
        </w:rPr>
        <w:t> </w:t>
      </w:r>
      <w:r>
        <w:rPr>
          <w:rFonts w:ascii="Times New Roman" w:hAnsi="Times New Roman" w:cs="Times New Roman" w:eastAsia="Times New Roman" w:hint="default"/>
        </w:rPr>
        <w:t>MPPT</w:t>
      </w:r>
      <w:r>
        <w:rPr>
          <w:rFonts w:ascii="Times New Roman" w:hAnsi="Times New Roman" w:cs="Times New Roman" w:eastAsia="Times New Roman" w:hint="default"/>
          <w:spacing w:val="-2"/>
        </w:rPr>
        <w:t> </w:t>
      </w:r>
      <w:r>
        <w:rPr/>
        <w:t>系列、储能双向逆变系列、 组串逆变系列、单相逆变系列、高空风筝逆变系列等产品。</w:t>
      </w:r>
      <w:r>
        <w:rPr>
          <w:rFonts w:ascii="Times New Roman" w:hAnsi="Times New Roman" w:cs="Times New Roman" w:eastAsia="Times New Roman" w:hint="default"/>
        </w:rPr>
        <w:t>c</w:t>
      </w:r>
      <w:r>
        <w:rPr/>
        <w:t>）开发光伏电站配套远程监控设备及软件、新发布满足国际最</w:t>
      </w:r>
      <w:r>
        <w:rPr>
          <w:spacing w:val="-75"/>
        </w:rPr>
        <w:t> </w:t>
      </w:r>
      <w:r>
        <w:rPr>
          <w:spacing w:val="-75"/>
        </w:rPr>
      </w:r>
      <w:r>
        <w:rPr/>
        <w:t>新电网规格要求的控制平台软件。</w:t>
      </w:r>
      <w:r>
        <w:rPr>
          <w:rFonts w:ascii="Times New Roman" w:hAnsi="Times New Roman" w:cs="Times New Roman" w:eastAsia="Times New Roman" w:hint="default"/>
        </w:rPr>
        <w:t>d</w:t>
      </w:r>
      <w:r>
        <w:rPr/>
        <w:t>）完成</w:t>
      </w:r>
      <w:r>
        <w:rPr>
          <w:spacing w:val="-43"/>
        </w:rPr>
        <w:t> </w:t>
      </w:r>
      <w:r>
        <w:rPr>
          <w:rFonts w:ascii="Times New Roman" w:hAnsi="Times New Roman" w:cs="Times New Roman" w:eastAsia="Times New Roman" w:hint="default"/>
        </w:rPr>
        <w:t>MW </w:t>
      </w:r>
      <w:r>
        <w:rPr/>
        <w:t>级</w:t>
      </w:r>
      <w:r>
        <w:rPr>
          <w:spacing w:val="-43"/>
        </w:rPr>
        <w:t> </w:t>
      </w:r>
      <w:r>
        <w:rPr>
          <w:rFonts w:ascii="Times New Roman" w:hAnsi="Times New Roman" w:cs="Times New Roman" w:eastAsia="Times New Roman" w:hint="default"/>
        </w:rPr>
        <w:t>AC</w:t>
      </w:r>
      <w:r>
        <w:rPr>
          <w:rFonts w:ascii="Times New Roman" w:hAnsi="Times New Roman" w:cs="Times New Roman" w:eastAsia="Times New Roman" w:hint="default"/>
          <w:spacing w:val="1"/>
        </w:rPr>
        <w:t> </w:t>
      </w:r>
      <w:r>
        <w:rPr/>
        <w:t>三相交流源以及</w:t>
      </w:r>
      <w:r>
        <w:rPr>
          <w:spacing w:val="-46"/>
        </w:rPr>
        <w:t> </w:t>
      </w:r>
      <w:r>
        <w:rPr>
          <w:rFonts w:ascii="Times New Roman" w:hAnsi="Times New Roman" w:cs="Times New Roman" w:eastAsia="Times New Roman" w:hint="default"/>
        </w:rPr>
        <w:t>PV</w:t>
      </w:r>
      <w:r>
        <w:rPr>
          <w:rFonts w:ascii="Times New Roman" w:hAnsi="Times New Roman" w:cs="Times New Roman" w:eastAsia="Times New Roman" w:hint="default"/>
          <w:spacing w:val="4"/>
        </w:rPr>
        <w:t> </w:t>
      </w:r>
      <w:r>
        <w:rPr/>
        <w:t>模拟器的研发，在工厂实现</w:t>
      </w:r>
      <w:r>
        <w:rPr>
          <w:spacing w:val="-43"/>
        </w:rPr>
        <w:t> </w:t>
      </w:r>
      <w:r>
        <w:rPr>
          <w:rFonts w:ascii="Times New Roman" w:hAnsi="Times New Roman" w:cs="Times New Roman" w:eastAsia="Times New Roman" w:hint="default"/>
          <w:spacing w:val="-8"/>
        </w:rPr>
        <w:t>LVRT</w:t>
      </w:r>
      <w:r>
        <w:rPr>
          <w:rFonts w:ascii="Times New Roman" w:hAnsi="Times New Roman" w:cs="Times New Roman" w:eastAsia="Times New Roman" w:hint="default"/>
        </w:rPr>
        <w:t> </w:t>
      </w:r>
      <w:r>
        <w:rPr/>
        <w:t>等最新高级性 能要求的测试，更好的满足国内外客户的需求。</w:t>
      </w:r>
    </w:p>
    <w:p>
      <w:pPr>
        <w:pStyle w:val="BodyText"/>
        <w:spacing w:line="300" w:lineRule="auto" w:before="72"/>
        <w:ind w:right="188" w:firstLine="360"/>
        <w:jc w:val="both"/>
      </w:pPr>
      <w:r>
        <w:rPr>
          <w:spacing w:val="-10"/>
        </w:rPr>
        <w:t>在电子制造服务领域：（</w:t>
      </w:r>
      <w:r>
        <w:rPr>
          <w:rFonts w:ascii="Times New Roman" w:hAnsi="Times New Roman" w:cs="Times New Roman" w:eastAsia="Times New Roman" w:hint="default"/>
          <w:spacing w:val="-10"/>
        </w:rPr>
        <w:t>1</w:t>
      </w:r>
      <w:r>
        <w:rPr>
          <w:spacing w:val="-10"/>
        </w:rPr>
        <w:t>）智能制造方向，结合《中国制造</w:t>
      </w:r>
      <w:r>
        <w:rPr>
          <w:spacing w:val="-28"/>
        </w:rPr>
        <w:t> </w:t>
      </w:r>
      <w:r>
        <w:rPr>
          <w:rFonts w:ascii="Times New Roman" w:hAnsi="Times New Roman" w:cs="Times New Roman" w:eastAsia="Times New Roman" w:hint="default"/>
          <w:spacing w:val="-5"/>
          <w:w w:val="99"/>
        </w:rPr>
        <w:t>2025</w:t>
      </w:r>
      <w:r>
        <w:rPr>
          <w:spacing w:val="-5"/>
          <w:w w:val="99"/>
        </w:rPr>
        <w:t>》发展规划，自主研发软件一键生成上料单软件、</w:t>
      </w:r>
      <w:r>
        <w:rPr>
          <w:rFonts w:ascii="Times New Roman" w:hAnsi="Times New Roman" w:cs="Times New Roman" w:eastAsia="Times New Roman" w:hint="default"/>
          <w:spacing w:val="-5"/>
          <w:w w:val="99"/>
        </w:rPr>
        <w:t>SN/QN</w:t>
      </w:r>
      <w:r>
        <w:rPr>
          <w:rFonts w:ascii="Times New Roman" w:hAnsi="Times New Roman" w:cs="Times New Roman" w:eastAsia="Times New Roman" w:hint="default"/>
          <w:w w:val="99"/>
        </w:rPr>
        <w:t> </w:t>
      </w:r>
      <w:r>
        <w:rPr/>
        <w:t>录入程序软件及</w:t>
      </w:r>
      <w:r>
        <w:rPr>
          <w:spacing w:val="-44"/>
        </w:rPr>
        <w:t> </w:t>
      </w:r>
      <w:r>
        <w:rPr>
          <w:rFonts w:ascii="Times New Roman" w:hAnsi="Times New Roman" w:cs="Times New Roman" w:eastAsia="Times New Roman" w:hint="default"/>
          <w:spacing w:val="-6"/>
        </w:rPr>
        <w:t>SN/PAT</w:t>
      </w:r>
      <w:r>
        <w:rPr>
          <w:rFonts w:ascii="Times New Roman" w:hAnsi="Times New Roman" w:cs="Times New Roman" w:eastAsia="Times New Roman" w:hint="default"/>
          <w:spacing w:val="-2"/>
        </w:rPr>
        <w:t> </w:t>
      </w:r>
      <w:r>
        <w:rPr/>
        <w:t>资产号比对软件，导入</w:t>
      </w:r>
      <w:r>
        <w:rPr>
          <w:spacing w:val="-44"/>
        </w:rPr>
        <w:t> </w:t>
      </w:r>
      <w:r>
        <w:rPr>
          <w:rFonts w:ascii="Times New Roman" w:hAnsi="Times New Roman" w:cs="Times New Roman" w:eastAsia="Times New Roman" w:hint="default"/>
          <w:spacing w:val="-5"/>
        </w:rPr>
        <w:t>FAI</w:t>
      </w:r>
      <w:r>
        <w:rPr>
          <w:rFonts w:ascii="Times New Roman" w:hAnsi="Times New Roman" w:cs="Times New Roman" w:eastAsia="Times New Roman" w:hint="default"/>
        </w:rPr>
        <w:t> </w:t>
      </w:r>
      <w:r>
        <w:rPr/>
        <w:t>首件测试系统及</w:t>
      </w:r>
      <w:r>
        <w:rPr>
          <w:spacing w:val="-44"/>
        </w:rPr>
        <w:t> </w:t>
      </w:r>
      <w:r>
        <w:rPr>
          <w:rFonts w:ascii="Times New Roman" w:hAnsi="Times New Roman" w:cs="Times New Roman" w:eastAsia="Times New Roman" w:hint="default"/>
        </w:rPr>
        <w:t>3D </w:t>
      </w:r>
      <w:r>
        <w:rPr/>
        <w:t>锡膏厚度测试仪，自动读取数值，进行自动对比， 降低人员强度，提高测试准确率及效率；进一步完善从电子产品设计开发到</w:t>
      </w:r>
      <w:r>
        <w:rPr>
          <w:spacing w:val="-71"/>
        </w:rPr>
        <w:t> </w:t>
      </w:r>
      <w:r>
        <w:rPr>
          <w:rFonts w:ascii="Times New Roman" w:hAnsi="Times New Roman" w:cs="Times New Roman" w:eastAsia="Times New Roman" w:hint="default"/>
        </w:rPr>
        <w:t>PCBA</w:t>
      </w:r>
      <w:r>
        <w:rPr/>
        <w:t>（</w:t>
      </w:r>
      <w:r>
        <w:rPr>
          <w:rFonts w:ascii="Times New Roman" w:hAnsi="Times New Roman" w:cs="Times New Roman" w:eastAsia="Times New Roman" w:hint="default"/>
        </w:rPr>
        <w:t>SMT+AI+DIP</w:t>
      </w:r>
      <w:r>
        <w:rPr/>
        <w:t>）和整机组装测试、物流 </w:t>
      </w:r>
      <w:r>
        <w:rPr>
          <w:spacing w:val="-4"/>
        </w:rPr>
        <w:t>及客户服务等全价值链服务能力，逐步提升电子制造信息系统的智能化和信息化比例。（</w:t>
      </w:r>
      <w:r>
        <w:rPr>
          <w:rFonts w:ascii="Times New Roman" w:hAnsi="Times New Roman" w:cs="Times New Roman" w:eastAsia="Times New Roman" w:hint="default"/>
          <w:spacing w:val="-4"/>
        </w:rPr>
        <w:t>2</w:t>
      </w:r>
      <w:r>
        <w:rPr>
          <w:spacing w:val="-4"/>
        </w:rPr>
        <w:t>）产品研发方向，聚焦平板显示产</w:t>
      </w:r>
      <w:r>
        <w:rPr>
          <w:spacing w:val="-41"/>
        </w:rPr>
        <w:t> </w:t>
      </w:r>
      <w:r>
        <w:rPr>
          <w:spacing w:val="-41"/>
        </w:rPr>
      </w:r>
      <w:r>
        <w:rPr/>
        <w:t>品，自主开发基于</w:t>
      </w:r>
      <w:r>
        <w:rPr>
          <w:spacing w:val="-49"/>
        </w:rPr>
        <w:t> </w:t>
      </w:r>
      <w:r>
        <w:rPr>
          <w:rFonts w:ascii="Times New Roman" w:hAnsi="Times New Roman" w:cs="Times New Roman" w:eastAsia="Times New Roman" w:hint="default"/>
        </w:rPr>
        <w:t>ARM</w:t>
      </w:r>
      <w:r>
        <w:rPr>
          <w:rFonts w:ascii="Times New Roman" w:hAnsi="Times New Roman" w:cs="Times New Roman" w:eastAsia="Times New Roman" w:hint="default"/>
          <w:spacing w:val="-3"/>
        </w:rPr>
        <w:t> </w:t>
      </w:r>
      <w:r>
        <w:rPr/>
        <w:t>架构和</w:t>
      </w:r>
      <w:r>
        <w:rPr>
          <w:spacing w:val="-49"/>
        </w:rPr>
        <w:t> </w:t>
      </w:r>
      <w:r>
        <w:rPr>
          <w:rFonts w:ascii="Times New Roman" w:hAnsi="Times New Roman" w:cs="Times New Roman" w:eastAsia="Times New Roman" w:hint="default"/>
        </w:rPr>
        <w:t>X86</w:t>
      </w:r>
      <w:r>
        <w:rPr>
          <w:rFonts w:ascii="Times New Roman" w:hAnsi="Times New Roman" w:cs="Times New Roman" w:eastAsia="Times New Roman" w:hint="default"/>
          <w:spacing w:val="-2"/>
        </w:rPr>
        <w:t> </w:t>
      </w:r>
      <w:r>
        <w:rPr>
          <w:spacing w:val="-3"/>
        </w:rPr>
        <w:t>架构，包括瑞芯微平台、</w:t>
      </w:r>
      <w:r>
        <w:rPr>
          <w:rFonts w:ascii="Times New Roman" w:hAnsi="Times New Roman" w:cs="Times New Roman" w:eastAsia="Times New Roman" w:hint="default"/>
          <w:spacing w:val="-3"/>
        </w:rPr>
        <w:t>MTK</w:t>
      </w:r>
      <w:r>
        <w:rPr>
          <w:rFonts w:ascii="Times New Roman" w:hAnsi="Times New Roman" w:cs="Times New Roman" w:eastAsia="Times New Roman" w:hint="default"/>
          <w:spacing w:val="-4"/>
        </w:rPr>
        <w:t> </w:t>
      </w:r>
      <w:r>
        <w:rPr/>
        <w:t>平台、高通平台和</w:t>
      </w:r>
      <w:r>
        <w:rPr>
          <w:spacing w:val="-48"/>
        </w:rPr>
        <w:t> </w:t>
      </w:r>
      <w:r>
        <w:rPr>
          <w:rFonts w:ascii="Times New Roman" w:hAnsi="Times New Roman" w:cs="Times New Roman" w:eastAsia="Times New Roman" w:hint="default"/>
        </w:rPr>
        <w:t>INTEL</w:t>
      </w:r>
      <w:r>
        <w:rPr>
          <w:rFonts w:ascii="Times New Roman" w:hAnsi="Times New Roman" w:cs="Times New Roman" w:eastAsia="Times New Roman" w:hint="default"/>
          <w:spacing w:val="-5"/>
        </w:rPr>
        <w:t> </w:t>
      </w:r>
      <w:r>
        <w:rPr/>
        <w:t>平台的平板显示类新技术新产 品，主要应用于教育、商用、老人机等行业市场。</w:t>
      </w:r>
    </w:p>
    <w:p>
      <w:pPr>
        <w:pStyle w:val="BodyText"/>
        <w:spacing w:line="316" w:lineRule="auto" w:before="70"/>
        <w:ind w:right="94" w:firstLine="360"/>
        <w:jc w:val="left"/>
      </w:pPr>
      <w:r>
        <w:rPr/>
        <w:t>长城电脑在上述各技术产品领域的科技创新工作紧贴政策机遇、以市场需求为导向、以集团发展规划为纲领有序开展， 进一步增强公司技术创新能力和产品竞争力，有利于促进公司战略规划实施和公司经济效益的提升。</w:t>
      </w:r>
    </w:p>
    <w:p>
      <w:pPr>
        <w:spacing w:after="0" w:line="316"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172" w:right="0"/>
        <w:jc w:val="left"/>
      </w:pPr>
      <w:r>
        <w:rPr/>
        <w:t>公司研发投入情况</w:t>
      </w:r>
    </w:p>
    <w:p>
      <w:pPr>
        <w:spacing w:line="240" w:lineRule="auto" w:before="4"/>
        <w:rPr>
          <w:rFonts w:ascii="宋体" w:hAnsi="宋体" w:cs="宋体" w:eastAsia="宋体" w:hint="default"/>
          <w:sz w:val="8"/>
          <w:szCs w:val="8"/>
        </w:rPr>
      </w:pPr>
    </w:p>
    <w:tbl>
      <w:tblPr>
        <w:tblW w:w="0" w:type="auto"/>
        <w:jc w:val="left"/>
        <w:tblInd w:w="216" w:type="dxa"/>
        <w:tblLayout w:type="fixed"/>
        <w:tblCellMar>
          <w:top w:w="0" w:type="dxa"/>
          <w:left w:w="0" w:type="dxa"/>
          <w:bottom w:w="0" w:type="dxa"/>
          <w:right w:w="0" w:type="dxa"/>
        </w:tblCellMar>
        <w:tblLook w:val="01E0"/>
      </w:tblPr>
      <w:tblGrid>
        <w:gridCol w:w="2368"/>
        <w:gridCol w:w="2404"/>
        <w:gridCol w:w="2393"/>
        <w:gridCol w:w="2391"/>
      </w:tblGrid>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1,464,388,561.05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1,761,864,230.87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-16.88%</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172" w:right="0"/>
        <w:jc w:val="left"/>
      </w:pPr>
      <w:r>
        <w:rPr/>
        <w:t>研发投入总额占营业收入的比重较上年发生显著变化的原因</w:t>
      </w:r>
    </w:p>
    <w:p>
      <w:pPr>
        <w:pStyle w:val="BodyText"/>
        <w:spacing w:line="357" w:lineRule="auto" w:before="117"/>
        <w:ind w:left="172" w:right="5854"/>
        <w:jc w:val="left"/>
      </w:pPr>
      <w:r>
        <w:rPr/>
        <w:t>□ 适用 √</w:t>
      </w:r>
      <w:r>
        <w:rPr>
          <w:spacing w:val="3"/>
        </w:rPr>
        <w:t> </w:t>
      </w:r>
      <w:r>
        <w:rPr/>
        <w:t>不适用</w:t>
      </w:r>
      <w:r>
        <w:rPr/>
        <w:t> 研发投入资本化率大幅变动的原因及其合理性说明</w:t>
      </w:r>
    </w:p>
    <w:p>
      <w:pPr>
        <w:pStyle w:val="BodyText"/>
        <w:spacing w:line="240" w:lineRule="auto" w:before="29"/>
        <w:ind w:left="172" w:right="0"/>
        <w:jc w:val="left"/>
      </w:pPr>
      <w:r>
        <w:rPr/>
        <w:t>□ 适用 √</w:t>
      </w:r>
      <w:r>
        <w:rPr>
          <w:spacing w:val="3"/>
        </w:rPr>
        <w:t> </w:t>
      </w:r>
      <w:r>
        <w:rPr/>
        <w:t>不适用</w:t>
      </w:r>
    </w:p>
    <w:p>
      <w:pPr>
        <w:spacing w:line="240" w:lineRule="auto" w:before="7"/>
        <w:rPr>
          <w:rFonts w:ascii="宋体" w:hAnsi="宋体" w:cs="宋体" w:eastAsia="宋体" w:hint="default"/>
          <w:sz w:val="16"/>
          <w:szCs w:val="16"/>
        </w:rPr>
      </w:pPr>
    </w:p>
    <w:p>
      <w:pPr>
        <w:pStyle w:val="Heading8"/>
        <w:spacing w:line="240" w:lineRule="auto"/>
        <w:ind w:left="172"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11"/>
          <w:szCs w:val="11"/>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584"/>
        <w:gridCol w:w="2404"/>
        <w:gridCol w:w="2391"/>
        <w:gridCol w:w="2393"/>
      </w:tblGrid>
      <w:tr>
        <w:trPr>
          <w:trHeight w:val="401"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77,885,213,596.90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82,980,924,966.86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-6.14%</w:t>
            </w:r>
          </w:p>
        </w:tc>
      </w:tr>
      <w:tr>
        <w:trPr>
          <w:trHeight w:val="401"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76,197,801,277.17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80,349,012,719.92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r>
        <w:trPr>
          <w:trHeight w:val="403"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1,687,412,319.73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2,631,912,246.94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-35.89%</w:t>
            </w:r>
          </w:p>
        </w:tc>
      </w:tr>
      <w:tr>
        <w:trPr>
          <w:trHeight w:val="401"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440,396,950.69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282,270,166.84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56.02%</w:t>
            </w:r>
          </w:p>
        </w:tc>
      </w:tr>
      <w:tr>
        <w:trPr>
          <w:trHeight w:val="404"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1,704,278,914.84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1,547,306,530.18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10.14%</w:t>
            </w:r>
          </w:p>
        </w:tc>
      </w:tr>
      <w:tr>
        <w:trPr>
          <w:trHeight w:val="401"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-1,263,881,964.15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-1,265,036,363.34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r>
      <w:tr>
        <w:trPr>
          <w:trHeight w:val="403"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4,381,791,711.47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4,969,656,606.11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-11.83%</w:t>
            </w:r>
          </w:p>
        </w:tc>
      </w:tr>
      <w:tr>
        <w:trPr>
          <w:trHeight w:val="401"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4,676,166,604.21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5,750,035,673.50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-18.68%</w:t>
            </w:r>
          </w:p>
        </w:tc>
      </w:tr>
      <w:tr>
        <w:trPr>
          <w:trHeight w:val="403"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-294,374,892.74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-780,379,067.39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-62.28%</w:t>
            </w:r>
          </w:p>
        </w:tc>
      </w:tr>
      <w:tr>
        <w:trPr>
          <w:trHeight w:val="403" w:hRule="exact"/>
        </w:trPr>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47,299,035.77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519,068,696.46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-90.89%</w:t>
            </w:r>
          </w:p>
        </w:tc>
      </w:tr>
    </w:tbl>
    <w:p>
      <w:pPr>
        <w:pStyle w:val="BodyText"/>
        <w:spacing w:line="240" w:lineRule="auto" w:before="49"/>
        <w:ind w:left="172" w:right="0"/>
        <w:jc w:val="left"/>
      </w:pPr>
      <w:r>
        <w:rPr/>
        <w:t>相关数据同比发生重大变动的主要影响因素说明</w:t>
      </w:r>
    </w:p>
    <w:p>
      <w:pPr>
        <w:pStyle w:val="BodyText"/>
        <w:spacing w:line="240" w:lineRule="auto" w:before="115"/>
        <w:ind w:left="172" w:right="0"/>
        <w:jc w:val="left"/>
      </w:pPr>
      <w:r>
        <w:rPr/>
        <w:t>√ 适用 □</w:t>
      </w:r>
      <w:r>
        <w:rPr>
          <w:spacing w:val="3"/>
        </w:rPr>
        <w:t> </w:t>
      </w:r>
      <w:r>
        <w:rPr/>
        <w:t>不适用</w:t>
      </w:r>
    </w:p>
    <w:p>
      <w:pPr>
        <w:pStyle w:val="BodyText"/>
        <w:spacing w:line="338" w:lineRule="auto" w:before="117"/>
        <w:ind w:left="533" w:right="0"/>
        <w:jc w:val="left"/>
      </w:pPr>
      <w:r>
        <w:rPr/>
        <w:t>经营活动产生的现金流量净额较上年同期下降</w:t>
      </w:r>
      <w:r>
        <w:rPr>
          <w:spacing w:val="-45"/>
        </w:rPr>
        <w:t> </w:t>
      </w:r>
      <w:r>
        <w:rPr>
          <w:rFonts w:ascii="Times New Roman" w:hAnsi="Times New Roman" w:cs="Times New Roman" w:eastAsia="Times New Roman" w:hint="default"/>
        </w:rPr>
        <w:t>35.89%</w:t>
      </w:r>
      <w:r>
        <w:rPr/>
        <w:t>，主要是由于下属子公司本期销售减少所致； </w:t>
      </w:r>
      <w:r>
        <w:rPr>
          <w:spacing w:val="-2"/>
        </w:rPr>
        <w:t>筹资活动产生的现金流量净额与上年同期相比发生较大变动，主要是由于下属子公司本期偿还到期的借款金额较去年下</w:t>
      </w:r>
    </w:p>
    <w:p>
      <w:pPr>
        <w:pStyle w:val="BodyText"/>
        <w:spacing w:line="240" w:lineRule="auto" w:before="3"/>
        <w:ind w:left="172" w:right="0"/>
        <w:jc w:val="left"/>
      </w:pPr>
      <w:r>
        <w:rPr/>
        <w:t>降所致；</w:t>
      </w:r>
    </w:p>
    <w:p>
      <w:pPr>
        <w:pStyle w:val="BodyText"/>
        <w:spacing w:line="340" w:lineRule="auto" w:before="117"/>
        <w:ind w:left="172" w:right="1115" w:firstLine="360"/>
        <w:jc w:val="left"/>
      </w:pPr>
      <w:r>
        <w:rPr/>
        <w:t>现金及现金等价物净增加额较上年同期下降</w:t>
      </w:r>
      <w:r>
        <w:rPr>
          <w:spacing w:val="-46"/>
        </w:rPr>
        <w:t> </w:t>
      </w:r>
      <w:r>
        <w:rPr>
          <w:rFonts w:ascii="Times New Roman" w:hAnsi="Times New Roman" w:cs="Times New Roman" w:eastAsia="Times New Roman" w:hint="default"/>
        </w:rPr>
        <w:t>90.89%</w:t>
      </w:r>
      <w:r>
        <w:rPr/>
        <w:t>，主要是由于经营活动产生的现金流量净额减少所致。 报告期内公司经营活动产生的现金净流量与本年度净利润存在重大差异的原因说明</w:t>
      </w:r>
    </w:p>
    <w:p>
      <w:pPr>
        <w:pStyle w:val="BodyText"/>
        <w:spacing w:line="240" w:lineRule="auto" w:before="39"/>
        <w:ind w:left="172" w:right="0"/>
        <w:jc w:val="left"/>
      </w:pPr>
      <w:r>
        <w:rPr/>
        <w:t>√ 适用 □</w:t>
      </w:r>
      <w:r>
        <w:rPr>
          <w:spacing w:val="3"/>
        </w:rPr>
        <w:t> </w:t>
      </w:r>
      <w:r>
        <w:rPr/>
        <w:t>不适用</w:t>
      </w:r>
    </w:p>
    <w:p>
      <w:pPr>
        <w:pStyle w:val="BodyText"/>
        <w:spacing w:line="240" w:lineRule="auto" w:before="117"/>
        <w:ind w:left="533" w:right="0"/>
        <w:jc w:val="left"/>
      </w:pPr>
      <w:r>
        <w:rPr/>
        <w:t>报告期公司经营活动产生的现金流量净额为</w:t>
      </w:r>
      <w:r>
        <w:rPr>
          <w:spacing w:val="-42"/>
        </w:rPr>
        <w:t> </w:t>
      </w:r>
      <w:r>
        <w:rPr>
          <w:rFonts w:ascii="Times New Roman" w:hAnsi="Times New Roman" w:cs="Times New Roman" w:eastAsia="Times New Roman" w:hint="default"/>
        </w:rPr>
        <w:t>168,741.23</w:t>
      </w:r>
      <w:r>
        <w:rPr>
          <w:rFonts w:ascii="Times New Roman" w:hAnsi="Times New Roman" w:cs="Times New Roman" w:eastAsia="Times New Roman" w:hint="default"/>
          <w:spacing w:val="4"/>
        </w:rPr>
        <w:t> </w:t>
      </w:r>
      <w:r>
        <w:rPr>
          <w:spacing w:val="-3"/>
        </w:rPr>
        <w:t>万元，报告期净利润为</w:t>
      </w:r>
      <w:r>
        <w:rPr>
          <w:rFonts w:ascii="Times New Roman" w:hAnsi="Times New Roman" w:cs="Times New Roman" w:eastAsia="Times New Roman" w:hint="default"/>
          <w:spacing w:val="-3"/>
        </w:rPr>
        <w:t>-19,480.97</w:t>
      </w:r>
      <w:r>
        <w:rPr>
          <w:rFonts w:ascii="Times New Roman" w:hAnsi="Times New Roman" w:cs="Times New Roman" w:eastAsia="Times New Roman" w:hint="default"/>
          <w:spacing w:val="4"/>
        </w:rPr>
        <w:t> </w:t>
      </w:r>
      <w:r>
        <w:rPr>
          <w:spacing w:val="-4"/>
        </w:rPr>
        <w:t>万元，存在差异的主要原因是：</w:t>
      </w:r>
    </w:p>
    <w:p>
      <w:pPr>
        <w:pStyle w:val="BodyText"/>
        <w:spacing w:line="240" w:lineRule="auto" w:before="103"/>
        <w:ind w:left="533" w:right="0"/>
        <w:jc w:val="left"/>
      </w:pPr>
      <w:r>
        <w:rPr>
          <w:rFonts w:ascii="Times New Roman" w:hAnsi="Times New Roman" w:cs="Times New Roman" w:eastAsia="Times New Roman" w:hint="default"/>
        </w:rPr>
        <w:t>● </w:t>
      </w:r>
      <w:r>
        <w:rPr/>
        <w:t>资产减值准备 </w:t>
      </w:r>
      <w:r>
        <w:rPr>
          <w:rFonts w:ascii="Times New Roman" w:hAnsi="Times New Roman" w:cs="Times New Roman" w:eastAsia="Times New Roman" w:hint="default"/>
        </w:rPr>
        <w:t>56,320.08</w:t>
      </w:r>
      <w:r>
        <w:rPr>
          <w:rFonts w:ascii="Times New Roman" w:hAnsi="Times New Roman" w:cs="Times New Roman" w:eastAsia="Times New Roman" w:hint="default"/>
          <w:spacing w:val="-6"/>
        </w:rPr>
        <w:t> </w:t>
      </w:r>
      <w:r>
        <w:rPr/>
        <w:t>万元；</w:t>
      </w:r>
    </w:p>
    <w:p>
      <w:pPr>
        <w:spacing w:after="0" w:line="240" w:lineRule="auto"/>
        <w:jc w:val="left"/>
        <w:sectPr>
          <w:pgSz w:w="11910" w:h="16840"/>
          <w:pgMar w:header="877" w:footer="980" w:top="1100" w:bottom="1160" w:left="960" w:right="940"/>
        </w:sectPr>
      </w:pPr>
    </w:p>
    <w:p>
      <w:pPr>
        <w:spacing w:line="240" w:lineRule="auto" w:before="11"/>
        <w:rPr>
          <w:rFonts w:ascii="宋体" w:hAnsi="宋体" w:cs="宋体" w:eastAsia="宋体" w:hint="default"/>
          <w:sz w:val="21"/>
          <w:szCs w:val="21"/>
        </w:rPr>
      </w:pPr>
    </w:p>
    <w:p>
      <w:pPr>
        <w:pStyle w:val="BodyText"/>
        <w:spacing w:line="240" w:lineRule="auto" w:before="44"/>
        <w:ind w:left="633" w:right="0"/>
        <w:jc w:val="left"/>
      </w:pPr>
      <w:r>
        <w:rPr>
          <w:rFonts w:ascii="Times New Roman" w:hAnsi="Times New Roman" w:cs="Times New Roman" w:eastAsia="Times New Roman" w:hint="default"/>
        </w:rPr>
        <w:t>● </w:t>
      </w:r>
      <w:r>
        <w:rPr/>
        <w:t>固定资产折旧、油气资产折耗、生产性生物资产折旧 </w:t>
      </w:r>
      <w:r>
        <w:rPr>
          <w:rFonts w:ascii="Times New Roman" w:hAnsi="Times New Roman" w:cs="Times New Roman" w:eastAsia="Times New Roman" w:hint="default"/>
        </w:rPr>
        <w:t>87,545.28 </w:t>
      </w:r>
      <w:r>
        <w:rPr/>
        <w:t>万元；</w:t>
      </w:r>
    </w:p>
    <w:p>
      <w:pPr>
        <w:pStyle w:val="BodyText"/>
        <w:spacing w:line="240" w:lineRule="auto" w:before="104"/>
        <w:ind w:left="633" w:right="0"/>
        <w:jc w:val="left"/>
      </w:pPr>
      <w:r>
        <w:rPr>
          <w:rFonts w:ascii="Times New Roman" w:hAnsi="Times New Roman" w:cs="Times New Roman" w:eastAsia="Times New Roman" w:hint="default"/>
        </w:rPr>
        <w:t>● </w:t>
      </w:r>
      <w:r>
        <w:rPr/>
        <w:t>无形资产摊销 </w:t>
      </w:r>
      <w:r>
        <w:rPr>
          <w:rFonts w:ascii="Times New Roman" w:hAnsi="Times New Roman" w:cs="Times New Roman" w:eastAsia="Times New Roman" w:hint="default"/>
        </w:rPr>
        <w:t>18,448.22</w:t>
      </w:r>
      <w:r>
        <w:rPr>
          <w:rFonts w:ascii="Times New Roman" w:hAnsi="Times New Roman" w:cs="Times New Roman" w:eastAsia="Times New Roman" w:hint="default"/>
          <w:spacing w:val="-6"/>
        </w:rPr>
        <w:t> </w:t>
      </w:r>
      <w:r>
        <w:rPr/>
        <w:t>万元；</w:t>
      </w:r>
    </w:p>
    <w:p>
      <w:pPr>
        <w:pStyle w:val="BodyText"/>
        <w:spacing w:line="240" w:lineRule="auto" w:before="101"/>
        <w:ind w:left="633" w:right="0"/>
        <w:jc w:val="left"/>
      </w:pPr>
      <w:r>
        <w:rPr>
          <w:rFonts w:ascii="Times New Roman" w:hAnsi="Times New Roman" w:cs="Times New Roman" w:eastAsia="Times New Roman" w:hint="default"/>
        </w:rPr>
        <w:t>●  </w:t>
      </w:r>
      <w:r>
        <w:rPr/>
        <w:t>长期待摊费用摊销</w:t>
      </w:r>
      <w:r>
        <w:rPr>
          <w:spacing w:val="-48"/>
        </w:rPr>
        <w:t> </w:t>
      </w:r>
      <w:r>
        <w:rPr>
          <w:rFonts w:ascii="Times New Roman" w:hAnsi="Times New Roman" w:cs="Times New Roman" w:eastAsia="Times New Roman" w:hint="default"/>
        </w:rPr>
        <w:t>9,965.32</w:t>
      </w:r>
      <w:r>
        <w:rPr>
          <w:rFonts w:ascii="Times New Roman" w:hAnsi="Times New Roman" w:cs="Times New Roman" w:eastAsia="Times New Roman" w:hint="default"/>
          <w:spacing w:val="-1"/>
        </w:rPr>
        <w:t> </w:t>
      </w:r>
      <w:r>
        <w:rPr/>
        <w:t>万元；</w:t>
      </w:r>
    </w:p>
    <w:p>
      <w:pPr>
        <w:pStyle w:val="BodyText"/>
        <w:spacing w:line="240" w:lineRule="auto" w:before="103"/>
        <w:ind w:left="633" w:right="0"/>
        <w:jc w:val="left"/>
      </w:pPr>
      <w:r>
        <w:rPr>
          <w:rFonts w:ascii="Times New Roman" w:hAnsi="Times New Roman" w:cs="Times New Roman" w:eastAsia="Times New Roman" w:hint="default"/>
        </w:rPr>
        <w:t>● </w:t>
      </w:r>
      <w:r>
        <w:rPr/>
        <w:t>处置固定资产、无形资产和其他长期资产的损失 </w:t>
      </w:r>
      <w:r>
        <w:rPr>
          <w:rFonts w:ascii="Times New Roman" w:hAnsi="Times New Roman" w:cs="Times New Roman" w:eastAsia="Times New Roman" w:hint="default"/>
        </w:rPr>
        <w:t>856.78</w:t>
      </w:r>
      <w:r>
        <w:rPr>
          <w:rFonts w:ascii="Times New Roman" w:hAnsi="Times New Roman" w:cs="Times New Roman" w:eastAsia="Times New Roman" w:hint="default"/>
          <w:spacing w:val="-3"/>
        </w:rPr>
        <w:t> </w:t>
      </w:r>
      <w:r>
        <w:rPr/>
        <w:t>万元；</w:t>
      </w:r>
    </w:p>
    <w:p>
      <w:pPr>
        <w:pStyle w:val="BodyText"/>
        <w:spacing w:line="240" w:lineRule="auto" w:before="103"/>
        <w:ind w:left="633" w:right="0"/>
        <w:jc w:val="left"/>
      </w:pPr>
      <w:r>
        <w:rPr>
          <w:rFonts w:ascii="Times New Roman" w:hAnsi="Times New Roman" w:cs="Times New Roman" w:eastAsia="Times New Roman" w:hint="default"/>
        </w:rPr>
        <w:t>● </w:t>
      </w:r>
      <w:r>
        <w:rPr/>
        <w:t>公允价值变动收益 </w:t>
      </w:r>
      <w:r>
        <w:rPr>
          <w:rFonts w:ascii="Times New Roman" w:hAnsi="Times New Roman" w:cs="Times New Roman" w:eastAsia="Times New Roman" w:hint="default"/>
        </w:rPr>
        <w:t>23,206.87</w:t>
      </w:r>
      <w:r>
        <w:rPr>
          <w:rFonts w:ascii="Times New Roman" w:hAnsi="Times New Roman" w:cs="Times New Roman" w:eastAsia="Times New Roman" w:hint="default"/>
          <w:spacing w:val="-5"/>
        </w:rPr>
        <w:t> </w:t>
      </w:r>
      <w:r>
        <w:rPr/>
        <w:t>万元；</w:t>
      </w:r>
    </w:p>
    <w:p>
      <w:pPr>
        <w:pStyle w:val="BodyText"/>
        <w:spacing w:line="240" w:lineRule="auto" w:before="101"/>
        <w:ind w:left="633" w:right="0"/>
        <w:jc w:val="left"/>
      </w:pPr>
      <w:r>
        <w:rPr>
          <w:rFonts w:ascii="Times New Roman" w:hAnsi="Times New Roman" w:cs="Times New Roman" w:eastAsia="Times New Roman" w:hint="default"/>
        </w:rPr>
        <w:t>● </w:t>
      </w:r>
      <w:r>
        <w:rPr/>
        <w:t>财务费用 </w:t>
      </w:r>
      <w:r>
        <w:rPr>
          <w:rFonts w:ascii="Times New Roman" w:hAnsi="Times New Roman" w:cs="Times New Roman" w:eastAsia="Times New Roman" w:hint="default"/>
        </w:rPr>
        <w:t>39,650.40</w:t>
      </w:r>
      <w:r>
        <w:rPr>
          <w:rFonts w:ascii="Times New Roman" w:hAnsi="Times New Roman" w:cs="Times New Roman" w:eastAsia="Times New Roman" w:hint="default"/>
          <w:spacing w:val="-4"/>
        </w:rPr>
        <w:t> </w:t>
      </w:r>
      <w:r>
        <w:rPr/>
        <w:t>万元；</w:t>
      </w:r>
    </w:p>
    <w:p>
      <w:pPr>
        <w:pStyle w:val="BodyText"/>
        <w:spacing w:line="240" w:lineRule="auto" w:before="103"/>
        <w:ind w:left="633" w:right="0"/>
        <w:jc w:val="left"/>
      </w:pPr>
      <w:r>
        <w:rPr>
          <w:rFonts w:ascii="Times New Roman" w:hAnsi="Times New Roman" w:cs="Times New Roman" w:eastAsia="Times New Roman" w:hint="default"/>
        </w:rPr>
        <w:t>● </w:t>
      </w:r>
      <w:r>
        <w:rPr/>
        <w:t>投资收益 </w:t>
      </w:r>
      <w:r>
        <w:rPr>
          <w:rFonts w:ascii="Times New Roman" w:hAnsi="Times New Roman" w:cs="Times New Roman" w:eastAsia="Times New Roman" w:hint="default"/>
        </w:rPr>
        <w:t>90,105.99</w:t>
      </w:r>
      <w:r>
        <w:rPr>
          <w:rFonts w:ascii="Times New Roman" w:hAnsi="Times New Roman" w:cs="Times New Roman" w:eastAsia="Times New Roman" w:hint="default"/>
          <w:spacing w:val="-3"/>
        </w:rPr>
        <w:t> </w:t>
      </w:r>
      <w:r>
        <w:rPr/>
        <w:t>万元；</w:t>
      </w:r>
    </w:p>
    <w:p>
      <w:pPr>
        <w:pStyle w:val="BodyText"/>
        <w:spacing w:line="240" w:lineRule="auto" w:before="103"/>
        <w:ind w:left="633"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递延所得税资产减少</w:t>
      </w:r>
      <w:r>
        <w:rPr>
          <w:spacing w:val="-48"/>
        </w:rPr>
        <w:t> </w:t>
      </w:r>
      <w:r>
        <w:rPr>
          <w:rFonts w:ascii="Times New Roman" w:hAnsi="Times New Roman" w:cs="Times New Roman" w:eastAsia="Times New Roman" w:hint="default"/>
        </w:rPr>
        <w:t>651.70</w:t>
      </w:r>
      <w:r>
        <w:rPr>
          <w:rFonts w:ascii="Times New Roman" w:hAnsi="Times New Roman" w:cs="Times New Roman" w:eastAsia="Times New Roman" w:hint="default"/>
          <w:spacing w:val="-1"/>
        </w:rPr>
        <w:t> </w:t>
      </w:r>
      <w:r>
        <w:rPr/>
        <w:t>万元；</w:t>
      </w:r>
    </w:p>
    <w:p>
      <w:pPr>
        <w:pStyle w:val="BodyText"/>
        <w:spacing w:line="240" w:lineRule="auto" w:before="101"/>
        <w:ind w:left="633" w:right="0"/>
        <w:jc w:val="left"/>
      </w:pPr>
      <w:r>
        <w:rPr>
          <w:rFonts w:ascii="Times New Roman" w:hAnsi="Times New Roman" w:cs="Times New Roman" w:eastAsia="Times New Roman" w:hint="default"/>
        </w:rPr>
        <w:t>●  </w:t>
      </w:r>
      <w:r>
        <w:rPr/>
        <w:t>递延所得税负债增加</w:t>
      </w:r>
      <w:r>
        <w:rPr>
          <w:spacing w:val="-48"/>
        </w:rPr>
        <w:t> </w:t>
      </w:r>
      <w:r>
        <w:rPr>
          <w:rFonts w:ascii="Times New Roman" w:hAnsi="Times New Roman" w:cs="Times New Roman" w:eastAsia="Times New Roman" w:hint="default"/>
        </w:rPr>
        <w:t>6,199.64</w:t>
      </w:r>
      <w:r>
        <w:rPr>
          <w:rFonts w:ascii="Times New Roman" w:hAnsi="Times New Roman" w:cs="Times New Roman" w:eastAsia="Times New Roman" w:hint="default"/>
          <w:spacing w:val="2"/>
        </w:rPr>
        <w:t> </w:t>
      </w:r>
      <w:r>
        <w:rPr/>
        <w:t>万元；</w:t>
      </w:r>
    </w:p>
    <w:p>
      <w:pPr>
        <w:pStyle w:val="BodyText"/>
        <w:spacing w:line="240" w:lineRule="auto" w:before="103"/>
        <w:ind w:left="633" w:right="0"/>
        <w:jc w:val="left"/>
      </w:pPr>
      <w:r>
        <w:rPr>
          <w:rFonts w:ascii="Times New Roman" w:hAnsi="Times New Roman" w:cs="Times New Roman" w:eastAsia="Times New Roman" w:hint="default"/>
        </w:rPr>
        <w:t>● </w:t>
      </w:r>
      <w:r>
        <w:rPr/>
        <w:t>存货减少 </w:t>
      </w:r>
      <w:r>
        <w:rPr>
          <w:rFonts w:ascii="Times New Roman" w:hAnsi="Times New Roman" w:cs="Times New Roman" w:eastAsia="Times New Roman" w:hint="default"/>
        </w:rPr>
        <w:t>40,105.27</w:t>
      </w:r>
      <w:r>
        <w:rPr>
          <w:rFonts w:ascii="Times New Roman" w:hAnsi="Times New Roman" w:cs="Times New Roman" w:eastAsia="Times New Roman" w:hint="default"/>
          <w:spacing w:val="-3"/>
        </w:rPr>
        <w:t> </w:t>
      </w:r>
      <w:r>
        <w:rPr/>
        <w:t>万元；</w:t>
      </w:r>
    </w:p>
    <w:p>
      <w:pPr>
        <w:pStyle w:val="BodyText"/>
        <w:spacing w:line="240" w:lineRule="auto" w:before="103"/>
        <w:ind w:left="633" w:right="0"/>
        <w:jc w:val="left"/>
      </w:pPr>
      <w:r>
        <w:rPr>
          <w:rFonts w:ascii="Times New Roman" w:hAnsi="Times New Roman" w:cs="Times New Roman" w:eastAsia="Times New Roman" w:hint="default"/>
        </w:rPr>
        <w:t>● </w:t>
      </w:r>
      <w:r>
        <w:rPr/>
        <w:t>经营性应收项目减少 </w:t>
      </w:r>
      <w:r>
        <w:rPr>
          <w:rFonts w:ascii="Times New Roman" w:hAnsi="Times New Roman" w:cs="Times New Roman" w:eastAsia="Times New Roman" w:hint="default"/>
        </w:rPr>
        <w:t>129,767.19</w:t>
      </w:r>
      <w:r>
        <w:rPr>
          <w:rFonts w:ascii="Times New Roman" w:hAnsi="Times New Roman" w:cs="Times New Roman" w:eastAsia="Times New Roman" w:hint="default"/>
          <w:spacing w:val="-2"/>
        </w:rPr>
        <w:t> </w:t>
      </w:r>
      <w:r>
        <w:rPr/>
        <w:t>万元；</w:t>
      </w:r>
    </w:p>
    <w:p>
      <w:pPr>
        <w:pStyle w:val="BodyText"/>
        <w:spacing w:line="240" w:lineRule="auto" w:before="101"/>
        <w:ind w:left="633" w:right="0"/>
        <w:jc w:val="left"/>
      </w:pPr>
      <w:r>
        <w:rPr>
          <w:rFonts w:ascii="Times New Roman" w:hAnsi="Times New Roman" w:cs="Times New Roman" w:eastAsia="Times New Roman" w:hint="default"/>
        </w:rPr>
        <w:t>●  </w:t>
      </w:r>
      <w:r>
        <w:rPr/>
        <w:t>经营性应付项目减少</w:t>
      </w:r>
      <w:r>
        <w:rPr>
          <w:spacing w:val="-48"/>
        </w:rPr>
        <w:t> </w:t>
      </w:r>
      <w:r>
        <w:rPr>
          <w:rFonts w:ascii="Times New Roman" w:hAnsi="Times New Roman" w:cs="Times New Roman" w:eastAsia="Times New Roman" w:hint="default"/>
        </w:rPr>
        <w:t>87,974.83</w:t>
      </w:r>
      <w:r>
        <w:rPr>
          <w:rFonts w:ascii="Times New Roman" w:hAnsi="Times New Roman" w:cs="Times New Roman" w:eastAsia="Times New Roman" w:hint="default"/>
          <w:spacing w:val="2"/>
        </w:rPr>
        <w:t> </w:t>
      </w:r>
      <w:r>
        <w:rPr/>
        <w:t>万元。</w:t>
      </w:r>
    </w:p>
    <w:p>
      <w:pPr>
        <w:pStyle w:val="Heading5"/>
        <w:spacing w:line="240" w:lineRule="auto" w:before="137"/>
        <w:ind w:left="272" w:right="0"/>
        <w:jc w:val="left"/>
        <w:rPr>
          <w:b w:val="0"/>
          <w:bCs w:val="0"/>
        </w:rPr>
      </w:pPr>
      <w:r>
        <w:rPr/>
        <w:t>三、非主营业务分析</w:t>
      </w:r>
      <w:r>
        <w:rPr>
          <w:b w:val="0"/>
          <w:bCs w:val="0"/>
        </w:rPr>
      </w:r>
    </w:p>
    <w:p>
      <w:pPr>
        <w:spacing w:line="240" w:lineRule="auto" w:before="2"/>
        <w:rPr>
          <w:rFonts w:ascii="宋体" w:hAnsi="宋体" w:cs="宋体" w:eastAsia="宋体" w:hint="default"/>
          <w:b/>
          <w:bCs/>
          <w:sz w:val="9"/>
          <w:szCs w:val="9"/>
        </w:rPr>
      </w:pPr>
    </w:p>
    <w:p>
      <w:pPr>
        <w:pStyle w:val="BodyText"/>
        <w:spacing w:line="240" w:lineRule="auto" w:before="44"/>
        <w:ind w:left="272" w:right="0"/>
        <w:jc w:val="left"/>
      </w:pPr>
      <w:r>
        <w:rPr/>
        <w:t>√ 适用 □</w:t>
      </w:r>
      <w:r>
        <w:rPr>
          <w:spacing w:val="3"/>
        </w:rPr>
        <w:t> </w:t>
      </w:r>
      <w:r>
        <w:rPr/>
        <w:t>不适用</w:t>
      </w:r>
    </w:p>
    <w:p>
      <w:pPr>
        <w:pStyle w:val="BodyText"/>
        <w:spacing w:line="240" w:lineRule="auto" w:before="117"/>
        <w:ind w:left="0" w:right="291"/>
        <w:jc w:val="right"/>
      </w:pPr>
      <w:r>
        <w:rPr/>
        <w:t>单位：元</w:t>
      </w:r>
    </w:p>
    <w:p>
      <w:pPr>
        <w:spacing w:line="240" w:lineRule="auto" w:before="4"/>
        <w:rPr>
          <w:rFonts w:ascii="宋体" w:hAnsi="宋体" w:cs="宋体" w:eastAsia="宋体" w:hint="default"/>
          <w:sz w:val="8"/>
          <w:szCs w:val="8"/>
        </w:rPr>
      </w:pPr>
    </w:p>
    <w:tbl>
      <w:tblPr>
        <w:tblW w:w="0" w:type="auto"/>
        <w:jc w:val="left"/>
        <w:tblInd w:w="316" w:type="dxa"/>
        <w:tblLayout w:type="fixed"/>
        <w:tblCellMar>
          <w:top w:w="0" w:type="dxa"/>
          <w:left w:w="0" w:type="dxa"/>
          <w:bottom w:w="0" w:type="dxa"/>
          <w:right w:w="0" w:type="dxa"/>
        </w:tblCellMar>
        <w:tblLook w:val="01E0"/>
      </w:tblPr>
      <w:tblGrid>
        <w:gridCol w:w="1510"/>
        <w:gridCol w:w="1918"/>
        <w:gridCol w:w="1622"/>
        <w:gridCol w:w="2165"/>
        <w:gridCol w:w="2341"/>
      </w:tblGrid>
      <w:tr>
        <w:trPr>
          <w:trHeight w:val="360"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62"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901,059,903.57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949.19%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衍生金融资产处置收益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232,068,657.25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45" w:right="0"/>
              <w:jc w:val="left"/>
              <w:rPr>
                <w:rFonts w:ascii="Times New Roman" w:hAnsi="Times New Roman" w:cs="Times New Roman" w:eastAsia="Times New Roman" w:hint="default"/>
                <w:sz w:val="18"/>
                <w:szCs w:val="18"/>
              </w:rPr>
            </w:pPr>
            <w:r>
              <w:rPr>
                <w:rFonts w:ascii="Times New Roman"/>
                <w:sz w:val="18"/>
              </w:rPr>
              <w:t>244.46%</w:t>
            </w:r>
          </w:p>
        </w:tc>
        <w:tc>
          <w:tcPr>
            <w:tcW w:w="2165" w:type="dxa"/>
            <w:vMerge w:val="restart"/>
            <w:tcBorders>
              <w:top w:val="single" w:sz="4" w:space="0" w:color="000000"/>
              <w:left w:val="single" w:sz="4" w:space="0" w:color="000000"/>
              <w:right w:val="single" w:sz="4" w:space="0" w:color="000000"/>
            </w:tcBorders>
          </w:tcPr>
          <w:p>
            <w:pPr>
              <w:pStyle w:val="TableParagraph"/>
              <w:spacing w:line="319" w:lineRule="auto" w:before="29"/>
              <w:ind w:left="23" w:right="149"/>
              <w:jc w:val="left"/>
              <w:rPr>
                <w:rFonts w:ascii="宋体" w:hAnsi="宋体" w:cs="宋体" w:eastAsia="宋体" w:hint="default"/>
                <w:sz w:val="18"/>
                <w:szCs w:val="18"/>
              </w:rPr>
            </w:pPr>
            <w:r>
              <w:rPr>
                <w:rFonts w:ascii="宋体" w:hAnsi="宋体" w:cs="宋体" w:eastAsia="宋体" w:hint="default"/>
                <w:sz w:val="18"/>
                <w:szCs w:val="18"/>
              </w:rPr>
              <w:t>交易性金融资产和衍生金 融资产公允价值变动</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5"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5"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61"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563,200,768.02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45" w:right="0"/>
              <w:jc w:val="left"/>
              <w:rPr>
                <w:rFonts w:ascii="Times New Roman" w:hAnsi="Times New Roman" w:cs="Times New Roman" w:eastAsia="Times New Roman" w:hint="default"/>
                <w:sz w:val="18"/>
                <w:szCs w:val="18"/>
              </w:rPr>
            </w:pPr>
            <w:r>
              <w:rPr>
                <w:rFonts w:ascii="Times New Roman"/>
                <w:sz w:val="18"/>
              </w:rPr>
              <w:t>593.28%</w:t>
            </w:r>
          </w:p>
        </w:tc>
        <w:tc>
          <w:tcPr>
            <w:tcW w:w="2165" w:type="dxa"/>
            <w:vMerge w:val="restart"/>
            <w:tcBorders>
              <w:top w:val="single" w:sz="4" w:space="0" w:color="000000"/>
              <w:left w:val="single" w:sz="4" w:space="0" w:color="000000"/>
              <w:right w:val="single" w:sz="4" w:space="0" w:color="000000"/>
            </w:tcBorders>
          </w:tcPr>
          <w:p>
            <w:pPr>
              <w:pStyle w:val="TableParagraph"/>
              <w:spacing w:line="319" w:lineRule="auto" w:before="29"/>
              <w:ind w:left="23" w:right="149"/>
              <w:jc w:val="left"/>
              <w:rPr>
                <w:rFonts w:ascii="宋体" w:hAnsi="宋体" w:cs="宋体" w:eastAsia="宋体" w:hint="default"/>
                <w:sz w:val="18"/>
                <w:szCs w:val="18"/>
              </w:rPr>
            </w:pPr>
            <w:r>
              <w:rPr>
                <w:rFonts w:ascii="宋体" w:hAnsi="宋体" w:cs="宋体" w:eastAsia="宋体" w:hint="default"/>
                <w:sz w:val="18"/>
                <w:szCs w:val="18"/>
              </w:rPr>
              <w:t>存货跌价准备和无形资产 减值准备</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5"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5"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362"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295,280,520.99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2"/>
                <w:sz w:val="18"/>
              </w:rPr>
              <w:t>311.05%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24,905,145.93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26.24%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7"/>
          <w:szCs w:val="7"/>
        </w:rPr>
      </w:pPr>
    </w:p>
    <w:p>
      <w:pPr>
        <w:pStyle w:val="Heading5"/>
        <w:spacing w:line="240" w:lineRule="auto" w:before="26"/>
        <w:ind w:left="272" w:right="0"/>
        <w:jc w:val="left"/>
        <w:rPr>
          <w:b w:val="0"/>
          <w:bCs w:val="0"/>
        </w:rPr>
      </w:pPr>
      <w:r>
        <w:rPr/>
        <w:t>四、资产及负债状况</w:t>
      </w:r>
      <w:r>
        <w:rPr>
          <w:b w:val="0"/>
          <w:bCs w:val="0"/>
        </w:rPr>
      </w:r>
    </w:p>
    <w:p>
      <w:pPr>
        <w:spacing w:line="240" w:lineRule="auto" w:before="4"/>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980" w:top="1100" w:bottom="1160" w:left="860" w:right="840"/>
        </w:sectPr>
      </w:pPr>
    </w:p>
    <w:p>
      <w:pPr>
        <w:pStyle w:val="Heading8"/>
        <w:spacing w:line="240" w:lineRule="auto" w:before="36"/>
        <w:ind w:left="272" w:right="-5"/>
        <w:jc w:val="left"/>
        <w:rPr>
          <w:b w:val="0"/>
          <w:bCs w:val="0"/>
        </w:rPr>
      </w:pPr>
      <w:r>
        <w:rPr>
          <w:rFonts w:ascii="Times New Roman" w:hAnsi="Times New Roman" w:cs="Times New Roman" w:eastAsia="Times New Roman" w:hint="default"/>
          <w:spacing w:val="-1"/>
        </w:rPr>
        <w:t>1</w:t>
      </w:r>
      <w:r>
        <w:rPr>
          <w:spacing w:val="-1"/>
        </w:rPr>
        <w:t>、资产构成重大变动情况</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pStyle w:val="BodyText"/>
        <w:spacing w:line="240" w:lineRule="auto"/>
        <w:ind w:left="272" w:right="0"/>
        <w:jc w:val="left"/>
      </w:pPr>
      <w:r>
        <w:rPr/>
        <w:t>单位：元</w:t>
      </w:r>
    </w:p>
    <w:p>
      <w:pPr>
        <w:spacing w:after="0" w:line="240" w:lineRule="auto"/>
        <w:jc w:val="left"/>
        <w:sectPr>
          <w:type w:val="continuous"/>
          <w:pgSz w:w="11910" w:h="16840"/>
          <w:pgMar w:top="880" w:bottom="280" w:left="860" w:right="840"/>
          <w:cols w:num="2" w:equalWidth="0">
            <w:col w:w="2700" w:space="6221"/>
            <w:col w:w="1289"/>
          </w:cols>
        </w:sectPr>
      </w:pP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690"/>
        <w:gridCol w:w="1453"/>
        <w:gridCol w:w="720"/>
        <w:gridCol w:w="1440"/>
        <w:gridCol w:w="720"/>
        <w:gridCol w:w="900"/>
        <w:gridCol w:w="3061"/>
      </w:tblGrid>
      <w:tr>
        <w:trPr>
          <w:trHeight w:val="355"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7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6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37"/>
              <w:ind w:left="86" w:right="8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37"/>
              <w:ind w:left="86" w:right="82"/>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98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73"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3061"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
        </w:tc>
        <w:tc>
          <w:tcPr>
            <w:tcW w:w="306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90"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3061"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3,687,458,528.24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9.35%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3,640,562,092.67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8.98%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0.37%</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11,310,055,768.85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28.66%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12,326,981,442.17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30.40%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-1.74%</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8,685,989,318.35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22.01%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9,228,909,532.11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22.76%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-0.75%</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1,143,886,809.07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2.90%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1,085,041,202.93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2.68%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0.22%</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445,127,561.40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439,288,253.51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0.05%</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3,656,476,219.89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9.27%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3,576,611,453.85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8.82%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0.45%</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809,418,296.08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2.05%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837,385,138.87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2.06%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-0.01%</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1,632,605,222.02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4.14%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1,350,018,519.05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3.33%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0.81%</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2,965,203,581.60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7.52%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pacing w:val="-1"/>
                <w:sz w:val="18"/>
              </w:rPr>
              <w:t>1,225,578,467.00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3.02%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4.50%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主要是由于本期长期贷款增加所致</w:t>
            </w:r>
          </w:p>
        </w:tc>
      </w:tr>
    </w:tbl>
    <w:p>
      <w:pPr>
        <w:spacing w:after="0" w:line="240" w:lineRule="auto"/>
        <w:jc w:val="left"/>
        <w:rPr>
          <w:rFonts w:ascii="宋体" w:hAnsi="宋体" w:cs="宋体" w:eastAsia="宋体" w:hint="default"/>
          <w:sz w:val="18"/>
          <w:szCs w:val="18"/>
        </w:rPr>
        <w:sectPr>
          <w:type w:val="continuous"/>
          <w:pgSz w:w="11910" w:h="16840"/>
          <w:pgMar w:top="880" w:bottom="280" w:left="860" w:right="84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714"/>
        <w:gridCol w:w="1441"/>
        <w:gridCol w:w="720"/>
        <w:gridCol w:w="1440"/>
        <w:gridCol w:w="720"/>
        <w:gridCol w:w="900"/>
        <w:gridCol w:w="3061"/>
      </w:tblGrid>
      <w:tr>
        <w:trPr>
          <w:trHeight w:val="98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4" w:right="58"/>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金融资产</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383,960,074.40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13,321,063.00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0.94%</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1,106,022,420.00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545,202,900.00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 w:right="146"/>
              <w:jc w:val="both"/>
              <w:rPr>
                <w:rFonts w:ascii="宋体" w:hAnsi="宋体" w:cs="宋体" w:eastAsia="宋体" w:hint="default"/>
                <w:sz w:val="18"/>
                <w:szCs w:val="18"/>
              </w:rPr>
            </w:pPr>
            <w:r>
              <w:rPr>
                <w:rFonts w:ascii="宋体" w:hAnsi="宋体" w:cs="宋体" w:eastAsia="宋体" w:hint="default"/>
                <w:sz w:val="18"/>
                <w:szCs w:val="18"/>
              </w:rPr>
              <w:t>主要是由于本期下属子公司增加衍生 金融工具以及汇率变动导致公允价值 变动所致</w:t>
            </w:r>
          </w:p>
        </w:tc>
      </w:tr>
      <w:tr>
        <w:trPr>
          <w:trHeight w:val="98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3,043,463,763.22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1,641,537,930.78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 w:right="20"/>
              <w:jc w:val="left"/>
              <w:rPr>
                <w:rFonts w:ascii="宋体" w:hAnsi="宋体" w:cs="宋体" w:eastAsia="宋体" w:hint="default"/>
                <w:sz w:val="18"/>
                <w:szCs w:val="18"/>
              </w:rPr>
            </w:pPr>
            <w:r>
              <w:rPr>
                <w:rFonts w:ascii="宋体" w:hAnsi="宋体" w:cs="宋体" w:eastAsia="宋体" w:hint="default"/>
                <w:sz w:val="18"/>
                <w:szCs w:val="18"/>
              </w:rPr>
              <w:t>主要是由于本期下属子公司改变了部 </w:t>
            </w:r>
            <w:r>
              <w:rPr>
                <w:rFonts w:ascii="宋体" w:hAnsi="宋体" w:cs="宋体" w:eastAsia="宋体" w:hint="default"/>
                <w:spacing w:val="-4"/>
                <w:sz w:val="18"/>
                <w:szCs w:val="18"/>
              </w:rPr>
              <w:t>分货款的结算方式，导致期末未到期票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据较期初有大幅度变动</w:t>
            </w:r>
          </w:p>
        </w:tc>
      </w:tr>
      <w:tr>
        <w:trPr>
          <w:trHeight w:val="6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247,654,836.19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122,838,907.46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3" w:right="146"/>
              <w:jc w:val="left"/>
              <w:rPr>
                <w:rFonts w:ascii="宋体" w:hAnsi="宋体" w:cs="宋体" w:eastAsia="宋体" w:hint="default"/>
                <w:sz w:val="18"/>
                <w:szCs w:val="18"/>
              </w:rPr>
            </w:pPr>
            <w:r>
              <w:rPr>
                <w:rFonts w:ascii="宋体" w:hAnsi="宋体" w:cs="宋体" w:eastAsia="宋体" w:hint="default"/>
                <w:sz w:val="18"/>
                <w:szCs w:val="18"/>
              </w:rPr>
              <w:t>主要是由于本期增加了次月到货的预 付款所致</w:t>
            </w:r>
          </w:p>
        </w:tc>
      </w:tr>
      <w:tr>
        <w:trPr>
          <w:trHeight w:val="67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593,818,085.77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1,935,536,566.48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主要是由于本期不再纳入合并范围子 公司的代垫材料款不再体现所致</w:t>
            </w:r>
          </w:p>
        </w:tc>
      </w:tr>
      <w:tr>
        <w:trPr>
          <w:trHeight w:val="6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4" w:right="58"/>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14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322,079,684.00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主要是由于本期下属子公司收到了一 年内到期的应收土地处置款所致</w:t>
            </w:r>
          </w:p>
        </w:tc>
      </w:tr>
      <w:tr>
        <w:trPr>
          <w:trHeight w:val="98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58"/>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金融负债</w:t>
            </w:r>
          </w:p>
        </w:tc>
        <w:tc>
          <w:tcPr>
            <w:tcW w:w="14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305,950.00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834,895,139.20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325,867,345.00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 w:right="146"/>
              <w:jc w:val="both"/>
              <w:rPr>
                <w:rFonts w:ascii="宋体" w:hAnsi="宋体" w:cs="宋体" w:eastAsia="宋体" w:hint="default"/>
                <w:sz w:val="18"/>
                <w:szCs w:val="18"/>
              </w:rPr>
            </w:pPr>
            <w:r>
              <w:rPr>
                <w:rFonts w:ascii="宋体" w:hAnsi="宋体" w:cs="宋体" w:eastAsia="宋体" w:hint="default"/>
                <w:sz w:val="18"/>
                <w:szCs w:val="18"/>
              </w:rPr>
              <w:t>主要是由于本期下属子公司增加衍生 金融工具以及汇率变动导致公允价值 变动所致</w:t>
            </w:r>
          </w:p>
        </w:tc>
      </w:tr>
      <w:tr>
        <w:trPr>
          <w:trHeight w:val="36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89,630,297.46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177,127,449.36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-0.21%</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主要是由于预收款项已实际结算所致</w:t>
            </w:r>
          </w:p>
        </w:tc>
      </w:tr>
      <w:tr>
        <w:trPr>
          <w:trHeight w:val="67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513,601,490.35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757,877,160.37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23" w:right="146"/>
              <w:jc w:val="left"/>
              <w:rPr>
                <w:rFonts w:ascii="宋体" w:hAnsi="宋体" w:cs="宋体" w:eastAsia="宋体" w:hint="default"/>
                <w:sz w:val="18"/>
                <w:szCs w:val="18"/>
              </w:rPr>
            </w:pPr>
            <w:r>
              <w:rPr>
                <w:rFonts w:ascii="宋体" w:hAnsi="宋体" w:cs="宋体" w:eastAsia="宋体" w:hint="default"/>
                <w:sz w:val="18"/>
                <w:szCs w:val="18"/>
              </w:rPr>
              <w:t>主要是由于下属子公司缴纳了境外应 交税费所致</w:t>
            </w:r>
          </w:p>
        </w:tc>
      </w:tr>
      <w:tr>
        <w:trPr>
          <w:trHeight w:val="67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17,118,969.42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29,115,516.56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主要是由于支付了分期付息到期还本 的长期借款利息所致</w:t>
            </w:r>
          </w:p>
        </w:tc>
      </w:tr>
      <w:tr>
        <w:trPr>
          <w:trHeight w:val="6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582,219.40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20,589.51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主要是由于下属子公司本期尚未支付 的已宣告发放的股利所致</w:t>
            </w:r>
          </w:p>
        </w:tc>
      </w:tr>
      <w:tr>
        <w:trPr>
          <w:trHeight w:val="6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58"/>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573,013,581.05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1,309,655,008.00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主要是由于支付了一年内到期的长期 借款所致</w:t>
            </w:r>
          </w:p>
        </w:tc>
      </w:tr>
      <w:tr>
        <w:trPr>
          <w:trHeight w:val="6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1,178,051,190.73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869,845,618.97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主要是由于下属子公司保用拨备增加 所致</w:t>
            </w:r>
          </w:p>
        </w:tc>
      </w:tr>
      <w:tr>
        <w:trPr>
          <w:trHeight w:val="672"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4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499,480,933.85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9"/>
              <w:ind w:left="23" w:right="53"/>
              <w:jc w:val="left"/>
              <w:rPr>
                <w:rFonts w:ascii="宋体" w:hAnsi="宋体" w:cs="宋体" w:eastAsia="宋体" w:hint="default"/>
                <w:sz w:val="18"/>
                <w:szCs w:val="18"/>
              </w:rPr>
            </w:pPr>
            <w:r>
              <w:rPr>
                <w:rFonts w:ascii="宋体" w:hAnsi="宋体" w:cs="宋体" w:eastAsia="宋体" w:hint="default"/>
                <w:sz w:val="18"/>
                <w:szCs w:val="18"/>
              </w:rPr>
              <w:t>主要是由于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月到期的应付债 券转至一年内到期的非流动负债所致</w:t>
            </w:r>
          </w:p>
        </w:tc>
      </w:tr>
      <w:tr>
        <w:trPr>
          <w:trHeight w:val="98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306,738,183.20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494,372,367.00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2"/>
              <w:ind w:left="23" w:right="146"/>
              <w:jc w:val="both"/>
              <w:rPr>
                <w:rFonts w:ascii="宋体" w:hAnsi="宋体" w:cs="宋体" w:eastAsia="宋体" w:hint="default"/>
                <w:sz w:val="18"/>
                <w:szCs w:val="18"/>
              </w:rPr>
            </w:pPr>
            <w:r>
              <w:rPr>
                <w:rFonts w:ascii="宋体" w:hAnsi="宋体" w:cs="宋体" w:eastAsia="宋体" w:hint="default"/>
                <w:sz w:val="18"/>
                <w:szCs w:val="18"/>
              </w:rPr>
              <w:t>主要是由于下属子公司按照预期未来 业绩调整了应付飞利浦的专利权使用 费所致</w:t>
            </w:r>
          </w:p>
        </w:tc>
      </w:tr>
      <w:tr>
        <w:trPr>
          <w:trHeight w:val="6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9,297,954.61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55,892,449.47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主要是由于下属子公司预计的产品质 量保证款转至其他流动负债所致</w:t>
            </w:r>
          </w:p>
        </w:tc>
      </w:tr>
      <w:tr>
        <w:trPr>
          <w:trHeight w:val="67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220,160,101.03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158,163,684.35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left="23" w:right="146"/>
              <w:jc w:val="left"/>
              <w:rPr>
                <w:rFonts w:ascii="宋体" w:hAnsi="宋体" w:cs="宋体" w:eastAsia="宋体" w:hint="default"/>
                <w:sz w:val="18"/>
                <w:szCs w:val="18"/>
              </w:rPr>
            </w:pPr>
            <w:r>
              <w:rPr>
                <w:rFonts w:ascii="宋体" w:hAnsi="宋体" w:cs="宋体" w:eastAsia="宋体" w:hint="default"/>
                <w:sz w:val="18"/>
                <w:szCs w:val="18"/>
              </w:rPr>
              <w:t>主要是由于下属子公司递延所得税负 债事项暂时性差异增加所致</w:t>
            </w:r>
          </w:p>
        </w:tc>
      </w:tr>
    </w:tbl>
    <w:p>
      <w:pPr>
        <w:spacing w:after="0" w:line="319" w:lineRule="auto"/>
        <w:jc w:val="left"/>
        <w:rPr>
          <w:rFonts w:ascii="宋体" w:hAnsi="宋体" w:cs="宋体" w:eastAsia="宋体" w:hint="default"/>
          <w:sz w:val="18"/>
          <w:szCs w:val="18"/>
        </w:rPr>
        <w:sectPr>
          <w:pgSz w:w="11910" w:h="16840"/>
          <w:pgMar w:header="877" w:footer="980" w:top="1100" w:bottom="1160" w:left="840" w:right="840"/>
        </w:sectPr>
      </w:pPr>
    </w:p>
    <w:p>
      <w:pPr>
        <w:spacing w:line="240" w:lineRule="auto" w:before="8"/>
        <w:rPr>
          <w:rFonts w:ascii="Times New Roman" w:hAnsi="Times New Roman" w:cs="Times New Roman" w:eastAsia="Times New Roman" w:hint="default"/>
          <w:sz w:val="23"/>
          <w:szCs w:val="23"/>
        </w:rPr>
      </w:pPr>
    </w:p>
    <w:p>
      <w:pPr>
        <w:pStyle w:val="Heading8"/>
        <w:spacing w:line="240" w:lineRule="auto" w:before="36"/>
        <w:ind w:left="99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12"/>
          <w:szCs w:val="12"/>
        </w:rPr>
      </w:pPr>
    </w:p>
    <w:p>
      <w:pPr>
        <w:pStyle w:val="BodyText"/>
        <w:spacing w:line="240" w:lineRule="auto" w:before="44"/>
        <w:ind w:left="992" w:right="0"/>
        <w:jc w:val="left"/>
      </w:pPr>
      <w:r>
        <w:rPr/>
        <w:t>√ 适用 □</w:t>
      </w:r>
      <w:r>
        <w:rPr>
          <w:spacing w:val="3"/>
        </w:rPr>
        <w:t> </w:t>
      </w:r>
      <w:r>
        <w:rPr/>
        <w:t>不适用</w:t>
      </w:r>
    </w:p>
    <w:p>
      <w:pPr>
        <w:pStyle w:val="BodyText"/>
        <w:spacing w:line="240" w:lineRule="auto" w:before="115"/>
        <w:ind w:left="0" w:right="991"/>
        <w:jc w:val="right"/>
      </w:pPr>
      <w:r>
        <w:rPr/>
        <w:t>单位：元</w:t>
      </w:r>
    </w:p>
    <w:p>
      <w:pPr>
        <w:spacing w:line="240" w:lineRule="auto" w:before="4"/>
        <w:rPr>
          <w:rFonts w:ascii="宋体" w:hAnsi="宋体" w:cs="宋体" w:eastAsia="宋体" w:hint="default"/>
          <w:sz w:val="8"/>
          <w:szCs w:val="8"/>
        </w:rPr>
      </w:pPr>
    </w:p>
    <w:tbl>
      <w:tblPr>
        <w:tblW w:w="0" w:type="auto"/>
        <w:jc w:val="left"/>
        <w:tblInd w:w="671" w:type="dxa"/>
        <w:tblLayout w:type="fixed"/>
        <w:tblCellMar>
          <w:top w:w="0" w:type="dxa"/>
          <w:left w:w="0" w:type="dxa"/>
          <w:bottom w:w="0" w:type="dxa"/>
          <w:right w:w="0" w:type="dxa"/>
        </w:tblCellMar>
        <w:tblLook w:val="01E0"/>
      </w:tblPr>
      <w:tblGrid>
        <w:gridCol w:w="1778"/>
        <w:gridCol w:w="1340"/>
        <w:gridCol w:w="1228"/>
        <w:gridCol w:w="1042"/>
        <w:gridCol w:w="1001"/>
        <w:gridCol w:w="1265"/>
        <w:gridCol w:w="1246"/>
        <w:gridCol w:w="1387"/>
      </w:tblGrid>
      <w:tr>
        <w:trPr>
          <w:trHeight w:val="161" w:hRule="exact"/>
        </w:trPr>
        <w:tc>
          <w:tcPr>
            <w:tcW w:w="1778" w:type="dxa"/>
            <w:vMerge w:val="restart"/>
            <w:tcBorders>
              <w:top w:val="single" w:sz="4" w:space="0" w:color="000000"/>
              <w:left w:val="single" w:sz="4" w:space="0" w:color="000000"/>
              <w:right w:val="single" w:sz="4" w:space="0" w:color="000000"/>
            </w:tcBorders>
            <w:shd w:val="clear" w:color="auto" w:fill="D9D9D9"/>
          </w:tcPr>
          <w:p>
            <w:pPr/>
          </w:p>
        </w:tc>
        <w:tc>
          <w:tcPr>
            <w:tcW w:w="1340" w:type="dxa"/>
            <w:vMerge w:val="restart"/>
            <w:tcBorders>
              <w:top w:val="single" w:sz="4" w:space="0" w:color="000000"/>
              <w:left w:val="single" w:sz="4" w:space="0" w:color="000000"/>
              <w:right w:val="single" w:sz="4" w:space="0" w:color="000000"/>
            </w:tcBorders>
            <w:shd w:val="clear" w:color="auto" w:fill="D9D9D9"/>
          </w:tcPr>
          <w:p>
            <w:pPr/>
          </w:p>
        </w:tc>
        <w:tc>
          <w:tcPr>
            <w:tcW w:w="1228" w:type="dxa"/>
            <w:tcBorders>
              <w:top w:val="single" w:sz="4" w:space="0" w:color="000000"/>
              <w:left w:val="single" w:sz="4" w:space="0" w:color="000000"/>
              <w:bottom w:val="nil" w:sz="6" w:space="0" w:color="auto"/>
              <w:right w:val="single" w:sz="4" w:space="0" w:color="000000"/>
            </w:tcBorders>
            <w:shd w:val="clear" w:color="auto" w:fill="D9D9D9"/>
          </w:tcPr>
          <w:p>
            <w:pPr/>
          </w:p>
        </w:tc>
        <w:tc>
          <w:tcPr>
            <w:tcW w:w="1042"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29"/>
              <w:ind w:left="67" w:right="6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01" w:type="dxa"/>
            <w:tcBorders>
              <w:top w:val="single" w:sz="4" w:space="0" w:color="000000"/>
              <w:left w:val="single" w:sz="4" w:space="0" w:color="000000"/>
              <w:bottom w:val="nil" w:sz="6" w:space="0" w:color="auto"/>
              <w:right w:val="single" w:sz="4" w:space="0" w:color="000000"/>
            </w:tcBorders>
            <w:shd w:val="clear" w:color="auto" w:fill="D9D9D9"/>
          </w:tcPr>
          <w:p>
            <w:pPr/>
          </w:p>
        </w:tc>
        <w:tc>
          <w:tcPr>
            <w:tcW w:w="1265" w:type="dxa"/>
            <w:vMerge w:val="restart"/>
            <w:tcBorders>
              <w:top w:val="single" w:sz="4" w:space="0" w:color="000000"/>
              <w:left w:val="single" w:sz="4" w:space="0" w:color="000000"/>
              <w:right w:val="single" w:sz="4" w:space="0" w:color="000000"/>
            </w:tcBorders>
            <w:shd w:val="clear" w:color="auto" w:fill="D9D9D9"/>
          </w:tcPr>
          <w:p>
            <w:pPr/>
          </w:p>
        </w:tc>
        <w:tc>
          <w:tcPr>
            <w:tcW w:w="1246" w:type="dxa"/>
            <w:vMerge w:val="restart"/>
            <w:tcBorders>
              <w:top w:val="single" w:sz="4" w:space="0" w:color="000000"/>
              <w:left w:val="single" w:sz="4" w:space="0" w:color="000000"/>
              <w:right w:val="single" w:sz="4" w:space="0" w:color="000000"/>
            </w:tcBorders>
            <w:shd w:val="clear" w:color="auto" w:fill="D9D9D9"/>
          </w:tcPr>
          <w:p>
            <w:pPr/>
          </w:p>
        </w:tc>
        <w:tc>
          <w:tcPr>
            <w:tcW w:w="1387" w:type="dxa"/>
            <w:vMerge w:val="restart"/>
            <w:tcBorders>
              <w:top w:val="single" w:sz="4" w:space="0" w:color="000000"/>
              <w:left w:val="single" w:sz="4" w:space="0" w:color="000000"/>
              <w:right w:val="single" w:sz="4" w:space="0" w:color="000000"/>
            </w:tcBorders>
            <w:shd w:val="clear" w:color="auto" w:fill="D9D9D9"/>
          </w:tcPr>
          <w:p>
            <w:pPr/>
          </w:p>
        </w:tc>
      </w:tr>
      <w:tr>
        <w:trPr>
          <w:trHeight w:val="156" w:hRule="exact"/>
        </w:trPr>
        <w:tc>
          <w:tcPr>
            <w:tcW w:w="1778" w:type="dxa"/>
            <w:vMerge/>
            <w:tcBorders>
              <w:left w:val="single" w:sz="4" w:space="0" w:color="000000"/>
              <w:bottom w:val="nil" w:sz="6" w:space="0" w:color="auto"/>
              <w:right w:val="single" w:sz="4" w:space="0" w:color="000000"/>
            </w:tcBorders>
            <w:shd w:val="clear" w:color="auto" w:fill="D9D9D9"/>
          </w:tcPr>
          <w:p>
            <w:pPr/>
          </w:p>
        </w:tc>
        <w:tc>
          <w:tcPr>
            <w:tcW w:w="1340" w:type="dxa"/>
            <w:vMerge/>
            <w:tcBorders>
              <w:left w:val="single" w:sz="4" w:space="0" w:color="000000"/>
              <w:bottom w:val="nil" w:sz="6" w:space="0" w:color="auto"/>
              <w:right w:val="single" w:sz="4" w:space="0" w:color="000000"/>
            </w:tcBorders>
            <w:shd w:val="clear" w:color="auto" w:fill="D9D9D9"/>
          </w:tcPr>
          <w:p>
            <w:pPr/>
          </w:p>
        </w:tc>
        <w:tc>
          <w:tcPr>
            <w:tcW w:w="1228"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29"/>
              <w:ind w:left="245" w:right="7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042" w:type="dxa"/>
            <w:vMerge/>
            <w:tcBorders>
              <w:left w:val="single" w:sz="4" w:space="0" w:color="000000"/>
              <w:right w:val="single" w:sz="4" w:space="0" w:color="000000"/>
            </w:tcBorders>
            <w:shd w:val="clear" w:color="auto" w:fill="D9D9D9"/>
          </w:tcPr>
          <w:p>
            <w:pPr/>
          </w:p>
        </w:tc>
        <w:tc>
          <w:tcPr>
            <w:tcW w:w="1001"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29"/>
              <w:ind w:left="319" w:right="42" w:hanging="272"/>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65" w:type="dxa"/>
            <w:vMerge/>
            <w:tcBorders>
              <w:left w:val="single" w:sz="4" w:space="0" w:color="000000"/>
              <w:bottom w:val="nil" w:sz="6" w:space="0" w:color="auto"/>
              <w:right w:val="single" w:sz="4" w:space="0" w:color="000000"/>
            </w:tcBorders>
            <w:shd w:val="clear" w:color="auto" w:fill="D9D9D9"/>
          </w:tcPr>
          <w:p>
            <w:pPr/>
          </w:p>
        </w:tc>
        <w:tc>
          <w:tcPr>
            <w:tcW w:w="1246" w:type="dxa"/>
            <w:vMerge/>
            <w:tcBorders>
              <w:left w:val="single" w:sz="4" w:space="0" w:color="000000"/>
              <w:bottom w:val="nil" w:sz="6" w:space="0" w:color="auto"/>
              <w:right w:val="single" w:sz="4" w:space="0" w:color="000000"/>
            </w:tcBorders>
            <w:shd w:val="clear" w:color="auto" w:fill="D9D9D9"/>
          </w:tcPr>
          <w:p>
            <w:pPr/>
          </w:p>
        </w:tc>
        <w:tc>
          <w:tcPr>
            <w:tcW w:w="1387" w:type="dxa"/>
            <w:vMerge/>
            <w:tcBorders>
              <w:left w:val="single" w:sz="4" w:space="0" w:color="000000"/>
              <w:bottom w:val="nil" w:sz="6" w:space="0" w:color="auto"/>
              <w:right w:val="single" w:sz="4" w:space="0" w:color="000000"/>
            </w:tcBorders>
            <w:shd w:val="clear" w:color="auto" w:fill="D9D9D9"/>
          </w:tcPr>
          <w:p>
            <w:pPr/>
          </w:p>
        </w:tc>
      </w:tr>
      <w:tr>
        <w:trPr>
          <w:trHeight w:val="353" w:hRule="exact"/>
        </w:trPr>
        <w:tc>
          <w:tcPr>
            <w:tcW w:w="177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9"/>
              <w:ind w:left="3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28" w:type="dxa"/>
            <w:vMerge/>
            <w:tcBorders>
              <w:left w:val="single" w:sz="4" w:space="0" w:color="000000"/>
              <w:right w:val="single" w:sz="4" w:space="0" w:color="000000"/>
            </w:tcBorders>
            <w:shd w:val="clear" w:color="auto" w:fill="D9D9D9"/>
          </w:tcPr>
          <w:p>
            <w:pPr/>
          </w:p>
        </w:tc>
        <w:tc>
          <w:tcPr>
            <w:tcW w:w="1042" w:type="dxa"/>
            <w:vMerge/>
            <w:tcBorders>
              <w:left w:val="single" w:sz="4" w:space="0" w:color="000000"/>
              <w:right w:val="single" w:sz="4" w:space="0" w:color="000000"/>
            </w:tcBorders>
            <w:shd w:val="clear" w:color="auto" w:fill="D9D9D9"/>
          </w:tcPr>
          <w:p>
            <w:pPr/>
          </w:p>
        </w:tc>
        <w:tc>
          <w:tcPr>
            <w:tcW w:w="1001" w:type="dxa"/>
            <w:vMerge/>
            <w:tcBorders>
              <w:left w:val="single" w:sz="4" w:space="0" w:color="000000"/>
              <w:right w:val="single" w:sz="4" w:space="0" w:color="000000"/>
            </w:tcBorders>
            <w:shd w:val="clear" w:color="auto" w:fill="D9D9D9"/>
          </w:tcPr>
          <w:p>
            <w:pPr/>
          </w:p>
        </w:tc>
        <w:tc>
          <w:tcPr>
            <w:tcW w:w="126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9"/>
              <w:ind w:left="9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4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9"/>
              <w:ind w:left="79"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38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9"/>
              <w:ind w:left="4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778" w:type="dxa"/>
            <w:vMerge w:val="restart"/>
            <w:tcBorders>
              <w:top w:val="nil" w:sz="6" w:space="0" w:color="auto"/>
              <w:left w:val="single" w:sz="4" w:space="0" w:color="000000"/>
              <w:right w:val="single" w:sz="4" w:space="0" w:color="000000"/>
            </w:tcBorders>
            <w:shd w:val="clear" w:color="auto" w:fill="D9D9D9"/>
          </w:tcPr>
          <w:p>
            <w:pPr/>
          </w:p>
        </w:tc>
        <w:tc>
          <w:tcPr>
            <w:tcW w:w="1340" w:type="dxa"/>
            <w:vMerge w:val="restart"/>
            <w:tcBorders>
              <w:top w:val="nil" w:sz="6" w:space="0" w:color="auto"/>
              <w:left w:val="single" w:sz="4" w:space="0" w:color="000000"/>
              <w:right w:val="single" w:sz="4" w:space="0" w:color="000000"/>
            </w:tcBorders>
            <w:shd w:val="clear" w:color="auto" w:fill="D9D9D9"/>
          </w:tcPr>
          <w:p>
            <w:pPr/>
          </w:p>
        </w:tc>
        <w:tc>
          <w:tcPr>
            <w:tcW w:w="1228" w:type="dxa"/>
            <w:vMerge/>
            <w:tcBorders>
              <w:left w:val="single" w:sz="4" w:space="0" w:color="000000"/>
              <w:bottom w:val="nil" w:sz="6" w:space="0" w:color="auto"/>
              <w:right w:val="single" w:sz="4" w:space="0" w:color="000000"/>
            </w:tcBorders>
            <w:shd w:val="clear" w:color="auto" w:fill="D9D9D9"/>
          </w:tcPr>
          <w:p>
            <w:pPr/>
          </w:p>
        </w:tc>
        <w:tc>
          <w:tcPr>
            <w:tcW w:w="1042" w:type="dxa"/>
            <w:vMerge/>
            <w:tcBorders>
              <w:left w:val="single" w:sz="4" w:space="0" w:color="000000"/>
              <w:right w:val="single" w:sz="4" w:space="0" w:color="000000"/>
            </w:tcBorders>
            <w:shd w:val="clear" w:color="auto" w:fill="D9D9D9"/>
          </w:tcPr>
          <w:p>
            <w:pPr/>
          </w:p>
        </w:tc>
        <w:tc>
          <w:tcPr>
            <w:tcW w:w="1001" w:type="dxa"/>
            <w:vMerge/>
            <w:tcBorders>
              <w:left w:val="single" w:sz="4" w:space="0" w:color="000000"/>
              <w:bottom w:val="nil" w:sz="6" w:space="0" w:color="auto"/>
              <w:right w:val="single" w:sz="4" w:space="0" w:color="000000"/>
            </w:tcBorders>
            <w:shd w:val="clear" w:color="auto" w:fill="D9D9D9"/>
          </w:tcPr>
          <w:p>
            <w:pPr/>
          </w:p>
        </w:tc>
        <w:tc>
          <w:tcPr>
            <w:tcW w:w="1265" w:type="dxa"/>
            <w:vMerge w:val="restart"/>
            <w:tcBorders>
              <w:top w:val="nil" w:sz="6" w:space="0" w:color="auto"/>
              <w:left w:val="single" w:sz="4" w:space="0" w:color="000000"/>
              <w:right w:val="single" w:sz="4" w:space="0" w:color="000000"/>
            </w:tcBorders>
            <w:shd w:val="clear" w:color="auto" w:fill="D9D9D9"/>
          </w:tcPr>
          <w:p>
            <w:pPr/>
          </w:p>
        </w:tc>
        <w:tc>
          <w:tcPr>
            <w:tcW w:w="1246" w:type="dxa"/>
            <w:vMerge w:val="restart"/>
            <w:tcBorders>
              <w:top w:val="nil" w:sz="6" w:space="0" w:color="auto"/>
              <w:left w:val="single" w:sz="4" w:space="0" w:color="000000"/>
              <w:right w:val="single" w:sz="4" w:space="0" w:color="000000"/>
            </w:tcBorders>
            <w:shd w:val="clear" w:color="auto" w:fill="D9D9D9"/>
          </w:tcPr>
          <w:p>
            <w:pPr/>
          </w:p>
        </w:tc>
        <w:tc>
          <w:tcPr>
            <w:tcW w:w="1387" w:type="dxa"/>
            <w:vMerge w:val="restart"/>
            <w:tcBorders>
              <w:top w:val="nil" w:sz="6" w:space="0" w:color="auto"/>
              <w:left w:val="single" w:sz="4" w:space="0" w:color="000000"/>
              <w:right w:val="single" w:sz="4" w:space="0" w:color="000000"/>
            </w:tcBorders>
            <w:shd w:val="clear" w:color="auto" w:fill="D9D9D9"/>
          </w:tcPr>
          <w:p>
            <w:pPr/>
          </w:p>
        </w:tc>
      </w:tr>
      <w:tr>
        <w:trPr>
          <w:trHeight w:val="166" w:hRule="exact"/>
        </w:trPr>
        <w:tc>
          <w:tcPr>
            <w:tcW w:w="1778" w:type="dxa"/>
            <w:vMerge/>
            <w:tcBorders>
              <w:left w:val="single" w:sz="4" w:space="0" w:color="000000"/>
              <w:bottom w:val="single" w:sz="4" w:space="0" w:color="000000"/>
              <w:right w:val="single" w:sz="4" w:space="0" w:color="000000"/>
            </w:tcBorders>
            <w:shd w:val="clear" w:color="auto" w:fill="D9D9D9"/>
          </w:tcPr>
          <w:p>
            <w:pPr/>
          </w:p>
        </w:tc>
        <w:tc>
          <w:tcPr>
            <w:tcW w:w="1340" w:type="dxa"/>
            <w:vMerge/>
            <w:tcBorders>
              <w:left w:val="single" w:sz="4" w:space="0" w:color="000000"/>
              <w:bottom w:val="single" w:sz="4" w:space="0" w:color="000000"/>
              <w:right w:val="single" w:sz="4" w:space="0" w:color="000000"/>
            </w:tcBorders>
            <w:shd w:val="clear" w:color="auto" w:fill="D9D9D9"/>
          </w:tcPr>
          <w:p>
            <w:pPr/>
          </w:p>
        </w:tc>
        <w:tc>
          <w:tcPr>
            <w:tcW w:w="1228" w:type="dxa"/>
            <w:tcBorders>
              <w:top w:val="nil" w:sz="6" w:space="0" w:color="auto"/>
              <w:left w:val="single" w:sz="4" w:space="0" w:color="000000"/>
              <w:bottom w:val="single" w:sz="4" w:space="0" w:color="000000"/>
              <w:right w:val="single" w:sz="4" w:space="0" w:color="000000"/>
            </w:tcBorders>
            <w:shd w:val="clear" w:color="auto" w:fill="D9D9D9"/>
          </w:tcPr>
          <w:p>
            <w:pPr/>
          </w:p>
        </w:tc>
        <w:tc>
          <w:tcPr>
            <w:tcW w:w="1042" w:type="dxa"/>
            <w:vMerge/>
            <w:tcBorders>
              <w:left w:val="single" w:sz="4" w:space="0" w:color="000000"/>
              <w:bottom w:val="single" w:sz="4" w:space="0" w:color="000000"/>
              <w:right w:val="single" w:sz="4" w:space="0" w:color="000000"/>
            </w:tcBorders>
            <w:shd w:val="clear" w:color="auto" w:fill="D9D9D9"/>
          </w:tcPr>
          <w:p>
            <w:pPr/>
          </w:p>
        </w:tc>
        <w:tc>
          <w:tcPr>
            <w:tcW w:w="1001" w:type="dxa"/>
            <w:tcBorders>
              <w:top w:val="nil" w:sz="6" w:space="0" w:color="auto"/>
              <w:left w:val="single" w:sz="4" w:space="0" w:color="000000"/>
              <w:bottom w:val="single" w:sz="4" w:space="0" w:color="000000"/>
              <w:right w:val="single" w:sz="4" w:space="0" w:color="000000"/>
            </w:tcBorders>
            <w:shd w:val="clear" w:color="auto" w:fill="D9D9D9"/>
          </w:tcPr>
          <w:p>
            <w:pPr/>
          </w:p>
        </w:tc>
        <w:tc>
          <w:tcPr>
            <w:tcW w:w="1265" w:type="dxa"/>
            <w:vMerge/>
            <w:tcBorders>
              <w:left w:val="single" w:sz="4" w:space="0" w:color="000000"/>
              <w:bottom w:val="single" w:sz="4" w:space="0" w:color="000000"/>
              <w:right w:val="single" w:sz="4" w:space="0" w:color="000000"/>
            </w:tcBorders>
            <w:shd w:val="clear" w:color="auto" w:fill="D9D9D9"/>
          </w:tcPr>
          <w:p>
            <w:pPr/>
          </w:p>
        </w:tc>
        <w:tc>
          <w:tcPr>
            <w:tcW w:w="1246" w:type="dxa"/>
            <w:vMerge/>
            <w:tcBorders>
              <w:left w:val="single" w:sz="4" w:space="0" w:color="000000"/>
              <w:bottom w:val="single" w:sz="4" w:space="0" w:color="000000"/>
              <w:right w:val="single" w:sz="4" w:space="0" w:color="000000"/>
            </w:tcBorders>
            <w:shd w:val="clear" w:color="auto" w:fill="D9D9D9"/>
          </w:tcPr>
          <w:p>
            <w:pPr/>
          </w:p>
        </w:tc>
        <w:tc>
          <w:tcPr>
            <w:tcW w:w="1387" w:type="dxa"/>
            <w:vMerge/>
            <w:tcBorders>
              <w:left w:val="single" w:sz="4" w:space="0" w:color="000000"/>
              <w:bottom w:val="single" w:sz="4" w:space="0" w:color="000000"/>
              <w:right w:val="single" w:sz="4" w:space="0" w:color="000000"/>
            </w:tcBorders>
            <w:shd w:val="clear" w:color="auto" w:fill="D9D9D9"/>
          </w:tcPr>
          <w:p>
            <w:pPr/>
          </w:p>
        </w:tc>
      </w:tr>
      <w:tr>
        <w:trPr>
          <w:trHeight w:val="358"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508" w:type="dxa"/>
            <w:gridSpan w:val="7"/>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1296"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29"/>
              <w:ind w:left="1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 其变动计入当期损益 </w:t>
            </w:r>
            <w:r>
              <w:rPr>
                <w:rFonts w:ascii="宋体" w:hAnsi="宋体" w:cs="宋体" w:eastAsia="宋体" w:hint="default"/>
                <w:spacing w:val="-6"/>
                <w:sz w:val="18"/>
                <w:szCs w:val="18"/>
              </w:rPr>
              <w:t>的金融资（不含衍生金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融资产）</w:t>
            </w:r>
          </w:p>
        </w:tc>
        <w:tc>
          <w:tcPr>
            <w:tcW w:w="134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151,347,346.00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121,578,790.75</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635,968,838.50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237,628,720.00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523,962,090.40</w:t>
            </w:r>
          </w:p>
        </w:tc>
      </w:tr>
      <w:tr>
        <w:trPr>
          <w:trHeight w:val="362"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4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pacing w:val="-1"/>
                <w:sz w:val="18"/>
              </w:rPr>
              <w:t>867,166,323.00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5" w:right="0"/>
              <w:jc w:val="center"/>
              <w:rPr>
                <w:rFonts w:ascii="Times New Roman" w:hAnsi="Times New Roman" w:cs="Times New Roman" w:eastAsia="Times New Roman" w:hint="default"/>
                <w:sz w:val="18"/>
                <w:szCs w:val="18"/>
              </w:rPr>
            </w:pPr>
            <w:r>
              <w:rPr>
                <w:rFonts w:ascii="Times New Roman"/>
                <w:sz w:val="18"/>
              </w:rPr>
              <w:t>87,039,007.00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pacing w:val="-1"/>
                <w:sz w:val="18"/>
              </w:rPr>
              <w:t>1,516,167,223.34</w:t>
            </w:r>
          </w:p>
        </w:tc>
      </w:tr>
      <w:tr>
        <w:trPr>
          <w:trHeight w:val="363"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34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2"/>
              <w:ind w:right="26"/>
              <w:jc w:val="right"/>
              <w:rPr>
                <w:rFonts w:ascii="Times New Roman" w:hAnsi="Times New Roman" w:cs="Times New Roman" w:eastAsia="Times New Roman" w:hint="default"/>
                <w:sz w:val="18"/>
                <w:szCs w:val="18"/>
              </w:rPr>
            </w:pPr>
            <w:r>
              <w:rPr>
                <w:rFonts w:ascii="Times New Roman"/>
                <w:spacing w:val="-1"/>
                <w:sz w:val="18"/>
              </w:rPr>
              <w:t>64,820,523.70</w:t>
            </w:r>
          </w:p>
        </w:tc>
        <w:tc>
          <w:tcPr>
            <w:tcW w:w="122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4" w:right="0"/>
              <w:jc w:val="left"/>
              <w:rPr>
                <w:rFonts w:ascii="Times New Roman" w:hAnsi="Times New Roman" w:cs="Times New Roman" w:eastAsia="Times New Roman" w:hint="default"/>
                <w:sz w:val="18"/>
                <w:szCs w:val="18"/>
              </w:rPr>
            </w:pPr>
            <w:r>
              <w:rPr>
                <w:rFonts w:ascii="Times New Roman"/>
                <w:sz w:val="18"/>
              </w:rPr>
              <w:t>3,070,979.95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 w:right="0"/>
              <w:jc w:val="center"/>
              <w:rPr>
                <w:rFonts w:ascii="Times New Roman" w:hAnsi="Times New Roman" w:cs="Times New Roman" w:eastAsia="Times New Roman" w:hint="default"/>
                <w:sz w:val="18"/>
                <w:szCs w:val="18"/>
              </w:rPr>
            </w:pPr>
            <w:r>
              <w:rPr>
                <w:rFonts w:ascii="Times New Roman"/>
                <w:sz w:val="18"/>
              </w:rPr>
              <w:t>1,641,185.75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6,882,995.75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2"/>
                <w:sz w:val="18"/>
              </w:rPr>
              <w:t>2,111,055.00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59,250,836.82</w:t>
            </w:r>
          </w:p>
        </w:tc>
      </w:tr>
      <w:tr>
        <w:trPr>
          <w:trHeight w:val="362"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4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2"/>
              <w:ind w:right="26"/>
              <w:jc w:val="right"/>
              <w:rPr>
                <w:rFonts w:ascii="Times New Roman" w:hAnsi="Times New Roman" w:cs="Times New Roman" w:eastAsia="Times New Roman" w:hint="default"/>
                <w:sz w:val="18"/>
                <w:szCs w:val="18"/>
              </w:rPr>
            </w:pPr>
            <w:r>
              <w:rPr>
                <w:rFonts w:ascii="Times New Roman"/>
                <w:spacing w:val="-1"/>
                <w:sz w:val="18"/>
              </w:rPr>
              <w:t>1,083,334,192.70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4" w:right="0"/>
              <w:jc w:val="center"/>
              <w:rPr>
                <w:rFonts w:ascii="Times New Roman" w:hAnsi="Times New Roman" w:cs="Times New Roman" w:eastAsia="Times New Roman" w:hint="default"/>
                <w:sz w:val="18"/>
                <w:szCs w:val="18"/>
              </w:rPr>
            </w:pPr>
            <w:r>
              <w:rPr>
                <w:rFonts w:ascii="Times New Roman"/>
                <w:sz w:val="18"/>
              </w:rPr>
              <w:t>208,617,797.75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4" w:right="0"/>
              <w:jc w:val="left"/>
              <w:rPr>
                <w:rFonts w:ascii="Times New Roman" w:hAnsi="Times New Roman" w:cs="Times New Roman" w:eastAsia="Times New Roman" w:hint="default"/>
                <w:sz w:val="18"/>
                <w:szCs w:val="18"/>
              </w:rPr>
            </w:pPr>
            <w:r>
              <w:rPr>
                <w:rFonts w:ascii="Times New Roman"/>
                <w:sz w:val="18"/>
              </w:rPr>
              <w:t>3,070,979.95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 w:right="0"/>
              <w:jc w:val="center"/>
              <w:rPr>
                <w:rFonts w:ascii="Times New Roman" w:hAnsi="Times New Roman" w:cs="Times New Roman" w:eastAsia="Times New Roman" w:hint="default"/>
                <w:sz w:val="18"/>
                <w:szCs w:val="18"/>
              </w:rPr>
            </w:pPr>
            <w:r>
              <w:rPr>
                <w:rFonts w:ascii="Times New Roman"/>
                <w:sz w:val="18"/>
              </w:rPr>
              <w:t>1,641,185.75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642,851,834.25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239,739,775.00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2,099,380,150.56</w:t>
            </w:r>
          </w:p>
        </w:tc>
      </w:tr>
      <w:tr>
        <w:trPr>
          <w:trHeight w:val="362"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4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2"/>
              <w:ind w:right="26"/>
              <w:jc w:val="right"/>
              <w:rPr>
                <w:rFonts w:ascii="Times New Roman" w:hAnsi="Times New Roman" w:cs="Times New Roman" w:eastAsia="Times New Roman" w:hint="default"/>
                <w:sz w:val="18"/>
                <w:szCs w:val="18"/>
              </w:rPr>
            </w:pPr>
            <w:r>
              <w:rPr>
                <w:rFonts w:ascii="Times New Roman"/>
                <w:spacing w:val="-1"/>
                <w:sz w:val="18"/>
              </w:rPr>
              <w:t>1,083,334,192.70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4" w:right="0"/>
              <w:jc w:val="center"/>
              <w:rPr>
                <w:rFonts w:ascii="Times New Roman" w:hAnsi="Times New Roman" w:cs="Times New Roman" w:eastAsia="Times New Roman" w:hint="default"/>
                <w:sz w:val="18"/>
                <w:szCs w:val="18"/>
              </w:rPr>
            </w:pPr>
            <w:r>
              <w:rPr>
                <w:rFonts w:ascii="Times New Roman"/>
                <w:sz w:val="18"/>
              </w:rPr>
              <w:t>208,617,797.75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4" w:right="0"/>
              <w:jc w:val="left"/>
              <w:rPr>
                <w:rFonts w:ascii="Times New Roman" w:hAnsi="Times New Roman" w:cs="Times New Roman" w:eastAsia="Times New Roman" w:hint="default"/>
                <w:sz w:val="18"/>
                <w:szCs w:val="18"/>
              </w:rPr>
            </w:pPr>
            <w:r>
              <w:rPr>
                <w:rFonts w:ascii="Times New Roman"/>
                <w:sz w:val="18"/>
              </w:rPr>
              <w:t>3,070,979.95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 w:right="0"/>
              <w:jc w:val="center"/>
              <w:rPr>
                <w:rFonts w:ascii="Times New Roman" w:hAnsi="Times New Roman" w:cs="Times New Roman" w:eastAsia="Times New Roman" w:hint="default"/>
                <w:sz w:val="18"/>
                <w:szCs w:val="18"/>
              </w:rPr>
            </w:pPr>
            <w:r>
              <w:rPr>
                <w:rFonts w:ascii="Times New Roman"/>
                <w:sz w:val="18"/>
              </w:rPr>
              <w:t>1,641,185.75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642,851,834.25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239,739,775.00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2,099,380,150.56</w:t>
            </w:r>
          </w:p>
        </w:tc>
      </w:tr>
      <w:tr>
        <w:trPr>
          <w:trHeight w:val="362"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4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72"/>
              <w:ind w:right="26"/>
              <w:jc w:val="right"/>
              <w:rPr>
                <w:rFonts w:ascii="Times New Roman" w:hAnsi="Times New Roman" w:cs="Times New Roman" w:eastAsia="Times New Roman" w:hint="default"/>
                <w:sz w:val="18"/>
                <w:szCs w:val="18"/>
              </w:rPr>
            </w:pPr>
            <w:r>
              <w:rPr>
                <w:rFonts w:ascii="Times New Roman"/>
                <w:spacing w:val="-1"/>
                <w:sz w:val="18"/>
              </w:rPr>
              <w:t>615,204,260.00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5" w:right="0"/>
              <w:jc w:val="center"/>
              <w:rPr>
                <w:rFonts w:ascii="Times New Roman" w:hAnsi="Times New Roman" w:cs="Times New Roman" w:eastAsia="Times New Roman" w:hint="default"/>
                <w:sz w:val="18"/>
                <w:szCs w:val="18"/>
              </w:rPr>
            </w:pPr>
            <w:r>
              <w:rPr>
                <w:rFonts w:ascii="Times New Roman"/>
                <w:sz w:val="18"/>
              </w:rPr>
              <w:t>23,450,859.50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1,142,289,176.00</w:t>
            </w:r>
          </w:p>
        </w:tc>
      </w:tr>
    </w:tbl>
    <w:p>
      <w:pPr>
        <w:pStyle w:val="BodyText"/>
        <w:spacing w:line="240" w:lineRule="auto" w:before="49"/>
        <w:ind w:left="992" w:right="0"/>
        <w:jc w:val="left"/>
      </w:pPr>
      <w:r>
        <w:rPr/>
        <w:t>报告期内公司主要资产计量属性是否发生重大变化</w:t>
      </w:r>
    </w:p>
    <w:p>
      <w:pPr>
        <w:pStyle w:val="BodyText"/>
        <w:spacing w:line="240" w:lineRule="auto" w:before="115"/>
        <w:ind w:left="992" w:right="0"/>
        <w:jc w:val="left"/>
      </w:pPr>
      <w:r>
        <w:rPr/>
        <w:t>□ 是 √</w:t>
      </w:r>
      <w:r>
        <w:rPr>
          <w:spacing w:val="3"/>
        </w:rPr>
        <w:t> </w:t>
      </w:r>
      <w:r>
        <w:rPr/>
        <w:t>否</w:t>
      </w:r>
    </w:p>
    <w:p>
      <w:pPr>
        <w:spacing w:line="240" w:lineRule="auto" w:before="8"/>
        <w:rPr>
          <w:rFonts w:ascii="宋体" w:hAnsi="宋体" w:cs="宋体" w:eastAsia="宋体" w:hint="default"/>
          <w:sz w:val="14"/>
          <w:szCs w:val="14"/>
        </w:rPr>
      </w:pPr>
    </w:p>
    <w:p>
      <w:pPr>
        <w:pStyle w:val="Heading5"/>
        <w:spacing w:line="240" w:lineRule="auto"/>
        <w:ind w:left="992" w:right="0"/>
        <w:jc w:val="left"/>
        <w:rPr>
          <w:b w:val="0"/>
          <w:bCs w:val="0"/>
        </w:rPr>
      </w:pPr>
      <w:r>
        <w:rPr/>
        <w:t>五、投资状况</w:t>
      </w:r>
      <w:r>
        <w:rPr>
          <w:b w:val="0"/>
          <w:bCs w:val="0"/>
        </w:rPr>
      </w:r>
    </w:p>
    <w:p>
      <w:pPr>
        <w:pStyle w:val="Heading8"/>
        <w:spacing w:line="240" w:lineRule="auto" w:before="184"/>
        <w:ind w:left="992"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992" w:right="0"/>
        <w:jc w:val="left"/>
      </w:pPr>
      <w:r>
        <w:rPr/>
        <w:t>√ 适用 □</w:t>
      </w:r>
      <w:r>
        <w:rPr>
          <w:spacing w:val="3"/>
        </w:rPr>
        <w:t> </w:t>
      </w:r>
      <w:r>
        <w:rPr/>
        <w:t>不适用</w:t>
      </w:r>
    </w:p>
    <w:p>
      <w:pPr>
        <w:spacing w:line="240" w:lineRule="auto" w:before="3"/>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161,042,082.80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377,840,244.39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-57.38%</w:t>
            </w:r>
          </w:p>
        </w:tc>
      </w:tr>
    </w:tbl>
    <w:p>
      <w:pPr>
        <w:spacing w:line="240" w:lineRule="auto" w:before="7"/>
        <w:rPr>
          <w:rFonts w:ascii="宋体" w:hAnsi="宋体" w:cs="宋体" w:eastAsia="宋体" w:hint="default"/>
          <w:sz w:val="8"/>
          <w:szCs w:val="8"/>
        </w:rPr>
      </w:pPr>
    </w:p>
    <w:p>
      <w:pPr>
        <w:pStyle w:val="Heading8"/>
        <w:spacing w:line="240" w:lineRule="auto" w:before="36"/>
        <w:ind w:left="992"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11"/>
          <w:szCs w:val="11"/>
        </w:rPr>
      </w:pPr>
    </w:p>
    <w:p>
      <w:pPr>
        <w:pStyle w:val="BodyText"/>
        <w:spacing w:line="240" w:lineRule="auto" w:before="44"/>
        <w:ind w:left="992" w:right="0"/>
        <w:jc w:val="left"/>
      </w:pPr>
      <w:r>
        <w:rPr/>
        <w:t>√ 适用 □</w:t>
      </w:r>
      <w:r>
        <w:rPr>
          <w:spacing w:val="3"/>
        </w:rPr>
        <w:t> </w:t>
      </w:r>
      <w:r>
        <w:rPr/>
        <w:t>不适用</w:t>
      </w:r>
    </w:p>
    <w:p>
      <w:pPr>
        <w:pStyle w:val="BodyText"/>
        <w:spacing w:line="240" w:lineRule="auto" w:before="117"/>
        <w:ind w:left="0" w:right="991"/>
        <w:jc w:val="right"/>
      </w:pPr>
      <w:r>
        <w:rPr/>
        <w:t>单位：元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047"/>
        <w:gridCol w:w="1685"/>
        <w:gridCol w:w="545"/>
        <w:gridCol w:w="1016"/>
        <w:gridCol w:w="430"/>
        <w:gridCol w:w="470"/>
        <w:gridCol w:w="614"/>
        <w:gridCol w:w="567"/>
        <w:gridCol w:w="720"/>
        <w:gridCol w:w="1080"/>
        <w:gridCol w:w="583"/>
        <w:gridCol w:w="529"/>
        <w:gridCol w:w="487"/>
        <w:gridCol w:w="816"/>
        <w:gridCol w:w="816"/>
      </w:tblGrid>
      <w:tr>
        <w:trPr>
          <w:trHeight w:val="1027"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75" w:right="17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4"/>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05" w:right="10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5"/>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left="2" w:right="130"/>
              <w:jc w:val="left"/>
              <w:rPr>
                <w:rFonts w:ascii="宋体" w:hAnsi="宋体" w:cs="宋体" w:eastAsia="宋体" w:hint="default"/>
                <w:sz w:val="15"/>
                <w:szCs w:val="15"/>
              </w:rPr>
            </w:pPr>
            <w:r>
              <w:rPr>
                <w:rFonts w:ascii="宋体" w:hAnsi="宋体" w:cs="宋体" w:eastAsia="宋体" w:hint="default"/>
                <w:sz w:val="15"/>
                <w:szCs w:val="15"/>
              </w:rPr>
              <w:t>深圳桑菲消费</w:t>
            </w:r>
            <w:r>
              <w:rPr>
                <w:rFonts w:ascii="宋体" w:hAnsi="宋体" w:cs="宋体" w:eastAsia="宋体" w:hint="default"/>
                <w:w w:val="100"/>
                <w:sz w:val="15"/>
                <w:szCs w:val="15"/>
              </w:rPr>
              <w:t> </w:t>
            </w:r>
            <w:r>
              <w:rPr>
                <w:rFonts w:ascii="宋体" w:hAnsi="宋体" w:cs="宋体" w:eastAsia="宋体" w:hint="default"/>
                <w:sz w:val="15"/>
                <w:szCs w:val="15"/>
              </w:rPr>
              <w:t>通信有限公司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19"/>
              <w:jc w:val="left"/>
              <w:rPr>
                <w:rFonts w:ascii="宋体" w:hAnsi="宋体" w:cs="宋体" w:eastAsia="宋体" w:hint="default"/>
                <w:sz w:val="15"/>
                <w:szCs w:val="15"/>
              </w:rPr>
            </w:pPr>
            <w:r>
              <w:rPr>
                <w:rFonts w:ascii="宋体" w:hAnsi="宋体" w:cs="宋体" w:eastAsia="宋体" w:hint="default"/>
                <w:spacing w:val="-2"/>
                <w:sz w:val="15"/>
                <w:szCs w:val="15"/>
              </w:rPr>
              <w:t>生产寻呼机、有绳电话、</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无绳电话、蜂窝式移动电</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6"/>
                <w:sz w:val="15"/>
                <w:szCs w:val="15"/>
              </w:rPr>
              <w:t>话、电话答录机及其附件</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2"/>
                <w:sz w:val="15"/>
                <w:szCs w:val="15"/>
              </w:rPr>
              <w:t>软件、元器件、数字视听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6"/>
                <w:sz w:val="15"/>
                <w:szCs w:val="15"/>
              </w:rPr>
              <w:t>产品、照明器具及其附件</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收购</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3" w:right="0"/>
              <w:jc w:val="left"/>
              <w:rPr>
                <w:rFonts w:ascii="Times New Roman" w:hAnsi="Times New Roman" w:cs="Times New Roman" w:eastAsia="Times New Roman" w:hint="default"/>
                <w:sz w:val="15"/>
                <w:szCs w:val="15"/>
              </w:rPr>
            </w:pPr>
            <w:r>
              <w:rPr>
                <w:rFonts w:ascii="Times New Roman"/>
                <w:spacing w:val="-1"/>
                <w:sz w:val="15"/>
              </w:rPr>
              <w:t>45,000,000.00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移动通讯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已完成</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月</w:t>
            </w:r>
          </w:p>
          <w:p>
            <w:pPr>
              <w:pStyle w:val="TableParagraph"/>
              <w:spacing w:line="240" w:lineRule="auto" w:before="105"/>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3"/>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2015-033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5"/>
              <w:ind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403"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3" w:right="0"/>
              <w:jc w:val="left"/>
              <w:rPr>
                <w:rFonts w:ascii="Times New Roman" w:hAnsi="Times New Roman" w:cs="Times New Roman" w:eastAsia="Times New Roman" w:hint="default"/>
                <w:sz w:val="15"/>
                <w:szCs w:val="15"/>
              </w:rPr>
            </w:pPr>
            <w:r>
              <w:rPr>
                <w:rFonts w:ascii="Times New Roman"/>
                <w:spacing w:val="-1"/>
                <w:sz w:val="15"/>
              </w:rPr>
              <w:t>45,000,000.00</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353" w:right="6908" w:hanging="361"/>
        <w:jc w:val="left"/>
        <w:rPr>
          <w:rFonts w:ascii="宋体" w:hAnsi="宋体" w:cs="宋体" w:eastAsia="宋体" w:hint="default"/>
          <w:sz w:val="18"/>
          <w:szCs w:val="18"/>
        </w:rPr>
      </w:pPr>
      <w:r>
        <w:rPr/>
        <w:pict>
          <v:shape style="position:absolute;margin-left:144.980759pt;margin-top:-51.838284pt;width:31.2pt;height:31.2pt;mso-position-horizontal-relative:page;mso-position-vertical-relative:paragraph;z-index:-1193680" type="#_x0000_t202" filled="false" stroked="false">
            <v:textbox inset="0,0,0,0">
              <w:txbxContent>
                <w:p>
                  <w:pPr>
                    <w:spacing w:line="240" w:lineRule="auto" w:before="0"/>
                    <w:rPr>
                      <w:rFonts w:ascii="宋体" w:hAnsi="宋体" w:cs="宋体" w:eastAsia="宋体" w:hint="default"/>
                      <w:sz w:val="14"/>
                      <w:szCs w:val="14"/>
                    </w:rPr>
                  </w:pPr>
                </w:p>
                <w:p>
                  <w:pPr>
                    <w:spacing w:before="124"/>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group style="position:absolute;margin-left:149.300003pt;margin-top:-51.838284pt;width:26.9pt;height:31.2pt;mso-position-horizontal-relative:page;mso-position-vertical-relative:paragraph;z-index:-1193656" coordorigin="2986,-1037" coordsize="538,624">
            <v:shape style="position:absolute;left:2986;top:-1037;width:538;height:624" coordorigin="2986,-1037" coordsize="538,624" path="m2986,-413l3524,-413,3524,-1037,2986,-1037,2986,-413xe" filled="true" fillcolor="#ffffff" stroked="false">
              <v:path arrowok="t"/>
              <v:fill type="solid"/>
            </v:shape>
            <w10:wrap type="none"/>
          </v:group>
        </w:pict>
      </w:r>
      <w:r>
        <w:rPr>
          <w:rFonts w:ascii="宋体" w:hAnsi="宋体" w:cs="宋体" w:eastAsia="宋体" w:hint="default"/>
          <w:b/>
          <w:bCs/>
          <w:sz w:val="18"/>
          <w:szCs w:val="18"/>
        </w:rPr>
        <w:t>重大股权投资情况说明</w:t>
      </w:r>
      <w:r>
        <w:rPr>
          <w:rFonts w:ascii="宋体" w:hAnsi="宋体" w:cs="宋体" w:eastAsia="宋体" w:hint="default"/>
          <w:b/>
          <w:bCs/>
          <w:w w:val="99"/>
          <w:sz w:val="18"/>
          <w:szCs w:val="18"/>
        </w:rPr>
        <w:t> </w:t>
      </w:r>
      <w:r>
        <w:rPr>
          <w:rFonts w:ascii="宋体" w:hAnsi="宋体" w:cs="宋体" w:eastAsia="宋体" w:hint="default"/>
          <w:sz w:val="18"/>
          <w:szCs w:val="18"/>
        </w:rPr>
        <w:t>冠捷科技下属公司收购桑菲通信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spacing w:after="0" w:line="357" w:lineRule="auto"/>
        <w:jc w:val="left"/>
        <w:rPr>
          <w:rFonts w:ascii="宋体" w:hAnsi="宋体" w:cs="宋体" w:eastAsia="宋体" w:hint="default"/>
          <w:sz w:val="18"/>
          <w:szCs w:val="18"/>
        </w:rPr>
        <w:sectPr>
          <w:pgSz w:w="11910" w:h="16840"/>
          <w:pgMar w:header="877" w:footer="980" w:top="1100" w:bottom="1160" w:left="140" w:right="140"/>
        </w:sectPr>
      </w:pPr>
    </w:p>
    <w:p>
      <w:pPr>
        <w:spacing w:line="240" w:lineRule="auto" w:before="11"/>
        <w:rPr>
          <w:rFonts w:ascii="宋体" w:hAnsi="宋体" w:cs="宋体" w:eastAsia="宋体" w:hint="default"/>
          <w:sz w:val="21"/>
          <w:szCs w:val="21"/>
        </w:rPr>
      </w:pPr>
    </w:p>
    <w:p>
      <w:pPr>
        <w:pStyle w:val="BodyText"/>
        <w:spacing w:line="240" w:lineRule="auto" w:before="44"/>
        <w:ind w:left="1313" w:right="0"/>
        <w:jc w:val="left"/>
      </w:pPr>
      <w:r>
        <w:rPr/>
        <w:t>经</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日公司第六届董事会审议通过，同意控股子公司冠捷科技通过其下属全资子公司冠捷投资、嘉捷科技</w:t>
      </w:r>
    </w:p>
    <w:p>
      <w:pPr>
        <w:pStyle w:val="BodyText"/>
        <w:spacing w:line="300" w:lineRule="auto" w:before="63"/>
        <w:ind w:left="952" w:right="0"/>
        <w:jc w:val="left"/>
      </w:pPr>
      <w:r>
        <w:rPr>
          <w:spacing w:val="-1"/>
        </w:rPr>
        <w:t>（福清）有限公司向中国中电国际信息服务有限公司、桑菲（</w:t>
      </w:r>
      <w:r>
        <w:rPr>
          <w:rFonts w:ascii="Times New Roman" w:hAnsi="Times New Roman" w:cs="Times New Roman" w:eastAsia="Times New Roman" w:hint="default"/>
          <w:spacing w:val="-1"/>
        </w:rPr>
        <w:t>BVI</w:t>
      </w:r>
      <w:r>
        <w:rPr>
          <w:spacing w:val="-1"/>
        </w:rPr>
        <w:t>）有限公司及深圳市桑达实业股份有限公司收购其分别所</w:t>
      </w:r>
      <w:r>
        <w:rPr>
          <w:spacing w:val="-69"/>
        </w:rPr>
        <w:t> </w:t>
      </w:r>
      <w:r>
        <w:rPr>
          <w:spacing w:val="-69"/>
        </w:rPr>
      </w:r>
      <w:r>
        <w:rPr>
          <w:w w:val="99"/>
        </w:rPr>
        <w:t>持有的桑菲通信</w:t>
      </w:r>
      <w:r>
        <w:rPr>
          <w:spacing w:val="-40"/>
          <w:w w:val="99"/>
        </w:rPr>
        <w:t> </w:t>
      </w:r>
      <w:r>
        <w:rPr>
          <w:rFonts w:ascii="Times New Roman" w:hAnsi="Times New Roman" w:cs="Times New Roman" w:eastAsia="Times New Roman" w:hint="default"/>
          <w:spacing w:val="-1"/>
          <w:w w:val="99"/>
        </w:rPr>
        <w:t>94.15%</w:t>
      </w:r>
      <w:r>
        <w:rPr>
          <w:spacing w:val="-1"/>
          <w:w w:val="99"/>
        </w:rPr>
        <w:t>、</w:t>
      </w:r>
      <w:r>
        <w:rPr>
          <w:rFonts w:ascii="Times New Roman" w:hAnsi="Times New Roman" w:cs="Times New Roman" w:eastAsia="Times New Roman" w:hint="default"/>
          <w:spacing w:val="-1"/>
          <w:w w:val="99"/>
        </w:rPr>
        <w:t>5.07%</w:t>
      </w:r>
      <w:r>
        <w:rPr>
          <w:spacing w:val="-1"/>
          <w:w w:val="99"/>
        </w:rPr>
        <w:t>和</w:t>
      </w:r>
      <w:r>
        <w:rPr>
          <w:spacing w:val="-41"/>
          <w:w w:val="99"/>
        </w:rPr>
        <w:t> </w:t>
      </w:r>
      <w:r>
        <w:rPr>
          <w:rFonts w:ascii="Times New Roman" w:hAnsi="Times New Roman" w:cs="Times New Roman" w:eastAsia="Times New Roman" w:hint="default"/>
          <w:w w:val="99"/>
        </w:rPr>
        <w:t>0.78%</w:t>
      </w:r>
      <w:r>
        <w:rPr>
          <w:w w:val="99"/>
        </w:rPr>
        <w:t>合计共</w:t>
      </w:r>
      <w:r>
        <w:rPr>
          <w:spacing w:val="-41"/>
          <w:w w:val="99"/>
        </w:rPr>
        <w:t> </w:t>
      </w:r>
      <w:r>
        <w:rPr>
          <w:rFonts w:ascii="Times New Roman" w:hAnsi="Times New Roman" w:cs="Times New Roman" w:eastAsia="Times New Roman" w:hint="default"/>
          <w:spacing w:val="-1"/>
          <w:w w:val="99"/>
        </w:rPr>
        <w:t>100%</w:t>
      </w:r>
      <w:r>
        <w:rPr>
          <w:spacing w:val="-1"/>
          <w:w w:val="99"/>
        </w:rPr>
        <w:t>股权（具体内容详见</w:t>
      </w:r>
      <w:r>
        <w:rPr>
          <w:spacing w:val="-40"/>
          <w:w w:val="99"/>
        </w:rPr>
        <w:t> </w:t>
      </w:r>
      <w:r>
        <w:rPr>
          <w:rFonts w:ascii="Times New Roman" w:hAnsi="Times New Roman" w:cs="Times New Roman" w:eastAsia="Times New Roman" w:hint="default"/>
          <w:spacing w:val="-1"/>
          <w:w w:val="99"/>
        </w:rPr>
        <w:t>2015-033</w:t>
      </w:r>
      <w:r>
        <w:rPr>
          <w:rFonts w:ascii="Times New Roman" w:hAnsi="Times New Roman" w:cs="Times New Roman" w:eastAsia="Times New Roman" w:hint="default"/>
          <w:spacing w:val="5"/>
          <w:w w:val="99"/>
        </w:rPr>
        <w:t> </w:t>
      </w:r>
      <w:r>
        <w:rPr>
          <w:spacing w:val="-19"/>
          <w:w w:val="99"/>
        </w:rPr>
        <w:t>号公告）。</w:t>
      </w:r>
      <w:r>
        <w:rPr>
          <w:spacing w:val="-19"/>
        </w:rPr>
      </w:r>
    </w:p>
    <w:p>
      <w:pPr>
        <w:pStyle w:val="BodyText"/>
        <w:spacing w:line="312" w:lineRule="auto" w:before="53"/>
        <w:ind w:left="952" w:right="0" w:firstLine="360"/>
        <w:jc w:val="left"/>
      </w:pPr>
      <w:r>
        <w:rPr>
          <w:spacing w:val="-4"/>
        </w:rPr>
        <w:t>报告期内收购事项已完成，桑菲通信成为冠捷科技的下属全资公司，以同一控制下的企业合并方式纳入本公司合并范围，</w:t>
      </w:r>
      <w:r>
        <w:rPr/>
        <w:t> 根据《企业会计准则第</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企业合并》的相关规定，公司追溯调整可比期间的合并报表数据。此外，根据收购时协议约 </w:t>
      </w:r>
      <w:r>
        <w:rPr>
          <w:spacing w:val="-2"/>
        </w:rPr>
        <w:t>定，各方在前述收购事项完成时对桑菲通信进行了重新审计，股权出售方依据原协议约定和重新审计的情况已向桑菲通信支</w:t>
      </w:r>
      <w:r>
        <w:rPr>
          <w:spacing w:val="-63"/>
        </w:rPr>
        <w:t> </w:t>
      </w:r>
      <w:r>
        <w:rPr>
          <w:spacing w:val="-63"/>
        </w:rPr>
      </w:r>
      <w:r>
        <w:rPr/>
        <w:t>付了净资产差额补偿款。</w:t>
      </w:r>
    </w:p>
    <w:p>
      <w:pPr>
        <w:pStyle w:val="Heading8"/>
        <w:spacing w:line="240" w:lineRule="auto" w:before="160"/>
        <w:ind w:left="952"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12"/>
          <w:szCs w:val="12"/>
        </w:rPr>
      </w:pPr>
    </w:p>
    <w:p>
      <w:pPr>
        <w:pStyle w:val="BodyText"/>
        <w:spacing w:line="240" w:lineRule="auto" w:before="44"/>
        <w:ind w:left="952" w:right="0"/>
        <w:jc w:val="left"/>
      </w:pPr>
      <w:r>
        <w:rPr/>
        <w:t>√ 适用 □</w:t>
      </w:r>
      <w:r>
        <w:rPr>
          <w:spacing w:val="3"/>
        </w:rPr>
        <w:t> </w:t>
      </w:r>
      <w:r>
        <w:rPr/>
        <w:t>不适用</w:t>
      </w:r>
    </w:p>
    <w:p>
      <w:pPr>
        <w:pStyle w:val="BodyText"/>
        <w:spacing w:line="240" w:lineRule="auto" w:before="117"/>
        <w:ind w:left="0" w:right="971"/>
        <w:jc w:val="right"/>
      </w:pPr>
      <w:r>
        <w:rPr/>
        <w:t>单位：元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94"/>
        <w:gridCol w:w="540"/>
        <w:gridCol w:w="720"/>
        <w:gridCol w:w="540"/>
        <w:gridCol w:w="1081"/>
        <w:gridCol w:w="1080"/>
        <w:gridCol w:w="540"/>
        <w:gridCol w:w="557"/>
        <w:gridCol w:w="1670"/>
        <w:gridCol w:w="737"/>
        <w:gridCol w:w="1176"/>
        <w:gridCol w:w="720"/>
        <w:gridCol w:w="677"/>
      </w:tblGrid>
      <w:tr>
        <w:trPr>
          <w:trHeight w:val="125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86" w:right="81"/>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86" w:right="83"/>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6" w:right="83"/>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66" w:right="82"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86" w:right="83"/>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86" w:right="8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95" w:right="89"/>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43" w:right="41"/>
              <w:jc w:val="center"/>
              <w:rPr>
                <w:rFonts w:ascii="宋体" w:hAnsi="宋体" w:cs="宋体" w:eastAsia="宋体" w:hint="default"/>
                <w:sz w:val="18"/>
                <w:szCs w:val="18"/>
              </w:rPr>
            </w:pPr>
            <w:r>
              <w:rPr>
                <w:rFonts w:ascii="宋体" w:hAnsi="宋体" w:cs="宋体" w:eastAsia="宋体" w:hint="default"/>
                <w:sz w:val="18"/>
                <w:szCs w:val="18"/>
              </w:rPr>
              <w:t>未达到计划进 度和预计收益 的原因</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77" w:right="170"/>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55" w:right="149"/>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636"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石岩基地三期项目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自建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76"/>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35,538,063.00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24" w:right="41" w:hanging="75"/>
              <w:jc w:val="left"/>
              <w:rPr>
                <w:rFonts w:ascii="宋体" w:hAnsi="宋体" w:cs="宋体" w:eastAsia="宋体" w:hint="default"/>
                <w:sz w:val="15"/>
                <w:szCs w:val="15"/>
              </w:rPr>
            </w:pPr>
            <w:r>
              <w:rPr>
                <w:rFonts w:ascii="宋体" w:hAnsi="宋体" w:cs="宋体" w:eastAsia="宋体" w:hint="default"/>
                <w:sz w:val="15"/>
                <w:szCs w:val="15"/>
              </w:rPr>
              <w:t>仍在进</w:t>
            </w:r>
            <w:r>
              <w:rPr>
                <w:rFonts w:ascii="宋体" w:hAnsi="宋体" w:cs="宋体" w:eastAsia="宋体" w:hint="default"/>
                <w:spacing w:val="-72"/>
                <w:sz w:val="15"/>
                <w:szCs w:val="15"/>
              </w:rPr>
              <w:t> </w:t>
            </w:r>
            <w:r>
              <w:rPr>
                <w:rFonts w:ascii="宋体" w:hAnsi="宋体" w:cs="宋体" w:eastAsia="宋体" w:hint="default"/>
                <w:sz w:val="15"/>
                <w:szCs w:val="15"/>
              </w:rPr>
              <w:t>行中</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left"/>
              <w:rPr>
                <w:rFonts w:ascii="Times New Roman" w:hAnsi="Times New Roman" w:cs="Times New Roman" w:eastAsia="Times New Roman" w:hint="default"/>
                <w:sz w:val="15"/>
                <w:szCs w:val="15"/>
              </w:rPr>
            </w:pPr>
            <w:r>
              <w:rPr>
                <w:rFonts w:ascii="Times New Roman"/>
                <w:sz w:val="15"/>
              </w:rPr>
              <w:t>2012-004</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63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 w:right="77"/>
              <w:jc w:val="left"/>
              <w:rPr>
                <w:rFonts w:ascii="宋体" w:hAnsi="宋体" w:cs="宋体" w:eastAsia="宋体" w:hint="default"/>
                <w:sz w:val="15"/>
                <w:szCs w:val="15"/>
              </w:rPr>
            </w:pPr>
            <w:r>
              <w:rPr>
                <w:rFonts w:ascii="宋体" w:hAnsi="宋体" w:cs="宋体" w:eastAsia="宋体" w:hint="default"/>
                <w:sz w:val="15"/>
                <w:szCs w:val="15"/>
              </w:rPr>
              <w:t>北京未来科技城定</w:t>
            </w:r>
            <w:r>
              <w:rPr>
                <w:rFonts w:ascii="宋体" w:hAnsi="宋体" w:cs="宋体" w:eastAsia="宋体" w:hint="default"/>
                <w:w w:val="100"/>
                <w:sz w:val="15"/>
                <w:szCs w:val="15"/>
              </w:rPr>
              <w:t> </w:t>
            </w:r>
            <w:r>
              <w:rPr>
                <w:rFonts w:ascii="宋体" w:hAnsi="宋体" w:cs="宋体" w:eastAsia="宋体" w:hint="default"/>
                <w:sz w:val="15"/>
                <w:szCs w:val="15"/>
              </w:rPr>
              <w:t>制科研办公室</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6"/>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5,662,008.61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63,702,865.61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已完工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10</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2013-044</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63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中电长城大厦项目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自建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6"/>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102,643,067.51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722,234,718.83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4" w:right="41" w:hanging="75"/>
              <w:jc w:val="left"/>
              <w:rPr>
                <w:rFonts w:ascii="宋体" w:hAnsi="宋体" w:cs="宋体" w:eastAsia="宋体" w:hint="default"/>
                <w:sz w:val="15"/>
                <w:szCs w:val="15"/>
              </w:rPr>
            </w:pPr>
            <w:r>
              <w:rPr>
                <w:rFonts w:ascii="宋体" w:hAnsi="宋体" w:cs="宋体" w:eastAsia="宋体" w:hint="default"/>
                <w:sz w:val="15"/>
                <w:szCs w:val="15"/>
              </w:rPr>
              <w:t>仍在进</w:t>
            </w:r>
            <w:r>
              <w:rPr>
                <w:rFonts w:ascii="宋体" w:hAnsi="宋体" w:cs="宋体" w:eastAsia="宋体" w:hint="default"/>
                <w:spacing w:val="-72"/>
                <w:sz w:val="15"/>
                <w:szCs w:val="15"/>
              </w:rPr>
              <w:t> </w:t>
            </w:r>
            <w:r>
              <w:rPr>
                <w:rFonts w:ascii="宋体" w:hAnsi="宋体" w:cs="宋体" w:eastAsia="宋体" w:hint="default"/>
                <w:sz w:val="15"/>
                <w:szCs w:val="15"/>
              </w:rPr>
              <w:t>行中</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6"/>
                <w:sz w:val="15"/>
                <w:szCs w:val="15"/>
              </w:rPr>
              <w:t>11</w:t>
            </w:r>
            <w:r>
              <w:rPr>
                <w:rFonts w:ascii="Times New Roman" w:hAnsi="Times New Roman" w:cs="Times New Roman" w:eastAsia="Times New Roman" w:hint="default"/>
                <w:sz w:val="15"/>
                <w:szCs w:val="15"/>
              </w:rPr>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left"/>
              <w:rPr>
                <w:rFonts w:ascii="Times New Roman" w:hAnsi="Times New Roman" w:cs="Times New Roman" w:eastAsia="Times New Roman" w:hint="default"/>
                <w:sz w:val="15"/>
                <w:szCs w:val="15"/>
              </w:rPr>
            </w:pPr>
            <w:r>
              <w:rPr>
                <w:rFonts w:ascii="Times New Roman"/>
                <w:sz w:val="15"/>
              </w:rPr>
              <w:t>2015-078</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1258"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2" w:right="77"/>
              <w:jc w:val="left"/>
              <w:rPr>
                <w:rFonts w:ascii="宋体" w:hAnsi="宋体" w:cs="宋体" w:eastAsia="宋体" w:hint="default"/>
                <w:sz w:val="15"/>
                <w:szCs w:val="15"/>
              </w:rPr>
            </w:pPr>
            <w:r>
              <w:rPr>
                <w:rFonts w:ascii="宋体" w:hAnsi="宋体" w:cs="宋体" w:eastAsia="宋体" w:hint="default"/>
                <w:sz w:val="15"/>
                <w:szCs w:val="15"/>
              </w:rPr>
              <w:t>长城能源投资建设</w:t>
            </w:r>
            <w:r>
              <w:rPr>
                <w:rFonts w:ascii="宋体" w:hAnsi="宋体" w:cs="宋体" w:eastAsia="宋体" w:hint="default"/>
                <w:w w:val="100"/>
                <w:sz w:val="15"/>
                <w:szCs w:val="15"/>
              </w:rPr>
              <w:t> </w:t>
            </w:r>
            <w:r>
              <w:rPr>
                <w:rFonts w:ascii="宋体" w:hAnsi="宋体" w:cs="宋体" w:eastAsia="宋体" w:hint="default"/>
                <w:sz w:val="15"/>
                <w:szCs w:val="15"/>
              </w:rPr>
              <w:t>光伏电站系列项目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自建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76"/>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光伏</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26,775,416.29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26,775,416.29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自筹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24" w:right="41" w:hanging="75"/>
              <w:jc w:val="left"/>
              <w:rPr>
                <w:rFonts w:ascii="宋体" w:hAnsi="宋体" w:cs="宋体" w:eastAsia="宋体" w:hint="default"/>
                <w:sz w:val="15"/>
                <w:szCs w:val="15"/>
              </w:rPr>
            </w:pPr>
            <w:r>
              <w:rPr>
                <w:rFonts w:ascii="宋体" w:hAnsi="宋体" w:cs="宋体" w:eastAsia="宋体" w:hint="default"/>
                <w:sz w:val="15"/>
                <w:szCs w:val="15"/>
              </w:rPr>
              <w:t>仍在进</w:t>
            </w:r>
            <w:r>
              <w:rPr>
                <w:rFonts w:ascii="宋体" w:hAnsi="宋体" w:cs="宋体" w:eastAsia="宋体" w:hint="default"/>
                <w:spacing w:val="-72"/>
                <w:sz w:val="15"/>
                <w:szCs w:val="15"/>
              </w:rPr>
              <w:t> </w:t>
            </w:r>
            <w:r>
              <w:rPr>
                <w:rFonts w:ascii="宋体" w:hAnsi="宋体" w:cs="宋体" w:eastAsia="宋体" w:hint="default"/>
                <w:sz w:val="15"/>
                <w:szCs w:val="15"/>
              </w:rPr>
              <w:t>行中</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 w:right="-5"/>
              <w:jc w:val="both"/>
              <w:rPr>
                <w:rFonts w:ascii="宋体" w:hAnsi="宋体" w:cs="宋体" w:eastAsia="宋体" w:hint="default"/>
                <w:sz w:val="15"/>
                <w:szCs w:val="15"/>
              </w:rPr>
            </w:pPr>
            <w:r>
              <w:rPr>
                <w:rFonts w:ascii="宋体" w:hAnsi="宋体" w:cs="宋体" w:eastAsia="宋体" w:hint="default"/>
                <w:sz w:val="15"/>
                <w:szCs w:val="15"/>
              </w:rPr>
              <w:t>如能顺利实施完毕，全部</w:t>
            </w:r>
            <w:r>
              <w:rPr>
                <w:rFonts w:ascii="宋体" w:hAnsi="宋体" w:cs="宋体" w:eastAsia="宋体" w:hint="default"/>
                <w:spacing w:val="-62"/>
                <w:sz w:val="15"/>
                <w:szCs w:val="15"/>
              </w:rPr>
              <w:t> </w:t>
            </w:r>
            <w:r>
              <w:rPr>
                <w:rFonts w:ascii="宋体" w:hAnsi="宋体" w:cs="宋体" w:eastAsia="宋体" w:hint="default"/>
                <w:sz w:val="15"/>
                <w:szCs w:val="15"/>
              </w:rPr>
              <w:t>达产后，预计可实现年电</w:t>
            </w:r>
            <w:r>
              <w:rPr>
                <w:rFonts w:ascii="宋体" w:hAnsi="宋体" w:cs="宋体" w:eastAsia="宋体" w:hint="default"/>
                <w:spacing w:val="-62"/>
                <w:sz w:val="15"/>
                <w:szCs w:val="15"/>
              </w:rPr>
              <w:t> </w:t>
            </w:r>
            <w:r>
              <w:rPr>
                <w:rFonts w:ascii="宋体" w:hAnsi="宋体" w:cs="宋体" w:eastAsia="宋体" w:hint="default"/>
                <w:sz w:val="15"/>
                <w:szCs w:val="15"/>
              </w:rPr>
              <w:t>费收入约</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6,640.00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万元，</w:t>
            </w:r>
          </w:p>
          <w:p>
            <w:pPr>
              <w:pStyle w:val="TableParagraph"/>
              <w:spacing w:line="240" w:lineRule="auto" w:before="6"/>
              <w:ind w:left="2" w:right="0"/>
              <w:jc w:val="both"/>
              <w:rPr>
                <w:rFonts w:ascii="宋体" w:hAnsi="宋体" w:cs="宋体" w:eastAsia="宋体" w:hint="default"/>
                <w:sz w:val="15"/>
                <w:szCs w:val="15"/>
              </w:rPr>
            </w:pPr>
            <w:r>
              <w:rPr>
                <w:rFonts w:ascii="宋体" w:hAnsi="宋体" w:cs="宋体" w:eastAsia="宋体" w:hint="default"/>
                <w:sz w:val="15"/>
                <w:szCs w:val="15"/>
              </w:rPr>
              <w:t>净利润约</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3,106.76</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33"/>
              <w:ind w:right="-13"/>
              <w:jc w:val="left"/>
              <w:rPr>
                <w:rFonts w:ascii="宋体" w:hAnsi="宋体" w:cs="宋体" w:eastAsia="宋体" w:hint="default"/>
                <w:sz w:val="15"/>
                <w:szCs w:val="15"/>
              </w:rPr>
            </w:pPr>
            <w:r>
              <w:rPr>
                <w:rFonts w:ascii="宋体" w:hAnsi="宋体" w:cs="宋体" w:eastAsia="宋体" w:hint="default"/>
                <w:sz w:val="15"/>
                <w:szCs w:val="15"/>
              </w:rPr>
              <w:t>原</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年度非公</w:t>
            </w:r>
            <w:r>
              <w:rPr>
                <w:rFonts w:ascii="宋体" w:hAnsi="宋体" w:cs="宋体" w:eastAsia="宋体" w:hint="default"/>
                <w:w w:val="100"/>
                <w:sz w:val="15"/>
                <w:szCs w:val="15"/>
              </w:rPr>
              <w:t> </w:t>
            </w:r>
            <w:r>
              <w:rPr>
                <w:rFonts w:ascii="宋体" w:hAnsi="宋体" w:cs="宋体" w:eastAsia="宋体" w:hint="default"/>
                <w:spacing w:val="-5"/>
                <w:sz w:val="15"/>
                <w:szCs w:val="15"/>
              </w:rPr>
              <w:t>开发行项目终止，</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项目资金未能按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原计划到位</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12</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15"/>
                <w:szCs w:val="15"/>
              </w:rPr>
            </w:pPr>
            <w:r>
              <w:rPr>
                <w:rFonts w:ascii="Times New Roman"/>
                <w:sz w:val="15"/>
              </w:rPr>
              <w:t>2014-082</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322"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0"/>
              <w:jc w:val="righ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Times New Roman" w:hAnsi="Times New Roman" w:cs="Times New Roman" w:eastAsia="Times New Roman" w:hint="default"/>
                <w:sz w:val="15"/>
                <w:szCs w:val="15"/>
              </w:rPr>
            </w:pPr>
            <w:r>
              <w:rPr>
                <w:rFonts w:ascii="Times New Roman"/>
                <w:spacing w:val="-1"/>
                <w:sz w:val="15"/>
              </w:rPr>
              <w:t>135,080,492.41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Times New Roman" w:hAnsi="Times New Roman" w:cs="Times New Roman" w:eastAsia="Times New Roman" w:hint="default"/>
                <w:sz w:val="15"/>
                <w:szCs w:val="15"/>
              </w:rPr>
            </w:pPr>
            <w:r>
              <w:rPr>
                <w:rFonts w:ascii="Times New Roman"/>
                <w:spacing w:val="-1"/>
                <w:sz w:val="15"/>
              </w:rPr>
              <w:t>848,251,063.73</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952" w:right="0" w:firstLine="0"/>
        <w:jc w:val="both"/>
        <w:rPr>
          <w:rFonts w:ascii="宋体" w:hAnsi="宋体" w:cs="宋体" w:eastAsia="宋体" w:hint="default"/>
          <w:sz w:val="18"/>
          <w:szCs w:val="18"/>
        </w:rPr>
      </w:pPr>
      <w:r>
        <w:rPr/>
        <w:pict>
          <v:group style="position:absolute;margin-left:511.420013pt;margin-top:-63.378269pt;width:35.550pt;height:15.6pt;mso-position-horizontal-relative:page;mso-position-vertical-relative:paragraph;z-index:-1193632" coordorigin="10228,-1268" coordsize="711,312">
            <v:shape style="position:absolute;left:10228;top:-1268;width:711;height:312" coordorigin="10228,-1268" coordsize="711,312" path="m10228,-956l10939,-956,10939,-1268,10228,-1268,10228,-956xe" filled="true" fillcolor="#ffffff" stroked="false">
              <v:path arrowok="t"/>
              <v:fill type="solid"/>
            </v:shape>
            <w10:wrap type="none"/>
          </v:group>
        </w:pict>
      </w:r>
      <w:r>
        <w:rPr>
          <w:rFonts w:ascii="宋体" w:hAnsi="宋体" w:cs="宋体" w:eastAsia="宋体" w:hint="default"/>
          <w:b/>
          <w:bCs/>
          <w:sz w:val="18"/>
          <w:szCs w:val="18"/>
        </w:rPr>
        <w:t>重大非股权投资情况说明</w:t>
      </w:r>
      <w:r>
        <w:rPr>
          <w:rFonts w:ascii="宋体" w:hAnsi="宋体" w:cs="宋体" w:eastAsia="宋体" w:hint="default"/>
          <w:sz w:val="18"/>
          <w:szCs w:val="18"/>
        </w:rPr>
      </w:r>
    </w:p>
    <w:p>
      <w:pPr>
        <w:pStyle w:val="BodyText"/>
        <w:spacing w:line="240" w:lineRule="auto" w:before="117"/>
        <w:ind w:left="1313" w:right="0"/>
        <w:jc w:val="left"/>
      </w:pPr>
      <w:r>
        <w:rPr/>
        <w:t>（</w:t>
      </w:r>
      <w:r>
        <w:rPr>
          <w:rFonts w:ascii="Times New Roman" w:hAnsi="Times New Roman" w:cs="Times New Roman" w:eastAsia="Times New Roman" w:hint="default"/>
        </w:rPr>
        <w:t>1</w:t>
      </w:r>
      <w:r>
        <w:rPr/>
        <w:t>）石岩基地三期项目</w:t>
      </w:r>
    </w:p>
    <w:p>
      <w:pPr>
        <w:pStyle w:val="BodyText"/>
        <w:spacing w:line="240" w:lineRule="auto" w:before="101"/>
        <w:ind w:left="131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7"/>
        </w:rPr>
        <w:t> </w:t>
      </w:r>
      <w:r>
        <w:rPr/>
        <w:t>日，经公司第五届董事会审议，同意公司对石岩基地三期项目建设立项，计划建设标准化的电子厂房二</w:t>
      </w:r>
    </w:p>
    <w:p>
      <w:pPr>
        <w:pStyle w:val="BodyText"/>
        <w:spacing w:line="240" w:lineRule="auto" w:before="63"/>
        <w:ind w:left="952" w:right="0"/>
        <w:jc w:val="both"/>
        <w:rPr>
          <w:rFonts w:ascii="Times New Roman" w:hAnsi="Times New Roman" w:cs="Times New Roman" w:eastAsia="Times New Roman" w:hint="default"/>
        </w:rPr>
      </w:pPr>
      <w:r>
        <w:rPr/>
        <w:t>栋</w:t>
      </w:r>
      <w:r>
        <w:rPr>
          <w:spacing w:val="-92"/>
        </w:rPr>
        <w:t>、</w:t>
      </w:r>
      <w:r>
        <w:rPr/>
        <w:t>仓库一栋及配套宿舍一栋</w:t>
      </w:r>
      <w:r>
        <w:rPr>
          <w:spacing w:val="-89"/>
        </w:rPr>
        <w:t>，</w:t>
      </w:r>
      <w:r>
        <w:rPr/>
        <w:t>建筑总面积约</w:t>
      </w:r>
      <w:r>
        <w:rPr>
          <w:spacing w:val="-46"/>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万平方米</w:t>
      </w:r>
      <w:r>
        <w:rPr>
          <w:spacing w:val="-92"/>
        </w:rPr>
        <w:t>，</w:t>
      </w:r>
      <w:r>
        <w:rPr/>
        <w:t>预计项目建设总投资约</w:t>
      </w:r>
      <w:r>
        <w:rPr>
          <w:spacing w:val="-47"/>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亿</w:t>
      </w:r>
      <w:r>
        <w:rPr/>
        <w:t>元人民</w:t>
      </w:r>
      <w:r>
        <w:rPr>
          <w:spacing w:val="-92"/>
        </w:rPr>
        <w:t>币</w:t>
      </w:r>
      <w:r>
        <w:rPr/>
        <w:t>（具体内容详见</w:t>
      </w:r>
      <w:r>
        <w:rPr>
          <w:spacing w:val="-47"/>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4</w:t>
      </w:r>
    </w:p>
    <w:p>
      <w:pPr>
        <w:pStyle w:val="BodyText"/>
        <w:spacing w:line="240" w:lineRule="auto" w:before="63"/>
        <w:ind w:left="952" w:right="0"/>
        <w:jc w:val="both"/>
      </w:pPr>
      <w:r>
        <w:rPr/>
        <w:t>号公告</w:t>
      </w:r>
      <w:r>
        <w:rPr>
          <w:spacing w:val="-92"/>
        </w:rPr>
        <w:t>）</w:t>
      </w:r>
      <w:r>
        <w:rPr/>
        <w:t>。截至目前，该项目</w:t>
      </w:r>
      <w:r>
        <w:rPr>
          <w:spacing w:val="2"/>
        </w:rPr>
        <w:t>仍</w:t>
      </w:r>
      <w:r>
        <w:rPr/>
        <w:t>在进行中。</w:t>
      </w:r>
    </w:p>
    <w:p>
      <w:pPr>
        <w:pStyle w:val="BodyText"/>
        <w:spacing w:line="340" w:lineRule="auto" w:before="117"/>
        <w:ind w:left="1313" w:right="0"/>
        <w:jc w:val="left"/>
      </w:pPr>
      <w:r>
        <w:rPr/>
        <w:t>（</w:t>
      </w:r>
      <w:r>
        <w:rPr>
          <w:rFonts w:ascii="Times New Roman" w:hAnsi="Times New Roman" w:cs="Times New Roman" w:eastAsia="Times New Roman" w:hint="default"/>
        </w:rPr>
        <w:t>2</w:t>
      </w:r>
      <w:r>
        <w:rPr/>
        <w:t>）与中电研究院签署《房屋定制协议》 </w:t>
      </w:r>
      <w:r>
        <w:rPr>
          <w:spacing w:val="-2"/>
        </w:rPr>
        <w:t>为进一步提升公司核心竞争力，在中国电子进驻北京未来科技城进行“中国电子信息安全技术研究院”项目建设的背景</w:t>
      </w:r>
    </w:p>
    <w:p>
      <w:pPr>
        <w:pStyle w:val="BodyText"/>
        <w:spacing w:line="304" w:lineRule="auto" w:before="1"/>
        <w:ind w:left="952" w:right="971"/>
        <w:jc w:val="both"/>
      </w:pPr>
      <w:r>
        <w:rPr/>
        <w:t>下，考虑到公司战略布局的需要，经</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日公司第五届董事会、</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日公司</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年度第二次临时 </w:t>
      </w:r>
      <w:r>
        <w:rPr>
          <w:spacing w:val="-5"/>
        </w:rPr>
        <w:t>股东大会审议，同意公司与项目承建单位中电信息技术研究院有限公司（简称“中电研究院”）签署《房屋定制协议》，在项</w:t>
      </w:r>
      <w:r>
        <w:rPr>
          <w:spacing w:val="-83"/>
        </w:rPr>
        <w:t> </w:t>
      </w:r>
      <w:r>
        <w:rPr>
          <w:spacing w:val="-83"/>
        </w:rPr>
      </w:r>
      <w:r>
        <w:rPr/>
        <w:t>目一期</w:t>
      </w:r>
      <w:r>
        <w:rPr>
          <w:spacing w:val="-40"/>
        </w:rPr>
        <w:t> </w:t>
      </w:r>
      <w:r>
        <w:rPr>
          <w:rFonts w:ascii="Times New Roman" w:hAnsi="Times New Roman" w:cs="Times New Roman" w:eastAsia="Times New Roman" w:hint="default"/>
        </w:rPr>
        <w:t>A </w:t>
      </w:r>
      <w:r>
        <w:rPr/>
        <w:t>栋地上第四层定制建筑面积约为</w:t>
      </w:r>
      <w:r>
        <w:rPr>
          <w:spacing w:val="-40"/>
        </w:rPr>
        <w:t> </w:t>
      </w:r>
      <w:r>
        <w:rPr>
          <w:rFonts w:ascii="Times New Roman" w:hAnsi="Times New Roman" w:cs="Times New Roman" w:eastAsia="Times New Roman" w:hint="default"/>
        </w:rPr>
        <w:t>4,445</w:t>
      </w:r>
      <w:r>
        <w:rPr>
          <w:rFonts w:ascii="Times New Roman" w:hAnsi="Times New Roman" w:cs="Times New Roman" w:eastAsia="Times New Roman" w:hint="default"/>
          <w:spacing w:val="6"/>
        </w:rPr>
        <w:t> </w:t>
      </w:r>
      <w:r>
        <w:rPr>
          <w:spacing w:val="-3"/>
        </w:rPr>
        <w:t>平方米的科研办公室，打造信息安全系统研发平台，开展与自主可控信息安</w:t>
      </w:r>
      <w:r>
        <w:rPr/>
        <w:t> 全业务相关的科研、办公工作。暂估定制总价</w:t>
      </w:r>
      <w:r>
        <w:rPr>
          <w:spacing w:val="-42"/>
        </w:rPr>
        <w:t> </w:t>
      </w:r>
      <w:r>
        <w:rPr>
          <w:rFonts w:ascii="Times New Roman" w:hAnsi="Times New Roman" w:cs="Times New Roman" w:eastAsia="Times New Roman" w:hint="default"/>
        </w:rPr>
        <w:t>5,778.5</w:t>
      </w:r>
      <w:r>
        <w:rPr>
          <w:rFonts w:ascii="Times New Roman" w:hAnsi="Times New Roman" w:cs="Times New Roman" w:eastAsia="Times New Roman" w:hint="default"/>
          <w:spacing w:val="4"/>
        </w:rPr>
        <w:t> </w:t>
      </w:r>
      <w:r>
        <w:rPr/>
        <w:t>万元，双方同意依据房屋的竣工决算报告，核定房屋结算造价，房屋 结算造价相对于暂估房屋造价增加的部分不超过 </w:t>
      </w:r>
      <w:r>
        <w:rPr>
          <w:rFonts w:ascii="Times New Roman" w:hAnsi="Times New Roman" w:cs="Times New Roman" w:eastAsia="Times New Roman" w:hint="default"/>
        </w:rPr>
        <w:t>10%</w:t>
      </w:r>
      <w:r>
        <w:rPr/>
        <w:t>；若房屋实际结算造价超出部分在</w:t>
      </w:r>
      <w:r>
        <w:rPr>
          <w:spacing w:val="-24"/>
        </w:rPr>
        <w:t> </w:t>
      </w:r>
      <w:r>
        <w:rPr>
          <w:rFonts w:ascii="Times New Roman" w:hAnsi="Times New Roman" w:cs="Times New Roman" w:eastAsia="Times New Roman" w:hint="default"/>
        </w:rPr>
        <w:t>10%</w:t>
      </w:r>
      <w:r>
        <w:rPr/>
        <w:t>以内，则该部分房屋结算造价 由本公司承担（具体内容详见 </w:t>
      </w:r>
      <w:r>
        <w:rPr>
          <w:rFonts w:ascii="Times New Roman" w:hAnsi="Times New Roman" w:cs="Times New Roman" w:eastAsia="Times New Roman" w:hint="default"/>
          <w:spacing w:val="-1"/>
        </w:rPr>
        <w:t>2013-044</w:t>
      </w:r>
      <w:r>
        <w:rPr>
          <w:rFonts w:ascii="Times New Roman" w:hAnsi="Times New Roman" w:cs="Times New Roman" w:eastAsia="Times New Roman" w:hint="default"/>
          <w:spacing w:val="-27"/>
        </w:rPr>
        <w:t> </w:t>
      </w:r>
      <w:r>
        <w:rPr>
          <w:spacing w:val="-6"/>
        </w:rPr>
        <w:t>号公告）。报告期内，该项目已完成。</w:t>
      </w:r>
    </w:p>
    <w:p>
      <w:pPr>
        <w:pStyle w:val="BodyText"/>
        <w:spacing w:line="240" w:lineRule="auto" w:before="47"/>
        <w:ind w:left="1313" w:right="0"/>
        <w:jc w:val="left"/>
      </w:pPr>
      <w:r>
        <w:rPr/>
        <w:t>（</w:t>
      </w:r>
      <w:r>
        <w:rPr>
          <w:rFonts w:ascii="Times New Roman" w:hAnsi="Times New Roman" w:cs="Times New Roman" w:eastAsia="Times New Roman" w:hint="default"/>
        </w:rPr>
        <w:t>3</w:t>
      </w:r>
      <w:r>
        <w:rPr/>
        <w:t>）中电长城大厦项目</w:t>
      </w:r>
    </w:p>
    <w:p>
      <w:pPr>
        <w:pStyle w:val="BodyText"/>
        <w:spacing w:line="309" w:lineRule="auto" w:before="103"/>
        <w:ind w:left="952" w:right="968" w:firstLine="360"/>
        <w:jc w:val="both"/>
      </w:pPr>
      <w:r>
        <w:rPr/>
        <w:t>鉴于公司自身发展的需求，经</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日公司第五届董事会、</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年度第二次临时股东 </w:t>
      </w:r>
      <w:r>
        <w:rPr>
          <w:spacing w:val="-2"/>
        </w:rPr>
        <w:t>大会审议，同意公司于深圳市南山科技园区长城电脑工业园内投资建设中电长城大厦，原项目建设投资预算为不超过人民币</w:t>
      </w:r>
      <w:r>
        <w:rPr>
          <w:spacing w:val="-64"/>
        </w:rPr>
        <w:t> </w:t>
      </w:r>
      <w:r>
        <w:rPr>
          <w:spacing w:val="-64"/>
        </w:rPr>
      </w:r>
      <w:r>
        <w:rPr>
          <w:rFonts w:ascii="Times New Roman" w:hAnsi="Times New Roman" w:cs="Times New Roman" w:eastAsia="Times New Roman" w:hint="default"/>
        </w:rPr>
        <w:t>19.33 </w:t>
      </w:r>
      <w:r>
        <w:rPr>
          <w:spacing w:val="-1"/>
        </w:rPr>
        <w:t>亿元（具体内容详见</w:t>
      </w:r>
      <w:r>
        <w:rPr/>
        <w:t> </w:t>
      </w:r>
      <w:r>
        <w:rPr>
          <w:rFonts w:ascii="Times New Roman" w:hAnsi="Times New Roman" w:cs="Times New Roman" w:eastAsia="Times New Roman" w:hint="default"/>
          <w:spacing w:val="-1"/>
        </w:rPr>
        <w:t>2013-030</w:t>
      </w:r>
      <w:r>
        <w:rPr>
          <w:rFonts w:ascii="Times New Roman" w:hAnsi="Times New Roman" w:cs="Times New Roman" w:eastAsia="Times New Roman" w:hint="default"/>
          <w:spacing w:val="-26"/>
        </w:rPr>
        <w:t> </w:t>
      </w:r>
      <w:r>
        <w:rPr>
          <w:spacing w:val="-19"/>
        </w:rPr>
        <w:t>号公告）。</w:t>
      </w:r>
    </w:p>
    <w:p>
      <w:pPr>
        <w:spacing w:after="0" w:line="309" w:lineRule="auto"/>
        <w:jc w:val="both"/>
        <w:sectPr>
          <w:pgSz w:w="11910" w:h="16840"/>
          <w:pgMar w:header="877" w:footer="980" w:top="1100" w:bottom="1160" w:left="180" w:right="160"/>
        </w:sectPr>
      </w:pPr>
    </w:p>
    <w:p>
      <w:pPr>
        <w:spacing w:line="240" w:lineRule="auto" w:before="11"/>
        <w:rPr>
          <w:rFonts w:ascii="宋体" w:hAnsi="宋体" w:cs="宋体" w:eastAsia="宋体" w:hint="default"/>
          <w:sz w:val="21"/>
          <w:szCs w:val="21"/>
        </w:rPr>
      </w:pPr>
    </w:p>
    <w:p>
      <w:pPr>
        <w:pStyle w:val="BodyText"/>
        <w:spacing w:line="319" w:lineRule="auto" w:before="44"/>
        <w:ind w:left="772" w:right="771" w:firstLine="360"/>
        <w:jc w:val="both"/>
      </w:pPr>
      <w:r>
        <w:rPr>
          <w:spacing w:val="-2"/>
        </w:rPr>
        <w:t>报告期内，随着项目的开发推进，综合考虑项目设计调整优化、市场条件及已实施项目的实际情况等各种因素，经与设</w:t>
      </w:r>
      <w:r>
        <w:rPr/>
        <w:t> 计单位、造价咨询单位、审计部门等多次沟通测算，公司计划对中电长城大厦建设项目追加投资人民币 </w:t>
      </w:r>
      <w:r>
        <w:rPr>
          <w:rFonts w:ascii="Times New Roman" w:hAnsi="Times New Roman" w:cs="Times New Roman" w:eastAsia="Times New Roman" w:hint="default"/>
        </w:rPr>
        <w:t>44,260</w:t>
      </w:r>
      <w:r>
        <w:rPr>
          <w:rFonts w:ascii="Times New Roman" w:hAnsi="Times New Roman" w:cs="Times New Roman" w:eastAsia="Times New Roman" w:hint="default"/>
          <w:spacing w:val="7"/>
        </w:rPr>
        <w:t> </w:t>
      </w:r>
      <w:r>
        <w:rPr/>
        <w:t>万元，主要</w:t>
      </w:r>
    </w:p>
    <w:p>
      <w:pPr>
        <w:pStyle w:val="BodyText"/>
        <w:spacing w:line="246" w:lineRule="exact"/>
        <w:ind w:left="772" w:right="0"/>
        <w:jc w:val="left"/>
      </w:pPr>
      <w:r>
        <w:rPr/>
        <w:t>用于建安费及项目贷款利息支出等相关费用，追加后项目总投资不超过人民币</w:t>
      </w:r>
      <w:r>
        <w:rPr>
          <w:spacing w:val="-65"/>
        </w:rPr>
        <w:t> </w:t>
      </w:r>
      <w:r>
        <w:rPr>
          <w:rFonts w:ascii="Times New Roman" w:hAnsi="Times New Roman" w:cs="Times New Roman" w:eastAsia="Times New Roman" w:hint="default"/>
        </w:rPr>
        <w:t>23.75</w:t>
      </w:r>
      <w:r>
        <w:rPr>
          <w:rFonts w:ascii="Times New Roman" w:hAnsi="Times New Roman" w:cs="Times New Roman" w:eastAsia="Times New Roman" w:hint="default"/>
          <w:spacing w:val="-20"/>
        </w:rPr>
        <w:t> </w:t>
      </w:r>
      <w:r>
        <w:rPr/>
        <w:t>亿元，所需资金由公司自筹解决（具体</w:t>
      </w:r>
    </w:p>
    <w:p>
      <w:pPr>
        <w:pStyle w:val="BodyText"/>
        <w:spacing w:line="240" w:lineRule="auto" w:before="63"/>
        <w:ind w:left="772" w:right="0"/>
        <w:jc w:val="left"/>
      </w:pPr>
      <w:r>
        <w:rPr/>
        <w:t>内容详见</w:t>
      </w:r>
      <w:r>
        <w:rPr>
          <w:spacing w:val="-42"/>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7</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号公告</w:t>
      </w:r>
      <w:r>
        <w:rPr>
          <w:spacing w:val="-92"/>
        </w:rPr>
        <w:t>）</w:t>
      </w:r>
      <w:r>
        <w:rPr/>
        <w:t>。前述事项经</w:t>
      </w:r>
      <w:r>
        <w:rPr>
          <w:spacing w:val="-4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3"/>
        </w:rPr>
        <w:t>日</w:t>
      </w:r>
      <w:r>
        <w:rPr/>
        <w:t>公司第六届董事会审议通过，并于</w:t>
      </w:r>
      <w:r>
        <w:rPr>
          <w:spacing w:val="-4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日获得</w:t>
      </w:r>
      <w:r>
        <w:rPr>
          <w:spacing w:val="-3"/>
        </w:rPr>
        <w:t>公</w:t>
      </w:r>
      <w:r>
        <w:rPr/>
        <w:t>司</w:t>
      </w:r>
    </w:p>
    <w:p>
      <w:pPr>
        <w:pStyle w:val="BodyText"/>
        <w:spacing w:line="340" w:lineRule="auto" w:before="63"/>
        <w:ind w:left="1133" w:right="7291" w:hanging="361"/>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年度第三次临时股东大会的同意。 截至目前，该项目仍在进行中。</w:t>
      </w:r>
    </w:p>
    <w:p>
      <w:pPr>
        <w:pStyle w:val="BodyText"/>
        <w:spacing w:line="240" w:lineRule="auto" w:before="39"/>
        <w:ind w:left="1133" w:right="0"/>
        <w:jc w:val="left"/>
      </w:pPr>
      <w:r>
        <w:rPr/>
        <w:t>（</w:t>
      </w:r>
      <w:r>
        <w:rPr>
          <w:rFonts w:ascii="Times New Roman" w:hAnsi="Times New Roman" w:cs="Times New Roman" w:eastAsia="Times New Roman" w:hint="default"/>
        </w:rPr>
        <w:t>4</w:t>
      </w:r>
      <w:r>
        <w:rPr/>
        <w:t>）长城能源投资建设光伏电站系列项目</w:t>
      </w:r>
    </w:p>
    <w:p>
      <w:pPr>
        <w:pStyle w:val="BodyText"/>
        <w:spacing w:line="300" w:lineRule="auto" w:before="103"/>
        <w:ind w:left="772" w:right="762"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月，长城能源计划在江西、湖北等地合计开展</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个光伏电站建设项目并根据实际需要设立</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个配套的全资项 目公司，预计项目总规模约为</w:t>
      </w:r>
      <w:r>
        <w:rPr>
          <w:spacing w:val="-45"/>
        </w:rPr>
        <w:t> </w:t>
      </w:r>
      <w:r>
        <w:rPr>
          <w:rFonts w:ascii="Times New Roman" w:hAnsi="Times New Roman" w:cs="Times New Roman" w:eastAsia="Times New Roman" w:hint="default"/>
        </w:rPr>
        <w:t>60MW</w:t>
      </w:r>
      <w:r>
        <w:rPr/>
        <w:t>，总投资金额约为人民币</w:t>
      </w:r>
      <w:r>
        <w:rPr>
          <w:spacing w:val="-46"/>
        </w:rPr>
        <w:t> </w:t>
      </w:r>
      <w:r>
        <w:rPr>
          <w:rFonts w:ascii="Times New Roman" w:hAnsi="Times New Roman" w:cs="Times New Roman" w:eastAsia="Times New Roman" w:hint="default"/>
        </w:rPr>
        <w:t>53,369.29</w:t>
      </w:r>
      <w:r>
        <w:rPr>
          <w:rFonts w:ascii="Times New Roman" w:hAnsi="Times New Roman" w:cs="Times New Roman" w:eastAsia="Times New Roman" w:hint="default"/>
          <w:spacing w:val="1"/>
        </w:rPr>
        <w:t> </w:t>
      </w:r>
      <w:r>
        <w:rPr/>
        <w:t>万元，投资资金将通过公司非公开发行募集资金、 自有资金或其他融资方式解决（具体内容详见</w:t>
      </w:r>
      <w:r>
        <w:rPr>
          <w:spacing w:val="-41"/>
        </w:rPr>
        <w:t> </w:t>
      </w:r>
      <w:r>
        <w:rPr>
          <w:rFonts w:ascii="Times New Roman" w:hAnsi="Times New Roman" w:cs="Times New Roman" w:eastAsia="Times New Roman" w:hint="default"/>
          <w:spacing w:val="-1"/>
        </w:rPr>
        <w:t>2014-082</w:t>
      </w:r>
      <w:r>
        <w:rPr>
          <w:rFonts w:ascii="Times New Roman" w:hAnsi="Times New Roman" w:cs="Times New Roman" w:eastAsia="Times New Roman" w:hint="default"/>
          <w:spacing w:val="4"/>
        </w:rPr>
        <w:t> </w:t>
      </w:r>
      <w:r>
        <w:rPr>
          <w:spacing w:val="-5"/>
        </w:rPr>
        <w:t>号公告）。截至目前，该项目仍在进行中。</w:t>
      </w:r>
    </w:p>
    <w:p>
      <w:pPr>
        <w:pStyle w:val="BodyText"/>
        <w:spacing w:line="240" w:lineRule="auto" w:before="53"/>
        <w:ind w:left="113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 </w:t>
      </w:r>
      <w:r>
        <w:rPr>
          <w:rFonts w:ascii="Times New Roman" w:hAnsi="Times New Roman" w:cs="Times New Roman" w:eastAsia="Times New Roman" w:hint="default"/>
          <w:spacing w:val="-17"/>
        </w:rPr>
        <w:t> </w:t>
      </w:r>
      <w:r>
        <w:rPr/>
        <w:t>年内，公司非公开发行</w:t>
      </w:r>
      <w:r>
        <w:rPr>
          <w:spacing w:val="-3"/>
        </w:rPr>
        <w:t>股</w:t>
      </w:r>
      <w:r>
        <w:rPr/>
        <w:t>票方案因股东大会决议的失效而自动终止（具体内容详见</w:t>
      </w:r>
      <w:r>
        <w:rPr>
          <w:spacing w:val="-1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09</w:t>
      </w: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t>号公告</w:t>
      </w:r>
      <w:r>
        <w:rPr>
          <w:spacing w:val="-92"/>
        </w:rPr>
        <w:t>）</w:t>
      </w:r>
      <w:r>
        <w:rPr/>
        <w:t>，为解决长</w:t>
      </w:r>
    </w:p>
    <w:p>
      <w:pPr>
        <w:pStyle w:val="BodyText"/>
        <w:spacing w:line="240" w:lineRule="auto" w:before="63"/>
        <w:ind w:left="772" w:right="0"/>
        <w:jc w:val="left"/>
      </w:pPr>
      <w:r>
        <w:rPr/>
        <w:t>城能源日常经营所需的营运资金</w:t>
      </w:r>
      <w:r>
        <w:rPr>
          <w:spacing w:val="-87"/>
        </w:rPr>
        <w:t>，</w:t>
      </w:r>
      <w:r>
        <w:rPr/>
        <w:t>推进其光伏电站项目的建设及原业务规划的落实</w:t>
      </w:r>
      <w:r>
        <w:rPr>
          <w:spacing w:val="-87"/>
        </w:rPr>
        <w:t>，</w:t>
      </w:r>
      <w:r>
        <w:rPr/>
        <w:t>经</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日公司第六届董事</w:t>
      </w:r>
      <w:r>
        <w:rPr>
          <w:spacing w:val="-3"/>
        </w:rPr>
        <w:t>会</w:t>
      </w:r>
      <w:r>
        <w:rPr/>
        <w:t>、</w:t>
      </w:r>
    </w:p>
    <w:p>
      <w:pPr>
        <w:pStyle w:val="BodyText"/>
        <w:spacing w:line="240" w:lineRule="auto" w:before="63"/>
        <w:ind w:left="772"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35"/>
        </w:rPr>
        <w:t> </w:t>
      </w:r>
      <w:r>
        <w:rPr>
          <w:rFonts w:ascii="Times New Roman" w:hAnsi="Times New Roman" w:cs="Times New Roman" w:eastAsia="Times New Roman" w:hint="default"/>
        </w:rPr>
        <w:t>23</w:t>
      </w:r>
      <w:r>
        <w:rPr>
          <w:rFonts w:ascii="Times New Roman" w:hAnsi="Times New Roman" w:cs="Times New Roman" w:eastAsia="Times New Roman" w:hint="default"/>
          <w:spacing w:val="13"/>
        </w:rPr>
        <w:t> </w:t>
      </w:r>
      <w:r>
        <w:rPr/>
        <w:t>日公司</w:t>
      </w:r>
      <w:r>
        <w:rPr>
          <w:spacing w:val="-3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年度第一次临时股东大会审议通过，同意公司对长城能源进行现金增资，增资金额为人民币</w:t>
      </w:r>
      <w:r>
        <w:rPr>
          <w:spacing w:val="-31"/>
        </w:rPr>
        <w:t> </w:t>
      </w:r>
      <w:r>
        <w:rPr>
          <w:rFonts w:ascii="Times New Roman" w:hAnsi="Times New Roman" w:cs="Times New Roman" w:eastAsia="Times New Roman" w:hint="default"/>
        </w:rPr>
        <w:t>3</w:t>
      </w:r>
    </w:p>
    <w:p>
      <w:pPr>
        <w:pStyle w:val="BodyText"/>
        <w:spacing w:line="240" w:lineRule="auto" w:before="63"/>
        <w:ind w:left="772" w:right="0"/>
        <w:jc w:val="left"/>
      </w:pPr>
      <w:r>
        <w:rPr/>
        <w:t>亿元，长城能源注册资本由原来的</w:t>
      </w:r>
      <w:r>
        <w:rPr>
          <w:spacing w:val="-44"/>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万元增至</w:t>
      </w:r>
      <w:r>
        <w:rPr>
          <w:spacing w:val="-47"/>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万</w:t>
      </w:r>
      <w:r>
        <w:rPr/>
        <w:t>元（具体内容详见</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号</w:t>
      </w:r>
      <w:r>
        <w:rPr/>
        <w:t>公告</w:t>
      </w:r>
      <w:r>
        <w:rPr>
          <w:spacing w:val="-92"/>
        </w:rPr>
        <w:t>）</w:t>
      </w:r>
      <w:r>
        <w:rPr/>
        <w:t>。</w:t>
      </w:r>
    </w:p>
    <w:p>
      <w:pPr>
        <w:spacing w:line="240" w:lineRule="auto" w:before="4"/>
        <w:rPr>
          <w:rFonts w:ascii="宋体" w:hAnsi="宋体" w:cs="宋体" w:eastAsia="宋体" w:hint="default"/>
          <w:sz w:val="15"/>
          <w:szCs w:val="15"/>
        </w:rPr>
      </w:pPr>
    </w:p>
    <w:p>
      <w:pPr>
        <w:pStyle w:val="Heading8"/>
        <w:spacing w:line="240" w:lineRule="auto"/>
        <w:ind w:left="772" w:right="0"/>
        <w:jc w:val="left"/>
        <w:rPr>
          <w:b w:val="0"/>
          <w:bCs w:val="0"/>
        </w:rPr>
      </w:pPr>
      <w:r>
        <w:rPr>
          <w:rFonts w:ascii="Times New Roman" w:hAnsi="Times New Roman" w:cs="Times New Roman" w:eastAsia="Times New Roman" w:hint="default"/>
        </w:rPr>
        <w:t>4</w:t>
      </w:r>
      <w:r>
        <w:rPr/>
        <w:t>、金融资产投资</w:t>
      </w:r>
      <w:r>
        <w:rPr>
          <w:b w:val="0"/>
          <w:bCs w:val="0"/>
        </w:rPr>
      </w:r>
    </w:p>
    <w:p>
      <w:pPr>
        <w:pStyle w:val="Heading8"/>
        <w:spacing w:line="240" w:lineRule="auto" w:before="182"/>
        <w:ind w:left="772"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1"/>
        <w:rPr>
          <w:rFonts w:ascii="宋体" w:hAnsi="宋体" w:cs="宋体" w:eastAsia="宋体" w:hint="default"/>
          <w:b/>
          <w:bCs/>
          <w:sz w:val="12"/>
          <w:szCs w:val="12"/>
        </w:rPr>
      </w:pPr>
    </w:p>
    <w:p>
      <w:pPr>
        <w:pStyle w:val="BodyText"/>
        <w:spacing w:line="240" w:lineRule="auto" w:before="44"/>
        <w:ind w:left="772" w:right="0"/>
        <w:jc w:val="left"/>
      </w:pPr>
      <w:r>
        <w:rPr/>
        <w:t>√ 适用 □</w:t>
      </w:r>
      <w:r>
        <w:rPr>
          <w:spacing w:val="3"/>
        </w:rPr>
        <w:t> </w:t>
      </w:r>
      <w:r>
        <w:rPr/>
        <w:t>不适用</w:t>
      </w:r>
    </w:p>
    <w:p>
      <w:pPr>
        <w:pStyle w:val="BodyText"/>
        <w:spacing w:line="240" w:lineRule="auto" w:before="115"/>
        <w:ind w:left="0" w:right="77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82"/>
        <w:gridCol w:w="1061"/>
        <w:gridCol w:w="912"/>
        <w:gridCol w:w="862"/>
        <w:gridCol w:w="579"/>
        <w:gridCol w:w="862"/>
        <w:gridCol w:w="900"/>
        <w:gridCol w:w="761"/>
        <w:gridCol w:w="878"/>
        <w:gridCol w:w="840"/>
        <w:gridCol w:w="841"/>
        <w:gridCol w:w="900"/>
        <w:gridCol w:w="540"/>
        <w:gridCol w:w="540"/>
      </w:tblGrid>
      <w:tr>
        <w:trPr>
          <w:trHeight w:val="946" w:hRule="exact"/>
        </w:trPr>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88" w:right="79"/>
              <w:jc w:val="left"/>
              <w:rPr>
                <w:rFonts w:ascii="宋体" w:hAnsi="宋体" w:cs="宋体" w:eastAsia="宋体" w:hint="default"/>
                <w:sz w:val="15"/>
                <w:szCs w:val="15"/>
              </w:rPr>
            </w:pPr>
            <w:r>
              <w:rPr>
                <w:rFonts w:ascii="宋体" w:hAnsi="宋体" w:cs="宋体" w:eastAsia="宋体" w:hint="default"/>
                <w:sz w:val="15"/>
                <w:szCs w:val="15"/>
              </w:rPr>
              <w:t>证券</w:t>
            </w:r>
            <w:r>
              <w:rPr>
                <w:rFonts w:ascii="宋体" w:hAnsi="宋体" w:cs="宋体" w:eastAsia="宋体" w:hint="default"/>
                <w:spacing w:val="-73"/>
                <w:sz w:val="15"/>
                <w:szCs w:val="15"/>
              </w:rPr>
              <w:t> </w:t>
            </w:r>
            <w:r>
              <w:rPr>
                <w:rFonts w:ascii="宋体" w:hAnsi="宋体" w:cs="宋体" w:eastAsia="宋体" w:hint="default"/>
                <w:sz w:val="15"/>
                <w:szCs w:val="15"/>
              </w:rPr>
              <w:t>品种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5"/>
                <w:szCs w:val="15"/>
              </w:rPr>
            </w:pPr>
            <w:r>
              <w:rPr>
                <w:rFonts w:ascii="宋体" w:hAnsi="宋体" w:cs="宋体" w:eastAsia="宋体" w:hint="default"/>
                <w:sz w:val="15"/>
                <w:szCs w:val="15"/>
              </w:rPr>
              <w:t>证券代码</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证券简称</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75" w:right="122" w:hanging="152"/>
              <w:jc w:val="left"/>
              <w:rPr>
                <w:rFonts w:ascii="宋体" w:hAnsi="宋体" w:cs="宋体" w:eastAsia="宋体" w:hint="default"/>
                <w:sz w:val="15"/>
                <w:szCs w:val="15"/>
              </w:rPr>
            </w:pPr>
            <w:r>
              <w:rPr>
                <w:rFonts w:ascii="宋体" w:hAnsi="宋体" w:cs="宋体" w:eastAsia="宋体" w:hint="default"/>
                <w:sz w:val="15"/>
                <w:szCs w:val="15"/>
              </w:rPr>
              <w:t>最初投资</w:t>
            </w:r>
            <w:r>
              <w:rPr>
                <w:rFonts w:ascii="宋体" w:hAnsi="宋体" w:cs="宋体" w:eastAsia="宋体" w:hint="default"/>
                <w:w w:val="100"/>
                <w:sz w:val="15"/>
                <w:szCs w:val="15"/>
              </w:rPr>
              <w:t> </w:t>
            </w:r>
            <w:r>
              <w:rPr>
                <w:rFonts w:ascii="宋体" w:hAnsi="宋体" w:cs="宋体" w:eastAsia="宋体" w:hint="default"/>
                <w:sz w:val="15"/>
                <w:szCs w:val="15"/>
              </w:rPr>
              <w:t>成本</w:t>
            </w:r>
          </w:p>
        </w:tc>
        <w:tc>
          <w:tcPr>
            <w:tcW w:w="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60" w:right="53"/>
              <w:jc w:val="left"/>
              <w:rPr>
                <w:rFonts w:ascii="宋体" w:hAnsi="宋体" w:cs="宋体" w:eastAsia="宋体" w:hint="default"/>
                <w:sz w:val="15"/>
                <w:szCs w:val="15"/>
              </w:rPr>
            </w:pPr>
            <w:r>
              <w:rPr>
                <w:rFonts w:ascii="宋体" w:hAnsi="宋体" w:cs="宋体" w:eastAsia="宋体" w:hint="default"/>
                <w:sz w:val="15"/>
                <w:szCs w:val="15"/>
              </w:rPr>
              <w:t>会计计</w:t>
            </w:r>
            <w:r>
              <w:rPr>
                <w:rFonts w:ascii="宋体" w:hAnsi="宋体" w:cs="宋体" w:eastAsia="宋体" w:hint="default"/>
                <w:spacing w:val="-72"/>
                <w:sz w:val="15"/>
                <w:szCs w:val="15"/>
              </w:rPr>
              <w:t> </w:t>
            </w:r>
            <w:r>
              <w:rPr>
                <w:rFonts w:ascii="宋体" w:hAnsi="宋体" w:cs="宋体" w:eastAsia="宋体" w:hint="default"/>
                <w:sz w:val="15"/>
                <w:szCs w:val="15"/>
              </w:rPr>
              <w:t>量模式</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76" w:right="122" w:hanging="152"/>
              <w:jc w:val="left"/>
              <w:rPr>
                <w:rFonts w:ascii="宋体" w:hAnsi="宋体" w:cs="宋体" w:eastAsia="宋体" w:hint="default"/>
                <w:sz w:val="15"/>
                <w:szCs w:val="15"/>
              </w:rPr>
            </w:pPr>
            <w:r>
              <w:rPr>
                <w:rFonts w:ascii="宋体" w:hAnsi="宋体" w:cs="宋体" w:eastAsia="宋体" w:hint="default"/>
                <w:sz w:val="15"/>
                <w:szCs w:val="15"/>
              </w:rPr>
              <w:t>期初账面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71" w:right="62"/>
              <w:jc w:val="left"/>
              <w:rPr>
                <w:rFonts w:ascii="宋体" w:hAnsi="宋体" w:cs="宋体" w:eastAsia="宋体" w:hint="default"/>
                <w:sz w:val="15"/>
                <w:szCs w:val="15"/>
              </w:rPr>
            </w:pPr>
            <w:r>
              <w:rPr>
                <w:rFonts w:ascii="宋体" w:hAnsi="宋体" w:cs="宋体" w:eastAsia="宋体" w:hint="default"/>
                <w:sz w:val="15"/>
                <w:szCs w:val="15"/>
              </w:rPr>
              <w:t>本期公允价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值变动损益</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3"/>
              <w:ind w:left="2" w:right="-5"/>
              <w:jc w:val="center"/>
              <w:rPr>
                <w:rFonts w:ascii="宋体" w:hAnsi="宋体" w:cs="宋体" w:eastAsia="宋体" w:hint="default"/>
                <w:sz w:val="15"/>
                <w:szCs w:val="15"/>
              </w:rPr>
            </w:pPr>
            <w:r>
              <w:rPr>
                <w:rFonts w:ascii="宋体" w:hAnsi="宋体" w:cs="宋体" w:eastAsia="宋体" w:hint="default"/>
                <w:sz w:val="15"/>
                <w:szCs w:val="15"/>
              </w:rPr>
              <w:t>计入权益的</w:t>
            </w:r>
            <w:r>
              <w:rPr>
                <w:rFonts w:ascii="宋体" w:hAnsi="宋体" w:cs="宋体" w:eastAsia="宋体" w:hint="default"/>
                <w:w w:val="100"/>
                <w:sz w:val="15"/>
                <w:szCs w:val="15"/>
              </w:rPr>
              <w:t> </w:t>
            </w:r>
            <w:r>
              <w:rPr>
                <w:rFonts w:ascii="宋体" w:hAnsi="宋体" w:cs="宋体" w:eastAsia="宋体" w:hint="default"/>
                <w:sz w:val="15"/>
                <w:szCs w:val="15"/>
              </w:rPr>
              <w:t>累计公允价</w:t>
            </w:r>
            <w:r>
              <w:rPr>
                <w:rFonts w:ascii="宋体" w:hAnsi="宋体" w:cs="宋体" w:eastAsia="宋体" w:hint="default"/>
                <w:w w:val="100"/>
                <w:sz w:val="15"/>
                <w:szCs w:val="15"/>
              </w:rPr>
              <w:t> </w:t>
            </w:r>
            <w:r>
              <w:rPr>
                <w:rFonts w:ascii="宋体" w:hAnsi="宋体" w:cs="宋体" w:eastAsia="宋体" w:hint="default"/>
                <w:sz w:val="15"/>
                <w:szCs w:val="15"/>
              </w:rPr>
              <w:t>值变动</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85" w:right="130" w:hanging="152"/>
              <w:jc w:val="left"/>
              <w:rPr>
                <w:rFonts w:ascii="宋体" w:hAnsi="宋体" w:cs="宋体" w:eastAsia="宋体" w:hint="default"/>
                <w:sz w:val="15"/>
                <w:szCs w:val="15"/>
              </w:rPr>
            </w:pPr>
            <w:r>
              <w:rPr>
                <w:rFonts w:ascii="宋体" w:hAnsi="宋体" w:cs="宋体" w:eastAsia="宋体" w:hint="default"/>
                <w:sz w:val="15"/>
                <w:szCs w:val="15"/>
              </w:rPr>
              <w:t>本期购买</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66" w:right="108" w:hanging="149"/>
              <w:jc w:val="left"/>
              <w:rPr>
                <w:rFonts w:ascii="宋体" w:hAnsi="宋体" w:cs="宋体" w:eastAsia="宋体" w:hint="default"/>
                <w:sz w:val="15"/>
                <w:szCs w:val="15"/>
              </w:rPr>
            </w:pPr>
            <w:r>
              <w:rPr>
                <w:rFonts w:ascii="宋体" w:hAnsi="宋体" w:cs="宋体" w:eastAsia="宋体" w:hint="default"/>
                <w:sz w:val="15"/>
                <w:szCs w:val="15"/>
              </w:rPr>
              <w:t>本期出售</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4"/>
              <w:jc w:val="right"/>
              <w:rPr>
                <w:rFonts w:ascii="宋体" w:hAnsi="宋体" w:cs="宋体" w:eastAsia="宋体" w:hint="default"/>
                <w:sz w:val="15"/>
                <w:szCs w:val="15"/>
              </w:rPr>
            </w:pPr>
            <w:r>
              <w:rPr>
                <w:rFonts w:ascii="宋体" w:hAnsi="宋体" w:cs="宋体" w:eastAsia="宋体" w:hint="default"/>
                <w:spacing w:val="-1"/>
                <w:sz w:val="15"/>
                <w:szCs w:val="15"/>
              </w:rPr>
              <w:t>报告期损益</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97" w:right="139" w:hanging="152"/>
              <w:jc w:val="left"/>
              <w:rPr>
                <w:rFonts w:ascii="宋体" w:hAnsi="宋体" w:cs="宋体" w:eastAsia="宋体" w:hint="default"/>
                <w:sz w:val="15"/>
                <w:szCs w:val="15"/>
              </w:rPr>
            </w:pPr>
            <w:r>
              <w:rPr>
                <w:rFonts w:ascii="宋体" w:hAnsi="宋体" w:cs="宋体" w:eastAsia="宋体" w:hint="default"/>
                <w:sz w:val="15"/>
                <w:szCs w:val="15"/>
              </w:rPr>
              <w:t>期末账面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40" w:right="35"/>
              <w:jc w:val="left"/>
              <w:rPr>
                <w:rFonts w:ascii="宋体" w:hAnsi="宋体" w:cs="宋体" w:eastAsia="宋体" w:hint="default"/>
                <w:sz w:val="15"/>
                <w:szCs w:val="15"/>
              </w:rPr>
            </w:pPr>
            <w:r>
              <w:rPr>
                <w:rFonts w:ascii="宋体" w:hAnsi="宋体" w:cs="宋体" w:eastAsia="宋体" w:hint="default"/>
                <w:sz w:val="15"/>
                <w:szCs w:val="15"/>
              </w:rPr>
              <w:t>会计核</w:t>
            </w:r>
            <w:r>
              <w:rPr>
                <w:rFonts w:ascii="宋体" w:hAnsi="宋体" w:cs="宋体" w:eastAsia="宋体" w:hint="default"/>
                <w:spacing w:val="-72"/>
                <w:sz w:val="15"/>
                <w:szCs w:val="15"/>
              </w:rPr>
              <w:t> </w:t>
            </w:r>
            <w:r>
              <w:rPr>
                <w:rFonts w:ascii="宋体" w:hAnsi="宋体" w:cs="宋体" w:eastAsia="宋体" w:hint="default"/>
                <w:sz w:val="15"/>
                <w:szCs w:val="15"/>
              </w:rPr>
              <w:t>算科目</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17" w:right="108"/>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674"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基金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2" w:right="0"/>
              <w:jc w:val="left"/>
              <w:rPr>
                <w:rFonts w:ascii="Times New Roman" w:hAnsi="Times New Roman" w:cs="Times New Roman" w:eastAsia="Times New Roman" w:hint="default"/>
                <w:sz w:val="13"/>
                <w:szCs w:val="13"/>
              </w:rPr>
            </w:pPr>
            <w:r>
              <w:rPr>
                <w:rFonts w:ascii="Times New Roman"/>
                <w:sz w:val="13"/>
              </w:rPr>
              <w:t>Argentina</w:t>
            </w:r>
            <w:r>
              <w:rPr>
                <w:rFonts w:ascii="Times New Roman"/>
                <w:spacing w:val="-6"/>
                <w:sz w:val="13"/>
              </w:rPr>
              <w:t> </w:t>
            </w:r>
            <w:r>
              <w:rPr>
                <w:rFonts w:ascii="Times New Roman"/>
                <w:sz w:val="13"/>
              </w:rPr>
              <w:t>MMF</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2" w:right="0"/>
              <w:jc w:val="left"/>
              <w:rPr>
                <w:rFonts w:ascii="Times New Roman" w:hAnsi="Times New Roman" w:cs="Times New Roman" w:eastAsia="Times New Roman" w:hint="default"/>
                <w:sz w:val="13"/>
                <w:szCs w:val="13"/>
              </w:rPr>
            </w:pPr>
            <w:r>
              <w:rPr>
                <w:rFonts w:ascii="Times New Roman"/>
                <w:sz w:val="13"/>
              </w:rPr>
              <w:t>Argentina</w:t>
            </w:r>
            <w:r>
              <w:rPr>
                <w:rFonts w:ascii="Times New Roman"/>
                <w:spacing w:val="-6"/>
                <w:sz w:val="13"/>
              </w:rPr>
              <w:t> </w:t>
            </w:r>
            <w:r>
              <w:rPr>
                <w:rFonts w:ascii="Times New Roman"/>
                <w:sz w:val="13"/>
              </w:rPr>
              <w:t>MMF</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0"/>
              <w:jc w:val="right"/>
              <w:rPr>
                <w:rFonts w:ascii="Times New Roman" w:hAnsi="Times New Roman" w:cs="Times New Roman" w:eastAsia="Times New Roman" w:hint="default"/>
                <w:sz w:val="13"/>
                <w:szCs w:val="13"/>
              </w:rPr>
            </w:pPr>
            <w:r>
              <w:rPr>
                <w:rFonts w:ascii="Times New Roman"/>
                <w:sz w:val="13"/>
              </w:rPr>
              <w:t>414,512,462.40</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444" w:lineRule="auto" w:before="69"/>
              <w:ind w:left="156" w:right="26" w:hanging="133"/>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8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120,524,188.50</w:t>
            </w:r>
          </w:p>
        </w:tc>
        <w:tc>
          <w:tcPr>
            <w:tcW w:w="76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661,788,750.40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19" w:right="-2"/>
              <w:jc w:val="center"/>
              <w:rPr>
                <w:rFonts w:ascii="Times New Roman" w:hAnsi="Times New Roman" w:cs="Times New Roman" w:eastAsia="Times New Roman" w:hint="default"/>
                <w:sz w:val="13"/>
                <w:szCs w:val="13"/>
              </w:rPr>
            </w:pPr>
            <w:r>
              <w:rPr>
                <w:rFonts w:ascii="Times New Roman"/>
                <w:sz w:val="13"/>
              </w:rPr>
              <w:t>261,867,407.20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-29,697,349.75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369,018,300.80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44"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交易性金</w:t>
            </w:r>
            <w:r>
              <w:rPr>
                <w:rFonts w:ascii="宋体" w:hAnsi="宋体" w:cs="宋体" w:eastAsia="宋体" w:hint="default"/>
                <w:w w:val="99"/>
                <w:sz w:val="13"/>
                <w:szCs w:val="13"/>
              </w:rPr>
              <w:t> </w:t>
            </w:r>
            <w:r>
              <w:rPr>
                <w:rFonts w:ascii="宋体" w:hAnsi="宋体" w:cs="宋体" w:eastAsia="宋体" w:hint="default"/>
                <w:sz w:val="13"/>
                <w:szCs w:val="13"/>
              </w:rPr>
              <w:t>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44"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冠捷科技</w:t>
            </w:r>
            <w:r>
              <w:rPr>
                <w:rFonts w:ascii="宋体" w:hAnsi="宋体" w:cs="宋体" w:eastAsia="宋体" w:hint="default"/>
                <w:w w:val="99"/>
                <w:sz w:val="13"/>
                <w:szCs w:val="13"/>
              </w:rPr>
              <w:t> </w:t>
            </w:r>
            <w:r>
              <w:rPr>
                <w:rFonts w:ascii="宋体" w:hAnsi="宋体" w:cs="宋体" w:eastAsia="宋体" w:hint="default"/>
                <w:sz w:val="13"/>
                <w:szCs w:val="13"/>
              </w:rPr>
              <w:t>自有资金</w:t>
            </w:r>
          </w:p>
        </w:tc>
      </w:tr>
      <w:tr>
        <w:trPr>
          <w:trHeight w:val="675"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107" w:right="38" w:hanging="65"/>
              <w:jc w:val="left"/>
              <w:rPr>
                <w:rFonts w:ascii="宋体" w:hAnsi="宋体" w:cs="宋体" w:eastAsia="宋体" w:hint="default"/>
                <w:sz w:val="13"/>
                <w:szCs w:val="13"/>
              </w:rPr>
            </w:pPr>
            <w:r>
              <w:rPr>
                <w:rFonts w:ascii="宋体" w:hAnsi="宋体" w:cs="宋体" w:eastAsia="宋体" w:hint="default"/>
                <w:sz w:val="13"/>
                <w:szCs w:val="13"/>
              </w:rPr>
              <w:t>境内外</w:t>
            </w:r>
            <w:r>
              <w:rPr>
                <w:rFonts w:ascii="宋体" w:hAnsi="宋体" w:cs="宋体" w:eastAsia="宋体" w:hint="default"/>
                <w:w w:val="99"/>
                <w:sz w:val="13"/>
                <w:szCs w:val="13"/>
              </w:rPr>
              <w:t> </w:t>
            </w:r>
            <w:r>
              <w:rPr>
                <w:rFonts w:ascii="宋体" w:hAnsi="宋体" w:cs="宋体" w:eastAsia="宋体" w:hint="default"/>
                <w:sz w:val="13"/>
                <w:szCs w:val="13"/>
              </w:rPr>
              <w:t>股票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left="2" w:right="0"/>
              <w:jc w:val="left"/>
              <w:rPr>
                <w:rFonts w:ascii="Times New Roman" w:hAnsi="Times New Roman" w:cs="Times New Roman" w:eastAsia="Times New Roman" w:hint="default"/>
                <w:sz w:val="13"/>
                <w:szCs w:val="13"/>
              </w:rPr>
            </w:pPr>
            <w:r>
              <w:rPr>
                <w:rFonts w:ascii="Times New Roman"/>
                <w:sz w:val="13"/>
              </w:rPr>
              <w:t>3573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3"/>
                <w:szCs w:val="13"/>
              </w:rPr>
            </w:pPr>
            <w:r>
              <w:rPr>
                <w:rFonts w:ascii="宋体" w:hAnsi="宋体" w:cs="宋体" w:eastAsia="宋体" w:hint="default"/>
                <w:sz w:val="13"/>
                <w:szCs w:val="13"/>
              </w:rPr>
              <w:t>颖台科技</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31,562,578.60</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156" w:right="26" w:hanging="133"/>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13,321,063.00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right="-5"/>
              <w:jc w:val="right"/>
              <w:rPr>
                <w:rFonts w:ascii="Times New Roman" w:hAnsi="Times New Roman" w:cs="Times New Roman" w:eastAsia="Times New Roman" w:hint="default"/>
                <w:sz w:val="13"/>
                <w:szCs w:val="13"/>
              </w:rPr>
            </w:pPr>
            <w:r>
              <w:rPr>
                <w:rFonts w:ascii="Times New Roman"/>
                <w:sz w:val="13"/>
              </w:rPr>
              <w:t>1,054,602.25</w:t>
            </w:r>
          </w:p>
        </w:tc>
        <w:tc>
          <w:tcPr>
            <w:tcW w:w="76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773,791.00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right="-5"/>
              <w:jc w:val="right"/>
              <w:rPr>
                <w:rFonts w:ascii="Times New Roman" w:hAnsi="Times New Roman" w:cs="Times New Roman" w:eastAsia="Times New Roman" w:hint="default"/>
                <w:sz w:val="13"/>
                <w:szCs w:val="13"/>
              </w:rPr>
            </w:pPr>
            <w:r>
              <w:rPr>
                <w:rFonts w:ascii="Times New Roman"/>
                <w:sz w:val="13"/>
              </w:rPr>
              <w:t>14,941,773.60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交易性金</w:t>
            </w:r>
            <w:r>
              <w:rPr>
                <w:rFonts w:ascii="宋体" w:hAnsi="宋体" w:cs="宋体" w:eastAsia="宋体" w:hint="default"/>
                <w:w w:val="99"/>
                <w:sz w:val="13"/>
                <w:szCs w:val="13"/>
              </w:rPr>
              <w:t> </w:t>
            </w:r>
            <w:r>
              <w:rPr>
                <w:rFonts w:ascii="宋体" w:hAnsi="宋体" w:cs="宋体" w:eastAsia="宋体" w:hint="default"/>
                <w:sz w:val="13"/>
                <w:szCs w:val="13"/>
              </w:rPr>
              <w:t>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冠捷科技</w:t>
            </w:r>
            <w:r>
              <w:rPr>
                <w:rFonts w:ascii="宋体" w:hAnsi="宋体" w:cs="宋体" w:eastAsia="宋体" w:hint="default"/>
                <w:w w:val="99"/>
                <w:sz w:val="13"/>
                <w:szCs w:val="13"/>
              </w:rPr>
              <w:t> </w:t>
            </w:r>
            <w:r>
              <w:rPr>
                <w:rFonts w:ascii="宋体" w:hAnsi="宋体" w:cs="宋体" w:eastAsia="宋体" w:hint="default"/>
                <w:sz w:val="13"/>
                <w:szCs w:val="13"/>
              </w:rPr>
              <w:t>自有资金</w:t>
            </w:r>
          </w:p>
        </w:tc>
      </w:tr>
      <w:tr>
        <w:trPr>
          <w:trHeight w:val="674"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债券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2" w:right="0"/>
              <w:jc w:val="left"/>
              <w:rPr>
                <w:rFonts w:ascii="Times New Roman" w:hAnsi="Times New Roman" w:cs="Times New Roman" w:eastAsia="Times New Roman" w:hint="default"/>
                <w:sz w:val="13"/>
                <w:szCs w:val="13"/>
              </w:rPr>
            </w:pPr>
            <w:r>
              <w:rPr>
                <w:rFonts w:ascii="Times New Roman"/>
                <w:sz w:val="13"/>
              </w:rPr>
              <w:t>USG4639DWC57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2" w:right="0"/>
              <w:jc w:val="left"/>
              <w:rPr>
                <w:rFonts w:ascii="Times New Roman" w:hAnsi="Times New Roman" w:cs="Times New Roman" w:eastAsia="Times New Roman" w:hint="default"/>
                <w:sz w:val="13"/>
                <w:szCs w:val="13"/>
              </w:rPr>
            </w:pPr>
            <w:r>
              <w:rPr>
                <w:rFonts w:ascii="Times New Roman"/>
                <w:sz w:val="13"/>
              </w:rPr>
              <w:t>HSBC</w:t>
            </w:r>
            <w:r>
              <w:rPr>
                <w:rFonts w:ascii="Times New Roman"/>
                <w:spacing w:val="-4"/>
                <w:sz w:val="13"/>
              </w:rPr>
              <w:t> </w:t>
            </w:r>
            <w:r>
              <w:rPr>
                <w:rFonts w:ascii="Times New Roman"/>
                <w:sz w:val="13"/>
              </w:rPr>
              <w:t>BOND</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8,898,749.46</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156" w:right="26" w:hanging="133"/>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8,812,916.95</w:t>
            </w:r>
          </w:p>
        </w:tc>
        <w:tc>
          <w:tcPr>
            <w:tcW w:w="90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-93,974.36</w:t>
            </w:r>
          </w:p>
        </w:tc>
        <w:tc>
          <w:tcPr>
            <w:tcW w:w="8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383,744.88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5"/>
              <w:jc w:val="right"/>
              <w:rPr>
                <w:rFonts w:ascii="Times New Roman" w:hAnsi="Times New Roman" w:cs="Times New Roman" w:eastAsia="Times New Roman" w:hint="default"/>
                <w:sz w:val="13"/>
                <w:szCs w:val="13"/>
              </w:rPr>
            </w:pPr>
            <w:r>
              <w:rPr>
                <w:rFonts w:ascii="Times New Roman"/>
                <w:sz w:val="13"/>
              </w:rPr>
              <w:t>9,257,076.08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柏怡国际</w:t>
            </w:r>
            <w:r>
              <w:rPr>
                <w:rFonts w:ascii="宋体" w:hAnsi="宋体" w:cs="宋体" w:eastAsia="宋体" w:hint="default"/>
                <w:w w:val="99"/>
                <w:sz w:val="13"/>
                <w:szCs w:val="13"/>
              </w:rPr>
              <w:t> </w:t>
            </w:r>
            <w:r>
              <w:rPr>
                <w:rFonts w:ascii="宋体" w:hAnsi="宋体" w:cs="宋体" w:eastAsia="宋体" w:hint="default"/>
                <w:sz w:val="13"/>
                <w:szCs w:val="13"/>
              </w:rPr>
              <w:t>自有资金</w:t>
            </w:r>
          </w:p>
        </w:tc>
      </w:tr>
      <w:tr>
        <w:trPr>
          <w:trHeight w:val="672"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债券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2" w:right="0"/>
              <w:jc w:val="left"/>
              <w:rPr>
                <w:rFonts w:ascii="Times New Roman" w:hAnsi="Times New Roman" w:cs="Times New Roman" w:eastAsia="Times New Roman" w:hint="default"/>
                <w:sz w:val="13"/>
                <w:szCs w:val="13"/>
              </w:rPr>
            </w:pPr>
            <w:r>
              <w:rPr>
                <w:rFonts w:ascii="Times New Roman"/>
                <w:sz w:val="13"/>
              </w:rPr>
              <w:t>USY1391CAJ00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left="2" w:right="0"/>
              <w:jc w:val="left"/>
              <w:rPr>
                <w:rFonts w:ascii="Times New Roman" w:hAnsi="Times New Roman" w:cs="Times New Roman" w:eastAsia="Times New Roman" w:hint="default"/>
                <w:sz w:val="13"/>
                <w:szCs w:val="13"/>
              </w:rPr>
            </w:pPr>
            <w:r>
              <w:rPr>
                <w:rFonts w:ascii="Times New Roman"/>
                <w:sz w:val="13"/>
              </w:rPr>
              <w:t>BOC</w:t>
            </w:r>
            <w:r>
              <w:rPr>
                <w:rFonts w:ascii="Times New Roman"/>
                <w:spacing w:val="-3"/>
                <w:sz w:val="13"/>
              </w:rPr>
              <w:t> </w:t>
            </w:r>
            <w:r>
              <w:rPr>
                <w:rFonts w:ascii="Times New Roman"/>
                <w:sz w:val="13"/>
              </w:rPr>
              <w:t>BOND</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9,351,492.82</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156" w:right="26" w:hanging="133"/>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9,241,372.12</w:t>
            </w:r>
          </w:p>
        </w:tc>
        <w:tc>
          <w:tcPr>
            <w:tcW w:w="90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27,029.82</w:t>
            </w:r>
          </w:p>
        </w:tc>
        <w:tc>
          <w:tcPr>
            <w:tcW w:w="8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2"/>
              <w:jc w:val="right"/>
              <w:rPr>
                <w:rFonts w:ascii="Times New Roman" w:hAnsi="Times New Roman" w:cs="Times New Roman" w:eastAsia="Times New Roman" w:hint="default"/>
                <w:sz w:val="13"/>
                <w:szCs w:val="13"/>
              </w:rPr>
            </w:pPr>
            <w:r>
              <w:rPr>
                <w:rFonts w:ascii="Times New Roman"/>
                <w:sz w:val="13"/>
              </w:rPr>
              <w:t>482,865.99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8"/>
              <w:ind w:right="-5"/>
              <w:jc w:val="right"/>
              <w:rPr>
                <w:rFonts w:ascii="Times New Roman" w:hAnsi="Times New Roman" w:cs="Times New Roman" w:eastAsia="Times New Roman" w:hint="default"/>
                <w:sz w:val="13"/>
                <w:szCs w:val="13"/>
              </w:rPr>
            </w:pPr>
            <w:r>
              <w:rPr>
                <w:rFonts w:ascii="Times New Roman"/>
                <w:sz w:val="13"/>
              </w:rPr>
              <w:t>9,838,000.07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69"/>
              <w:ind w:left="2" w:right="7"/>
              <w:jc w:val="left"/>
              <w:rPr>
                <w:rFonts w:ascii="宋体" w:hAnsi="宋体" w:cs="宋体" w:eastAsia="宋体" w:hint="default"/>
                <w:sz w:val="13"/>
                <w:szCs w:val="13"/>
              </w:rPr>
            </w:pPr>
            <w:r>
              <w:rPr>
                <w:rFonts w:ascii="宋体" w:hAnsi="宋体" w:cs="宋体" w:eastAsia="宋体" w:hint="default"/>
                <w:sz w:val="13"/>
                <w:szCs w:val="13"/>
              </w:rPr>
              <w:t>柏怡国际</w:t>
            </w:r>
            <w:r>
              <w:rPr>
                <w:rFonts w:ascii="宋体" w:hAnsi="宋体" w:cs="宋体" w:eastAsia="宋体" w:hint="default"/>
                <w:w w:val="99"/>
                <w:sz w:val="13"/>
                <w:szCs w:val="13"/>
              </w:rPr>
              <w:t> </w:t>
            </w:r>
            <w:r>
              <w:rPr>
                <w:rFonts w:ascii="宋体" w:hAnsi="宋体" w:cs="宋体" w:eastAsia="宋体" w:hint="default"/>
                <w:sz w:val="13"/>
                <w:szCs w:val="13"/>
              </w:rPr>
              <w:t>自有资金</w:t>
            </w:r>
          </w:p>
        </w:tc>
      </w:tr>
      <w:tr>
        <w:trPr>
          <w:trHeight w:val="674" w:hRule="exact"/>
        </w:trPr>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债券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2" w:right="0"/>
              <w:jc w:val="left"/>
              <w:rPr>
                <w:rFonts w:ascii="Times New Roman" w:hAnsi="Times New Roman" w:cs="Times New Roman" w:eastAsia="Times New Roman" w:hint="default"/>
                <w:sz w:val="13"/>
                <w:szCs w:val="13"/>
              </w:rPr>
            </w:pPr>
            <w:r>
              <w:rPr>
                <w:rFonts w:ascii="Times New Roman"/>
                <w:sz w:val="13"/>
              </w:rPr>
              <w:t>XS0521073428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2" w:right="0"/>
              <w:jc w:val="left"/>
              <w:rPr>
                <w:rFonts w:ascii="Times New Roman" w:hAnsi="Times New Roman" w:cs="Times New Roman" w:eastAsia="Times New Roman" w:hint="default"/>
                <w:sz w:val="13"/>
                <w:szCs w:val="13"/>
              </w:rPr>
            </w:pPr>
            <w:r>
              <w:rPr>
                <w:rFonts w:ascii="Times New Roman"/>
                <w:sz w:val="13"/>
              </w:rPr>
              <w:t>BEA</w:t>
            </w:r>
            <w:r>
              <w:rPr>
                <w:rFonts w:ascii="Times New Roman"/>
                <w:spacing w:val="-11"/>
                <w:sz w:val="13"/>
              </w:rPr>
              <w:t> </w:t>
            </w:r>
            <w:r>
              <w:rPr>
                <w:rFonts w:ascii="Times New Roman"/>
                <w:sz w:val="13"/>
              </w:rPr>
              <w:t>BOND</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2"/>
              <w:jc w:val="right"/>
              <w:rPr>
                <w:rFonts w:ascii="Times New Roman" w:hAnsi="Times New Roman" w:cs="Times New Roman" w:eastAsia="Times New Roman" w:hint="default"/>
                <w:sz w:val="13"/>
                <w:szCs w:val="13"/>
              </w:rPr>
            </w:pPr>
            <w:r>
              <w:rPr>
                <w:rFonts w:ascii="Times New Roman"/>
                <w:sz w:val="13"/>
              </w:rPr>
              <w:t>8,783,253.05</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71"/>
              <w:ind w:left="156" w:right="26" w:hanging="133"/>
              <w:jc w:val="left"/>
              <w:rPr>
                <w:rFonts w:ascii="宋体" w:hAnsi="宋体" w:cs="宋体" w:eastAsia="宋体" w:hint="default"/>
                <w:sz w:val="13"/>
                <w:szCs w:val="13"/>
              </w:rPr>
            </w:pPr>
            <w:r>
              <w:rPr>
                <w:rFonts w:ascii="宋体" w:hAnsi="宋体" w:cs="宋体" w:eastAsia="宋体" w:hint="default"/>
                <w:sz w:val="13"/>
                <w:szCs w:val="13"/>
              </w:rPr>
              <w:t>公允价值</w:t>
            </w:r>
            <w:r>
              <w:rPr>
                <w:rFonts w:ascii="宋体" w:hAnsi="宋体" w:cs="宋体" w:eastAsia="宋体" w:hint="default"/>
                <w:w w:val="99"/>
                <w:sz w:val="13"/>
                <w:szCs w:val="13"/>
              </w:rPr>
              <w:t> </w:t>
            </w:r>
            <w:r>
              <w:rPr>
                <w:rFonts w:ascii="宋体" w:hAnsi="宋体" w:cs="宋体" w:eastAsia="宋体" w:hint="default"/>
                <w:sz w:val="13"/>
                <w:szCs w:val="13"/>
              </w:rPr>
              <w:t>计量</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2"/>
              <w:jc w:val="right"/>
              <w:rPr>
                <w:rFonts w:ascii="Times New Roman" w:hAnsi="Times New Roman" w:cs="Times New Roman" w:eastAsia="Times New Roman" w:hint="default"/>
                <w:sz w:val="13"/>
                <w:szCs w:val="13"/>
              </w:rPr>
            </w:pPr>
            <w:r>
              <w:rPr>
                <w:rFonts w:ascii="Times New Roman"/>
                <w:sz w:val="13"/>
              </w:rPr>
              <w:t>8,712,173.62</w:t>
            </w:r>
          </w:p>
        </w:tc>
        <w:tc>
          <w:tcPr>
            <w:tcW w:w="90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2"/>
              <w:jc w:val="right"/>
              <w:rPr>
                <w:rFonts w:ascii="Times New Roman" w:hAnsi="Times New Roman" w:cs="Times New Roman" w:eastAsia="Times New Roman" w:hint="default"/>
                <w:sz w:val="13"/>
                <w:szCs w:val="13"/>
              </w:rPr>
            </w:pPr>
            <w:r>
              <w:rPr>
                <w:rFonts w:ascii="Times New Roman"/>
                <w:sz w:val="13"/>
              </w:rPr>
              <w:t>10,726.25</w:t>
            </w:r>
          </w:p>
        </w:tc>
        <w:tc>
          <w:tcPr>
            <w:tcW w:w="8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2"/>
              <w:jc w:val="right"/>
              <w:rPr>
                <w:rFonts w:ascii="Times New Roman" w:hAnsi="Times New Roman" w:cs="Times New Roman" w:eastAsia="Times New Roman" w:hint="default"/>
                <w:sz w:val="13"/>
                <w:szCs w:val="13"/>
              </w:rPr>
            </w:pPr>
            <w:r>
              <w:rPr>
                <w:rFonts w:ascii="Times New Roman"/>
                <w:sz w:val="13"/>
              </w:rPr>
              <w:t>494,828.86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5"/>
              <w:jc w:val="right"/>
              <w:rPr>
                <w:rFonts w:ascii="Times New Roman" w:hAnsi="Times New Roman" w:cs="Times New Roman" w:eastAsia="Times New Roman" w:hint="default"/>
                <w:sz w:val="13"/>
                <w:szCs w:val="13"/>
              </w:rPr>
            </w:pPr>
            <w:r>
              <w:rPr>
                <w:rFonts w:ascii="Times New Roman"/>
                <w:spacing w:val="-1"/>
                <w:sz w:val="13"/>
              </w:rPr>
              <w:t>9,259,211.87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71"/>
              <w:ind w:left="2" w:right="7"/>
              <w:jc w:val="left"/>
              <w:rPr>
                <w:rFonts w:ascii="宋体" w:hAnsi="宋体" w:cs="宋体" w:eastAsia="宋体" w:hint="default"/>
                <w:sz w:val="13"/>
                <w:szCs w:val="13"/>
              </w:rPr>
            </w:pPr>
            <w:r>
              <w:rPr>
                <w:rFonts w:ascii="宋体" w:hAnsi="宋体" w:cs="宋体" w:eastAsia="宋体" w:hint="default"/>
                <w:sz w:val="13"/>
                <w:szCs w:val="13"/>
              </w:rPr>
              <w:t>可供出售</w:t>
            </w:r>
            <w:r>
              <w:rPr>
                <w:rFonts w:ascii="宋体" w:hAnsi="宋体" w:cs="宋体" w:eastAsia="宋体" w:hint="default"/>
                <w:w w:val="99"/>
                <w:sz w:val="13"/>
                <w:szCs w:val="13"/>
              </w:rPr>
              <w:t> </w:t>
            </w:r>
            <w:r>
              <w:rPr>
                <w:rFonts w:ascii="宋体" w:hAnsi="宋体" w:cs="宋体" w:eastAsia="宋体" w:hint="default"/>
                <w:sz w:val="13"/>
                <w:szCs w:val="13"/>
              </w:rPr>
              <w:t>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71"/>
              <w:ind w:left="2" w:right="7"/>
              <w:jc w:val="left"/>
              <w:rPr>
                <w:rFonts w:ascii="宋体" w:hAnsi="宋体" w:cs="宋体" w:eastAsia="宋体" w:hint="default"/>
                <w:sz w:val="13"/>
                <w:szCs w:val="13"/>
              </w:rPr>
            </w:pPr>
            <w:r>
              <w:rPr>
                <w:rFonts w:ascii="宋体" w:hAnsi="宋体" w:cs="宋体" w:eastAsia="宋体" w:hint="default"/>
                <w:sz w:val="13"/>
                <w:szCs w:val="13"/>
              </w:rPr>
              <w:t>柏怡国际</w:t>
            </w:r>
            <w:r>
              <w:rPr>
                <w:rFonts w:ascii="宋体" w:hAnsi="宋体" w:cs="宋体" w:eastAsia="宋体" w:hint="default"/>
                <w:w w:val="99"/>
                <w:sz w:val="13"/>
                <w:szCs w:val="13"/>
              </w:rPr>
              <w:t> </w:t>
            </w:r>
            <w:r>
              <w:rPr>
                <w:rFonts w:ascii="宋体" w:hAnsi="宋体" w:cs="宋体" w:eastAsia="宋体" w:hint="default"/>
                <w:sz w:val="13"/>
                <w:szCs w:val="13"/>
              </w:rPr>
              <w:t>自有资金</w:t>
            </w:r>
          </w:p>
        </w:tc>
      </w:tr>
      <w:tr>
        <w:trPr>
          <w:trHeight w:val="362" w:hRule="exact"/>
        </w:trPr>
        <w:tc>
          <w:tcPr>
            <w:tcW w:w="24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right"/>
              <w:rPr>
                <w:rFonts w:ascii="Times New Roman" w:hAnsi="Times New Roman" w:cs="Times New Roman" w:eastAsia="Times New Roman" w:hint="default"/>
                <w:sz w:val="13"/>
                <w:szCs w:val="13"/>
              </w:rPr>
            </w:pPr>
            <w:r>
              <w:rPr>
                <w:rFonts w:ascii="Times New Roman"/>
                <w:sz w:val="13"/>
              </w:rPr>
              <w:t>473,108,536.33</w:t>
            </w:r>
          </w:p>
        </w:tc>
        <w:tc>
          <w:tcPr>
            <w:tcW w:w="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5"/>
                <w:szCs w:val="15"/>
              </w:rPr>
            </w:pPr>
            <w:r>
              <w:rPr>
                <w:rFonts w:ascii="Times New Roman"/>
                <w:sz w:val="15"/>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40,087,525.69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121,578,790.75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-56,218.29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661,788,750.40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 w:right="-2"/>
              <w:jc w:val="center"/>
              <w:rPr>
                <w:rFonts w:ascii="Times New Roman" w:hAnsi="Times New Roman" w:cs="Times New Roman" w:eastAsia="Times New Roman" w:hint="default"/>
                <w:sz w:val="13"/>
                <w:szCs w:val="13"/>
              </w:rPr>
            </w:pPr>
            <w:r>
              <w:rPr>
                <w:rFonts w:ascii="Times New Roman"/>
                <w:sz w:val="13"/>
              </w:rPr>
              <w:t>261,867,407.20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pacing w:val="-1"/>
                <w:sz w:val="13"/>
              </w:rPr>
              <w:t>-27,562,119.02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right"/>
              <w:rPr>
                <w:rFonts w:ascii="Times New Roman" w:hAnsi="Times New Roman" w:cs="Times New Roman" w:eastAsia="Times New Roman" w:hint="default"/>
                <w:sz w:val="13"/>
                <w:szCs w:val="13"/>
              </w:rPr>
            </w:pPr>
            <w:r>
              <w:rPr>
                <w:rFonts w:ascii="Times New Roman"/>
                <w:sz w:val="13"/>
              </w:rPr>
              <w:t>412,314,362.42</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5"/>
                <w:szCs w:val="15"/>
              </w:rPr>
            </w:pPr>
            <w:r>
              <w:rPr>
                <w:rFonts w:ascii="Times New Roman"/>
                <w:sz w:val="15"/>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5"/>
                <w:szCs w:val="15"/>
              </w:rPr>
            </w:pPr>
            <w:r>
              <w:rPr>
                <w:rFonts w:ascii="Times New Roman"/>
                <w:sz w:val="15"/>
              </w:rPr>
              <w:t>--</w:t>
            </w:r>
          </w:p>
        </w:tc>
      </w:tr>
    </w:tbl>
    <w:p>
      <w:pPr>
        <w:spacing w:before="49"/>
        <w:ind w:left="772" w:right="0" w:firstLine="0"/>
        <w:jc w:val="left"/>
        <w:rPr>
          <w:rFonts w:ascii="宋体" w:hAnsi="宋体" w:cs="宋体" w:eastAsia="宋体" w:hint="default"/>
          <w:sz w:val="18"/>
          <w:szCs w:val="18"/>
        </w:rPr>
      </w:pPr>
      <w:r>
        <w:rPr>
          <w:rFonts w:ascii="宋体" w:hAnsi="宋体" w:cs="宋体" w:eastAsia="宋体" w:hint="default"/>
          <w:b/>
          <w:bCs/>
          <w:sz w:val="18"/>
          <w:szCs w:val="18"/>
        </w:rPr>
        <w:t>证券投资情况说明</w:t>
      </w:r>
      <w:r>
        <w:rPr>
          <w:rFonts w:ascii="宋体" w:hAnsi="宋体" w:cs="宋体" w:eastAsia="宋体" w:hint="default"/>
          <w:sz w:val="18"/>
          <w:szCs w:val="18"/>
        </w:rPr>
      </w:r>
    </w:p>
    <w:p>
      <w:pPr>
        <w:pStyle w:val="BodyText"/>
        <w:spacing w:line="300" w:lineRule="auto" w:before="117"/>
        <w:ind w:left="772" w:right="764" w:firstLine="360"/>
        <w:jc w:val="left"/>
      </w:pPr>
      <w:r>
        <w:rPr>
          <w:rFonts w:ascii="Times New Roman" w:hAnsi="Times New Roman" w:cs="Times New Roman" w:eastAsia="Times New Roman" w:hint="default"/>
        </w:rPr>
        <w:t>1</w:t>
      </w:r>
      <w:r>
        <w:rPr/>
        <w:t>）上述股票、基金投资为冠捷科技旗下所持有。冠捷科技为在香港和新加坡两地的上市公司，其已按照其上市地要求 及其内部规范制度履行了相关审批程序并按其上市地要求履行了披露义务。</w:t>
      </w:r>
    </w:p>
    <w:p>
      <w:pPr>
        <w:pStyle w:val="BodyText"/>
        <w:spacing w:line="240" w:lineRule="auto" w:before="70"/>
        <w:ind w:left="1133" w:right="0"/>
        <w:jc w:val="left"/>
      </w:pPr>
      <w:r>
        <w:rPr>
          <w:rFonts w:ascii="Times New Roman" w:hAnsi="Times New Roman" w:cs="Times New Roman" w:eastAsia="Times New Roman" w:hint="default"/>
        </w:rPr>
        <w:t>2</w:t>
      </w:r>
      <w:r>
        <w:rPr/>
        <w:t>）上述债券均为长城香港旗下控股子公司柏怡国际所持有，质押于香港汇丰银行，作为柏怡国际融资业务的担保。</w:t>
      </w:r>
    </w:p>
    <w:p>
      <w:pPr>
        <w:spacing w:line="240" w:lineRule="auto" w:before="7"/>
        <w:rPr>
          <w:rFonts w:ascii="宋体" w:hAnsi="宋体" w:cs="宋体" w:eastAsia="宋体" w:hint="default"/>
          <w:sz w:val="15"/>
          <w:szCs w:val="15"/>
        </w:rPr>
      </w:pPr>
    </w:p>
    <w:p>
      <w:pPr>
        <w:pStyle w:val="Heading8"/>
        <w:spacing w:line="240" w:lineRule="auto"/>
        <w:ind w:left="772" w:right="0"/>
        <w:jc w:val="left"/>
        <w:rPr>
          <w:b w:val="0"/>
          <w:bCs w:val="0"/>
        </w:rPr>
      </w:pPr>
      <w:r>
        <w:rPr/>
        <w:t>（</w:t>
      </w:r>
      <w:r>
        <w:rPr>
          <w:rFonts w:ascii="Times New Roman" w:hAnsi="Times New Roman" w:cs="Times New Roman" w:eastAsia="Times New Roman" w:hint="default"/>
        </w:rPr>
        <w:t>2</w:t>
      </w:r>
      <w:r>
        <w:rPr/>
        <w:t>）持有其他上市公司股权情况的说明</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1133" w:right="0"/>
        <w:jc w:val="left"/>
        <w:rPr>
          <w:rFonts w:ascii="Times New Roman" w:hAnsi="Times New Roman" w:cs="Times New Roman" w:eastAsia="Times New Roman" w:hint="default"/>
        </w:rPr>
      </w:pPr>
      <w:r>
        <w:rPr>
          <w:spacing w:val="-4"/>
        </w:rPr>
        <w:t>报告期末，冠捷科技持有松上电子（证券代码</w:t>
      </w:r>
      <w:r>
        <w:rPr>
          <w:spacing w:val="-42"/>
        </w:rPr>
        <w:t> </w:t>
      </w:r>
      <w:r>
        <w:rPr>
          <w:rFonts w:ascii="Times New Roman" w:hAnsi="Times New Roman" w:cs="Times New Roman" w:eastAsia="Times New Roman" w:hint="default"/>
          <w:spacing w:val="-3"/>
        </w:rPr>
        <w:t>6156</w:t>
      </w:r>
      <w:r>
        <w:rPr>
          <w:spacing w:val="-3"/>
        </w:rPr>
        <w:t>）</w:t>
      </w:r>
      <w:r>
        <w:rPr>
          <w:rFonts w:ascii="Times New Roman" w:hAnsi="Times New Roman" w:cs="Times New Roman" w:eastAsia="Times New Roman" w:hint="default"/>
          <w:spacing w:val="-3"/>
        </w:rPr>
        <w:t>2,568,000</w:t>
      </w:r>
      <w:r>
        <w:rPr>
          <w:rFonts w:ascii="Times New Roman" w:hAnsi="Times New Roman" w:cs="Times New Roman" w:eastAsia="Times New Roman" w:hint="default"/>
          <w:spacing w:val="4"/>
        </w:rPr>
        <w:t> </w:t>
      </w:r>
      <w:r>
        <w:rPr/>
        <w:t>股占其公司股权比例约</w:t>
      </w:r>
      <w:r>
        <w:rPr>
          <w:spacing w:val="-42"/>
        </w:rPr>
        <w:t> </w:t>
      </w:r>
      <w:r>
        <w:rPr>
          <w:rFonts w:ascii="Times New Roman" w:hAnsi="Times New Roman" w:cs="Times New Roman" w:eastAsia="Times New Roman" w:hint="default"/>
          <w:spacing w:val="-4"/>
        </w:rPr>
        <w:t>3.1%</w:t>
      </w:r>
      <w:r>
        <w:rPr>
          <w:spacing w:val="-4"/>
        </w:rPr>
        <w:t>，期末账面价值</w:t>
      </w:r>
      <w:r>
        <w:rPr>
          <w:spacing w:val="-42"/>
        </w:rPr>
        <w:t> </w:t>
      </w:r>
      <w:r>
        <w:rPr>
          <w:rFonts w:ascii="Times New Roman" w:hAnsi="Times New Roman" w:cs="Times New Roman" w:eastAsia="Times New Roman" w:hint="default"/>
        </w:rPr>
        <w:t>5,123,450.40</w:t>
      </w:r>
    </w:p>
    <w:p>
      <w:pPr>
        <w:pStyle w:val="BodyText"/>
        <w:spacing w:line="240" w:lineRule="auto" w:before="62"/>
        <w:ind w:left="772" w:right="0"/>
        <w:jc w:val="left"/>
      </w:pPr>
      <w:r>
        <w:rPr/>
        <w:t>元，报告期损益</w:t>
      </w:r>
      <w:r>
        <w:rPr>
          <w:rFonts w:ascii="Times New Roman" w:hAnsi="Times New Roman" w:cs="Times New Roman" w:eastAsia="Times New Roman" w:hint="default"/>
        </w:rPr>
        <w:t>-1,641,185.75</w:t>
      </w:r>
      <w:r>
        <w:rPr>
          <w:rFonts w:ascii="Times New Roman" w:hAnsi="Times New Roman" w:cs="Times New Roman" w:eastAsia="Times New Roman" w:hint="default"/>
          <w:spacing w:val="-2"/>
        </w:rPr>
        <w:t> </w:t>
      </w:r>
      <w:r>
        <w:rPr/>
        <w:t>元，冠捷科技已按照其上市地要求履行了相关审批程序并按其上市地要求履行了披露义务。</w:t>
      </w:r>
    </w:p>
    <w:p>
      <w:pPr>
        <w:spacing w:after="0" w:line="240" w:lineRule="auto"/>
        <w:jc w:val="left"/>
        <w:sectPr>
          <w:pgSz w:w="11910" w:h="16840"/>
          <w:pgMar w:header="877" w:footer="980" w:top="1100" w:bottom="1160" w:left="360" w:right="360"/>
        </w:sectPr>
      </w:pPr>
    </w:p>
    <w:p>
      <w:pPr>
        <w:spacing w:line="240" w:lineRule="auto" w:before="11"/>
        <w:rPr>
          <w:rFonts w:ascii="宋体" w:hAnsi="宋体" w:cs="宋体" w:eastAsia="宋体" w:hint="default"/>
          <w:sz w:val="20"/>
          <w:szCs w:val="20"/>
        </w:rPr>
      </w:pPr>
    </w:p>
    <w:p>
      <w:pPr>
        <w:pStyle w:val="Heading8"/>
        <w:spacing w:line="240" w:lineRule="auto" w:before="36"/>
        <w:ind w:left="772" w:right="0"/>
        <w:jc w:val="left"/>
        <w:rPr>
          <w:b w:val="0"/>
          <w:bCs w:val="0"/>
        </w:rPr>
      </w:pPr>
      <w:r>
        <w:rPr/>
        <w:t>（</w:t>
      </w:r>
      <w:r>
        <w:rPr>
          <w:rFonts w:ascii="Times New Roman" w:hAnsi="Times New Roman" w:cs="Times New Roman" w:eastAsia="Times New Roman" w:hint="default"/>
        </w:rPr>
        <w:t>3</w:t>
      </w:r>
      <w:r>
        <w:rPr/>
        <w:t>）衍生品投资情况</w:t>
      </w:r>
      <w:r>
        <w:rPr>
          <w:b w:val="0"/>
          <w:bCs w:val="0"/>
        </w:rPr>
      </w:r>
    </w:p>
    <w:p>
      <w:pPr>
        <w:spacing w:line="240" w:lineRule="auto" w:before="7"/>
        <w:rPr>
          <w:rFonts w:ascii="宋体" w:hAnsi="宋体" w:cs="宋体" w:eastAsia="宋体" w:hint="default"/>
          <w:b/>
          <w:bCs/>
          <w:sz w:val="15"/>
          <w:szCs w:val="15"/>
        </w:rPr>
      </w:pPr>
    </w:p>
    <w:p>
      <w:pPr>
        <w:pStyle w:val="BodyText"/>
        <w:tabs>
          <w:tab w:pos="9510" w:val="left" w:leader="none"/>
        </w:tabs>
        <w:spacing w:line="240" w:lineRule="auto"/>
        <w:ind w:left="772" w:right="0"/>
        <w:jc w:val="left"/>
      </w:pPr>
      <w:r>
        <w:rPr/>
        <w:t>√ 适用 □</w:t>
      </w:r>
      <w:r>
        <w:rPr>
          <w:spacing w:val="3"/>
        </w:rPr>
        <w:t> </w:t>
      </w:r>
      <w:r>
        <w:rPr/>
        <w:t>不适用</w:t>
        <w:tab/>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87"/>
        <w:gridCol w:w="540"/>
        <w:gridCol w:w="540"/>
        <w:gridCol w:w="1025"/>
        <w:gridCol w:w="889"/>
        <w:gridCol w:w="850"/>
        <w:gridCol w:w="900"/>
        <w:gridCol w:w="828"/>
        <w:gridCol w:w="859"/>
        <w:gridCol w:w="840"/>
        <w:gridCol w:w="541"/>
        <w:gridCol w:w="859"/>
        <w:gridCol w:w="780"/>
        <w:gridCol w:w="720"/>
      </w:tblGrid>
      <w:tr>
        <w:trPr>
          <w:trHeight w:val="1570"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8" w:right="26"/>
              <w:jc w:val="center"/>
              <w:rPr>
                <w:rFonts w:ascii="宋体" w:hAnsi="宋体" w:cs="宋体" w:eastAsia="宋体" w:hint="default"/>
                <w:sz w:val="18"/>
                <w:szCs w:val="18"/>
              </w:rPr>
            </w:pPr>
            <w:r>
              <w:rPr>
                <w:rFonts w:ascii="宋体" w:hAnsi="宋体" w:cs="宋体" w:eastAsia="宋体" w:hint="default"/>
                <w:sz w:val="18"/>
                <w:szCs w:val="18"/>
              </w:rPr>
              <w:t>衍生品投 资操作方 名称</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84" w:right="8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46" w:right="146" w:firstLine="91"/>
              <w:jc w:val="left"/>
              <w:rPr>
                <w:rFonts w:ascii="宋体" w:hAnsi="宋体" w:cs="宋体" w:eastAsia="宋体" w:hint="default"/>
                <w:sz w:val="18"/>
                <w:szCs w:val="18"/>
              </w:rPr>
            </w:pPr>
            <w:r>
              <w:rPr>
                <w:rFonts w:ascii="宋体" w:hAnsi="宋体" w:cs="宋体" w:eastAsia="宋体" w:hint="default"/>
                <w:sz w:val="18"/>
                <w:szCs w:val="18"/>
              </w:rPr>
              <w:t>衍生品 投资类型</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衍生品投 资初始投 资金额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8" w:right="48" w:hanging="180"/>
              <w:jc w:val="left"/>
              <w:rPr>
                <w:rFonts w:ascii="宋体" w:hAnsi="宋体" w:cs="宋体" w:eastAsia="宋体" w:hint="default"/>
                <w:sz w:val="18"/>
                <w:szCs w:val="18"/>
              </w:rPr>
            </w:pPr>
            <w:r>
              <w:rPr>
                <w:rFonts w:ascii="宋体" w:hAnsi="宋体" w:cs="宋体" w:eastAsia="宋体" w:hint="default"/>
                <w:sz w:val="18"/>
                <w:szCs w:val="18"/>
              </w:rPr>
              <w:t>期初投资 金额</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4" w:right="62"/>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6" w:right="82"/>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0" w:hanging="180"/>
              <w:jc w:val="left"/>
              <w:rPr>
                <w:rFonts w:ascii="宋体" w:hAnsi="宋体" w:cs="宋体" w:eastAsia="宋体" w:hint="default"/>
                <w:sz w:val="18"/>
                <w:szCs w:val="18"/>
              </w:rPr>
            </w:pPr>
            <w:r>
              <w:rPr>
                <w:rFonts w:ascii="宋体" w:hAnsi="宋体" w:cs="宋体" w:eastAsia="宋体" w:hint="default"/>
                <w:sz w:val="18"/>
                <w:szCs w:val="18"/>
              </w:rPr>
              <w:t>期末投资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6" w:right="23"/>
              <w:jc w:val="center"/>
              <w:rPr>
                <w:rFonts w:ascii="宋体" w:hAnsi="宋体" w:cs="宋体" w:eastAsia="宋体" w:hint="default"/>
                <w:sz w:val="18"/>
                <w:szCs w:val="18"/>
              </w:rPr>
            </w:pPr>
            <w:r>
              <w:rPr>
                <w:rFonts w:ascii="宋体" w:hAnsi="宋体" w:cs="宋体" w:eastAsia="宋体" w:hint="default"/>
                <w:sz w:val="18"/>
                <w:szCs w:val="18"/>
              </w:rPr>
              <w:t>期末投资 金额占公 司报告期 末净资产 比例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636"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5"/>
                <w:szCs w:val="15"/>
              </w:rPr>
            </w:pPr>
            <w:r>
              <w:rPr>
                <w:rFonts w:ascii="宋体" w:hAnsi="宋体" w:cs="宋体" w:eastAsia="宋体" w:hint="default"/>
                <w:sz w:val="15"/>
                <w:szCs w:val="15"/>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sz w:val="15"/>
              </w:rPr>
              <w:t>Options</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4,044,825.78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1,947,876.82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2,044,321.51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2,306,327.95</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1,685,870.38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650.83%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
              <w:jc w:val="right"/>
              <w:rPr>
                <w:rFonts w:ascii="Times New Roman" w:hAnsi="Times New Roman" w:cs="Times New Roman" w:eastAsia="Times New Roman" w:hint="default"/>
                <w:sz w:val="15"/>
                <w:szCs w:val="15"/>
              </w:rPr>
            </w:pPr>
            <w:r>
              <w:rPr>
                <w:rFonts w:ascii="Times New Roman"/>
                <w:spacing w:val="-1"/>
                <w:sz w:val="15"/>
              </w:rPr>
              <w:t>28,746.34</w:t>
            </w:r>
          </w:p>
        </w:tc>
      </w:tr>
      <w:tr>
        <w:trPr>
          <w:trHeight w:val="634"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5"/>
                <w:szCs w:val="15"/>
              </w:rPr>
            </w:pPr>
            <w:r>
              <w:rPr>
                <w:rFonts w:ascii="宋体" w:hAnsi="宋体" w:cs="宋体" w:eastAsia="宋体" w:hint="default"/>
                <w:sz w:val="15"/>
                <w:szCs w:val="15"/>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68"/>
              <w:ind w:left="-1" w:right="107"/>
              <w:jc w:val="left"/>
              <w:rPr>
                <w:rFonts w:ascii="Times New Roman" w:hAnsi="Times New Roman" w:cs="Times New Roman" w:eastAsia="Times New Roman" w:hint="default"/>
                <w:sz w:val="15"/>
                <w:szCs w:val="15"/>
              </w:rPr>
            </w:pPr>
            <w:r>
              <w:rPr>
                <w:rFonts w:ascii="Times New Roman"/>
                <w:sz w:val="15"/>
              </w:rPr>
              <w:t>Cross</w:t>
            </w:r>
            <w:r>
              <w:rPr>
                <w:rFonts w:ascii="Times New Roman"/>
                <w:spacing w:val="-2"/>
                <w:sz w:val="15"/>
              </w:rPr>
              <w:t> </w:t>
            </w:r>
            <w:r>
              <w:rPr>
                <w:rFonts w:ascii="Times New Roman"/>
                <w:sz w:val="15"/>
              </w:rPr>
              <w:t>currency</w:t>
            </w:r>
            <w:r>
              <w:rPr>
                <w:rFonts w:ascii="Times New Roman"/>
                <w:w w:val="100"/>
                <w:sz w:val="15"/>
              </w:rPr>
              <w:t> </w:t>
            </w:r>
            <w:r>
              <w:rPr>
                <w:rFonts w:ascii="Times New Roman"/>
                <w:sz w:val="15"/>
              </w:rPr>
              <w:t>swap</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72,648.44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72,648.44</w:t>
            </w:r>
          </w:p>
        </w:tc>
        <w:tc>
          <w:tcPr>
            <w:tcW w:w="85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right"/>
              <w:rPr>
                <w:rFonts w:ascii="Times New Roman" w:hAnsi="Times New Roman" w:cs="Times New Roman" w:eastAsia="Times New Roman" w:hint="default"/>
                <w:sz w:val="15"/>
                <w:szCs w:val="15"/>
              </w:rPr>
            </w:pPr>
            <w:r>
              <w:rPr>
                <w:rFonts w:ascii="Times New Roman"/>
                <w:spacing w:val="-1"/>
                <w:sz w:val="15"/>
              </w:rPr>
              <w:t>72,648.44</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right"/>
              <w:rPr>
                <w:rFonts w:ascii="Times New Roman" w:hAnsi="Times New Roman" w:cs="Times New Roman" w:eastAsia="Times New Roman" w:hint="default"/>
                <w:sz w:val="15"/>
                <w:szCs w:val="15"/>
              </w:rPr>
            </w:pPr>
            <w:r>
              <w:rPr>
                <w:rFonts w:ascii="Times New Roman"/>
                <w:spacing w:val="-1"/>
                <w:sz w:val="15"/>
              </w:rPr>
              <w:t>6,889.24</w:t>
            </w:r>
          </w:p>
        </w:tc>
      </w:tr>
      <w:tr>
        <w:trPr>
          <w:trHeight w:val="634"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银行</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5"/>
                <w:szCs w:val="15"/>
              </w:rPr>
            </w:pPr>
            <w:r>
              <w:rPr>
                <w:rFonts w:ascii="宋体" w:hAnsi="宋体" w:cs="宋体" w:eastAsia="宋体" w:hint="default"/>
                <w:sz w:val="15"/>
                <w:szCs w:val="15"/>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sz w:val="15"/>
              </w:rPr>
              <w:t>Forwards</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14,315,265.23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6,916,100.85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6,903,305.29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5,895,799.18</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7,923,606.96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3,058.89%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right"/>
              <w:rPr>
                <w:rFonts w:ascii="Times New Roman" w:hAnsi="Times New Roman" w:cs="Times New Roman" w:eastAsia="Times New Roman" w:hint="default"/>
                <w:sz w:val="15"/>
                <w:szCs w:val="15"/>
              </w:rPr>
            </w:pPr>
            <w:r>
              <w:rPr>
                <w:rFonts w:ascii="Times New Roman"/>
                <w:spacing w:val="-1"/>
                <w:sz w:val="15"/>
              </w:rPr>
              <w:t>50,394.39</w:t>
            </w:r>
          </w:p>
        </w:tc>
      </w:tr>
      <w:tr>
        <w:trPr>
          <w:trHeight w:val="322" w:hRule="exact"/>
        </w:trPr>
        <w:tc>
          <w:tcPr>
            <w:tcW w:w="28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18,432,739.45</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2"/>
                <w:sz w:val="15"/>
              </w:rPr>
              <w:t>8,936,626.11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8,947,626.80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
              <w:jc w:val="right"/>
              <w:rPr>
                <w:rFonts w:ascii="Times New Roman" w:hAnsi="Times New Roman" w:cs="Times New Roman" w:eastAsia="Times New Roman" w:hint="default"/>
                <w:sz w:val="15"/>
                <w:szCs w:val="15"/>
              </w:rPr>
            </w:pPr>
            <w:r>
              <w:rPr>
                <w:rFonts w:ascii="Times New Roman"/>
                <w:spacing w:val="-1"/>
                <w:sz w:val="15"/>
              </w:rPr>
              <w:t>8,274,775.57</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
              <w:jc w:val="right"/>
              <w:rPr>
                <w:rFonts w:ascii="Times New Roman" w:hAnsi="Times New Roman" w:cs="Times New Roman" w:eastAsia="Times New Roman" w:hint="default"/>
                <w:sz w:val="15"/>
                <w:szCs w:val="15"/>
              </w:rPr>
            </w:pPr>
            <w:r>
              <w:rPr>
                <w:rFonts w:ascii="Times New Roman"/>
                <w:spacing w:val="-1"/>
                <w:sz w:val="15"/>
              </w:rPr>
              <w:t>9,609,477.34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
              <w:jc w:val="right"/>
              <w:rPr>
                <w:rFonts w:ascii="Times New Roman" w:hAnsi="Times New Roman" w:cs="Times New Roman" w:eastAsia="Times New Roman" w:hint="default"/>
                <w:sz w:val="15"/>
                <w:szCs w:val="15"/>
              </w:rPr>
            </w:pPr>
            <w:r>
              <w:rPr>
                <w:rFonts w:ascii="Times New Roman"/>
                <w:spacing w:val="-1"/>
                <w:sz w:val="15"/>
              </w:rPr>
              <w:t>3,709.72%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
              <w:jc w:val="right"/>
              <w:rPr>
                <w:rFonts w:ascii="Times New Roman" w:hAnsi="Times New Roman" w:cs="Times New Roman" w:eastAsia="Times New Roman" w:hint="default"/>
                <w:sz w:val="15"/>
                <w:szCs w:val="15"/>
              </w:rPr>
            </w:pPr>
            <w:r>
              <w:rPr>
                <w:rFonts w:ascii="Times New Roman"/>
                <w:spacing w:val="-1"/>
                <w:sz w:val="15"/>
              </w:rPr>
              <w:t>86,029.97</w:t>
            </w:r>
          </w:p>
        </w:tc>
      </w:tr>
      <w:tr>
        <w:trPr>
          <w:trHeight w:val="322" w:hRule="exact"/>
        </w:trPr>
        <w:tc>
          <w:tcPr>
            <w:tcW w:w="28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80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冠捷科技自筹资金。</w:t>
            </w:r>
          </w:p>
        </w:tc>
      </w:tr>
      <w:tr>
        <w:trPr>
          <w:trHeight w:val="1258" w:hRule="exact"/>
        </w:trPr>
        <w:tc>
          <w:tcPr>
            <w:tcW w:w="28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 w:right="0"/>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 措施说明（包括但不限于市场风险、 流动性风险、信用风险、操作风险、 法律风险等）</w:t>
            </w:r>
          </w:p>
        </w:tc>
        <w:tc>
          <w:tcPr>
            <w:tcW w:w="80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62" w:right="5"/>
              <w:jc w:val="left"/>
              <w:rPr>
                <w:rFonts w:ascii="宋体" w:hAnsi="宋体" w:cs="宋体" w:eastAsia="宋体" w:hint="default"/>
                <w:sz w:val="18"/>
                <w:szCs w:val="18"/>
              </w:rPr>
            </w:pPr>
            <w:r>
              <w:rPr>
                <w:rFonts w:ascii="宋体" w:hAnsi="宋体" w:cs="宋体" w:eastAsia="宋体" w:hint="default"/>
                <w:sz w:val="18"/>
                <w:szCs w:val="18"/>
              </w:rPr>
              <w:t>鉴于金融市场波动，冠捷科技已定下严谨指引，禁止所有衍生产品的投机交易。 </w:t>
            </w:r>
            <w:r>
              <w:rPr>
                <w:rFonts w:ascii="宋体" w:hAnsi="宋体" w:cs="宋体" w:eastAsia="宋体" w:hint="default"/>
                <w:spacing w:val="2"/>
                <w:sz w:val="18"/>
                <w:szCs w:val="18"/>
              </w:rPr>
              <w:t>风险管理由冠捷科技司库部按照其董事会批准的政策执行，其司库部通过与其营运单位的紧密合</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作，负责确定、评估和减少财务风险。</w:t>
            </w:r>
          </w:p>
        </w:tc>
      </w:tr>
      <w:tr>
        <w:trPr>
          <w:trHeight w:val="1260" w:hRule="exact"/>
        </w:trPr>
        <w:tc>
          <w:tcPr>
            <w:tcW w:w="28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 w:right="-1"/>
              <w:jc w:val="both"/>
              <w:rPr>
                <w:rFonts w:ascii="宋体" w:hAnsi="宋体" w:cs="宋体" w:eastAsia="宋体" w:hint="default"/>
                <w:sz w:val="18"/>
                <w:szCs w:val="18"/>
              </w:rPr>
            </w:pPr>
            <w:r>
              <w:rPr>
                <w:rFonts w:ascii="宋体" w:hAnsi="宋体" w:cs="宋体" w:eastAsia="宋体" w:hint="default"/>
                <w:sz w:val="18"/>
                <w:szCs w:val="18"/>
              </w:rPr>
              <w:t>已投资衍生品报告期内市场价格或产 品公允价值变动的情况，对衍生品公 允价值的分析应披露具体使用的方法 及相关假设与参数的设定</w:t>
            </w:r>
          </w:p>
        </w:tc>
        <w:tc>
          <w:tcPr>
            <w:tcW w:w="80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 w:right="-4" w:firstLine="360"/>
              <w:jc w:val="left"/>
              <w:rPr>
                <w:rFonts w:ascii="宋体" w:hAnsi="宋体" w:cs="宋体" w:eastAsia="宋体" w:hint="default"/>
                <w:sz w:val="18"/>
                <w:szCs w:val="18"/>
              </w:rPr>
            </w:pPr>
            <w:r>
              <w:rPr>
                <w:rFonts w:ascii="宋体" w:hAnsi="宋体" w:cs="宋体" w:eastAsia="宋体" w:hint="default"/>
                <w:spacing w:val="-2"/>
                <w:sz w:val="18"/>
                <w:szCs w:val="18"/>
              </w:rPr>
              <w:t>衍生品初步按衍生品合约订立日期的公平值确认，期后按公平值重新计量；对衍生品公允价值具体</w:t>
            </w:r>
            <w:r>
              <w:rPr>
                <w:rFonts w:ascii="宋体" w:hAnsi="宋体" w:cs="宋体" w:eastAsia="宋体" w:hint="default"/>
                <w:sz w:val="18"/>
                <w:szCs w:val="18"/>
              </w:rPr>
              <w:t> 使用的相关假设与参数的设定由冠捷科技的开户银行确定。</w:t>
            </w:r>
          </w:p>
        </w:tc>
      </w:tr>
      <w:tr>
        <w:trPr>
          <w:trHeight w:val="946" w:hRule="exact"/>
        </w:trPr>
        <w:tc>
          <w:tcPr>
            <w:tcW w:w="28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 w:right="0"/>
              <w:jc w:val="both"/>
              <w:rPr>
                <w:rFonts w:ascii="宋体" w:hAnsi="宋体" w:cs="宋体" w:eastAsia="宋体" w:hint="default"/>
                <w:sz w:val="18"/>
                <w:szCs w:val="18"/>
              </w:rPr>
            </w:pPr>
            <w:r>
              <w:rPr>
                <w:rFonts w:ascii="宋体" w:hAnsi="宋体" w:cs="宋体" w:eastAsia="宋体" w:hint="default"/>
                <w:sz w:val="18"/>
                <w:szCs w:val="18"/>
              </w:rPr>
              <w:t>报告期公司衍生品的会计政策及会计 核算具体原则与上一报告期相比是否 发生重大变化的说明</w:t>
            </w:r>
          </w:p>
        </w:tc>
        <w:tc>
          <w:tcPr>
            <w:tcW w:w="80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8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 制情况的专项意见</w:t>
            </w:r>
          </w:p>
        </w:tc>
        <w:tc>
          <w:tcPr>
            <w:tcW w:w="80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冠捷科技的衍生品投资已按照其上市地要求履行了相关审批及披露程序。</w:t>
            </w:r>
          </w:p>
        </w:tc>
      </w:tr>
    </w:tbl>
    <w:p>
      <w:pPr>
        <w:pStyle w:val="BodyText"/>
        <w:spacing w:line="357" w:lineRule="auto" w:before="49"/>
        <w:ind w:left="1133" w:right="757" w:hanging="361"/>
        <w:jc w:val="left"/>
      </w:pPr>
      <w:r>
        <w:rPr>
          <w:rFonts w:ascii="宋体" w:hAnsi="宋体" w:cs="宋体" w:eastAsia="宋体" w:hint="default"/>
          <w:b/>
          <w:bCs/>
        </w:rPr>
        <w:t>衍生品投资情况说明</w:t>
      </w:r>
      <w:r>
        <w:rPr>
          <w:rFonts w:ascii="宋体" w:hAnsi="宋体" w:cs="宋体" w:eastAsia="宋体" w:hint="default"/>
          <w:b/>
          <w:bCs/>
          <w:w w:val="99"/>
        </w:rPr>
        <w:t> </w:t>
      </w:r>
      <w:r>
        <w:rPr/>
        <w:t>上表所提及的</w:t>
      </w:r>
      <w:r>
        <w:rPr>
          <w:rFonts w:ascii="Times New Roman" w:hAnsi="Times New Roman" w:cs="Times New Roman" w:eastAsia="Times New Roman" w:hint="default"/>
        </w:rPr>
        <w:t>“</w:t>
      </w:r>
      <w:r>
        <w:rPr/>
        <w:t>投资金额</w:t>
      </w:r>
      <w:r>
        <w:rPr>
          <w:rFonts w:ascii="Times New Roman" w:hAnsi="Times New Roman" w:cs="Times New Roman" w:eastAsia="Times New Roman" w:hint="default"/>
        </w:rPr>
        <w:t>”</w:t>
      </w:r>
      <w:r>
        <w:rPr/>
        <w:t>均为合约金额，截至本报告期末公司合并报表范围内的衍生品合约市值金额约为 </w:t>
      </w:r>
      <w:r>
        <w:rPr>
          <w:rFonts w:ascii="Times New Roman" w:hAnsi="Times New Roman" w:cs="Times New Roman" w:eastAsia="Times New Roman" w:hint="default"/>
        </w:rPr>
        <w:t>39,013.80</w:t>
      </w:r>
      <w:r>
        <w:rPr>
          <w:rFonts w:ascii="Times New Roman" w:hAnsi="Times New Roman" w:cs="Times New Roman" w:eastAsia="Times New Roman" w:hint="default"/>
          <w:spacing w:val="-19"/>
        </w:rPr>
        <w:t> </w:t>
      </w:r>
      <w:r>
        <w:rPr/>
        <w:t>万</w:t>
      </w:r>
    </w:p>
    <w:p>
      <w:pPr>
        <w:pStyle w:val="BodyText"/>
        <w:spacing w:line="214" w:lineRule="exact"/>
        <w:ind w:left="772" w:right="0"/>
        <w:jc w:val="left"/>
      </w:pPr>
      <w:r>
        <w:rPr/>
        <w:t>元，占公司报告期末净资产比例</w:t>
      </w:r>
      <w:r>
        <w:rPr>
          <w:spacing w:val="-43"/>
        </w:rPr>
        <w:t> </w:t>
      </w:r>
      <w:r>
        <w:rPr>
          <w:rFonts w:ascii="Times New Roman" w:hAnsi="Times New Roman" w:cs="Times New Roman" w:eastAsia="Times New Roman" w:hint="default"/>
        </w:rPr>
        <w:t>15.06%</w:t>
      </w:r>
      <w:r>
        <w:rPr/>
        <w:t>。</w:t>
      </w:r>
    </w:p>
    <w:p>
      <w:pPr>
        <w:spacing w:line="240" w:lineRule="auto" w:before="8"/>
        <w:rPr>
          <w:rFonts w:ascii="宋体" w:hAnsi="宋体" w:cs="宋体" w:eastAsia="宋体" w:hint="default"/>
          <w:sz w:val="12"/>
          <w:szCs w:val="12"/>
        </w:rPr>
      </w:pPr>
    </w:p>
    <w:p>
      <w:pPr>
        <w:pStyle w:val="Heading8"/>
        <w:spacing w:line="240" w:lineRule="auto"/>
        <w:ind w:left="772" w:right="0"/>
        <w:jc w:val="left"/>
        <w:rPr>
          <w:b w:val="0"/>
          <w:bCs w:val="0"/>
        </w:rPr>
      </w:pPr>
      <w:r>
        <w:rPr>
          <w:rFonts w:ascii="Times New Roman" w:hAnsi="Times New Roman" w:cs="Times New Roman" w:eastAsia="Times New Roman" w:hint="default"/>
        </w:rPr>
        <w:t>5</w:t>
      </w:r>
      <w:r>
        <w:rPr/>
        <w:t>、募集资金使用情况</w:t>
      </w:r>
      <w:r>
        <w:rPr>
          <w:b w:val="0"/>
          <w:bCs w:val="0"/>
        </w:rPr>
      </w:r>
    </w:p>
    <w:p>
      <w:pPr>
        <w:pStyle w:val="BodyText"/>
        <w:spacing w:line="360" w:lineRule="auto" w:before="159"/>
        <w:ind w:left="1133" w:right="7333" w:hanging="361"/>
        <w:jc w:val="left"/>
      </w:pPr>
      <w:r>
        <w:rPr/>
        <w:t>□ 适用 √</w:t>
      </w:r>
      <w:r>
        <w:rPr>
          <w:spacing w:val="3"/>
        </w:rPr>
        <w:t> </w:t>
      </w:r>
      <w:r>
        <w:rPr/>
        <w:t>不适用</w:t>
      </w:r>
      <w:r>
        <w:rPr/>
        <w:t> 公司报告期无募集资金使用情况。</w:t>
      </w:r>
    </w:p>
    <w:p>
      <w:pPr>
        <w:pStyle w:val="Heading5"/>
        <w:spacing w:line="240" w:lineRule="auto" w:before="98"/>
        <w:ind w:left="772" w:right="0"/>
        <w:jc w:val="left"/>
        <w:rPr>
          <w:b w:val="0"/>
          <w:bCs w:val="0"/>
        </w:rPr>
      </w:pPr>
      <w:r>
        <w:rPr/>
        <w:t>六、重大资产和股权出售</w:t>
      </w:r>
      <w:r>
        <w:rPr>
          <w:b w:val="0"/>
          <w:bCs w:val="0"/>
        </w:rPr>
      </w:r>
    </w:p>
    <w:p>
      <w:pPr>
        <w:pStyle w:val="Heading8"/>
        <w:spacing w:line="240" w:lineRule="auto" w:before="184"/>
        <w:ind w:left="772"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宋体" w:hAnsi="宋体" w:cs="宋体" w:eastAsia="宋体" w:hint="default"/>
          <w:b/>
          <w:bCs/>
          <w:sz w:val="15"/>
          <w:szCs w:val="15"/>
        </w:rPr>
      </w:pPr>
    </w:p>
    <w:p>
      <w:pPr>
        <w:pStyle w:val="BodyText"/>
        <w:spacing w:line="360" w:lineRule="auto"/>
        <w:ind w:left="1133" w:right="7693" w:hanging="361"/>
        <w:jc w:val="left"/>
      </w:pPr>
      <w:r>
        <w:rPr/>
        <w:t>□ 适用 √</w:t>
      </w:r>
      <w:r>
        <w:rPr>
          <w:spacing w:val="3"/>
        </w:rPr>
        <w:t> </w:t>
      </w:r>
      <w:r>
        <w:rPr/>
        <w:t>不适用</w:t>
      </w:r>
      <w:r>
        <w:rPr/>
        <w:t> 公司报告期未出售重大资产。</w:t>
      </w:r>
    </w:p>
    <w:p>
      <w:pPr>
        <w:pStyle w:val="Heading8"/>
        <w:spacing w:line="240" w:lineRule="auto" w:before="124"/>
        <w:ind w:left="772"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772" w:right="0"/>
        <w:jc w:val="left"/>
      </w:pPr>
      <w:r>
        <w:rPr/>
        <w:t>□ 适用 √</w:t>
      </w:r>
      <w:r>
        <w:rPr>
          <w:spacing w:val="3"/>
        </w:rPr>
        <w:t> </w:t>
      </w:r>
      <w:r>
        <w:rPr/>
        <w:t>不适用</w:t>
      </w:r>
    </w:p>
    <w:p>
      <w:pPr>
        <w:spacing w:after="0" w:line="240" w:lineRule="auto"/>
        <w:jc w:val="left"/>
        <w:sectPr>
          <w:pgSz w:w="11910" w:h="16840"/>
          <w:pgMar w:header="877" w:footer="980" w:top="1100" w:bottom="1160" w:left="360" w:right="360"/>
        </w:sectPr>
      </w:pPr>
    </w:p>
    <w:p>
      <w:pPr>
        <w:spacing w:line="240" w:lineRule="auto" w:before="9"/>
        <w:rPr>
          <w:rFonts w:ascii="宋体" w:hAnsi="宋体" w:cs="宋体" w:eastAsia="宋体" w:hint="default"/>
          <w:sz w:val="19"/>
          <w:szCs w:val="19"/>
        </w:rPr>
      </w:pPr>
    </w:p>
    <w:p>
      <w:pPr>
        <w:pStyle w:val="Heading5"/>
        <w:spacing w:line="240" w:lineRule="auto" w:before="26"/>
        <w:ind w:left="692" w:right="0"/>
        <w:jc w:val="left"/>
        <w:rPr>
          <w:b w:val="0"/>
          <w:bCs w:val="0"/>
        </w:rPr>
      </w:pPr>
      <w:r>
        <w:rPr/>
        <w:t>七、主要控股参股公司分析</w:t>
      </w:r>
      <w:r>
        <w:rPr>
          <w:b w:val="0"/>
          <w:bCs w:val="0"/>
        </w:rPr>
      </w:r>
    </w:p>
    <w:p>
      <w:pPr>
        <w:pStyle w:val="BodyText"/>
        <w:spacing w:line="240" w:lineRule="auto" w:before="164"/>
        <w:ind w:left="692" w:right="0"/>
        <w:jc w:val="left"/>
      </w:pPr>
      <w:r>
        <w:rPr/>
        <w:t>√ 适用 □</w:t>
      </w:r>
      <w:r>
        <w:rPr>
          <w:spacing w:val="3"/>
        </w:rPr>
        <w:t> </w:t>
      </w:r>
      <w:r>
        <w:rPr/>
        <w:t>不适用</w:t>
      </w:r>
    </w:p>
    <w:p>
      <w:pPr>
        <w:pStyle w:val="BodyText"/>
        <w:tabs>
          <w:tab w:pos="9610" w:val="left" w:leader="none"/>
        </w:tabs>
        <w:spacing w:line="240" w:lineRule="auto" w:before="117"/>
        <w:ind w:left="692" w:right="0"/>
        <w:jc w:val="left"/>
      </w:pPr>
      <w:r>
        <w:rPr/>
        <w:pict>
          <v:group style="position:absolute;margin-left:244.490005pt;margin-top:78.641708pt;width:44.55pt;height:39pt;mso-position-horizontal-relative:page;mso-position-vertical-relative:paragraph;z-index:-1193608" coordorigin="4890,1573" coordsize="891,780">
            <v:group style="position:absolute;left:4890;top:1885;width:891;height:468" coordorigin="4890,1885" coordsize="891,468">
              <v:shape style="position:absolute;left:4890;top:1885;width:891;height:468" coordorigin="4890,1885" coordsize="891,468" path="m4890,2353l5780,2353,5780,1885,4890,1885,4890,2353xe" filled="true" fillcolor="#ffffff" stroked="false">
                <v:path arrowok="t"/>
                <v:fill type="solid"/>
              </v:shape>
            </v:group>
            <v:group style="position:absolute;left:4890;top:1573;width:891;height:312" coordorigin="4890,1573" coordsize="891,312">
              <v:shape style="position:absolute;left:4890;top:1573;width:891;height:312" coordorigin="4890,1573" coordsize="891,312" path="m4890,1885l5780,1885,5780,1573,4890,1573,4890,1885xe" filled="true" fillcolor="#ffffff" stroked="false">
                <v:path arrowok="t"/>
                <v:fill type="solid"/>
              </v:shape>
            </v:group>
            <w10:wrap type="none"/>
          </v:group>
        </w:pict>
      </w:r>
      <w:r>
        <w:rPr/>
        <w:t>主要子公司及参股公司情况</w:t>
        <w:tab/>
        <w:t>单位：元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455"/>
        <w:gridCol w:w="720"/>
        <w:gridCol w:w="2161"/>
        <w:gridCol w:w="900"/>
        <w:gridCol w:w="1260"/>
        <w:gridCol w:w="1080"/>
        <w:gridCol w:w="1177"/>
        <w:gridCol w:w="1037"/>
        <w:gridCol w:w="1018"/>
      </w:tblGrid>
      <w:tr>
        <w:trPr>
          <w:trHeight w:val="634"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5" w:right="17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260"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冠捷科技有限公司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36"/>
              <w:ind w:right="-43"/>
              <w:jc w:val="left"/>
              <w:rPr>
                <w:rFonts w:ascii="宋体" w:hAnsi="宋体" w:cs="宋体" w:eastAsia="宋体" w:hint="default"/>
                <w:sz w:val="15"/>
                <w:szCs w:val="15"/>
              </w:rPr>
            </w:pPr>
            <w:r>
              <w:rPr>
                <w:rFonts w:ascii="宋体" w:hAnsi="宋体" w:cs="宋体" w:eastAsia="宋体" w:hint="default"/>
                <w:sz w:val="15"/>
                <w:szCs w:val="15"/>
              </w:rPr>
              <w:t>主要从事</w:t>
            </w:r>
            <w:r>
              <w:rPr>
                <w:rFonts w:ascii="宋体" w:hAnsi="宋体" w:cs="宋体" w:eastAsia="宋体" w:hint="default"/>
                <w:spacing w:val="-34"/>
                <w:sz w:val="15"/>
                <w:szCs w:val="15"/>
              </w:rPr>
              <w:t> </w:t>
            </w:r>
            <w:r>
              <w:rPr>
                <w:rFonts w:ascii="Times New Roman" w:hAnsi="Times New Roman" w:cs="Times New Roman" w:eastAsia="Times New Roman" w:hint="default"/>
                <w:spacing w:val="-4"/>
                <w:sz w:val="15"/>
                <w:szCs w:val="15"/>
              </w:rPr>
              <w:t>CRT</w:t>
            </w:r>
            <w:r>
              <w:rPr>
                <w:rFonts w:ascii="Times New Roman" w:hAnsi="Times New Roman" w:cs="Times New Roman" w:eastAsia="Times New Roman" w:hint="default"/>
                <w:spacing w:val="4"/>
                <w:sz w:val="15"/>
                <w:szCs w:val="15"/>
              </w:rPr>
              <w:t> </w:t>
            </w:r>
            <w:r>
              <w:rPr>
                <w:rFonts w:ascii="宋体" w:hAnsi="宋体" w:cs="宋体" w:eastAsia="宋体" w:hint="default"/>
                <w:spacing w:val="-3"/>
                <w:sz w:val="15"/>
                <w:szCs w:val="15"/>
              </w:rPr>
              <w:t>显示器、液晶显示</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器以及液晶电视在内产品的代工</w:t>
            </w:r>
            <w:r>
              <w:rPr>
                <w:rFonts w:ascii="宋体" w:hAnsi="宋体" w:cs="宋体" w:eastAsia="宋体" w:hint="default"/>
                <w:w w:val="100"/>
                <w:sz w:val="15"/>
                <w:szCs w:val="15"/>
              </w:rPr>
              <w:t> </w:t>
            </w:r>
            <w:r>
              <w:rPr>
                <w:rFonts w:ascii="宋体" w:hAnsi="宋体" w:cs="宋体" w:eastAsia="宋体" w:hint="default"/>
                <w:sz w:val="15"/>
                <w:szCs w:val="15"/>
              </w:rPr>
              <w:t>和自有品牌</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AOC</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显示器的研发、</w:t>
            </w:r>
            <w:r>
              <w:rPr>
                <w:rFonts w:ascii="宋体" w:hAnsi="宋体" w:cs="宋体" w:eastAsia="宋体" w:hint="default"/>
                <w:w w:val="100"/>
                <w:sz w:val="15"/>
                <w:szCs w:val="15"/>
              </w:rPr>
              <w:t> </w:t>
            </w:r>
            <w:r>
              <w:rPr>
                <w:rFonts w:ascii="宋体" w:hAnsi="宋体" w:cs="宋体" w:eastAsia="宋体" w:hint="default"/>
                <w:sz w:val="15"/>
                <w:szCs w:val="15"/>
              </w:rPr>
              <w:t>制造和销售等。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60"/>
              <w:jc w:val="right"/>
              <w:rPr>
                <w:rFonts w:ascii="宋体" w:hAnsi="宋体" w:cs="宋体" w:eastAsia="宋体" w:hint="default"/>
                <w:sz w:val="15"/>
                <w:szCs w:val="15"/>
              </w:rPr>
            </w:pPr>
            <w:r>
              <w:rPr>
                <w:rFonts w:ascii="Times New Roman" w:hAnsi="Times New Roman" w:cs="Times New Roman" w:eastAsia="Times New Roman" w:hint="default"/>
                <w:sz w:val="15"/>
                <w:szCs w:val="15"/>
              </w:rPr>
              <w:t>4,000 </w:t>
            </w:r>
            <w:r>
              <w:rPr>
                <w:rFonts w:ascii="宋体" w:hAnsi="宋体" w:cs="宋体" w:eastAsia="宋体" w:hint="default"/>
                <w:sz w:val="15"/>
                <w:szCs w:val="15"/>
              </w:rPr>
              <w:t>万美元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35,674,738,460.28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7,839,279,193.88</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69,150,587,785.25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-204,773,817.35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-244,205,957.10</w:t>
            </w:r>
          </w:p>
        </w:tc>
      </w:tr>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89"/>
              <w:jc w:val="left"/>
              <w:rPr>
                <w:rFonts w:ascii="宋体" w:hAnsi="宋体" w:cs="宋体" w:eastAsia="宋体" w:hint="default"/>
                <w:sz w:val="15"/>
                <w:szCs w:val="15"/>
              </w:rPr>
            </w:pPr>
            <w:r>
              <w:rPr>
                <w:rFonts w:ascii="宋体" w:hAnsi="宋体" w:cs="宋体" w:eastAsia="宋体" w:hint="default"/>
                <w:sz w:val="15"/>
                <w:szCs w:val="15"/>
              </w:rPr>
              <w:t>中国长城计算机（香</w:t>
            </w:r>
            <w:r>
              <w:rPr>
                <w:rFonts w:ascii="宋体" w:hAnsi="宋体" w:cs="宋体" w:eastAsia="宋体" w:hint="default"/>
                <w:w w:val="100"/>
                <w:sz w:val="15"/>
                <w:szCs w:val="15"/>
              </w:rPr>
              <w:t> </w:t>
            </w:r>
            <w:r>
              <w:rPr>
                <w:rFonts w:ascii="宋体" w:hAnsi="宋体" w:cs="宋体" w:eastAsia="宋体" w:hint="default"/>
                <w:sz w:val="15"/>
                <w:szCs w:val="15"/>
              </w:rPr>
              <w:t>港）控股有限公司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left"/>
              <w:rPr>
                <w:rFonts w:ascii="宋体" w:hAnsi="宋体" w:cs="宋体" w:eastAsia="宋体" w:hint="default"/>
                <w:sz w:val="15"/>
                <w:szCs w:val="15"/>
              </w:rPr>
            </w:pPr>
            <w:r>
              <w:rPr>
                <w:rFonts w:ascii="宋体" w:hAnsi="宋体" w:cs="宋体" w:eastAsia="宋体" w:hint="default"/>
                <w:spacing w:val="-2"/>
                <w:sz w:val="15"/>
                <w:szCs w:val="15"/>
              </w:rPr>
              <w:t>主要业务为计算机产品的开发、</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销售及元件、重要设备采购等。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2,566.65 </w:t>
            </w:r>
            <w:r>
              <w:rPr>
                <w:rFonts w:ascii="宋体" w:hAnsi="宋体" w:cs="宋体" w:eastAsia="宋体" w:hint="default"/>
                <w:spacing w:val="-3"/>
                <w:sz w:val="15"/>
                <w:szCs w:val="15"/>
              </w:rPr>
              <w:t>万港</w:t>
            </w:r>
            <w:r>
              <w:rPr>
                <w:rFonts w:ascii="宋体" w:hAnsi="宋体" w:cs="宋体" w:eastAsia="宋体" w:hint="default"/>
                <w:sz w:val="15"/>
                <w:szCs w:val="15"/>
              </w:rPr>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w w:val="100"/>
                <w:sz w:val="15"/>
                <w:szCs w:val="15"/>
              </w:rPr>
              <w:t>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1,521,840,954.83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110,337,611.00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1,735,351,273.04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59,051,282.57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43,701,233.01</w:t>
            </w:r>
          </w:p>
        </w:tc>
      </w:tr>
      <w:tr>
        <w:trPr>
          <w:trHeight w:val="946"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right="89"/>
              <w:jc w:val="left"/>
              <w:rPr>
                <w:rFonts w:ascii="宋体" w:hAnsi="宋体" w:cs="宋体" w:eastAsia="宋体" w:hint="default"/>
                <w:sz w:val="15"/>
                <w:szCs w:val="15"/>
              </w:rPr>
            </w:pPr>
            <w:r>
              <w:rPr>
                <w:rFonts w:ascii="宋体" w:hAnsi="宋体" w:cs="宋体" w:eastAsia="宋体" w:hint="default"/>
                <w:sz w:val="15"/>
                <w:szCs w:val="15"/>
              </w:rPr>
              <w:t>广西长城计算机有限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both"/>
              <w:rPr>
                <w:rFonts w:ascii="宋体" w:hAnsi="宋体" w:cs="宋体" w:eastAsia="宋体" w:hint="default"/>
                <w:sz w:val="15"/>
                <w:szCs w:val="15"/>
              </w:rPr>
            </w:pPr>
            <w:r>
              <w:rPr>
                <w:rFonts w:ascii="宋体" w:hAnsi="宋体" w:cs="宋体" w:eastAsia="宋体" w:hint="default"/>
                <w:spacing w:val="-2"/>
                <w:sz w:val="15"/>
                <w:szCs w:val="15"/>
              </w:rPr>
              <w:t>主要业务为计算机及其零部件及</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其它电子产品的设计、生产、销</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售，计算机软件开发与服务。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62" w:lineRule="auto"/>
              <w:ind w:left="-1" w:right="60"/>
              <w:jc w:val="left"/>
              <w:rPr>
                <w:rFonts w:ascii="宋体" w:hAnsi="宋体" w:cs="宋体" w:eastAsia="宋体" w:hint="default"/>
                <w:sz w:val="15"/>
                <w:szCs w:val="15"/>
              </w:rPr>
            </w:pPr>
            <w:r>
              <w:rPr>
                <w:rFonts w:ascii="Times New Roman" w:hAnsi="Times New Roman" w:cs="Times New Roman" w:eastAsia="Times New Roman" w:hint="default"/>
                <w:sz w:val="15"/>
                <w:szCs w:val="15"/>
              </w:rPr>
              <w:t>3,000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9,644,242.74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7,634,962.77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-769,710.79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-862,246.79</w:t>
            </w:r>
          </w:p>
        </w:tc>
      </w:tr>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89"/>
              <w:jc w:val="left"/>
              <w:rPr>
                <w:rFonts w:ascii="宋体" w:hAnsi="宋体" w:cs="宋体" w:eastAsia="宋体" w:hint="default"/>
                <w:sz w:val="15"/>
                <w:szCs w:val="15"/>
              </w:rPr>
            </w:pPr>
            <w:r>
              <w:rPr>
                <w:rFonts w:ascii="宋体" w:hAnsi="宋体" w:cs="宋体" w:eastAsia="宋体" w:hint="default"/>
                <w:sz w:val="15"/>
                <w:szCs w:val="15"/>
              </w:rPr>
              <w:t>深圳中电长城能源有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left"/>
              <w:rPr>
                <w:rFonts w:ascii="宋体" w:hAnsi="宋体" w:cs="宋体" w:eastAsia="宋体" w:hint="default"/>
                <w:sz w:val="15"/>
                <w:szCs w:val="15"/>
              </w:rPr>
            </w:pPr>
            <w:r>
              <w:rPr>
                <w:rFonts w:ascii="宋体" w:hAnsi="宋体" w:cs="宋体" w:eastAsia="宋体" w:hint="default"/>
                <w:spacing w:val="-2"/>
                <w:sz w:val="15"/>
                <w:szCs w:val="15"/>
              </w:rPr>
              <w:t>主要业务为电源逆变器和太阳能</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电池的制造生产及销售等。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3"/>
              <w:ind w:left="-1"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45,252</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288,028,036.57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38,115,485.80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2"/>
                <w:sz w:val="15"/>
              </w:rPr>
              <w:t>73,110,725.15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-21,558,015.75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-17,368,449.52</w:t>
            </w:r>
          </w:p>
        </w:tc>
      </w:tr>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89"/>
              <w:jc w:val="left"/>
              <w:rPr>
                <w:rFonts w:ascii="宋体" w:hAnsi="宋体" w:cs="宋体" w:eastAsia="宋体" w:hint="default"/>
                <w:sz w:val="15"/>
                <w:szCs w:val="15"/>
              </w:rPr>
            </w:pPr>
            <w:r>
              <w:rPr>
                <w:rFonts w:ascii="宋体" w:hAnsi="宋体" w:cs="宋体" w:eastAsia="宋体" w:hint="default"/>
                <w:sz w:val="15"/>
                <w:szCs w:val="15"/>
              </w:rPr>
              <w:t>海南长城系统科技有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left"/>
              <w:rPr>
                <w:rFonts w:ascii="宋体" w:hAnsi="宋体" w:cs="宋体" w:eastAsia="宋体" w:hint="default"/>
                <w:sz w:val="15"/>
                <w:szCs w:val="15"/>
              </w:rPr>
            </w:pPr>
            <w:r>
              <w:rPr>
                <w:rFonts w:ascii="宋体" w:hAnsi="宋体" w:cs="宋体" w:eastAsia="宋体" w:hint="default"/>
                <w:spacing w:val="-2"/>
                <w:sz w:val="15"/>
                <w:szCs w:val="15"/>
              </w:rPr>
              <w:t>主要业务为计算机及网络相关软</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3"/>
                <w:sz w:val="15"/>
                <w:szCs w:val="15"/>
              </w:rPr>
              <w:t>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3"/>
              <w:ind w:left="-1" w:right="60"/>
              <w:jc w:val="left"/>
              <w:rPr>
                <w:rFonts w:ascii="宋体" w:hAnsi="宋体" w:cs="宋体" w:eastAsia="宋体" w:hint="default"/>
                <w:sz w:val="15"/>
                <w:szCs w:val="15"/>
              </w:rPr>
            </w:pPr>
            <w:r>
              <w:rPr>
                <w:rFonts w:ascii="Times New Roman" w:hAnsi="Times New Roman" w:cs="Times New Roman" w:eastAsia="Times New Roman" w:hint="default"/>
                <w:sz w:val="15"/>
                <w:szCs w:val="15"/>
              </w:rPr>
              <w:t>1,600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14,260,003.95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13,721,888.17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-1,071,995.30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-1,071,995.30</w:t>
            </w:r>
          </w:p>
        </w:tc>
      </w:tr>
      <w:tr>
        <w:trPr>
          <w:trHeight w:val="1258"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right="89"/>
              <w:jc w:val="left"/>
              <w:rPr>
                <w:rFonts w:ascii="宋体" w:hAnsi="宋体" w:cs="宋体" w:eastAsia="宋体" w:hint="default"/>
                <w:sz w:val="15"/>
                <w:szCs w:val="15"/>
              </w:rPr>
            </w:pPr>
            <w:r>
              <w:rPr>
                <w:rFonts w:ascii="宋体" w:hAnsi="宋体" w:cs="宋体" w:eastAsia="宋体" w:hint="default"/>
                <w:sz w:val="15"/>
                <w:szCs w:val="15"/>
              </w:rPr>
              <w:t>北海长城能源科技有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both"/>
              <w:rPr>
                <w:rFonts w:ascii="宋体" w:hAnsi="宋体" w:cs="宋体" w:eastAsia="宋体" w:hint="default"/>
                <w:sz w:val="15"/>
                <w:szCs w:val="15"/>
              </w:rPr>
            </w:pPr>
            <w:r>
              <w:rPr>
                <w:rFonts w:ascii="宋体" w:hAnsi="宋体" w:cs="宋体" w:eastAsia="宋体" w:hint="default"/>
                <w:spacing w:val="-2"/>
                <w:sz w:val="15"/>
                <w:szCs w:val="15"/>
              </w:rPr>
              <w:t>主要业务为计算机及周边产品电</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3"/>
                <w:sz w:val="15"/>
                <w:szCs w:val="15"/>
              </w:rPr>
              <w:t>源、电池以及为其配套的元器件</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3"/>
                <w:sz w:val="15"/>
                <w:szCs w:val="15"/>
              </w:rPr>
              <w:t>注塑、包材等产品的生产、研发</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销售及其进出口。</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60" w:lineRule="auto"/>
              <w:ind w:left="-1" w:right="67"/>
              <w:jc w:val="left"/>
              <w:rPr>
                <w:rFonts w:ascii="宋体" w:hAnsi="宋体" w:cs="宋体" w:eastAsia="宋体" w:hint="default"/>
                <w:sz w:val="15"/>
                <w:szCs w:val="15"/>
              </w:rPr>
            </w:pPr>
            <w:r>
              <w:rPr>
                <w:rFonts w:ascii="Times New Roman" w:hAnsi="Times New Roman" w:cs="Times New Roman" w:eastAsia="Times New Roman" w:hint="default"/>
                <w:sz w:val="15"/>
                <w:szCs w:val="15"/>
              </w:rPr>
              <w:t>1,113</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16,868,820.68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14,335,872.69</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149,956,829.53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-92,773.65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4"/>
              <w:jc w:val="right"/>
              <w:rPr>
                <w:rFonts w:ascii="Times New Roman" w:hAnsi="Times New Roman" w:cs="Times New Roman" w:eastAsia="Times New Roman" w:hint="default"/>
                <w:sz w:val="15"/>
                <w:szCs w:val="15"/>
              </w:rPr>
            </w:pPr>
            <w:r>
              <w:rPr>
                <w:rFonts w:ascii="Times New Roman"/>
                <w:spacing w:val="-1"/>
                <w:sz w:val="15"/>
              </w:rPr>
              <w:t>5,055.84</w:t>
            </w:r>
          </w:p>
        </w:tc>
      </w:tr>
      <w:tr>
        <w:trPr>
          <w:trHeight w:val="636"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89"/>
              <w:jc w:val="left"/>
              <w:rPr>
                <w:rFonts w:ascii="宋体" w:hAnsi="宋体" w:cs="宋体" w:eastAsia="宋体" w:hint="default"/>
                <w:sz w:val="15"/>
                <w:szCs w:val="15"/>
              </w:rPr>
            </w:pPr>
            <w:r>
              <w:rPr>
                <w:rFonts w:ascii="宋体" w:hAnsi="宋体" w:cs="宋体" w:eastAsia="宋体" w:hint="default"/>
                <w:sz w:val="15"/>
                <w:szCs w:val="15"/>
              </w:rPr>
              <w:t>湖南长城计算机系统</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right="46"/>
              <w:jc w:val="left"/>
              <w:rPr>
                <w:rFonts w:ascii="宋体" w:hAnsi="宋体" w:cs="宋体" w:eastAsia="宋体" w:hint="default"/>
                <w:sz w:val="15"/>
                <w:szCs w:val="15"/>
              </w:rPr>
            </w:pPr>
            <w:r>
              <w:rPr>
                <w:rFonts w:ascii="宋体" w:hAnsi="宋体" w:cs="宋体" w:eastAsia="宋体" w:hint="default"/>
                <w:spacing w:val="-2"/>
                <w:sz w:val="15"/>
                <w:szCs w:val="15"/>
              </w:rPr>
              <w:t>电子计算机软件、硬件系统及网</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4"/>
                <w:sz w:val="15"/>
                <w:szCs w:val="15"/>
              </w:rPr>
              <w:t>络系统的技术开发、生产及销售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6"/>
              <w:ind w:left="-1"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10,000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28,688,395.50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18,904,012.27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2"/>
                <w:sz w:val="15"/>
              </w:rPr>
              <w:t>4,117,087.85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-4,794,650.31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18,904,012.27</w:t>
            </w:r>
          </w:p>
        </w:tc>
      </w:tr>
      <w:tr>
        <w:trPr>
          <w:trHeight w:val="1258"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right="89"/>
              <w:jc w:val="left"/>
              <w:rPr>
                <w:rFonts w:ascii="宋体" w:hAnsi="宋体" w:cs="宋体" w:eastAsia="宋体" w:hint="default"/>
                <w:sz w:val="15"/>
                <w:szCs w:val="15"/>
              </w:rPr>
            </w:pPr>
            <w:r>
              <w:rPr>
                <w:rFonts w:ascii="宋体" w:hAnsi="宋体" w:cs="宋体" w:eastAsia="宋体" w:hint="default"/>
                <w:sz w:val="15"/>
                <w:szCs w:val="15"/>
              </w:rPr>
              <w:t>桂林长海科技有限责</w:t>
            </w:r>
            <w:r>
              <w:rPr>
                <w:rFonts w:ascii="宋体" w:hAnsi="宋体" w:cs="宋体" w:eastAsia="宋体" w:hint="default"/>
                <w:w w:val="100"/>
                <w:sz w:val="15"/>
                <w:szCs w:val="15"/>
              </w:rPr>
              <w:t> </w:t>
            </w:r>
            <w:r>
              <w:rPr>
                <w:rFonts w:ascii="宋体" w:hAnsi="宋体" w:cs="宋体" w:eastAsia="宋体" w:hint="default"/>
                <w:sz w:val="15"/>
                <w:szCs w:val="15"/>
              </w:rPr>
              <w:t>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left"/>
              <w:rPr>
                <w:rFonts w:ascii="宋体" w:hAnsi="宋体" w:cs="宋体" w:eastAsia="宋体" w:hint="default"/>
                <w:sz w:val="15"/>
                <w:szCs w:val="15"/>
              </w:rPr>
            </w:pPr>
            <w:r>
              <w:rPr>
                <w:rFonts w:ascii="宋体" w:hAnsi="宋体" w:cs="宋体" w:eastAsia="宋体" w:hint="default"/>
                <w:spacing w:val="-2"/>
                <w:sz w:val="15"/>
                <w:szCs w:val="15"/>
              </w:rPr>
              <w:t>主要业务为通信设备、计算机及</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其零部件及其它电子产品的设</w:t>
            </w:r>
            <w:r>
              <w:rPr>
                <w:rFonts w:ascii="宋体" w:hAnsi="宋体" w:cs="宋体" w:eastAsia="宋体" w:hint="default"/>
                <w:w w:val="100"/>
                <w:sz w:val="15"/>
                <w:szCs w:val="15"/>
              </w:rPr>
              <w:t> </w:t>
            </w:r>
            <w:r>
              <w:rPr>
                <w:rFonts w:ascii="宋体" w:hAnsi="宋体" w:cs="宋体" w:eastAsia="宋体" w:hint="default"/>
                <w:spacing w:val="-2"/>
                <w:sz w:val="15"/>
                <w:szCs w:val="15"/>
              </w:rPr>
              <w:t>计、生产、销售，计算机软件开</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发与服务，系统集成。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3,756.80 </w:t>
            </w:r>
            <w:r>
              <w:rPr>
                <w:rFonts w:ascii="宋体" w:hAnsi="宋体" w:cs="宋体" w:eastAsia="宋体" w:hint="default"/>
                <w:spacing w:val="-3"/>
                <w:sz w:val="15"/>
                <w:szCs w:val="15"/>
              </w:rPr>
              <w:t>万元</w:t>
            </w:r>
            <w:r>
              <w:rPr>
                <w:rFonts w:ascii="宋体" w:hAnsi="宋体" w:cs="宋体" w:eastAsia="宋体" w:hint="default"/>
                <w:sz w:val="15"/>
                <w:szCs w:val="15"/>
              </w:rPr>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54,719,366.21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37,038,957.14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186,002,840.79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988,761.21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2"/>
                <w:sz w:val="15"/>
              </w:rPr>
              <w:t>1,116,967.66</w:t>
            </w:r>
          </w:p>
        </w:tc>
      </w:tr>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89"/>
              <w:jc w:val="left"/>
              <w:rPr>
                <w:rFonts w:ascii="宋体" w:hAnsi="宋体" w:cs="宋体" w:eastAsia="宋体" w:hint="default"/>
                <w:sz w:val="15"/>
                <w:szCs w:val="15"/>
              </w:rPr>
            </w:pPr>
            <w:r>
              <w:rPr>
                <w:rFonts w:ascii="宋体" w:hAnsi="宋体" w:cs="宋体" w:eastAsia="宋体" w:hint="default"/>
                <w:sz w:val="15"/>
                <w:szCs w:val="15"/>
              </w:rPr>
              <w:t>长信数码信息文化发</w:t>
            </w:r>
            <w:r>
              <w:rPr>
                <w:rFonts w:ascii="宋体" w:hAnsi="宋体" w:cs="宋体" w:eastAsia="宋体" w:hint="default"/>
                <w:w w:val="100"/>
                <w:sz w:val="15"/>
                <w:szCs w:val="15"/>
              </w:rPr>
              <w:t> </w:t>
            </w:r>
            <w:r>
              <w:rPr>
                <w:rFonts w:ascii="宋体" w:hAnsi="宋体" w:cs="宋体" w:eastAsia="宋体" w:hint="default"/>
                <w:sz w:val="15"/>
                <w:szCs w:val="15"/>
              </w:rPr>
              <w:t>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5"/>
                <w:szCs w:val="15"/>
              </w:rPr>
            </w:pPr>
            <w:r>
              <w:rPr>
                <w:rFonts w:ascii="宋体" w:hAnsi="宋体" w:cs="宋体" w:eastAsia="宋体" w:hint="default"/>
                <w:spacing w:val="-2"/>
                <w:sz w:val="15"/>
                <w:szCs w:val="15"/>
              </w:rPr>
              <w:t>主要从事互联网信息服务业务。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3"/>
              <w:ind w:left="-1" w:right="60"/>
              <w:jc w:val="left"/>
              <w:rPr>
                <w:rFonts w:ascii="宋体" w:hAnsi="宋体" w:cs="宋体" w:eastAsia="宋体" w:hint="default"/>
                <w:sz w:val="15"/>
                <w:szCs w:val="15"/>
              </w:rPr>
            </w:pPr>
            <w:r>
              <w:rPr>
                <w:rFonts w:ascii="Times New Roman" w:hAnsi="Times New Roman" w:cs="Times New Roman" w:eastAsia="Times New Roman" w:hint="default"/>
                <w:sz w:val="15"/>
                <w:szCs w:val="15"/>
              </w:rPr>
              <w:t>5,000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2,054,378.34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-142,334.58</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223,200.00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71,345.74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right"/>
              <w:rPr>
                <w:rFonts w:ascii="Times New Roman" w:hAnsi="Times New Roman" w:cs="Times New Roman" w:eastAsia="Times New Roman" w:hint="default"/>
                <w:sz w:val="15"/>
                <w:szCs w:val="15"/>
              </w:rPr>
            </w:pPr>
            <w:r>
              <w:rPr>
                <w:rFonts w:ascii="Times New Roman"/>
                <w:spacing w:val="-1"/>
                <w:sz w:val="15"/>
              </w:rPr>
              <w:t>71,194.00</w:t>
            </w:r>
          </w:p>
        </w:tc>
      </w:tr>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89"/>
              <w:jc w:val="left"/>
              <w:rPr>
                <w:rFonts w:ascii="宋体" w:hAnsi="宋体" w:cs="宋体" w:eastAsia="宋体" w:hint="default"/>
                <w:sz w:val="15"/>
                <w:szCs w:val="15"/>
              </w:rPr>
            </w:pPr>
            <w:r>
              <w:rPr>
                <w:rFonts w:ascii="宋体" w:hAnsi="宋体" w:cs="宋体" w:eastAsia="宋体" w:hint="default"/>
                <w:sz w:val="15"/>
                <w:szCs w:val="15"/>
              </w:rPr>
              <w:t>深圳中电长城信息安</w:t>
            </w:r>
            <w:r>
              <w:rPr>
                <w:rFonts w:ascii="宋体" w:hAnsi="宋体" w:cs="宋体" w:eastAsia="宋体" w:hint="default"/>
                <w:w w:val="100"/>
                <w:sz w:val="15"/>
                <w:szCs w:val="15"/>
              </w:rPr>
              <w:t> </w:t>
            </w:r>
            <w:r>
              <w:rPr>
                <w:rFonts w:ascii="宋体" w:hAnsi="宋体" w:cs="宋体" w:eastAsia="宋体" w:hint="default"/>
                <w:sz w:val="15"/>
                <w:szCs w:val="15"/>
              </w:rPr>
              <w:t>全系统有限公司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left"/>
              <w:rPr>
                <w:rFonts w:ascii="宋体" w:hAnsi="宋体" w:cs="宋体" w:eastAsia="宋体" w:hint="default"/>
                <w:sz w:val="15"/>
                <w:szCs w:val="15"/>
              </w:rPr>
            </w:pPr>
            <w:r>
              <w:rPr>
                <w:rFonts w:ascii="宋体" w:hAnsi="宋体" w:cs="宋体" w:eastAsia="宋体" w:hint="default"/>
                <w:spacing w:val="-2"/>
                <w:sz w:val="15"/>
                <w:szCs w:val="15"/>
              </w:rPr>
              <w:t>主要业务为计算机及网络相关软</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3"/>
                <w:sz w:val="15"/>
                <w:szCs w:val="15"/>
              </w:rPr>
              <w:t>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33"/>
              <w:ind w:left="-1" w:right="-3"/>
              <w:jc w:val="left"/>
              <w:rPr>
                <w:rFonts w:ascii="宋体" w:hAnsi="宋体" w:cs="宋体" w:eastAsia="宋体" w:hint="default"/>
                <w:sz w:val="15"/>
                <w:szCs w:val="15"/>
              </w:rPr>
            </w:pPr>
            <w:r>
              <w:rPr>
                <w:rFonts w:ascii="Times New Roman" w:hAnsi="Times New Roman" w:cs="Times New Roman" w:eastAsia="Times New Roman" w:hint="default"/>
                <w:sz w:val="15"/>
                <w:szCs w:val="15"/>
              </w:rPr>
              <w:t>12,000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53,576,916.63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24,824,490.16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98,172,246.54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-25,217,087.20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-24,802,518.78</w:t>
            </w:r>
          </w:p>
        </w:tc>
      </w:tr>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89"/>
              <w:jc w:val="left"/>
              <w:rPr>
                <w:rFonts w:ascii="宋体" w:hAnsi="宋体" w:cs="宋体" w:eastAsia="宋体" w:hint="default"/>
                <w:sz w:val="15"/>
                <w:szCs w:val="15"/>
              </w:rPr>
            </w:pPr>
            <w:r>
              <w:rPr>
                <w:rFonts w:ascii="宋体" w:hAnsi="宋体" w:cs="宋体" w:eastAsia="宋体" w:hint="default"/>
                <w:sz w:val="15"/>
                <w:szCs w:val="15"/>
              </w:rPr>
              <w:t>广州鼎甲计算机科技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46"/>
              <w:jc w:val="left"/>
              <w:rPr>
                <w:rFonts w:ascii="宋体" w:hAnsi="宋体" w:cs="宋体" w:eastAsia="宋体" w:hint="default"/>
                <w:sz w:val="15"/>
                <w:szCs w:val="15"/>
              </w:rPr>
            </w:pPr>
            <w:r>
              <w:rPr>
                <w:rFonts w:ascii="宋体" w:hAnsi="宋体" w:cs="宋体" w:eastAsia="宋体" w:hint="default"/>
                <w:spacing w:val="-2"/>
                <w:sz w:val="15"/>
                <w:szCs w:val="15"/>
              </w:rPr>
              <w:t>主要从事软件和信息技术服务业</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1523.9838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元人民币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13,949,056.92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-95,483.22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2"/>
                <w:sz w:val="15"/>
              </w:rPr>
              <w:t>6,025,117.09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-24,407,220.57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2"/>
                <w:sz w:val="15"/>
              </w:rPr>
              <w:t>-21,929,115.65</w:t>
            </w:r>
          </w:p>
        </w:tc>
      </w:tr>
      <w:tr>
        <w:trPr>
          <w:trHeight w:val="157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right="89"/>
              <w:jc w:val="left"/>
              <w:rPr>
                <w:rFonts w:ascii="宋体" w:hAnsi="宋体" w:cs="宋体" w:eastAsia="宋体" w:hint="default"/>
                <w:sz w:val="15"/>
                <w:szCs w:val="15"/>
              </w:rPr>
            </w:pPr>
            <w:r>
              <w:rPr>
                <w:rFonts w:ascii="宋体" w:hAnsi="宋体" w:cs="宋体" w:eastAsia="宋体" w:hint="default"/>
                <w:sz w:val="15"/>
                <w:szCs w:val="15"/>
              </w:rPr>
              <w:t>闪联信息技术工程中</w:t>
            </w:r>
            <w:r>
              <w:rPr>
                <w:rFonts w:ascii="宋体" w:hAnsi="宋体" w:cs="宋体" w:eastAsia="宋体" w:hint="default"/>
                <w:w w:val="100"/>
                <w:sz w:val="15"/>
                <w:szCs w:val="15"/>
              </w:rPr>
              <w:t> </w:t>
            </w:r>
            <w:r>
              <w:rPr>
                <w:rFonts w:ascii="宋体" w:hAnsi="宋体" w:cs="宋体" w:eastAsia="宋体" w:hint="default"/>
                <w:sz w:val="15"/>
                <w:szCs w:val="15"/>
              </w:rPr>
              <w:t>心有限公司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33"/>
              <w:ind w:right="46"/>
              <w:jc w:val="left"/>
              <w:rPr>
                <w:rFonts w:ascii="宋体" w:hAnsi="宋体" w:cs="宋体" w:eastAsia="宋体" w:hint="default"/>
                <w:sz w:val="15"/>
                <w:szCs w:val="15"/>
              </w:rPr>
            </w:pPr>
            <w:r>
              <w:rPr>
                <w:rFonts w:ascii="宋体" w:hAnsi="宋体" w:cs="宋体" w:eastAsia="宋体" w:hint="default"/>
                <w:sz w:val="15"/>
                <w:szCs w:val="15"/>
              </w:rPr>
              <w:t>主要从事在数字</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协同技术和</w:t>
            </w:r>
            <w:r>
              <w:rPr>
                <w:rFonts w:ascii="宋体" w:hAnsi="宋体" w:cs="宋体" w:eastAsia="宋体" w:hint="default"/>
                <w:w w:val="100"/>
                <w:sz w:val="15"/>
                <w:szCs w:val="15"/>
              </w:rPr>
              <w:t> </w:t>
            </w:r>
            <w:r>
              <w:rPr>
                <w:rFonts w:ascii="宋体" w:hAnsi="宋体" w:cs="宋体" w:eastAsia="宋体" w:hint="default"/>
                <w:spacing w:val="-2"/>
                <w:sz w:val="15"/>
                <w:szCs w:val="15"/>
              </w:rPr>
              <w:t>标准制定领域进行共性基础技术</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4"/>
                <w:sz w:val="15"/>
                <w:szCs w:val="15"/>
              </w:rPr>
              <w:t>研发、参与国家的重大项目建设</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2"/>
                <w:sz w:val="15"/>
                <w:szCs w:val="15"/>
              </w:rPr>
              <w:t>国际交流与合作、市场运作和推</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广等业务。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62" w:lineRule="auto"/>
              <w:ind w:left="-1" w:right="60"/>
              <w:jc w:val="left"/>
              <w:rPr>
                <w:rFonts w:ascii="宋体" w:hAnsi="宋体" w:cs="宋体" w:eastAsia="宋体" w:hint="default"/>
                <w:sz w:val="15"/>
                <w:szCs w:val="15"/>
              </w:rPr>
            </w:pPr>
            <w:r>
              <w:rPr>
                <w:rFonts w:ascii="Times New Roman" w:hAnsi="Times New Roman" w:cs="Times New Roman" w:eastAsia="Times New Roman" w:hint="default"/>
                <w:sz w:val="15"/>
                <w:szCs w:val="15"/>
              </w:rPr>
              <w:t>5,200 </w:t>
            </w:r>
            <w:r>
              <w:rPr>
                <w:rFonts w:ascii="宋体" w:hAnsi="宋体" w:cs="宋体" w:eastAsia="宋体" w:hint="default"/>
                <w:sz w:val="15"/>
                <w:szCs w:val="15"/>
              </w:rPr>
              <w:t>万元人</w:t>
            </w:r>
            <w:r>
              <w:rPr>
                <w:rFonts w:ascii="宋体" w:hAnsi="宋体" w:cs="宋体" w:eastAsia="宋体" w:hint="default"/>
                <w:w w:val="100"/>
                <w:sz w:val="15"/>
                <w:szCs w:val="15"/>
              </w:rPr>
              <w:t> </w:t>
            </w:r>
            <w:r>
              <w:rPr>
                <w:rFonts w:ascii="宋体" w:hAnsi="宋体" w:cs="宋体" w:eastAsia="宋体" w:hint="default"/>
                <w:sz w:val="15"/>
                <w:szCs w:val="15"/>
              </w:rPr>
              <w:t>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78,615,259.09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38,513,522.97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66,271,404.10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-6,487,590.66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-6,487,590.66</w:t>
            </w:r>
          </w:p>
        </w:tc>
      </w:tr>
    </w:tbl>
    <w:p>
      <w:pPr>
        <w:pStyle w:val="BodyText"/>
        <w:spacing w:line="240" w:lineRule="auto" w:before="49"/>
        <w:ind w:left="692" w:right="0"/>
        <w:jc w:val="left"/>
      </w:pPr>
      <w:r>
        <w:rPr/>
        <w:t>报告期内取得和处置子公司的情况</w:t>
      </w:r>
    </w:p>
    <w:p>
      <w:pPr>
        <w:pStyle w:val="BodyText"/>
        <w:spacing w:line="240" w:lineRule="auto" w:before="115"/>
        <w:ind w:left="692"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721"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1,890.4 </w:t>
            </w:r>
            <w:r>
              <w:rPr>
                <w:rFonts w:ascii="宋体" w:hAnsi="宋体" w:cs="宋体" w:eastAsia="宋体" w:hint="default"/>
                <w:spacing w:val="-3"/>
                <w:sz w:val="18"/>
                <w:szCs w:val="18"/>
              </w:rPr>
              <w:t>万元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80" w:top="1100" w:bottom="1160" w:left="440" w:right="440"/>
        </w:sectPr>
      </w:pPr>
    </w:p>
    <w:p>
      <w:pPr>
        <w:spacing w:line="240" w:lineRule="auto" w:before="11"/>
        <w:rPr>
          <w:rFonts w:ascii="宋体" w:hAnsi="宋体" w:cs="宋体" w:eastAsia="宋体" w:hint="default"/>
          <w:sz w:val="21"/>
          <w:szCs w:val="21"/>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主要控股、参股公司情况说明</w:t>
      </w:r>
      <w:r>
        <w:rPr>
          <w:rFonts w:ascii="宋体" w:hAnsi="宋体" w:cs="宋体" w:eastAsia="宋体" w:hint="default"/>
          <w:sz w:val="18"/>
          <w:szCs w:val="18"/>
        </w:rPr>
      </w:r>
    </w:p>
    <w:p>
      <w:pPr>
        <w:pStyle w:val="BodyText"/>
        <w:spacing w:line="300" w:lineRule="auto" w:before="117"/>
        <w:ind w:right="99" w:firstLine="360"/>
        <w:jc w:val="both"/>
      </w:pPr>
      <w:r>
        <w:rPr>
          <w:rFonts w:ascii="Times New Roman" w:hAnsi="Times New Roman" w:cs="Times New Roman" w:eastAsia="Times New Roman" w:hint="default"/>
        </w:rPr>
        <w:t>1</w:t>
      </w:r>
      <w:r>
        <w:rPr/>
        <w:t>、冠捷科技受全球各经济体系表现乏力的严峻经济气候影响，加之外汇市场发展不利，同时对电视业务作出较高的保 证拨备，因此其</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年度总收益对比上年同期有所下跌，</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年度除税后利润对比上年同期进一步亏损。关于冠捷科技的 </w:t>
      </w:r>
      <w:r>
        <w:rPr>
          <w:spacing w:val="-4"/>
        </w:rPr>
        <w:t>资产、利润状况及其下设各地子公司的详细资料可参见冠捷科技于</w:t>
      </w:r>
      <w:r>
        <w:rPr>
          <w:spacing w:val="-57"/>
        </w:rPr>
        <w:t> </w:t>
      </w:r>
      <w:hyperlink r:id="rId11">
        <w:r>
          <w:rPr>
            <w:rFonts w:ascii="Times New Roman" w:hAnsi="Times New Roman" w:cs="Times New Roman" w:eastAsia="Times New Roman" w:hint="default"/>
            <w:spacing w:val="-1"/>
            <w:w w:val="99"/>
          </w:rPr>
          <w:t>http://www.hkexnews.hk</w:t>
        </w:r>
      </w:hyperlink>
      <w:r>
        <w:rPr>
          <w:rFonts w:ascii="Times New Roman" w:hAnsi="Times New Roman" w:cs="Times New Roman" w:eastAsia="Times New Roman" w:hint="default"/>
          <w:spacing w:val="-12"/>
          <w:w w:val="99"/>
        </w:rPr>
        <w:t> </w:t>
      </w:r>
      <w:r>
        <w:rPr/>
        <w:t>中公告的</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spacing w:val="-1"/>
        </w:rPr>
        <w:t>年度报告相关内容；</w:t>
      </w:r>
    </w:p>
    <w:p>
      <w:pPr>
        <w:pStyle w:val="BodyText"/>
        <w:spacing w:line="300" w:lineRule="auto" w:before="51"/>
        <w:ind w:right="138" w:firstLine="360"/>
        <w:jc w:val="both"/>
      </w:pPr>
      <w:r>
        <w:rPr>
          <w:rFonts w:ascii="Times New Roman" w:hAnsi="Times New Roman" w:cs="Times New Roman" w:eastAsia="Times New Roman" w:hint="default"/>
        </w:rPr>
        <w:t>2</w:t>
      </w:r>
      <w:r>
        <w:rPr/>
        <w:t>、长城香港因公司通过对其减资的方式对公司收购其持有的冠捷科技</w:t>
      </w:r>
      <w:r>
        <w:rPr>
          <w:spacing w:val="-45"/>
        </w:rPr>
        <w:t> </w:t>
      </w:r>
      <w:r>
        <w:rPr>
          <w:rFonts w:ascii="Times New Roman" w:hAnsi="Times New Roman" w:cs="Times New Roman" w:eastAsia="Times New Roman" w:hint="default"/>
        </w:rPr>
        <w:t>15.79%</w:t>
      </w:r>
      <w:r>
        <w:rPr/>
        <w:t>股权的全额应付转让价款进行抵消冲减， 注册资本由原来的</w:t>
      </w:r>
      <w:r>
        <w:rPr>
          <w:spacing w:val="-46"/>
        </w:rPr>
        <w:t> </w:t>
      </w:r>
      <w:r>
        <w:rPr>
          <w:rFonts w:ascii="Times New Roman" w:hAnsi="Times New Roman" w:cs="Times New Roman" w:eastAsia="Times New Roman" w:hint="default"/>
        </w:rPr>
        <w:t>80,774.95</w:t>
      </w:r>
      <w:r>
        <w:rPr>
          <w:rFonts w:ascii="Times New Roman" w:hAnsi="Times New Roman" w:cs="Times New Roman" w:eastAsia="Times New Roman" w:hint="default"/>
          <w:spacing w:val="-1"/>
        </w:rPr>
        <w:t> </w:t>
      </w:r>
      <w:r>
        <w:rPr/>
        <w:t>万港币减少至</w:t>
      </w:r>
      <w:r>
        <w:rPr>
          <w:spacing w:val="-46"/>
        </w:rPr>
        <w:t> </w:t>
      </w:r>
      <w:r>
        <w:rPr>
          <w:rFonts w:ascii="Times New Roman" w:hAnsi="Times New Roman" w:cs="Times New Roman" w:eastAsia="Times New Roman" w:hint="default"/>
        </w:rPr>
        <w:t>2,566.65</w:t>
      </w:r>
      <w:r>
        <w:rPr>
          <w:rFonts w:ascii="Times New Roman" w:hAnsi="Times New Roman" w:cs="Times New Roman" w:eastAsia="Times New Roman" w:hint="default"/>
          <w:spacing w:val="-1"/>
        </w:rPr>
        <w:t> </w:t>
      </w:r>
      <w:r>
        <w:rPr/>
        <w:t>万港币；</w:t>
      </w:r>
    </w:p>
    <w:p>
      <w:pPr>
        <w:pStyle w:val="BodyText"/>
        <w:spacing w:line="300" w:lineRule="auto" w:before="53"/>
        <w:ind w:right="188" w:firstLine="360"/>
        <w:jc w:val="both"/>
      </w:pPr>
      <w:r>
        <w:rPr>
          <w:rFonts w:ascii="Times New Roman" w:hAnsi="Times New Roman" w:cs="Times New Roman" w:eastAsia="Times New Roman" w:hint="default"/>
          <w:spacing w:val="-4"/>
        </w:rPr>
        <w:t>3</w:t>
      </w:r>
      <w:r>
        <w:rPr>
          <w:spacing w:val="-4"/>
        </w:rPr>
        <w:t>、长城能源因获得公司现金增资人民币</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6"/>
        </w:rPr>
        <w:t>亿元，注册资本由原来的</w:t>
      </w:r>
      <w:r>
        <w:rPr>
          <w:spacing w:val="-40"/>
        </w:rPr>
        <w:t> </w:t>
      </w:r>
      <w:r>
        <w:rPr>
          <w:rFonts w:ascii="Times New Roman" w:hAnsi="Times New Roman" w:cs="Times New Roman" w:eastAsia="Times New Roman" w:hint="default"/>
        </w:rPr>
        <w:t>15,252</w:t>
      </w:r>
      <w:r>
        <w:rPr>
          <w:rFonts w:ascii="Times New Roman" w:hAnsi="Times New Roman" w:cs="Times New Roman" w:eastAsia="Times New Roman" w:hint="default"/>
          <w:spacing w:val="7"/>
        </w:rPr>
        <w:t> </w:t>
      </w:r>
      <w:r>
        <w:rPr/>
        <w:t>万元增至</w:t>
      </w:r>
      <w:r>
        <w:rPr>
          <w:spacing w:val="-42"/>
        </w:rPr>
        <w:t> </w:t>
      </w:r>
      <w:r>
        <w:rPr>
          <w:rFonts w:ascii="Times New Roman" w:hAnsi="Times New Roman" w:cs="Times New Roman" w:eastAsia="Times New Roman" w:hint="default"/>
        </w:rPr>
        <w:t>45,252</w:t>
      </w:r>
      <w:r>
        <w:rPr>
          <w:rFonts w:ascii="Times New Roman" w:hAnsi="Times New Roman" w:cs="Times New Roman" w:eastAsia="Times New Roman" w:hint="default"/>
          <w:spacing w:val="5"/>
        </w:rPr>
        <w:t> </w:t>
      </w:r>
      <w:r>
        <w:rPr>
          <w:spacing w:val="-5"/>
        </w:rPr>
        <w:t>万元，具体内容详见本节</w:t>
      </w:r>
      <w:r>
        <w:rPr>
          <w:rFonts w:ascii="Times New Roman" w:hAnsi="Times New Roman" w:cs="Times New Roman" w:eastAsia="Times New Roman" w:hint="default"/>
          <w:spacing w:val="-5"/>
        </w:rPr>
        <w:t>“</w:t>
      </w:r>
      <w:r>
        <w:rPr>
          <w:spacing w:val="-5"/>
        </w:rPr>
        <w:t>报</w:t>
      </w:r>
      <w:r>
        <w:rPr/>
        <w:t> 告期内正在进行的重大的非股权投资情况</w:t>
      </w:r>
      <w:r>
        <w:rPr>
          <w:rFonts w:ascii="Times New Roman" w:hAnsi="Times New Roman" w:cs="Times New Roman" w:eastAsia="Times New Roman" w:hint="default"/>
        </w:rPr>
        <w:t>”</w:t>
      </w:r>
      <w:r>
        <w:rPr/>
        <w:t>中的相关介绍；</w:t>
      </w:r>
    </w:p>
    <w:p>
      <w:pPr>
        <w:pStyle w:val="BodyText"/>
        <w:spacing w:line="300" w:lineRule="auto" w:before="53"/>
        <w:ind w:right="188" w:firstLine="360"/>
        <w:jc w:val="both"/>
      </w:pPr>
      <w:r>
        <w:rPr>
          <w:rFonts w:ascii="Times New Roman" w:hAnsi="Times New Roman" w:cs="Times New Roman" w:eastAsia="Times New Roman" w:hint="default"/>
        </w:rPr>
        <w:t>4</w:t>
      </w:r>
      <w:r>
        <w:rPr/>
        <w:t>、北海能源对自然人股东所持有全部 </w:t>
      </w:r>
      <w:r>
        <w:rPr>
          <w:rFonts w:ascii="Times New Roman" w:hAnsi="Times New Roman" w:cs="Times New Roman" w:eastAsia="Times New Roman" w:hint="default"/>
        </w:rPr>
        <w:t>25.8%</w:t>
      </w:r>
      <w:r>
        <w:rPr/>
        <w:t>股份按每股净资产评估值进行回购并注销，注册资本由原来的 </w:t>
      </w:r>
      <w:r>
        <w:rPr>
          <w:rFonts w:ascii="Times New Roman" w:hAnsi="Times New Roman" w:cs="Times New Roman" w:eastAsia="Times New Roman" w:hint="default"/>
        </w:rPr>
        <w:t>1,500</w:t>
      </w:r>
      <w:r>
        <w:rPr>
          <w:rFonts w:ascii="Times New Roman" w:hAnsi="Times New Roman" w:cs="Times New Roman" w:eastAsia="Times New Roman" w:hint="default"/>
          <w:spacing w:val="-8"/>
        </w:rPr>
        <w:t> </w:t>
      </w:r>
      <w:r>
        <w:rPr/>
        <w:t>万元 减少至</w:t>
      </w:r>
      <w:r>
        <w:rPr>
          <w:spacing w:val="-49"/>
        </w:rPr>
        <w:t> </w:t>
      </w:r>
      <w:r>
        <w:rPr>
          <w:rFonts w:ascii="Times New Roman" w:hAnsi="Times New Roman" w:cs="Times New Roman" w:eastAsia="Times New Roman" w:hint="default"/>
        </w:rPr>
        <w:t>1,113</w:t>
      </w:r>
      <w:r>
        <w:rPr>
          <w:rFonts w:ascii="Times New Roman" w:hAnsi="Times New Roman" w:cs="Times New Roman" w:eastAsia="Times New Roman" w:hint="default"/>
          <w:spacing w:val="-4"/>
        </w:rPr>
        <w:t> </w:t>
      </w:r>
      <w:r>
        <w:rPr/>
        <w:t>万元，北海能源成为本公司全资子公司；</w:t>
      </w:r>
    </w:p>
    <w:p>
      <w:pPr>
        <w:pStyle w:val="BodyText"/>
        <w:spacing w:line="240" w:lineRule="auto" w:before="51"/>
        <w:ind w:left="513" w:right="89"/>
        <w:jc w:val="left"/>
      </w:pPr>
      <w:r>
        <w:rPr>
          <w:rFonts w:ascii="Times New Roman" w:hAnsi="Times New Roman" w:cs="Times New Roman" w:eastAsia="Times New Roman" w:hint="default"/>
        </w:rPr>
        <w:t>5</w:t>
      </w:r>
      <w:r>
        <w:rPr/>
        <w:t>、湖南长城是报告期内由公司出资人民币</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亿元于湖南省株洲市天元区新设成立的全资子公司，具体内容详见第五节</w:t>
      </w:r>
    </w:p>
    <w:p>
      <w:pPr>
        <w:pStyle w:val="BodyText"/>
        <w:spacing w:line="240" w:lineRule="auto" w:before="63"/>
        <w:ind w:right="0"/>
        <w:jc w:val="both"/>
      </w:pPr>
      <w:r>
        <w:rPr>
          <w:rFonts w:ascii="Times New Roman" w:hAnsi="Times New Roman" w:cs="Times New Roman" w:eastAsia="Times New Roman" w:hint="default"/>
        </w:rPr>
        <w:t>“</w:t>
      </w:r>
      <w:r>
        <w:rPr/>
        <w:t>其他重大事项的说明</w:t>
      </w:r>
      <w:r>
        <w:rPr>
          <w:rFonts w:ascii="Times New Roman" w:hAnsi="Times New Roman" w:cs="Times New Roman" w:eastAsia="Times New Roman" w:hint="default"/>
        </w:rPr>
        <w:t>”</w:t>
      </w:r>
      <w:r>
        <w:rPr/>
        <w:t>中的相关介绍；</w:t>
      </w:r>
    </w:p>
    <w:p>
      <w:pPr>
        <w:pStyle w:val="BodyText"/>
        <w:spacing w:line="300" w:lineRule="auto" w:before="103"/>
        <w:ind w:right="100" w:firstLine="360"/>
        <w:jc w:val="both"/>
      </w:pPr>
      <w:r>
        <w:rPr>
          <w:rFonts w:ascii="Times New Roman" w:hAnsi="Times New Roman" w:cs="Times New Roman" w:eastAsia="Times New Roman" w:hint="default"/>
        </w:rPr>
        <w:t>6</w:t>
      </w:r>
      <w:r>
        <w:rPr/>
        <w:t>、长信数码信息文化发展有限公司为本公司参股</w:t>
      </w:r>
      <w:r>
        <w:rPr>
          <w:spacing w:val="-63"/>
        </w:rPr>
        <w:t> </w:t>
      </w:r>
      <w:r>
        <w:rPr>
          <w:rFonts w:ascii="Times New Roman" w:hAnsi="Times New Roman" w:cs="Times New Roman" w:eastAsia="Times New Roman" w:hint="default"/>
        </w:rPr>
        <w:t>24%</w:t>
      </w:r>
      <w:r>
        <w:rPr/>
        <w:t>（原始投资金额为</w:t>
      </w:r>
      <w:r>
        <w:rPr>
          <w:spacing w:val="-63"/>
        </w:rPr>
        <w:t> </w:t>
      </w:r>
      <w:r>
        <w:rPr>
          <w:rFonts w:ascii="Times New Roman" w:hAnsi="Times New Roman" w:cs="Times New Roman" w:eastAsia="Times New Roman" w:hint="default"/>
        </w:rPr>
        <w:t>1,200</w:t>
      </w:r>
      <w:r>
        <w:rPr>
          <w:rFonts w:ascii="Times New Roman" w:hAnsi="Times New Roman" w:cs="Times New Roman" w:eastAsia="Times New Roman" w:hint="default"/>
          <w:spacing w:val="-17"/>
        </w:rPr>
        <w:t> </w:t>
      </w:r>
      <w:r>
        <w:rPr/>
        <w:t>万元）的公司，长期亏损且已资不抵债， 运营陷入停滞状态，为加快推进低效无效资产的清理整合，报告期内公司向法院提起解散并清算的申请，目前仍在进行中；</w:t>
      </w:r>
    </w:p>
    <w:p>
      <w:pPr>
        <w:pStyle w:val="BodyText"/>
        <w:spacing w:line="240" w:lineRule="auto" w:before="72"/>
        <w:ind w:left="513" w:right="89"/>
        <w:jc w:val="left"/>
        <w:rPr>
          <w:rFonts w:ascii="Times New Roman" w:hAnsi="Times New Roman" w:cs="Times New Roman" w:eastAsia="Times New Roman" w:hint="default"/>
        </w:rPr>
      </w:pPr>
      <w:r>
        <w:rPr>
          <w:rFonts w:ascii="Times New Roman" w:hAnsi="Times New Roman" w:cs="Times New Roman" w:eastAsia="Times New Roman" w:hint="default"/>
        </w:rPr>
        <w:t>7</w:t>
      </w:r>
      <w:r>
        <w:rPr/>
        <w:t>、报告期内广州鼎甲计算机科技有限公司通过现有股东转让存量股份的方式引入战略投资者，其中本公司转让</w:t>
      </w:r>
      <w:r>
        <w:rPr>
          <w:spacing w:val="-3"/>
        </w:rPr>
        <w:t> </w:t>
      </w:r>
      <w:r>
        <w:rPr>
          <w:rFonts w:ascii="Times New Roman" w:hAnsi="Times New Roman" w:cs="Times New Roman" w:eastAsia="Times New Roman" w:hint="default"/>
        </w:rPr>
        <w:t>3.62%</w:t>
      </w:r>
    </w:p>
    <w:p>
      <w:pPr>
        <w:pStyle w:val="BodyText"/>
        <w:spacing w:line="338" w:lineRule="auto" w:before="63"/>
        <w:ind w:left="513" w:right="183" w:hanging="361"/>
        <w:jc w:val="left"/>
      </w:pPr>
      <w:r>
        <w:rPr/>
        <w:t>股份，公司持股比例下降为</w:t>
      </w:r>
      <w:r>
        <w:rPr>
          <w:spacing w:val="-44"/>
        </w:rPr>
        <w:t> </w:t>
      </w:r>
      <w:r>
        <w:rPr>
          <w:rFonts w:ascii="Times New Roman" w:hAnsi="Times New Roman" w:cs="Times New Roman" w:eastAsia="Times New Roman" w:hint="default"/>
        </w:rPr>
        <w:t>26.38%</w:t>
      </w:r>
      <w:r>
        <w:rPr/>
        <w:t>； </w:t>
      </w:r>
      <w:r>
        <w:rPr>
          <w:rFonts w:ascii="Times New Roman" w:hAnsi="Times New Roman" w:cs="Times New Roman" w:eastAsia="Times New Roman" w:hint="default"/>
        </w:rPr>
        <w:t>8</w:t>
      </w:r>
      <w:r>
        <w:rPr/>
        <w:t>、闪联信息技术工程中心有限公司报告期内计划通过增资扩股的方式引入战略投资者。如顺利完成，其注册资本将增</w:t>
      </w:r>
    </w:p>
    <w:p>
      <w:pPr>
        <w:pStyle w:val="BodyText"/>
        <w:spacing w:line="230" w:lineRule="exact"/>
        <w:ind w:right="0"/>
        <w:jc w:val="both"/>
      </w:pPr>
      <w:r>
        <w:rPr/>
        <w:t>加至</w:t>
      </w:r>
      <w:r>
        <w:rPr>
          <w:spacing w:val="-47"/>
        </w:rPr>
        <w:t> </w:t>
      </w:r>
      <w:r>
        <w:rPr>
          <w:rFonts w:ascii="Times New Roman" w:hAnsi="Times New Roman" w:cs="Times New Roman" w:eastAsia="Times New Roman" w:hint="default"/>
        </w:rPr>
        <w:t>8,710</w:t>
      </w:r>
      <w:r>
        <w:rPr>
          <w:rFonts w:ascii="Times New Roman" w:hAnsi="Times New Roman" w:cs="Times New Roman" w:eastAsia="Times New Roman" w:hint="default"/>
          <w:spacing w:val="-1"/>
        </w:rPr>
        <w:t> </w:t>
      </w:r>
      <w:r>
        <w:rPr/>
        <w:t>万元，公司持股比例因放弃参与增资将由原</w:t>
      </w:r>
      <w:r>
        <w:rPr>
          <w:spacing w:val="-47"/>
        </w:rPr>
        <w:t> </w:t>
      </w:r>
      <w:r>
        <w:rPr>
          <w:rFonts w:ascii="Times New Roman" w:hAnsi="Times New Roman" w:cs="Times New Roman" w:eastAsia="Times New Roman" w:hint="default"/>
        </w:rPr>
        <w:t>9.6153%</w:t>
      </w:r>
      <w:r>
        <w:rPr/>
        <w:t>稀释至</w:t>
      </w:r>
      <w:r>
        <w:rPr>
          <w:spacing w:val="-47"/>
        </w:rPr>
        <w:t> </w:t>
      </w:r>
      <w:r>
        <w:rPr>
          <w:rFonts w:ascii="Times New Roman" w:hAnsi="Times New Roman" w:cs="Times New Roman" w:eastAsia="Times New Roman" w:hint="default"/>
          <w:spacing w:val="-3"/>
        </w:rPr>
        <w:t>5.7405%</w:t>
      </w:r>
      <w:r>
        <w:rPr>
          <w:spacing w:val="-3"/>
        </w:rPr>
        <w:t>，截止</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日，该事项仍在进行</w:t>
      </w:r>
    </w:p>
    <w:p>
      <w:pPr>
        <w:pStyle w:val="BodyText"/>
        <w:spacing w:line="240" w:lineRule="auto" w:before="63"/>
        <w:ind w:right="0"/>
        <w:jc w:val="both"/>
      </w:pPr>
      <w:r>
        <w:rPr/>
        <w:t>中。</w:t>
      </w:r>
    </w:p>
    <w:p>
      <w:pPr>
        <w:spacing w:line="240" w:lineRule="auto" w:before="6"/>
        <w:rPr>
          <w:rFonts w:ascii="宋体" w:hAnsi="宋体" w:cs="宋体" w:eastAsia="宋体" w:hint="default"/>
          <w:sz w:val="14"/>
          <w:szCs w:val="14"/>
        </w:rPr>
      </w:pPr>
    </w:p>
    <w:p>
      <w:pPr>
        <w:pStyle w:val="Heading5"/>
        <w:spacing w:line="240" w:lineRule="auto"/>
        <w:ind w:right="0"/>
        <w:jc w:val="both"/>
        <w:rPr>
          <w:b w:val="0"/>
          <w:bCs w:val="0"/>
        </w:rPr>
      </w:pPr>
      <w:r>
        <w:rPr/>
        <w:t>八、公司控制的结构化主体情况</w:t>
      </w:r>
      <w:r>
        <w:rPr>
          <w:b w:val="0"/>
          <w:bCs w:val="0"/>
        </w:rPr>
      </w:r>
    </w:p>
    <w:p>
      <w:pPr>
        <w:pStyle w:val="BodyText"/>
        <w:spacing w:line="240" w:lineRule="auto" w:before="207"/>
        <w:ind w:right="0"/>
        <w:jc w:val="both"/>
      </w:pPr>
      <w:r>
        <w:rPr/>
        <w:t>□ 适用 √</w:t>
      </w:r>
      <w:r>
        <w:rPr>
          <w:spacing w:val="3"/>
        </w:rPr>
        <w:t> </w:t>
      </w:r>
      <w:r>
        <w:rPr/>
        <w:t>不适用</w:t>
      </w:r>
    </w:p>
    <w:p>
      <w:pPr>
        <w:spacing w:line="240" w:lineRule="auto" w:before="3"/>
        <w:rPr>
          <w:rFonts w:ascii="宋体" w:hAnsi="宋体" w:cs="宋体" w:eastAsia="宋体" w:hint="default"/>
          <w:sz w:val="14"/>
          <w:szCs w:val="14"/>
        </w:rPr>
      </w:pPr>
    </w:p>
    <w:p>
      <w:pPr>
        <w:pStyle w:val="Heading5"/>
        <w:spacing w:line="240" w:lineRule="auto"/>
        <w:ind w:right="0"/>
        <w:jc w:val="both"/>
        <w:rPr>
          <w:b w:val="0"/>
          <w:bCs w:val="0"/>
        </w:rPr>
      </w:pPr>
      <w:r>
        <w:rPr/>
        <w:t>九、公司未来发展的展望</w:t>
      </w:r>
      <w:r>
        <w:rPr>
          <w:b w:val="0"/>
          <w:bCs w:val="0"/>
        </w:rPr>
      </w:r>
    </w:p>
    <w:p>
      <w:pPr>
        <w:pStyle w:val="BodyText"/>
        <w:spacing w:line="340" w:lineRule="auto" w:before="207"/>
        <w:ind w:left="513" w:right="89"/>
        <w:jc w:val="left"/>
      </w:pPr>
      <w:r>
        <w:rPr>
          <w:rFonts w:ascii="Times New Roman" w:hAnsi="Times New Roman" w:cs="Times New Roman" w:eastAsia="Times New Roman" w:hint="default"/>
        </w:rPr>
        <w:t>1</w:t>
      </w:r>
      <w:r>
        <w:rPr/>
        <w:t>、公司所处行业格局和趋势 </w:t>
      </w:r>
      <w:r>
        <w:rPr>
          <w:spacing w:val="-2"/>
        </w:rPr>
        <w:t>我国电子信息产业处于稳步增长阶段，</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期间国家相继出台了一系列有利于电子信息产业发展的重大政策，产业</w:t>
      </w:r>
    </w:p>
    <w:p>
      <w:pPr>
        <w:pStyle w:val="BodyText"/>
        <w:spacing w:line="215" w:lineRule="exact"/>
        <w:ind w:right="0"/>
        <w:jc w:val="both"/>
      </w:pPr>
      <w:r>
        <w:rPr/>
        <w:t>环境持续优化、产业转型升级逐步加快。随着互联网特别是移动互联网的发展，云计算、大数据等日益兴起，数据激增和数</w:t>
      </w:r>
    </w:p>
    <w:p>
      <w:pPr>
        <w:pStyle w:val="BodyText"/>
        <w:spacing w:line="316" w:lineRule="auto" w:before="76"/>
        <w:ind w:right="191"/>
        <w:jc w:val="both"/>
      </w:pPr>
      <w:r>
        <w:rPr>
          <w:spacing w:val="-2"/>
        </w:rPr>
        <w:t>据集中使国家和企业的信息安全面临严峻挑战。各种安全事件不断发生，同时美、日等西方国家对控制信息安全所采取的干</w:t>
      </w:r>
      <w:r>
        <w:rPr>
          <w:spacing w:val="-66"/>
        </w:rPr>
        <w:t> </w:t>
      </w:r>
      <w:r>
        <w:rPr>
          <w:spacing w:val="-66"/>
        </w:rPr>
      </w:r>
      <w:r>
        <w:rPr>
          <w:spacing w:val="-2"/>
        </w:rPr>
        <w:t>预措施，必将加速催生和扩充信息安全市场。中国政府高度重视信息安全，成立了中央网络安全和信息化领导小组，信息安</w:t>
      </w:r>
      <w:r>
        <w:rPr>
          <w:spacing w:val="-65"/>
        </w:rPr>
        <w:t> </w:t>
      </w:r>
      <w:r>
        <w:rPr>
          <w:spacing w:val="-65"/>
        </w:rPr>
      </w:r>
      <w:r>
        <w:rPr/>
        <w:t>全上升到国家战略高度，为国内信息技术企业创造了广阔的发展空间。</w:t>
      </w:r>
    </w:p>
    <w:p>
      <w:pPr>
        <w:pStyle w:val="BodyText"/>
        <w:spacing w:line="316" w:lineRule="auto" w:before="57"/>
        <w:ind w:right="102" w:firstLine="360"/>
        <w:jc w:val="both"/>
      </w:pPr>
      <w:r>
        <w:rPr/>
        <w:t>国家加快主导相关设备和技术的国产替代，首先部署政府部门和军工部门示范，逐步推广应用并向金融、电信、能源、 </w:t>
      </w:r>
      <w:r>
        <w:rPr>
          <w:spacing w:val="-4"/>
        </w:rPr>
        <w:t>电力等关系国计民生的行业拓展，最后扩展到普通的企业级用户乃至个人用户，为国产自主可控产品带来更广阔的市场空间；</w:t>
      </w:r>
      <w:r>
        <w:rPr>
          <w:spacing w:val="-42"/>
        </w:rPr>
        <w:t> </w:t>
      </w:r>
      <w:r>
        <w:rPr>
          <w:spacing w:val="-42"/>
        </w:rPr>
      </w:r>
      <w:r>
        <w:rPr/>
        <w:t>在重要部门和行业领域实行准入审查，对自主品牌的发展形成市场驱动力。</w:t>
      </w:r>
    </w:p>
    <w:p>
      <w:pPr>
        <w:pStyle w:val="BodyText"/>
        <w:spacing w:line="316" w:lineRule="auto" w:before="59"/>
        <w:ind w:right="189" w:firstLine="360"/>
        <w:jc w:val="both"/>
      </w:pPr>
      <w:r>
        <w:rPr>
          <w:spacing w:val="-2"/>
        </w:rPr>
        <w:t>国内信息技术企业积极进行信息安全战略布局、提升自身实力，但整体实力与国际领先企业相比处于劣势。我国自主可</w:t>
      </w:r>
      <w:r>
        <w:rPr/>
        <w:t> </w:t>
      </w:r>
      <w:r>
        <w:rPr>
          <w:spacing w:val="-2"/>
        </w:rPr>
        <w:t>控的信息安全产品和技术水平，还不能满足大部分行业和领域的市场化要求，客户认可度低。信息安全行业目前仍以国家主</w:t>
      </w:r>
      <w:r>
        <w:rPr>
          <w:spacing w:val="-62"/>
        </w:rPr>
        <w:t> </w:t>
      </w:r>
      <w:r>
        <w:rPr>
          <w:spacing w:val="-62"/>
        </w:rPr>
      </w:r>
      <w:r>
        <w:rPr/>
        <w:t>导推广为主，市场培育还处于初级阶段，竞争格局尚不明朗。</w:t>
      </w:r>
    </w:p>
    <w:p>
      <w:pPr>
        <w:pStyle w:val="BodyText"/>
        <w:spacing w:line="300" w:lineRule="auto" w:before="60"/>
        <w:ind w:right="188" w:firstLine="451"/>
        <w:jc w:val="both"/>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期间，以</w:t>
      </w:r>
      <w:r>
        <w:rPr>
          <w:rFonts w:ascii="Times New Roman" w:hAnsi="Times New Roman" w:cs="Times New Roman" w:eastAsia="Times New Roman" w:hint="default"/>
        </w:rPr>
        <w:t>“</w:t>
      </w:r>
      <w:r>
        <w:rPr/>
        <w:t>中国制造</w:t>
      </w:r>
      <w:r>
        <w:rPr>
          <w:spacing w:val="-25"/>
        </w:rPr>
        <w:t> </w:t>
      </w:r>
      <w:r>
        <w:rPr>
          <w:rFonts w:ascii="Times New Roman" w:hAnsi="Times New Roman" w:cs="Times New Roman" w:eastAsia="Times New Roman" w:hint="default"/>
        </w:rPr>
        <w:t>2025”</w:t>
      </w:r>
      <w:r>
        <w:rPr/>
        <w:t>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行动等国家战略为依托，加快信息技术的融合创新发展和集成式、颠 </w:t>
      </w:r>
      <w:r>
        <w:rPr>
          <w:spacing w:val="-2"/>
        </w:rPr>
        <w:t>覆式创新，电子信息产业将迎来关键期。信息安全行业经历了需求培育阶段，有望迎来市场快速增长。公司将抓住</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6"/>
        </w:rPr>
        <w:t> </w:t>
      </w:r>
      <w:r>
        <w:rPr/>
        <w:t>期间的重大机遇，依托国家政策利好以及集团资源优势，加速实现公司战略目标。</w:t>
      </w:r>
    </w:p>
    <w:p>
      <w:pPr>
        <w:pStyle w:val="BodyText"/>
        <w:spacing w:line="340" w:lineRule="auto" w:before="70"/>
        <w:ind w:left="513" w:right="89"/>
        <w:jc w:val="left"/>
      </w:pPr>
      <w:r>
        <w:rPr>
          <w:rFonts w:ascii="Times New Roman" w:hAnsi="Times New Roman" w:cs="Times New Roman" w:eastAsia="Times New Roman" w:hint="default"/>
        </w:rPr>
        <w:t>2</w:t>
      </w:r>
      <w:r>
        <w:rPr/>
        <w:t>、公司发展战略 公司以</w:t>
      </w:r>
      <w:r>
        <w:rPr>
          <w:rFonts w:ascii="Times New Roman" w:hAnsi="Times New Roman" w:cs="Times New Roman" w:eastAsia="Times New Roman" w:hint="default"/>
        </w:rPr>
        <w:t>“</w:t>
      </w:r>
      <w:r>
        <w:rPr/>
        <w:t>成为具有国际竞争力的信息化基础设施产品和整体解决方案服务商</w:t>
      </w:r>
      <w:r>
        <w:rPr>
          <w:rFonts w:ascii="Times New Roman" w:hAnsi="Times New Roman" w:cs="Times New Roman" w:eastAsia="Times New Roman" w:hint="default"/>
        </w:rPr>
        <w:t>”</w:t>
      </w:r>
      <w:r>
        <w:rPr/>
        <w:t>为发展愿景，以</w:t>
      </w:r>
      <w:r>
        <w:rPr>
          <w:rFonts w:ascii="Times New Roman" w:hAnsi="Times New Roman" w:cs="Times New Roman" w:eastAsia="Times New Roman" w:hint="default"/>
        </w:rPr>
        <w:t>“</w:t>
      </w:r>
      <w:r>
        <w:rPr/>
        <w:t>服务数据时代，保障信息</w:t>
      </w:r>
    </w:p>
    <w:p>
      <w:pPr>
        <w:pStyle w:val="BodyText"/>
        <w:spacing w:line="228" w:lineRule="exact"/>
        <w:ind w:right="0"/>
        <w:jc w:val="both"/>
      </w:pPr>
      <w:r>
        <w:rPr/>
        <w:t>安全</w:t>
      </w:r>
      <w:r>
        <w:rPr>
          <w:rFonts w:ascii="Times New Roman" w:hAnsi="Times New Roman" w:cs="Times New Roman" w:eastAsia="Times New Roman" w:hint="default"/>
        </w:rPr>
        <w:t>”</w:t>
      </w:r>
      <w:r>
        <w:rPr/>
        <w:t>为使命；尊重信息技术产业发展规律，以集团发展战略为指导，以占据信息安全产业制高点、树立行业领导地位为目</w:t>
      </w:r>
    </w:p>
    <w:p>
      <w:pPr>
        <w:pStyle w:val="BodyText"/>
        <w:spacing w:line="240" w:lineRule="auto" w:before="63"/>
        <w:ind w:right="0"/>
        <w:jc w:val="both"/>
      </w:pPr>
      <w:r>
        <w:rPr/>
        <w:t>标，主动推进业务的转型升级。</w:t>
      </w:r>
    </w:p>
    <w:p>
      <w:pPr>
        <w:spacing w:after="0" w:line="240"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309" w:lineRule="auto" w:before="44"/>
        <w:ind w:right="148" w:firstLine="360"/>
        <w:jc w:val="both"/>
      </w:pPr>
      <w:r>
        <w:rPr>
          <w:spacing w:val="-2"/>
        </w:rPr>
        <w:t>公司制定了</w:t>
      </w:r>
      <w:r>
        <w:rPr>
          <w:rFonts w:ascii="Times New Roman" w:hAnsi="Times New Roman" w:cs="Times New Roman" w:eastAsia="Times New Roman" w:hint="default"/>
          <w:spacing w:val="-2"/>
        </w:rPr>
        <w:t>“1234”</w:t>
      </w:r>
      <w:r>
        <w:rPr>
          <w:spacing w:val="-2"/>
        </w:rPr>
        <w:t>发展战略，即：关注一类市场（专注于以政府、军工、公用事业和企业集团为代表的行业市场和企业</w:t>
      </w:r>
      <w:r>
        <w:rPr/>
        <w:t> </w:t>
      </w:r>
      <w:r>
        <w:rPr>
          <w:spacing w:val="-2"/>
        </w:rPr>
        <w:t>客户，不涉足大众消费类市场）、提供两种服务（围绕信息化基础设施和信息安全，发展特种计算机、服务器、存储等软硬</w:t>
      </w:r>
      <w:r>
        <w:rPr>
          <w:spacing w:val="-65"/>
        </w:rPr>
        <w:t> </w:t>
      </w:r>
      <w:r>
        <w:rPr>
          <w:spacing w:val="-65"/>
        </w:rPr>
      </w:r>
      <w:r>
        <w:rPr>
          <w:spacing w:val="-2"/>
        </w:rPr>
        <w:t>一体化核心产品和关键技术；围绕关键行业</w:t>
      </w:r>
      <w:r>
        <w:rPr>
          <w:rFonts w:ascii="Times New Roman" w:hAnsi="Times New Roman" w:cs="Times New Roman" w:eastAsia="Times New Roman" w:hint="default"/>
          <w:spacing w:val="-2"/>
        </w:rPr>
        <w:t>/</w:t>
      </w:r>
      <w:r>
        <w:rPr>
          <w:spacing w:val="-2"/>
        </w:rPr>
        <w:t>领域，立足于产业链整合和嫁接关键资源，提供整体和专项解决方案及服务）、</w:t>
      </w:r>
      <w:r>
        <w:rPr>
          <w:spacing w:val="-68"/>
        </w:rPr>
        <w:t> </w:t>
      </w:r>
      <w:r>
        <w:rPr>
          <w:spacing w:val="-68"/>
        </w:rPr>
      </w:r>
      <w:r>
        <w:rPr>
          <w:spacing w:val="-2"/>
        </w:rPr>
        <w:t>契合三方需求（国家需求、股东需求、市场需求）、强调四个结合（各项业务自我经营与协同共享、战略增长外延扩展与内</w:t>
      </w:r>
      <w:r>
        <w:rPr>
          <w:spacing w:val="-65"/>
        </w:rPr>
        <w:t> </w:t>
      </w:r>
      <w:r>
        <w:rPr>
          <w:spacing w:val="-65"/>
        </w:rPr>
      </w:r>
      <w:r>
        <w:rPr>
          <w:spacing w:val="-3"/>
        </w:rPr>
        <w:t>生增长、人才梯队内部培养与外部引进、技术研发自主创新与集成创新的有效结合）。</w:t>
      </w:r>
    </w:p>
    <w:p>
      <w:pPr>
        <w:pStyle w:val="BodyText"/>
        <w:spacing w:line="240" w:lineRule="auto" w:before="65"/>
        <w:ind w:left="513" w:right="89"/>
        <w:jc w:val="left"/>
      </w:pPr>
      <w:r>
        <w:rPr>
          <w:rFonts w:ascii="Times New Roman" w:hAnsi="Times New Roman" w:cs="Times New Roman" w:eastAsia="Times New Roman" w:hint="default"/>
        </w:rPr>
        <w:t>3</w:t>
      </w:r>
      <w:r>
        <w:rPr/>
        <w:t>、公司经营计划</w:t>
      </w:r>
    </w:p>
    <w:p>
      <w:pPr>
        <w:pStyle w:val="BodyText"/>
        <w:spacing w:line="304" w:lineRule="auto" w:before="101"/>
        <w:ind w:right="189"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年公司以战略规划为指引，围绕董事会和集团工作部署，积极主动地推进公司战略转型升级。公司经营取得如下 </w:t>
      </w:r>
      <w:r>
        <w:rPr>
          <w:spacing w:val="-3"/>
          <w:w w:val="100"/>
        </w:rPr>
        <w:t>进展：（</w:t>
      </w:r>
      <w:r>
        <w:rPr>
          <w:rFonts w:ascii="Times New Roman" w:hAnsi="Times New Roman" w:cs="Times New Roman" w:eastAsia="Times New Roman" w:hint="default"/>
          <w:spacing w:val="-3"/>
          <w:w w:val="100"/>
        </w:rPr>
        <w:t>1</w:t>
      </w:r>
      <w:r>
        <w:rPr>
          <w:spacing w:val="-3"/>
          <w:w w:val="100"/>
        </w:rPr>
        <w:t>）实施产业结构调整：抓住</w:t>
      </w:r>
      <w:r>
        <w:rPr>
          <w:rFonts w:ascii="Times New Roman" w:hAnsi="Times New Roman" w:cs="Times New Roman" w:eastAsia="Times New Roman" w:hint="default"/>
          <w:spacing w:val="-3"/>
          <w:w w:val="100"/>
        </w:rPr>
        <w:t>“</w:t>
      </w:r>
      <w:r>
        <w:rPr>
          <w:spacing w:val="-3"/>
          <w:w w:val="100"/>
        </w:rPr>
        <w:t>国产化替代</w:t>
      </w:r>
      <w:r>
        <w:rPr>
          <w:rFonts w:ascii="Times New Roman" w:hAnsi="Times New Roman" w:cs="Times New Roman" w:eastAsia="Times New Roman" w:hint="default"/>
          <w:spacing w:val="-3"/>
          <w:w w:val="100"/>
        </w:rPr>
        <w:t>”</w:t>
      </w:r>
      <w:r>
        <w:rPr>
          <w:spacing w:val="-3"/>
          <w:w w:val="100"/>
        </w:rPr>
        <w:t>机遇，大力发展自主可控桌面终端、服务器业务，在一期试点项目中顺利</w:t>
      </w:r>
      <w:r>
        <w:rPr>
          <w:spacing w:val="-78"/>
          <w:w w:val="100"/>
        </w:rPr>
        <w:t> </w:t>
      </w:r>
      <w:r>
        <w:rPr>
          <w:spacing w:val="-78"/>
          <w:w w:val="100"/>
        </w:rPr>
      </w:r>
      <w:r>
        <w:rPr>
          <w:spacing w:val="-4"/>
        </w:rPr>
        <w:t>实现预期目标；电源业务保持行业优势地位，高端电源产品销售总额及销售占比稳步增长；（</w:t>
      </w:r>
      <w:r>
        <w:rPr>
          <w:rFonts w:ascii="Times New Roman" w:hAnsi="Times New Roman" w:cs="Times New Roman" w:eastAsia="Times New Roman" w:hint="default"/>
          <w:spacing w:val="-4"/>
        </w:rPr>
        <w:t>2</w:t>
      </w:r>
      <w:r>
        <w:rPr>
          <w:spacing w:val="-4"/>
        </w:rPr>
        <w:t>）全力推进中电长城大厦项目</w:t>
      </w:r>
      <w:r>
        <w:rPr>
          <w:spacing w:val="-41"/>
        </w:rPr>
        <w:t> </w:t>
      </w:r>
      <w:r>
        <w:rPr>
          <w:spacing w:val="-41"/>
        </w:rPr>
      </w:r>
      <w:r>
        <w:rPr>
          <w:spacing w:val="-1"/>
        </w:rPr>
        <w:t>建设，完成项目土石方基坑支护桩基础工程</w:t>
      </w:r>
      <w:r>
        <w:rPr>
          <w:spacing w:val="-30"/>
        </w:rPr>
        <w:t> </w:t>
      </w:r>
      <w:r>
        <w:rPr>
          <w:rFonts w:ascii="Times New Roman" w:hAnsi="Times New Roman" w:cs="Times New Roman" w:eastAsia="Times New Roman" w:hint="default"/>
          <w:spacing w:val="-1"/>
        </w:rPr>
        <w:t>83%</w:t>
      </w:r>
      <w:r>
        <w:rPr>
          <w:spacing w:val="-1"/>
        </w:rPr>
        <w:t>（原计划</w:t>
      </w:r>
      <w:r>
        <w:rPr>
          <w:spacing w:val="-31"/>
        </w:rPr>
        <w:t> </w:t>
      </w:r>
      <w:r>
        <w:rPr>
          <w:rFonts w:ascii="Times New Roman" w:hAnsi="Times New Roman" w:cs="Times New Roman" w:eastAsia="Times New Roman" w:hint="default"/>
          <w:spacing w:val="-7"/>
        </w:rPr>
        <w:t>80%</w:t>
      </w:r>
      <w:r>
        <w:rPr>
          <w:spacing w:val="-7"/>
        </w:rPr>
        <w:t>），完成大楼主体工程施工图设计与报批工作；（</w:t>
      </w:r>
      <w:r>
        <w:rPr>
          <w:rFonts w:ascii="Times New Roman" w:hAnsi="Times New Roman" w:cs="Times New Roman" w:eastAsia="Times New Roman" w:hint="default"/>
          <w:spacing w:val="-7"/>
        </w:rPr>
        <w:t>3</w:t>
      </w:r>
      <w:r>
        <w:rPr>
          <w:spacing w:val="-7"/>
        </w:rPr>
        <w:t>）实施资产</w:t>
      </w:r>
      <w:r>
        <w:rPr>
          <w:spacing w:val="-85"/>
        </w:rPr>
        <w:t> </w:t>
      </w:r>
      <w:r>
        <w:rPr>
          <w:spacing w:val="-85"/>
        </w:rPr>
      </w:r>
      <w:r>
        <w:rPr>
          <w:spacing w:val="-2"/>
        </w:rPr>
        <w:t>结构调整：公司实际控制人中国电子正在筹划涉及本公司的重大资产重组事项。截至目前，中国电子、公司及相关各方仍在</w:t>
      </w:r>
      <w:r>
        <w:rPr>
          <w:spacing w:val="-64"/>
        </w:rPr>
        <w:t> </w:t>
      </w:r>
      <w:r>
        <w:rPr>
          <w:spacing w:val="-64"/>
        </w:rPr>
      </w:r>
      <w:r>
        <w:rPr/>
        <w:t>有序推进该次重大资产重组的各项相关工作。</w:t>
      </w:r>
    </w:p>
    <w:p>
      <w:pPr>
        <w:pStyle w:val="BodyText"/>
        <w:spacing w:line="300" w:lineRule="auto" w:before="68"/>
        <w:ind w:right="189"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年公司将在董事会的领导下，全面推进转型升级提质增效，努力开创改革发展新局面，促进公司战略转型成功。 </w:t>
      </w:r>
      <w:r>
        <w:rPr>
          <w:spacing w:val="-5"/>
          <w:w w:val="100"/>
        </w:rPr>
        <w:t>将重点做好以下工作：（</w:t>
      </w:r>
      <w:r>
        <w:rPr>
          <w:rFonts w:ascii="Times New Roman" w:hAnsi="Times New Roman" w:cs="Times New Roman" w:eastAsia="Times New Roman" w:hint="default"/>
          <w:spacing w:val="-5"/>
          <w:w w:val="100"/>
        </w:rPr>
        <w:t>1</w:t>
      </w:r>
      <w:r>
        <w:rPr>
          <w:spacing w:val="-5"/>
          <w:w w:val="100"/>
        </w:rPr>
        <w:t>）完成企业</w:t>
      </w:r>
      <w:r>
        <w:rPr>
          <w:rFonts w:ascii="Times New Roman" w:hAnsi="Times New Roman" w:cs="Times New Roman" w:eastAsia="Times New Roman" w:hint="default"/>
          <w:spacing w:val="-5"/>
          <w:w w:val="100"/>
        </w:rPr>
        <w:t>“</w:t>
      </w:r>
      <w:r>
        <w:rPr>
          <w:spacing w:val="-5"/>
          <w:w w:val="100"/>
        </w:rPr>
        <w:t>十三五</w:t>
      </w:r>
      <w:r>
        <w:rPr>
          <w:rFonts w:ascii="Times New Roman" w:hAnsi="Times New Roman" w:cs="Times New Roman" w:eastAsia="Times New Roman" w:hint="default"/>
          <w:spacing w:val="-5"/>
          <w:w w:val="100"/>
        </w:rPr>
        <w:t>”</w:t>
      </w:r>
      <w:r>
        <w:rPr>
          <w:spacing w:val="-5"/>
          <w:w w:val="100"/>
        </w:rPr>
        <w:t>发展战略和规划的编制；（</w:t>
      </w:r>
      <w:r>
        <w:rPr>
          <w:rFonts w:ascii="Times New Roman" w:hAnsi="Times New Roman" w:cs="Times New Roman" w:eastAsia="Times New Roman" w:hint="default"/>
          <w:spacing w:val="-5"/>
          <w:w w:val="100"/>
        </w:rPr>
        <w:t>2</w:t>
      </w:r>
      <w:r>
        <w:rPr>
          <w:spacing w:val="-5"/>
          <w:w w:val="100"/>
        </w:rPr>
        <w:t>）根据集团公司统一部署，完成重大资产重组事项</w:t>
      </w:r>
      <w:r>
        <w:rPr>
          <w:spacing w:val="-50"/>
          <w:w w:val="100"/>
        </w:rPr>
        <w:t> </w:t>
      </w:r>
      <w:r>
        <w:rPr>
          <w:spacing w:val="-50"/>
          <w:w w:val="100"/>
        </w:rPr>
      </w:r>
      <w:r>
        <w:rPr>
          <w:spacing w:val="-4"/>
        </w:rPr>
        <w:t>的相关工作；（</w:t>
      </w:r>
      <w:r>
        <w:rPr>
          <w:rFonts w:ascii="Times New Roman" w:hAnsi="Times New Roman" w:cs="Times New Roman" w:eastAsia="Times New Roman" w:hint="default"/>
          <w:spacing w:val="-4"/>
        </w:rPr>
        <w:t>3</w:t>
      </w:r>
      <w:r>
        <w:rPr>
          <w:spacing w:val="-4"/>
        </w:rPr>
        <w:t>）加快中电长城大厦项目建设进度。</w:t>
      </w:r>
    </w:p>
    <w:p>
      <w:pPr>
        <w:pStyle w:val="BodyText"/>
        <w:spacing w:line="338" w:lineRule="auto" w:before="53"/>
        <w:ind w:left="513" w:right="6123"/>
        <w:jc w:val="left"/>
      </w:pPr>
      <w:r>
        <w:rPr>
          <w:rFonts w:ascii="Times New Roman" w:hAnsi="Times New Roman" w:cs="Times New Roman" w:eastAsia="Times New Roman" w:hint="default"/>
        </w:rPr>
        <w:t>4</w:t>
      </w:r>
      <w:r>
        <w:rPr/>
        <w:t>、公司未来发展战略的风险、对策及措施 本年度公司未产生新增的风险因素。</w:t>
      </w:r>
    </w:p>
    <w:p>
      <w:pPr>
        <w:pStyle w:val="BodyText"/>
        <w:spacing w:line="314" w:lineRule="auto" w:before="43"/>
        <w:ind w:right="94" w:firstLine="360"/>
        <w:jc w:val="left"/>
      </w:pPr>
      <w:r>
        <w:rPr/>
        <w:t>公司未来发展战略的风险主要来自两个方面：一是市场成长风险。信息安全业务受国家政策主导，未来市场空间巨大， 但由于产品和技术不够成熟、客户接受度不高等因素，目前仍处于缓慢成长阶段。公司将依据集团部署，充分利用</w:t>
      </w:r>
      <w:r>
        <w:rPr>
          <w:rFonts w:ascii="Times New Roman" w:hAnsi="Times New Roman" w:cs="Times New Roman" w:eastAsia="Times New Roman" w:hint="default"/>
        </w:rPr>
        <w:t>“</w:t>
      </w:r>
      <w:r>
        <w:rPr/>
        <w:t>国产化</w:t>
      </w:r>
      <w:r>
        <w:rPr>
          <w:spacing w:val="-73"/>
        </w:rPr>
        <w:t> </w:t>
      </w:r>
      <w:r>
        <w:rPr>
          <w:spacing w:val="-73"/>
        </w:rPr>
      </w:r>
      <w:r>
        <w:rPr/>
        <w:t>替代</w:t>
      </w:r>
      <w:r>
        <w:rPr>
          <w:rFonts w:ascii="Times New Roman" w:hAnsi="Times New Roman" w:cs="Times New Roman" w:eastAsia="Times New Roman" w:hint="default"/>
        </w:rPr>
        <w:t>”</w:t>
      </w:r>
      <w:r>
        <w:rPr/>
        <w:t>契机，重点培育技术力量，提升核心技术水平，不断完善产品设计和性能，在党政军市场占据有利地位。二是竞争风</w:t>
      </w:r>
      <w:r>
        <w:rPr>
          <w:spacing w:val="-76"/>
        </w:rPr>
        <w:t> </w:t>
      </w:r>
      <w:r>
        <w:rPr>
          <w:spacing w:val="-76"/>
        </w:rPr>
      </w:r>
      <w:r>
        <w:rPr>
          <w:spacing w:val="-4"/>
        </w:rPr>
        <w:t>险。在信息化基础设施及服务领域，参与竞争的企业都是国际国内一流企业，公司在云计算、存储与服务器等方面起步较晚，</w:t>
      </w:r>
      <w:r>
        <w:rPr>
          <w:spacing w:val="-46"/>
        </w:rPr>
        <w:t> </w:t>
      </w:r>
      <w:r>
        <w:rPr>
          <w:spacing w:val="-46"/>
        </w:rPr>
      </w:r>
      <w:r>
        <w:rPr>
          <w:spacing w:val="-2"/>
        </w:rPr>
        <w:t>相关产品、技术、业务和市场积累都较为薄弱，在竞争中面临较大的风险。为此，公司将紧跟云计算、大数据等新兴产业趋</w:t>
      </w:r>
      <w:r>
        <w:rPr>
          <w:spacing w:val="-68"/>
        </w:rPr>
        <w:t> </w:t>
      </w:r>
      <w:r>
        <w:rPr>
          <w:spacing w:val="-68"/>
        </w:rPr>
      </w:r>
      <w:r>
        <w:rPr>
          <w:spacing w:val="-2"/>
        </w:rPr>
        <w:t>势以及在新兴产业趋势下信息化基础设施产品及服务的市场化需求特点，以行业应用为主线、以关键技术为核心、以基础硬</w:t>
      </w:r>
      <w:r>
        <w:rPr>
          <w:spacing w:val="-66"/>
        </w:rPr>
        <w:t> </w:t>
      </w:r>
      <w:r>
        <w:rPr>
          <w:spacing w:val="-66"/>
        </w:rPr>
      </w:r>
      <w:r>
        <w:rPr>
          <w:spacing w:val="-2"/>
        </w:rPr>
        <w:t>件为重点，积极采取并购、合资、合作等策略获取关键技术，高起点进入服务器、存储等行业，形成融合关键技术的软硬结</w:t>
      </w:r>
      <w:r>
        <w:rPr>
          <w:spacing w:val="-67"/>
        </w:rPr>
        <w:t> </w:t>
      </w:r>
      <w:r>
        <w:rPr>
          <w:spacing w:val="-67"/>
        </w:rPr>
      </w:r>
      <w:r>
        <w:rPr>
          <w:spacing w:val="-2"/>
        </w:rPr>
        <w:t>合产品，在此基础上整合其他软硬件资源，提供行业解决方案及系统集成、规划咨询、运维运营等服务，成为信息化基础设</w:t>
      </w:r>
      <w:r>
        <w:rPr>
          <w:spacing w:val="-67"/>
        </w:rPr>
        <w:t> </w:t>
      </w:r>
      <w:r>
        <w:rPr>
          <w:spacing w:val="-67"/>
        </w:rPr>
      </w:r>
      <w:r>
        <w:rPr/>
        <w:t>施产品提供商和解决方案服务商。</w:t>
      </w:r>
    </w:p>
    <w:p>
      <w:pPr>
        <w:pStyle w:val="Heading5"/>
        <w:spacing w:line="240" w:lineRule="auto" w:before="133"/>
        <w:ind w:right="89"/>
        <w:jc w:val="left"/>
        <w:rPr>
          <w:b w:val="0"/>
          <w:bCs w:val="0"/>
        </w:rPr>
      </w:pPr>
      <w:r>
        <w:rPr/>
        <w:t>十、接待调研、沟通、采访等活动情况</w:t>
      </w:r>
      <w:r>
        <w:rPr>
          <w:b w:val="0"/>
          <w:bCs w:val="0"/>
        </w:rPr>
      </w:r>
    </w:p>
    <w:p>
      <w:pPr>
        <w:pStyle w:val="Heading8"/>
        <w:spacing w:line="240" w:lineRule="auto" w:before="184"/>
        <w:ind w:right="89"/>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89"/>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180"/>
        <w:gridCol w:w="1539"/>
        <w:gridCol w:w="638"/>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01</w:t>
            </w:r>
            <w:r>
              <w:rPr>
                <w:rFonts w:ascii="宋体" w:hAnsi="宋体" w:cs="宋体" w:eastAsia="宋体" w:hint="default"/>
                <w:sz w:val="18"/>
                <w:szCs w:val="18"/>
              </w:rPr>
              <w:t>）</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详见深交所投资者关系互动平</w:t>
            </w:r>
            <w:r>
              <w:rPr>
                <w:rFonts w:ascii="宋体" w:hAnsi="宋体" w:cs="宋体" w:eastAsia="宋体" w:hint="default"/>
                <w:spacing w:val="-80"/>
                <w:sz w:val="18"/>
                <w:szCs w:val="18"/>
              </w:rPr>
              <w:t>台</w:t>
            </w:r>
            <w:r>
              <w:rPr>
                <w:rFonts w:ascii="宋体" w:hAnsi="宋体" w:cs="宋体" w:eastAsia="宋体" w:hint="default"/>
                <w:sz w:val="18"/>
                <w:szCs w:val="18"/>
              </w:rPr>
              <w:t>《投资</w:t>
            </w:r>
            <w:r>
              <w:rPr>
                <w:rFonts w:ascii="宋体" w:hAnsi="宋体" w:cs="宋体" w:eastAsia="宋体" w:hint="default"/>
                <w:sz w:val="18"/>
                <w:szCs w:val="18"/>
              </w:rPr>
              <w:t> 者关系活动记录表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02</w:t>
            </w:r>
            <w:r>
              <w:rPr>
                <w:rFonts w:ascii="宋体" w:hAnsi="宋体" w:cs="宋体" w:eastAsia="宋体" w:hint="default"/>
                <w:sz w:val="18"/>
                <w:szCs w:val="18"/>
              </w:rPr>
              <w:t>）</w:t>
            </w:r>
          </w:p>
        </w:tc>
      </w:tr>
      <w:tr>
        <w:trPr>
          <w:trHeight w:val="404" w:hRule="exact"/>
        </w:trPr>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7" w:right="3346"/>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13"/>
        <w:rPr>
          <w:rFonts w:ascii="宋体" w:hAnsi="宋体" w:cs="宋体" w:eastAsia="宋体" w:hint="default"/>
          <w:b/>
          <w:bCs/>
          <w:sz w:val="38"/>
          <w:szCs w:val="38"/>
        </w:rPr>
      </w:pPr>
    </w:p>
    <w:p>
      <w:pPr>
        <w:pStyle w:val="Heading5"/>
        <w:spacing w:line="240" w:lineRule="auto"/>
        <w:ind w:left="272" w:right="134"/>
        <w:jc w:val="left"/>
        <w:rPr>
          <w:b w:val="0"/>
          <w:bCs w:val="0"/>
        </w:rPr>
      </w:pPr>
      <w:r>
        <w:rPr/>
        <w:t>一、公司普通股利润分配及资本公积金转增股本情况</w:t>
      </w:r>
      <w:r>
        <w:rPr>
          <w:b w:val="0"/>
          <w:bCs w:val="0"/>
        </w:rPr>
      </w:r>
    </w:p>
    <w:p>
      <w:pPr>
        <w:pStyle w:val="BodyText"/>
        <w:spacing w:line="240" w:lineRule="auto" w:before="205"/>
        <w:ind w:left="272" w:right="134"/>
        <w:jc w:val="left"/>
      </w:pPr>
      <w:r>
        <w:rPr/>
        <w:t>报告期内普通股利润分配政策，特别是现金分红政策的制定、执行或调整情况</w:t>
      </w:r>
    </w:p>
    <w:p>
      <w:pPr>
        <w:pStyle w:val="BodyText"/>
        <w:spacing w:line="240" w:lineRule="auto" w:before="117"/>
        <w:ind w:left="272" w:right="134"/>
        <w:jc w:val="left"/>
      </w:pPr>
      <w:r>
        <w:rPr/>
        <w:t>√ 适用 □</w:t>
      </w:r>
      <w:r>
        <w:rPr>
          <w:spacing w:val="3"/>
        </w:rPr>
        <w:t> </w:t>
      </w:r>
      <w:r>
        <w:rPr/>
        <w:t>不适用</w:t>
      </w:r>
    </w:p>
    <w:p>
      <w:pPr>
        <w:pStyle w:val="BodyText"/>
        <w:spacing w:line="240" w:lineRule="auto" w:before="117"/>
        <w:ind w:left="633" w:right="134"/>
        <w:jc w:val="left"/>
      </w:pPr>
      <w:r>
        <w:rPr/>
        <w:t>报告期内，鉴于公司《股东回报规划（</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spacing w:val="-92"/>
        </w:rPr>
        <w:t>）</w:t>
      </w:r>
      <w:r>
        <w:rPr/>
        <w:t>》到期，结合公司实际情况和监管机构的最新要求，经公司</w:t>
      </w:r>
      <w:r>
        <w:rPr>
          <w:spacing w:val="-2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年</w:t>
      </w:r>
    </w:p>
    <w:p>
      <w:pPr>
        <w:pStyle w:val="BodyText"/>
        <w:spacing w:line="240" w:lineRule="auto" w:before="63"/>
        <w:ind w:left="272" w:right="13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日第六届董事会第二</w:t>
      </w:r>
      <w:r>
        <w:rPr>
          <w:spacing w:val="-3"/>
        </w:rPr>
        <w:t>次</w:t>
      </w:r>
      <w:r>
        <w:rPr/>
        <w:t>会议</w:t>
      </w:r>
      <w:r>
        <w:rPr>
          <w:spacing w:val="-9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日</w:t>
      </w:r>
      <w:r>
        <w:rPr>
          <w:spacing w:val="-59"/>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spacing w:val="-3"/>
        </w:rPr>
        <w:t>年</w:t>
      </w:r>
      <w:r>
        <w:rPr/>
        <w:t>度股东大会审议通过</w:t>
      </w:r>
      <w:r>
        <w:rPr>
          <w:spacing w:val="-92"/>
        </w:rPr>
        <w:t>，</w:t>
      </w:r>
      <w:r>
        <w:rPr/>
        <w:t>公司制</w:t>
      </w:r>
      <w:r>
        <w:rPr>
          <w:spacing w:val="2"/>
        </w:rPr>
        <w:t>定</w:t>
      </w:r>
      <w:r>
        <w:rPr>
          <w:spacing w:val="-92"/>
        </w:rPr>
        <w:t>了</w:t>
      </w:r>
      <w:r>
        <w:rPr/>
        <w:t>《股东回报规</w:t>
      </w:r>
      <w:r>
        <w:rPr>
          <w:spacing w:val="-92"/>
        </w:rPr>
        <w:t>划</w:t>
      </w:r>
      <w:r>
        <w:rPr>
          <w:spacing w:val="1"/>
        </w:rPr>
        <w:t>（</w:t>
      </w:r>
      <w:r>
        <w:rPr>
          <w:rFonts w:ascii="Times New Roman" w:hAnsi="Times New Roman" w:cs="Times New Roman" w:eastAsia="Times New Roman" w:hint="default"/>
          <w:spacing w:val="1"/>
        </w:rPr>
        <w:t>2015</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92"/>
        </w:rPr>
        <w:t>）》。</w:t>
      </w:r>
      <w:r>
        <w:rPr/>
      </w:r>
    </w:p>
    <w:p>
      <w:pPr>
        <w:spacing w:line="240" w:lineRule="auto" w:before="1"/>
        <w:rPr>
          <w:rFonts w:ascii="宋体" w:hAnsi="宋体" w:cs="宋体" w:eastAsia="宋体" w:hint="default"/>
          <w:sz w:val="7"/>
          <w:szCs w:val="7"/>
        </w:rPr>
      </w:pPr>
    </w:p>
    <w:tbl>
      <w:tblPr>
        <w:tblW w:w="0" w:type="auto"/>
        <w:jc w:val="left"/>
        <w:tblInd w:w="316" w:type="dxa"/>
        <w:tblLayout w:type="fixed"/>
        <w:tblCellMar>
          <w:top w:w="0" w:type="dxa"/>
          <w:left w:w="0" w:type="dxa"/>
          <w:bottom w:w="0" w:type="dxa"/>
          <w:right w:w="0" w:type="dxa"/>
        </w:tblCellMar>
        <w:tblLook w:val="01E0"/>
      </w:tblPr>
      <w:tblGrid>
        <w:gridCol w:w="4761"/>
        <w:gridCol w:w="4795"/>
      </w:tblGrid>
      <w:tr>
        <w:trPr>
          <w:trHeight w:val="358"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6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7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1"/>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left="272" w:right="134"/>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spacing w:val="-1"/>
        </w:rPr>
        <w:t>的</w:t>
      </w:r>
      <w:r>
        <w:rPr/>
        <w:t>普通股股利分配方案（预案</w:t>
      </w:r>
      <w:r>
        <w:rPr>
          <w:spacing w:val="-89"/>
        </w:rPr>
        <w:t>）</w:t>
      </w:r>
      <w:r>
        <w:rPr/>
        <w:t>、资本公积金转增股本方案（预案）情况</w:t>
      </w:r>
    </w:p>
    <w:p>
      <w:pPr>
        <w:pStyle w:val="BodyText"/>
        <w:spacing w:line="240" w:lineRule="auto" w:before="103"/>
        <w:ind w:left="633" w:right="134"/>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年，鉴于母公司可供分配利润仍为负数，基于公司长远发展考虑未进行利润分配。</w:t>
      </w:r>
    </w:p>
    <w:p>
      <w:pPr>
        <w:pStyle w:val="BodyText"/>
        <w:spacing w:line="240" w:lineRule="auto" w:before="101"/>
        <w:ind w:left="633" w:right="13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年，鉴于母公司可供分配利润仍为负数，基于公司长远发展考虑未进行利润分配。</w:t>
      </w:r>
    </w:p>
    <w:p>
      <w:pPr>
        <w:pStyle w:val="BodyText"/>
        <w:spacing w:line="300" w:lineRule="auto" w:before="103"/>
        <w:ind w:left="272" w:right="188"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年，经信永中和会计师事务所审计，公司每股收益</w:t>
      </w:r>
      <w:r>
        <w:rPr>
          <w:rFonts w:ascii="Times New Roman" w:hAnsi="Times New Roman" w:cs="Times New Roman" w:eastAsia="Times New Roman" w:hint="default"/>
        </w:rPr>
        <w:t>-0.027</w:t>
      </w:r>
      <w:r>
        <w:rPr>
          <w:rFonts w:ascii="Times New Roman" w:hAnsi="Times New Roman" w:cs="Times New Roman" w:eastAsia="Times New Roman" w:hint="default"/>
          <w:spacing w:val="-10"/>
        </w:rPr>
        <w:t> </w:t>
      </w:r>
      <w:r>
        <w:rPr/>
        <w:t>元人民币，母公司净利润为</w:t>
      </w:r>
      <w:r>
        <w:rPr>
          <w:spacing w:val="-56"/>
        </w:rPr>
        <w:t> </w:t>
      </w:r>
      <w:r>
        <w:rPr>
          <w:rFonts w:ascii="Times New Roman" w:hAnsi="Times New Roman" w:cs="Times New Roman" w:eastAsia="Times New Roman" w:hint="default"/>
        </w:rPr>
        <w:t>7,261,575.77</w:t>
      </w:r>
      <w:r>
        <w:rPr>
          <w:rFonts w:ascii="Times New Roman" w:hAnsi="Times New Roman" w:cs="Times New Roman" w:eastAsia="Times New Roman" w:hint="default"/>
          <w:spacing w:val="-9"/>
        </w:rPr>
        <w:t> </w:t>
      </w:r>
      <w:r>
        <w:rPr>
          <w:spacing w:val="-5"/>
        </w:rPr>
        <w:t>元，提取</w:t>
      </w:r>
      <w:r>
        <w:rPr>
          <w:spacing w:val="-58"/>
        </w:rPr>
        <w:t> </w:t>
      </w:r>
      <w:r>
        <w:rPr>
          <w:rFonts w:ascii="Times New Roman" w:hAnsi="Times New Roman" w:cs="Times New Roman" w:eastAsia="Times New Roman" w:hint="default"/>
        </w:rPr>
        <w:t>10%</w:t>
      </w:r>
      <w:r>
        <w:rPr/>
        <w:t>法 定盈余公积金，加上年初未分配利润</w:t>
      </w:r>
      <w:r>
        <w:rPr>
          <w:rFonts w:ascii="Times New Roman" w:hAnsi="Times New Roman" w:cs="Times New Roman" w:eastAsia="Times New Roman" w:hint="default"/>
        </w:rPr>
        <w:t>-73,821,474.80 </w:t>
      </w:r>
      <w:r>
        <w:rPr/>
        <w:t>元，年末母公司未分配利润为</w:t>
      </w:r>
      <w:r>
        <w:rPr>
          <w:rFonts w:ascii="Times New Roman" w:hAnsi="Times New Roman" w:cs="Times New Roman" w:eastAsia="Times New Roman" w:hint="default"/>
        </w:rPr>
        <w:t>-67,286,056.61</w:t>
      </w:r>
      <w:r>
        <w:rPr>
          <w:rFonts w:ascii="Times New Roman" w:hAnsi="Times New Roman" w:cs="Times New Roman" w:eastAsia="Times New Roman" w:hint="default"/>
          <w:spacing w:val="-26"/>
        </w:rPr>
        <w:t> </w:t>
      </w:r>
      <w:r>
        <w:rPr/>
        <w:t>元。鉴于母公司可供分配利 润仍为负数，基于公司长远发展考虑，公司</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年度拟不进行利润分配，即不实施现金分红、不派送红股及不以公积金转 增股本。</w:t>
      </w:r>
    </w:p>
    <w:p>
      <w:pPr>
        <w:pStyle w:val="BodyText"/>
        <w:spacing w:line="240" w:lineRule="auto" w:before="72"/>
        <w:ind w:left="272" w:right="134"/>
        <w:jc w:val="left"/>
      </w:pPr>
      <w:r>
        <w:rPr/>
        <w:t>公司近三年（包括本报告期）普通股现金分红情况表</w:t>
      </w:r>
    </w:p>
    <w:p>
      <w:pPr>
        <w:pStyle w:val="BodyText"/>
        <w:spacing w:line="240" w:lineRule="auto" w:before="115"/>
        <w:ind w:left="0" w:right="191"/>
        <w:jc w:val="right"/>
      </w:pPr>
      <w:r>
        <w:rPr/>
        <w:t>单位：元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756" w:right="3788"/>
        <w:jc w:val="center"/>
      </w:pPr>
      <w:r>
        <w:rPr/>
        <w:pict>
          <v:shape style="position:absolute;margin-left:48pt;margin-top:-18.528269pt;width:495.25pt;height:112.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1695"/>
                    <w:gridCol w:w="62"/>
                    <w:gridCol w:w="1683"/>
                    <w:gridCol w:w="1805"/>
                    <w:gridCol w:w="1460"/>
                    <w:gridCol w:w="1421"/>
                  </w:tblGrid>
                  <w:tr>
                    <w:trPr>
                      <w:trHeight w:val="161"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1695" w:type="dxa"/>
                        <w:vMerge w:val="restart"/>
                        <w:tcBorders>
                          <w:top w:val="single" w:sz="4" w:space="0" w:color="000000"/>
                          <w:left w:val="single" w:sz="4" w:space="0" w:color="000000"/>
                          <w:right w:val="single" w:sz="4" w:space="0" w:color="000000"/>
                        </w:tcBorders>
                        <w:shd w:val="clear" w:color="auto" w:fill="D2D2D2"/>
                      </w:tcPr>
                      <w:p>
                        <w:pPr/>
                      </w:p>
                    </w:tc>
                    <w:tc>
                      <w:tcPr>
                        <w:tcW w:w="62" w:type="dxa"/>
                        <w:tcBorders>
                          <w:top w:val="single" w:sz="4" w:space="0" w:color="000000"/>
                          <w:left w:val="single" w:sz="4" w:space="0" w:color="000000"/>
                          <w:bottom w:val="nil" w:sz="6" w:space="0" w:color="auto"/>
                          <w:right w:val="nil" w:sz="6" w:space="0" w:color="auto"/>
                        </w:tcBorders>
                        <w:shd w:val="clear" w:color="auto" w:fill="D2D2D2"/>
                      </w:tcPr>
                      <w:p>
                        <w:pPr/>
                      </w:p>
                    </w:tc>
                    <w:tc>
                      <w:tcPr>
                        <w:tcW w:w="1683" w:type="dxa"/>
                        <w:vMerge w:val="restart"/>
                        <w:tcBorders>
                          <w:top w:val="single" w:sz="4" w:space="0" w:color="000000"/>
                          <w:left w:val="nil" w:sz="6" w:space="0" w:color="auto"/>
                          <w:right w:val="single" w:sz="4" w:space="0" w:color="000000"/>
                        </w:tcBorders>
                        <w:shd w:val="clear" w:color="auto" w:fill="D2D2D2"/>
                      </w:tcPr>
                      <w:p>
                        <w:pPr>
                          <w:pStyle w:val="TableParagraph"/>
                          <w:spacing w:line="312" w:lineRule="exact" w:before="9"/>
                          <w:ind w:right="5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7"/>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1695" w:type="dxa"/>
                        <w:vMerge/>
                        <w:tcBorders>
                          <w:left w:val="single" w:sz="4" w:space="0" w:color="000000"/>
                          <w:bottom w:val="nil" w:sz="6" w:space="0" w:color="auto"/>
                          <w:right w:val="single" w:sz="4" w:space="0" w:color="000000"/>
                        </w:tcBorders>
                        <w:shd w:val="clear" w:color="auto" w:fill="D2D2D2"/>
                      </w:tcPr>
                      <w:p>
                        <w:pPr/>
                      </w:p>
                    </w:tc>
                    <w:tc>
                      <w:tcPr>
                        <w:tcW w:w="62" w:type="dxa"/>
                        <w:tcBorders>
                          <w:top w:val="nil" w:sz="6" w:space="0" w:color="auto"/>
                          <w:left w:val="single" w:sz="4" w:space="0" w:color="000000"/>
                          <w:bottom w:val="nil" w:sz="6" w:space="0" w:color="auto"/>
                          <w:right w:val="nil" w:sz="6" w:space="0" w:color="auto"/>
                        </w:tcBorders>
                        <w:shd w:val="clear" w:color="auto" w:fill="D2D2D2"/>
                      </w:tcPr>
                      <w:p>
                        <w:pPr/>
                      </w:p>
                    </w:tc>
                    <w:tc>
                      <w:tcPr>
                        <w:tcW w:w="1683" w:type="dxa"/>
                        <w:vMerge/>
                        <w:tcBorders>
                          <w:left w:val="nil" w:sz="6" w:space="0" w:color="auto"/>
                          <w:right w:val="single" w:sz="4" w:space="0" w:color="000000"/>
                        </w:tcBorders>
                        <w:shd w:val="clear" w:color="auto" w:fill="D2D2D2"/>
                      </w:tcPr>
                      <w:p>
                        <w:pPr/>
                      </w:p>
                    </w:tc>
                    <w:tc>
                      <w:tcPr>
                        <w:tcW w:w="1805" w:type="dxa"/>
                        <w:vMerge/>
                        <w:tcBorders>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6" w:right="92"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42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4" w:right="74"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1"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现金分红金额（含税</w:t>
                        </w:r>
                      </w:p>
                    </w:tc>
                    <w:tc>
                      <w:tcPr>
                        <w:tcW w:w="62" w:type="dxa"/>
                        <w:tcBorders>
                          <w:top w:val="nil" w:sz="6" w:space="0" w:color="auto"/>
                          <w:left w:val="single" w:sz="4" w:space="0" w:color="000000"/>
                          <w:bottom w:val="nil" w:sz="6" w:space="0" w:color="auto"/>
                          <w:right w:val="nil" w:sz="6" w:space="0" w:color="auto"/>
                        </w:tcBorders>
                        <w:shd w:val="clear" w:color="auto" w:fill="D2D2D2"/>
                      </w:tcPr>
                      <w:p>
                        <w:pPr/>
                      </w:p>
                    </w:tc>
                    <w:tc>
                      <w:tcPr>
                        <w:tcW w:w="1683" w:type="dxa"/>
                        <w:vMerge/>
                        <w:tcBorders>
                          <w:left w:val="nil" w:sz="6" w:space="0" w:color="auto"/>
                          <w:right w:val="single" w:sz="4" w:space="0" w:color="000000"/>
                        </w:tcBorders>
                        <w:shd w:val="clear" w:color="auto" w:fill="D2D2D2"/>
                      </w:tcPr>
                      <w:p>
                        <w:pPr/>
                      </w:p>
                    </w:tc>
                    <w:tc>
                      <w:tcPr>
                        <w:tcW w:w="1805"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r>
                  <w:tr>
                    <w:trPr>
                      <w:trHeight w:val="156" w:hRule="exact"/>
                    </w:trPr>
                    <w:tc>
                      <w:tcPr>
                        <w:tcW w:w="1764" w:type="dxa"/>
                        <w:vMerge w:val="restart"/>
                        <w:tcBorders>
                          <w:top w:val="nil" w:sz="6" w:space="0" w:color="auto"/>
                          <w:left w:val="single" w:sz="4" w:space="0" w:color="000000"/>
                          <w:right w:val="single" w:sz="4" w:space="0" w:color="000000"/>
                        </w:tcBorders>
                        <w:shd w:val="clear" w:color="auto" w:fill="D2D2D2"/>
                      </w:tcPr>
                      <w:p>
                        <w:pPr/>
                      </w:p>
                    </w:tc>
                    <w:tc>
                      <w:tcPr>
                        <w:tcW w:w="1695" w:type="dxa"/>
                        <w:vMerge w:val="restart"/>
                        <w:tcBorders>
                          <w:top w:val="nil" w:sz="6" w:space="0" w:color="auto"/>
                          <w:left w:val="single" w:sz="4" w:space="0" w:color="000000"/>
                          <w:right w:val="single" w:sz="4" w:space="0" w:color="000000"/>
                        </w:tcBorders>
                        <w:shd w:val="clear" w:color="auto" w:fill="D2D2D2"/>
                      </w:tcPr>
                      <w:p>
                        <w:pPr/>
                      </w:p>
                    </w:tc>
                    <w:tc>
                      <w:tcPr>
                        <w:tcW w:w="62" w:type="dxa"/>
                        <w:tcBorders>
                          <w:top w:val="nil" w:sz="6" w:space="0" w:color="auto"/>
                          <w:left w:val="single" w:sz="4" w:space="0" w:color="000000"/>
                          <w:bottom w:val="nil" w:sz="6" w:space="0" w:color="auto"/>
                          <w:right w:val="nil" w:sz="6" w:space="0" w:color="auto"/>
                        </w:tcBorders>
                        <w:shd w:val="clear" w:color="auto" w:fill="D2D2D2"/>
                      </w:tcPr>
                      <w:p>
                        <w:pPr/>
                      </w:p>
                    </w:tc>
                    <w:tc>
                      <w:tcPr>
                        <w:tcW w:w="1683" w:type="dxa"/>
                        <w:vMerge/>
                        <w:tcBorders>
                          <w:left w:val="nil" w:sz="6" w:space="0" w:color="auto"/>
                          <w:bottom w:val="nil" w:sz="6" w:space="0" w:color="auto"/>
                          <w:right w:val="single" w:sz="4" w:space="0" w:color="000000"/>
                        </w:tcBorders>
                        <w:shd w:val="clear" w:color="auto" w:fill="D2D2D2"/>
                      </w:tcPr>
                      <w:p>
                        <w:pPr/>
                      </w:p>
                    </w:tc>
                    <w:tc>
                      <w:tcPr>
                        <w:tcW w:w="1805"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142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1695" w:type="dxa"/>
                        <w:vMerge/>
                        <w:tcBorders>
                          <w:left w:val="single" w:sz="4" w:space="0" w:color="000000"/>
                          <w:bottom w:val="single" w:sz="4" w:space="0" w:color="000000"/>
                          <w:right w:val="single" w:sz="4" w:space="0" w:color="000000"/>
                        </w:tcBorders>
                        <w:shd w:val="clear" w:color="auto" w:fill="D2D2D2"/>
                      </w:tcPr>
                      <w:p>
                        <w:pPr/>
                      </w:p>
                    </w:tc>
                    <w:tc>
                      <w:tcPr>
                        <w:tcW w:w="62" w:type="dxa"/>
                        <w:tcBorders>
                          <w:top w:val="nil" w:sz="6" w:space="0" w:color="auto"/>
                          <w:left w:val="single" w:sz="4" w:space="0" w:color="000000"/>
                          <w:bottom w:val="single" w:sz="4" w:space="0" w:color="000000"/>
                          <w:right w:val="nil" w:sz="6" w:space="0" w:color="auto"/>
                        </w:tcBorders>
                        <w:shd w:val="clear" w:color="auto" w:fill="D2D2D2"/>
                      </w:tcPr>
                      <w:p>
                        <w:pPr/>
                      </w:p>
                    </w:tc>
                    <w:tc>
                      <w:tcPr>
                        <w:tcW w:w="1683" w:type="dxa"/>
                        <w:tcBorders>
                          <w:top w:val="nil" w:sz="6" w:space="0" w:color="auto"/>
                          <w:left w:val="nil" w:sz="6" w:space="0" w:color="auto"/>
                          <w:bottom w:val="single" w:sz="4" w:space="0" w:color="000000"/>
                          <w:right w:val="single" w:sz="4" w:space="0" w:color="000000"/>
                        </w:tcBorders>
                        <w:shd w:val="clear" w:color="auto" w:fill="D2D2D2"/>
                      </w:tcPr>
                      <w:p>
                        <w:pPr/>
                      </w:p>
                    </w:tc>
                    <w:tc>
                      <w:tcPr>
                        <w:tcW w:w="1805"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-35,666,709.39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-13,074,608.76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13,622,986.33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272" w:right="134"/>
        <w:jc w:val="left"/>
      </w:pPr>
      <w:r>
        <w:rPr/>
        <w:t>公司报告期内盈利且母公司可供普通股股东分配利润为正但未提出普通股现金红利分配预案</w:t>
      </w:r>
    </w:p>
    <w:p>
      <w:pPr>
        <w:pStyle w:val="BodyText"/>
        <w:spacing w:line="240" w:lineRule="auto" w:before="115"/>
        <w:ind w:left="272" w:right="134"/>
        <w:jc w:val="left"/>
      </w:pPr>
      <w:r>
        <w:rPr/>
        <w:t>□ 适用 √</w:t>
      </w:r>
      <w:r>
        <w:rPr>
          <w:spacing w:val="3"/>
        </w:rPr>
        <w:t> </w:t>
      </w:r>
      <w:r>
        <w:rPr/>
        <w:t>不适用</w:t>
      </w:r>
    </w:p>
    <w:p>
      <w:pPr>
        <w:spacing w:line="240" w:lineRule="auto" w:before="6"/>
        <w:rPr>
          <w:rFonts w:ascii="宋体" w:hAnsi="宋体" w:cs="宋体" w:eastAsia="宋体" w:hint="default"/>
          <w:sz w:val="14"/>
          <w:szCs w:val="14"/>
        </w:rPr>
      </w:pPr>
    </w:p>
    <w:p>
      <w:pPr>
        <w:pStyle w:val="Heading5"/>
        <w:spacing w:line="240" w:lineRule="auto"/>
        <w:ind w:left="272" w:right="134"/>
        <w:jc w:val="left"/>
        <w:rPr>
          <w:b w:val="0"/>
          <w:bCs w:val="0"/>
        </w:rPr>
      </w:pPr>
      <w:r>
        <w:rPr/>
        <w:t>二、本报告期利润分配及资本公积金转增股本预案</w:t>
      </w:r>
      <w:r>
        <w:rPr>
          <w:b w:val="0"/>
          <w:bCs w:val="0"/>
        </w:rPr>
      </w:r>
    </w:p>
    <w:p>
      <w:pPr>
        <w:pStyle w:val="BodyText"/>
        <w:spacing w:line="357" w:lineRule="auto" w:before="207"/>
        <w:ind w:left="633" w:right="4233" w:hanging="361"/>
        <w:jc w:val="left"/>
      </w:pPr>
      <w:r>
        <w:rPr/>
        <w:t>□ 适用 √</w:t>
      </w:r>
      <w:r>
        <w:rPr>
          <w:spacing w:val="3"/>
        </w:rPr>
        <w:t> </w:t>
      </w:r>
      <w:r>
        <w:rPr/>
        <w:t>不适用</w:t>
      </w:r>
      <w:r>
        <w:rPr/>
        <w:t> 公司计划年度不派发现金红利，不送红股，不以公积金转增股本。</w:t>
      </w:r>
    </w:p>
    <w:p>
      <w:pPr>
        <w:spacing w:after="0" w:line="357" w:lineRule="auto"/>
        <w:jc w:val="left"/>
        <w:sectPr>
          <w:pgSz w:w="11910" w:h="16840"/>
          <w:pgMar w:header="877" w:footer="980" w:top="1100" w:bottom="1160" w:left="860" w:right="940"/>
        </w:sectPr>
      </w:pPr>
    </w:p>
    <w:p>
      <w:pPr>
        <w:spacing w:line="240" w:lineRule="auto" w:before="9"/>
        <w:rPr>
          <w:rFonts w:ascii="宋体" w:hAnsi="宋体" w:cs="宋体" w:eastAsia="宋体" w:hint="default"/>
          <w:sz w:val="19"/>
          <w:szCs w:val="19"/>
        </w:rPr>
      </w:pPr>
    </w:p>
    <w:p>
      <w:pPr>
        <w:pStyle w:val="Heading5"/>
        <w:spacing w:line="240" w:lineRule="auto" w:before="26"/>
        <w:ind w:left="972" w:right="0"/>
        <w:jc w:val="left"/>
        <w:rPr>
          <w:b w:val="0"/>
          <w:bCs w:val="0"/>
        </w:rPr>
      </w:pPr>
      <w:r>
        <w:rPr/>
        <w:t>三、承诺事项履行情况</w:t>
      </w:r>
      <w:r>
        <w:rPr>
          <w:b w:val="0"/>
          <w:bCs w:val="0"/>
        </w:rPr>
      </w:r>
    </w:p>
    <w:p>
      <w:pPr>
        <w:pStyle w:val="Heading8"/>
        <w:spacing w:line="256" w:lineRule="auto" w:before="184"/>
        <w:ind w:left="972"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8"/>
        <w:rPr>
          <w:rFonts w:ascii="宋体" w:hAnsi="宋体" w:cs="宋体" w:eastAsia="宋体" w:hint="default"/>
          <w:b/>
          <w:bCs/>
          <w:sz w:val="15"/>
          <w:szCs w:val="15"/>
        </w:rPr>
      </w:pPr>
    </w:p>
    <w:p>
      <w:pPr>
        <w:pStyle w:val="BodyText"/>
        <w:spacing w:line="240" w:lineRule="auto"/>
        <w:ind w:left="972"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32"/>
        <w:gridCol w:w="809"/>
        <w:gridCol w:w="1154"/>
        <w:gridCol w:w="5058"/>
        <w:gridCol w:w="1081"/>
        <w:gridCol w:w="1063"/>
        <w:gridCol w:w="670"/>
      </w:tblGrid>
      <w:tr>
        <w:trPr>
          <w:trHeight w:val="694"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29"/>
              <w:ind w:left="148" w:right="149"/>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62"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05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3169" w:hRule="exact"/>
        </w:trPr>
        <w:tc>
          <w:tcPr>
            <w:tcW w:w="1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 w:right="7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 w:right="60"/>
              <w:jc w:val="left"/>
              <w:rPr>
                <w:rFonts w:ascii="宋体" w:hAnsi="宋体" w:cs="宋体" w:eastAsia="宋体" w:hint="default"/>
                <w:sz w:val="18"/>
                <w:szCs w:val="18"/>
              </w:rPr>
            </w:pPr>
            <w:r>
              <w:rPr>
                <w:rFonts w:ascii="宋体" w:hAnsi="宋体" w:cs="宋体" w:eastAsia="宋体" w:hint="default"/>
                <w:sz w:val="18"/>
                <w:szCs w:val="18"/>
              </w:rPr>
              <w:t>关于同业竞 </w:t>
            </w:r>
            <w:r>
              <w:rPr>
                <w:rFonts w:ascii="宋体" w:hAnsi="宋体" w:cs="宋体" w:eastAsia="宋体" w:hint="default"/>
                <w:spacing w:val="-4"/>
                <w:sz w:val="18"/>
                <w:szCs w:val="18"/>
              </w:rPr>
              <w:t>争、关联交易</w:t>
            </w:r>
            <w:r>
              <w:rPr>
                <w:rFonts w:ascii="宋体" w:hAnsi="宋体" w:cs="宋体" w:eastAsia="宋体" w:hint="default"/>
                <w:sz w:val="18"/>
                <w:szCs w:val="18"/>
              </w:rPr>
              <w:t> 资金占用方面 的承诺</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9"/>
              <w:ind w:left="2" w:right="-3"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）本集团及下属企业目前没有直接或间接从事与长城电脑</w:t>
            </w:r>
            <w:r>
              <w:rPr>
                <w:rFonts w:ascii="宋体" w:hAnsi="宋体" w:cs="宋体" w:eastAsia="宋体" w:hint="default"/>
                <w:sz w:val="18"/>
                <w:szCs w:val="18"/>
              </w:rPr>
              <w:t> </w:t>
            </w:r>
            <w:r>
              <w:rPr>
                <w:rFonts w:ascii="宋体" w:hAnsi="宋体" w:cs="宋体" w:eastAsia="宋体" w:hint="default"/>
                <w:spacing w:val="-3"/>
                <w:sz w:val="18"/>
                <w:szCs w:val="18"/>
              </w:rPr>
              <w:t>及其下属企业主营业务构成竞争的业务；（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）本集团将来不会，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而且会促使本集团下属企业不会单独或与第三方、以直接或间接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形式参与、经营或从事与长城电脑及其下属企业主营业务构成竞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争或可能构成竞争的业务或活动；（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）若长城电脑未来新增主营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业务，本集团及下属企业将不会单独或与第三方、以直接或间接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形式参与、经营或从事与长城电脑及其下属企业未来新增主营业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务构成竞争或可能构成竞争的业务或活动；（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而参与竞争的，本集团将承担由此给长城电脑造成的全部经济损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失。</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9" w:lineRule="auto"/>
              <w:ind w:left="-1" w:right="119"/>
              <w:jc w:val="left"/>
              <w:rPr>
                <w:rFonts w:ascii="宋体" w:hAnsi="宋体" w:cs="宋体" w:eastAsia="宋体" w:hint="default"/>
                <w:sz w:val="18"/>
                <w:szCs w:val="18"/>
              </w:rPr>
            </w:pPr>
            <w:r>
              <w:rPr>
                <w:rFonts w:ascii="宋体" w:hAnsi="宋体" w:cs="宋体" w:eastAsia="宋体" w:hint="default"/>
                <w:sz w:val="18"/>
                <w:szCs w:val="18"/>
              </w:rPr>
              <w:t>严格履 行中</w:t>
            </w:r>
          </w:p>
        </w:tc>
      </w:tr>
      <w:tr>
        <w:trPr>
          <w:trHeight w:val="1922" w:hRule="exact"/>
        </w:trPr>
        <w:tc>
          <w:tcPr>
            <w:tcW w:w="1532"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32"/>
              <w:ind w:left="2" w:right="-2" w:firstLine="36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）本集团将尽可能减少并规范与长城电脑之间的关联交</w:t>
            </w:r>
            <w:r>
              <w:rPr>
                <w:rFonts w:ascii="宋体" w:hAnsi="宋体" w:cs="宋体" w:eastAsia="宋体" w:hint="default"/>
                <w:sz w:val="18"/>
                <w:szCs w:val="18"/>
              </w:rPr>
              <w:t> </w:t>
            </w:r>
            <w:r>
              <w:rPr>
                <w:rFonts w:ascii="宋体" w:hAnsi="宋体" w:cs="宋体" w:eastAsia="宋体" w:hint="default"/>
                <w:spacing w:val="-3"/>
                <w:sz w:val="18"/>
                <w:szCs w:val="18"/>
              </w:rPr>
              <w:t>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）对于确需发生的本集团及下属企业与长城电脑之间的一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切交易行为，本集团将严格履行法定程序，依法及时进行信息披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露，严格遵循市场规则，本着平等互利、等价有偿的一般商业原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则，公平合理的进行，保证不通过关联交易取得任何不当的利益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或使长城电脑承担任何不当的责任和义务。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1" w:right="119"/>
              <w:jc w:val="left"/>
              <w:rPr>
                <w:rFonts w:ascii="宋体" w:hAnsi="宋体" w:cs="宋体" w:eastAsia="宋体" w:hint="default"/>
                <w:sz w:val="18"/>
                <w:szCs w:val="18"/>
              </w:rPr>
            </w:pPr>
            <w:r>
              <w:rPr>
                <w:rFonts w:ascii="宋体" w:hAnsi="宋体" w:cs="宋体" w:eastAsia="宋体" w:hint="default"/>
                <w:sz w:val="18"/>
                <w:szCs w:val="18"/>
              </w:rPr>
              <w:t>严格履 行中</w:t>
            </w:r>
          </w:p>
        </w:tc>
      </w:tr>
      <w:tr>
        <w:trPr>
          <w:trHeight w:val="675"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0"/>
              <w:ind w:left="2" w:right="7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05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2" w:right="7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05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0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05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7"/>
              <w:ind w:left="2" w:right="7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中国电子</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 w:right="0" w:firstLine="360"/>
              <w:jc w:val="both"/>
              <w:rPr>
                <w:rFonts w:ascii="宋体" w:hAnsi="宋体" w:cs="宋体" w:eastAsia="宋体" w:hint="default"/>
                <w:sz w:val="18"/>
                <w:szCs w:val="18"/>
              </w:rPr>
            </w:pPr>
            <w:r>
              <w:rPr>
                <w:rFonts w:ascii="宋体" w:hAnsi="宋体" w:cs="宋体" w:eastAsia="宋体" w:hint="default"/>
                <w:sz w:val="18"/>
                <w:szCs w:val="18"/>
              </w:rPr>
              <w:t>公司实际控制人中国电子承诺不会发生占用上市公司资金的 现象和可能。中国电子承诺当中电财务出现支付困难的紧急情况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时，按照解决支付困难的实际需要，增加相应的资本金。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 w:right="119"/>
              <w:jc w:val="left"/>
              <w:rPr>
                <w:rFonts w:ascii="宋体" w:hAnsi="宋体" w:cs="宋体" w:eastAsia="宋体" w:hint="default"/>
                <w:sz w:val="18"/>
                <w:szCs w:val="18"/>
              </w:rPr>
            </w:pPr>
            <w:r>
              <w:rPr>
                <w:rFonts w:ascii="宋体" w:hAnsi="宋体" w:cs="宋体" w:eastAsia="宋体" w:hint="default"/>
                <w:sz w:val="18"/>
                <w:szCs w:val="18"/>
              </w:rPr>
              <w:t>严格履 行中</w:t>
            </w:r>
          </w:p>
        </w:tc>
      </w:tr>
      <w:tr>
        <w:trPr>
          <w:trHeight w:val="1921" w:hRule="exact"/>
        </w:trPr>
        <w:tc>
          <w:tcPr>
            <w:tcW w:w="1532" w:type="dxa"/>
            <w:vMerge/>
            <w:tcBorders>
              <w:left w:val="single" w:sz="4" w:space="0" w:color="000000"/>
              <w:right w:val="single" w:sz="4" w:space="0" w:color="000000"/>
            </w:tcBorders>
            <w:shd w:val="clear" w:color="auto" w:fill="D2D2D2"/>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2" w:lineRule="auto"/>
              <w:ind w:left="2" w:right="24"/>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董 </w:t>
            </w:r>
            <w:r>
              <w:rPr>
                <w:rFonts w:ascii="宋体" w:hAnsi="宋体" w:cs="宋体" w:eastAsia="宋体" w:hint="default"/>
                <w:spacing w:val="-4"/>
                <w:sz w:val="18"/>
                <w:szCs w:val="18"/>
              </w:rPr>
              <w:t>事、监事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 人员</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9"/>
              <w:ind w:left="2" w:right="-3"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）为促进公司持续、稳定、健康发展，维护公司全体股东</w:t>
            </w:r>
            <w:r>
              <w:rPr>
                <w:rFonts w:ascii="宋体" w:hAnsi="宋体" w:cs="宋体" w:eastAsia="宋体" w:hint="default"/>
                <w:sz w:val="18"/>
                <w:szCs w:val="18"/>
              </w:rPr>
              <w:t> 的利益，持有公司股票的董事、监事、高级管理人员承诺本年内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不减持本人所持公司股票；（</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）若公司股价未来</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个月出现大幅下</w:t>
            </w:r>
            <w:r>
              <w:rPr>
                <w:rFonts w:ascii="宋体" w:hAnsi="宋体" w:cs="宋体" w:eastAsia="宋体" w:hint="default"/>
                <w:spacing w:val="-84"/>
                <w:sz w:val="18"/>
                <w:szCs w:val="18"/>
              </w:rPr>
              <w:t> </w:t>
            </w:r>
            <w:r>
              <w:rPr>
                <w:rFonts w:ascii="宋体" w:hAnsi="宋体" w:cs="宋体" w:eastAsia="宋体" w:hint="default"/>
                <w:spacing w:val="-6"/>
                <w:sz w:val="18"/>
                <w:szCs w:val="18"/>
              </w:rPr>
              <w:t>跌，公司将积极研究推进股份回购相关事宜，并鼓励公司董事（独</w:t>
            </w:r>
            <w:r>
              <w:rPr>
                <w:rFonts w:ascii="宋体" w:hAnsi="宋体" w:cs="宋体" w:eastAsia="宋体" w:hint="default"/>
                <w:sz w:val="18"/>
                <w:szCs w:val="18"/>
              </w:rPr>
              <w:t> </w:t>
            </w:r>
            <w:r>
              <w:rPr>
                <w:rFonts w:ascii="宋体" w:hAnsi="宋体" w:cs="宋体" w:eastAsia="宋体" w:hint="default"/>
                <w:spacing w:val="-6"/>
                <w:sz w:val="18"/>
                <w:szCs w:val="18"/>
              </w:rPr>
              <w:t>立董事除外）、监事、高级管理人员及员工根据实际情况在合法合</w:t>
            </w:r>
            <w:r>
              <w:rPr>
                <w:rFonts w:ascii="宋体" w:hAnsi="宋体" w:cs="宋体" w:eastAsia="宋体" w:hint="default"/>
                <w:sz w:val="18"/>
                <w:szCs w:val="18"/>
              </w:rPr>
              <w:t> 规的前提下积极买入公司股票。</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1" w:right="119"/>
              <w:jc w:val="left"/>
              <w:rPr>
                <w:rFonts w:ascii="宋体" w:hAnsi="宋体" w:cs="宋体" w:eastAsia="宋体" w:hint="default"/>
                <w:sz w:val="18"/>
                <w:szCs w:val="18"/>
              </w:rPr>
            </w:pPr>
            <w:r>
              <w:rPr>
                <w:rFonts w:ascii="宋体" w:hAnsi="宋体" w:cs="宋体" w:eastAsia="宋体" w:hint="default"/>
                <w:sz w:val="18"/>
                <w:szCs w:val="18"/>
              </w:rPr>
              <w:t>严格履 行中</w:t>
            </w:r>
          </w:p>
        </w:tc>
      </w:tr>
      <w:tr>
        <w:trPr>
          <w:trHeight w:val="1298" w:hRule="exact"/>
        </w:trPr>
        <w:tc>
          <w:tcPr>
            <w:tcW w:w="1532"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2" w:right="74"/>
              <w:jc w:val="left"/>
              <w:rPr>
                <w:rFonts w:ascii="宋体" w:hAnsi="宋体" w:cs="宋体" w:eastAsia="宋体" w:hint="default"/>
                <w:sz w:val="18"/>
                <w:szCs w:val="18"/>
              </w:rPr>
            </w:pPr>
            <w:r>
              <w:rPr>
                <w:rFonts w:ascii="宋体" w:hAnsi="宋体" w:cs="宋体" w:eastAsia="宋体" w:hint="default"/>
                <w:sz w:val="18"/>
                <w:szCs w:val="18"/>
              </w:rPr>
              <w:t>本公司 长城科技 中国电子</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 w:right="60"/>
              <w:jc w:val="left"/>
              <w:rPr>
                <w:rFonts w:ascii="宋体" w:hAnsi="宋体" w:cs="宋体" w:eastAsia="宋体" w:hint="default"/>
                <w:sz w:val="18"/>
                <w:szCs w:val="18"/>
              </w:rPr>
            </w:pPr>
            <w:r>
              <w:rPr>
                <w:rFonts w:ascii="宋体" w:hAnsi="宋体" w:cs="宋体" w:eastAsia="宋体" w:hint="default"/>
                <w:sz w:val="18"/>
                <w:szCs w:val="18"/>
              </w:rPr>
              <w:t>不进行重大资 产重组承诺</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9"/>
              <w:ind w:left="2" w:right="-5" w:firstLine="360"/>
              <w:jc w:val="both"/>
              <w:rPr>
                <w:rFonts w:ascii="宋体" w:hAnsi="宋体" w:cs="宋体" w:eastAsia="宋体" w:hint="default"/>
                <w:sz w:val="18"/>
                <w:szCs w:val="18"/>
              </w:rPr>
            </w:pPr>
            <w:r>
              <w:rPr>
                <w:rFonts w:ascii="宋体" w:hAnsi="宋体" w:cs="宋体" w:eastAsia="宋体" w:hint="default"/>
                <w:sz w:val="18"/>
                <w:szCs w:val="18"/>
              </w:rPr>
              <w:t>除已经披露的非公开发行股票项目外（已经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 </w:t>
            </w:r>
            <w:r>
              <w:rPr>
                <w:rFonts w:ascii="宋体" w:hAnsi="宋体" w:cs="宋体" w:eastAsia="宋体" w:hint="default"/>
                <w:spacing w:val="-6"/>
                <w:sz w:val="18"/>
                <w:szCs w:val="18"/>
              </w:rPr>
              <w:t>公司</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年度第五次临时股东大会审议通过），公司目前不存在其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他重大资产重组和重大收购等行为，同时公司、控股股东及实际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控制人承诺至少在</w:t>
            </w:r>
            <w:r>
              <w:rPr>
                <w:rFonts w:ascii="Times New Roman" w:hAnsi="Times New Roman" w:cs="Times New Roman" w:eastAsia="Times New Roman" w:hint="default"/>
                <w:sz w:val="18"/>
                <w:szCs w:val="18"/>
              </w:rPr>
              <w:t>3</w:t>
            </w:r>
            <w:r>
              <w:rPr>
                <w:rFonts w:ascii="宋体" w:hAnsi="宋体" w:cs="宋体" w:eastAsia="宋体" w:hint="default"/>
                <w:sz w:val="18"/>
                <w:szCs w:val="18"/>
              </w:rPr>
              <w:t>个月内不对公司筹划前述事项。</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1" w:right="119"/>
              <w:jc w:val="left"/>
              <w:rPr>
                <w:rFonts w:ascii="宋体" w:hAnsi="宋体" w:cs="宋体" w:eastAsia="宋体" w:hint="default"/>
                <w:sz w:val="18"/>
                <w:szCs w:val="18"/>
              </w:rPr>
            </w:pPr>
            <w:r>
              <w:rPr>
                <w:rFonts w:ascii="宋体" w:hAnsi="宋体" w:cs="宋体" w:eastAsia="宋体" w:hint="default"/>
                <w:sz w:val="18"/>
                <w:szCs w:val="18"/>
              </w:rPr>
              <w:t>已履行 完毕</w:t>
            </w:r>
          </w:p>
        </w:tc>
      </w:tr>
    </w:tbl>
    <w:p>
      <w:pPr>
        <w:spacing w:after="0" w:line="319" w:lineRule="auto"/>
        <w:jc w:val="left"/>
        <w:rPr>
          <w:rFonts w:ascii="宋体" w:hAnsi="宋体" w:cs="宋体" w:eastAsia="宋体" w:hint="default"/>
          <w:sz w:val="18"/>
          <w:szCs w:val="18"/>
        </w:rPr>
        <w:sectPr>
          <w:pgSz w:w="11910" w:h="16840"/>
          <w:pgMar w:header="877" w:footer="980" w:top="1100" w:bottom="1160" w:left="160" w:right="16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530"/>
        <w:gridCol w:w="9835"/>
      </w:tblGrid>
      <w:tr>
        <w:trPr>
          <w:trHeight w:val="362" w:hRule="exact"/>
        </w:trPr>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1" w:hRule="exact"/>
        </w:trPr>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0"/>
              <w:ind w:left="1" w:right="77"/>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9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宋体" w:hAnsi="宋体" w:cs="宋体" w:eastAsia="宋体" w:hint="default"/>
          <w:sz w:val="8"/>
          <w:szCs w:val="8"/>
        </w:rPr>
      </w:pPr>
    </w:p>
    <w:p>
      <w:pPr>
        <w:pStyle w:val="Heading8"/>
        <w:spacing w:line="256" w:lineRule="auto" w:before="36"/>
        <w:ind w:left="97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8"/>
        <w:rPr>
          <w:rFonts w:ascii="宋体" w:hAnsi="宋体" w:cs="宋体" w:eastAsia="宋体" w:hint="default"/>
          <w:b/>
          <w:bCs/>
          <w:sz w:val="15"/>
          <w:szCs w:val="15"/>
        </w:rPr>
      </w:pPr>
    </w:p>
    <w:p>
      <w:pPr>
        <w:pStyle w:val="BodyText"/>
        <w:spacing w:line="240" w:lineRule="auto"/>
        <w:ind w:left="972" w:right="0"/>
        <w:jc w:val="left"/>
      </w:pPr>
      <w:r>
        <w:rPr/>
        <w:t>□ 适用 √</w:t>
      </w:r>
      <w:r>
        <w:rPr>
          <w:spacing w:val="3"/>
        </w:rPr>
        <w:t> </w:t>
      </w:r>
      <w:r>
        <w:rPr/>
        <w:t>不适用</w:t>
      </w:r>
    </w:p>
    <w:p>
      <w:pPr>
        <w:spacing w:line="240" w:lineRule="auto" w:before="6"/>
        <w:rPr>
          <w:rFonts w:ascii="宋体" w:hAnsi="宋体" w:cs="宋体" w:eastAsia="宋体" w:hint="default"/>
          <w:sz w:val="14"/>
          <w:szCs w:val="14"/>
        </w:rPr>
      </w:pPr>
    </w:p>
    <w:p>
      <w:pPr>
        <w:pStyle w:val="Heading5"/>
        <w:spacing w:line="240" w:lineRule="auto"/>
        <w:ind w:left="972" w:right="0"/>
        <w:jc w:val="left"/>
        <w:rPr>
          <w:b w:val="0"/>
          <w:bCs w:val="0"/>
        </w:rPr>
      </w:pPr>
      <w:r>
        <w:rPr/>
        <w:t>四、控股股东及其关联方对上市公司的非经营性占用资金情况</w:t>
      </w:r>
      <w:r>
        <w:rPr>
          <w:b w:val="0"/>
          <w:bCs w:val="0"/>
        </w:rPr>
      </w:r>
    </w:p>
    <w:p>
      <w:pPr>
        <w:pStyle w:val="BodyText"/>
        <w:spacing w:line="360" w:lineRule="auto" w:before="205"/>
        <w:ind w:left="1333" w:right="4473" w:hanging="361"/>
        <w:jc w:val="left"/>
      </w:pPr>
      <w:r>
        <w:rPr/>
        <w:t>□ 适用 √</w:t>
      </w:r>
      <w:r>
        <w:rPr>
          <w:spacing w:val="3"/>
        </w:rPr>
        <w:t> </w:t>
      </w:r>
      <w:r>
        <w:rPr/>
        <w:t>不适用</w:t>
      </w:r>
      <w:r>
        <w:rPr/>
        <w:t> 公司报告期不存在控股股东及其关联方对上市公司的非经营性占用资金。</w:t>
      </w:r>
    </w:p>
    <w:p>
      <w:pPr>
        <w:pStyle w:val="Heading5"/>
        <w:spacing w:line="240" w:lineRule="auto" w:before="98"/>
        <w:ind w:left="972"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pStyle w:val="BodyText"/>
        <w:spacing w:line="240" w:lineRule="auto" w:before="186"/>
        <w:ind w:left="972" w:right="0"/>
        <w:jc w:val="left"/>
      </w:pPr>
      <w:r>
        <w:rPr/>
        <w:t>□ 适用 √</w:t>
      </w:r>
      <w:r>
        <w:rPr>
          <w:spacing w:val="3"/>
        </w:rPr>
        <w:t> </w:t>
      </w:r>
      <w:r>
        <w:rPr/>
        <w:t>不适用</w:t>
      </w:r>
    </w:p>
    <w:p>
      <w:pPr>
        <w:spacing w:line="240" w:lineRule="auto" w:before="6"/>
        <w:rPr>
          <w:rFonts w:ascii="宋体" w:hAnsi="宋体" w:cs="宋体" w:eastAsia="宋体" w:hint="default"/>
          <w:sz w:val="14"/>
          <w:szCs w:val="14"/>
        </w:rPr>
      </w:pPr>
    </w:p>
    <w:p>
      <w:pPr>
        <w:pStyle w:val="Heading5"/>
        <w:spacing w:line="240" w:lineRule="auto"/>
        <w:ind w:left="972" w:right="0"/>
        <w:jc w:val="left"/>
        <w:rPr>
          <w:b w:val="0"/>
          <w:bCs w:val="0"/>
        </w:rPr>
      </w:pPr>
      <w:r>
        <w:rPr/>
        <w:t>六、与上年度财务报告相比，会计政策、会计估计和核算方法发生变化的情况说明</w:t>
      </w:r>
      <w:r>
        <w:rPr>
          <w:b w:val="0"/>
          <w:bCs w:val="0"/>
        </w:rPr>
      </w:r>
    </w:p>
    <w:p>
      <w:pPr>
        <w:pStyle w:val="BodyText"/>
        <w:spacing w:line="357" w:lineRule="auto" w:before="207"/>
        <w:ind w:left="1333" w:right="5193" w:hanging="361"/>
        <w:jc w:val="left"/>
      </w:pPr>
      <w:r>
        <w:rPr/>
        <w:t>□ 适用 √</w:t>
      </w:r>
      <w:r>
        <w:rPr>
          <w:spacing w:val="3"/>
        </w:rPr>
        <w:t> </w:t>
      </w:r>
      <w:r>
        <w:rPr/>
        <w:t>不适用</w:t>
      </w:r>
      <w:r>
        <w:rPr/>
        <w:t> 公司报告期无会计政策、会计估计和核算方法发生变化的情况。</w:t>
      </w:r>
    </w:p>
    <w:p>
      <w:pPr>
        <w:pStyle w:val="Heading5"/>
        <w:spacing w:line="240" w:lineRule="auto" w:before="100"/>
        <w:ind w:left="972" w:right="0"/>
        <w:jc w:val="left"/>
        <w:rPr>
          <w:b w:val="0"/>
          <w:bCs w:val="0"/>
        </w:rPr>
      </w:pPr>
      <w:r>
        <w:rPr/>
        <w:t>七、报告期内发生重大会计差错更正需追溯重述的情况说明</w:t>
      </w:r>
      <w:r>
        <w:rPr>
          <w:b w:val="0"/>
          <w:bCs w:val="0"/>
        </w:rPr>
      </w:r>
    </w:p>
    <w:p>
      <w:pPr>
        <w:pStyle w:val="BodyText"/>
        <w:spacing w:line="357" w:lineRule="auto" w:before="207"/>
        <w:ind w:left="1333" w:right="6093" w:hanging="361"/>
        <w:jc w:val="left"/>
      </w:pPr>
      <w:r>
        <w:rPr/>
        <w:t>□ 适用 √</w:t>
      </w:r>
      <w:r>
        <w:rPr>
          <w:spacing w:val="3"/>
        </w:rPr>
        <w:t> </w:t>
      </w:r>
      <w:r>
        <w:rPr/>
        <w:t>不适用</w:t>
      </w:r>
      <w:r>
        <w:rPr/>
        <w:t> 公司报告期无重大会计差错更正需追溯重述的情况。</w:t>
      </w:r>
    </w:p>
    <w:p>
      <w:pPr>
        <w:pStyle w:val="Heading5"/>
        <w:spacing w:line="240" w:lineRule="auto" w:before="101"/>
        <w:ind w:left="972" w:right="0"/>
        <w:jc w:val="left"/>
        <w:rPr>
          <w:b w:val="0"/>
          <w:bCs w:val="0"/>
        </w:rPr>
      </w:pPr>
      <w:r>
        <w:rPr/>
        <w:t>八、与上年度财务报告相比，合并报表范围发生变化的情况说明</w:t>
      </w:r>
      <w:r>
        <w:rPr>
          <w:b w:val="0"/>
          <w:bCs w:val="0"/>
        </w:rPr>
      </w:r>
    </w:p>
    <w:p>
      <w:pPr>
        <w:pStyle w:val="BodyText"/>
        <w:spacing w:line="240" w:lineRule="auto" w:before="207"/>
        <w:ind w:left="972" w:right="0"/>
        <w:jc w:val="left"/>
      </w:pPr>
      <w:r>
        <w:rPr/>
        <w:t>√ 适用 □</w:t>
      </w:r>
      <w:r>
        <w:rPr>
          <w:spacing w:val="3"/>
        </w:rPr>
        <w:t> </w:t>
      </w:r>
      <w:r>
        <w:rPr/>
        <w:t>不适用</w:t>
      </w:r>
    </w:p>
    <w:p>
      <w:pPr>
        <w:pStyle w:val="BodyText"/>
        <w:spacing w:line="300" w:lineRule="auto" w:before="115"/>
        <w:ind w:left="972" w:right="971" w:firstLine="360"/>
        <w:jc w:val="both"/>
      </w:pPr>
      <w:r>
        <w:rPr>
          <w:rFonts w:ascii="Times New Roman" w:hAnsi="Times New Roman" w:cs="Times New Roman" w:eastAsia="Times New Roman" w:hint="default"/>
        </w:rPr>
        <w:t>1</w:t>
      </w:r>
      <w:r>
        <w:rPr/>
        <w:t>、关于子公司冠捷科技本期合并报表范围变化情况详见附注中的相关介绍，其中由于报告期内其将桑菲通信以同一控 制下的企业合并方式纳入合并范围，因此根据《企业会计准则第</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企业合并》的相关规定，公司需追溯调整可比期间 的合并报表数据；</w:t>
      </w:r>
    </w:p>
    <w:p>
      <w:pPr>
        <w:pStyle w:val="BodyText"/>
        <w:spacing w:line="240" w:lineRule="auto" w:before="72"/>
        <w:ind w:left="1333" w:right="0"/>
        <w:jc w:val="left"/>
      </w:pPr>
      <w:r>
        <w:rPr>
          <w:rFonts w:ascii="Times New Roman" w:hAnsi="Times New Roman" w:cs="Times New Roman" w:eastAsia="Times New Roman" w:hint="default"/>
        </w:rPr>
        <w:t>2</w:t>
      </w:r>
      <w:r>
        <w:rPr/>
        <w:t>、将报告期内新设立的子公司湖南长城纳入公司财务报表合并范围；</w:t>
      </w:r>
    </w:p>
    <w:p>
      <w:pPr>
        <w:pStyle w:val="BodyText"/>
        <w:spacing w:line="240" w:lineRule="auto" w:before="103"/>
        <w:ind w:left="1333" w:right="0"/>
        <w:jc w:val="left"/>
      </w:pPr>
      <w:r>
        <w:rPr>
          <w:rFonts w:ascii="Times New Roman" w:hAnsi="Times New Roman" w:cs="Times New Roman" w:eastAsia="Times New Roman" w:hint="default"/>
        </w:rPr>
        <w:t>3</w:t>
      </w:r>
      <w:r>
        <w:rPr/>
        <w:t>、关于子公司长城能源本期合并报表范围变化情况详见附注中的相关介绍。</w:t>
      </w:r>
    </w:p>
    <w:p>
      <w:pPr>
        <w:spacing w:line="240" w:lineRule="auto" w:before="3"/>
        <w:rPr>
          <w:rFonts w:ascii="宋体" w:hAnsi="宋体" w:cs="宋体" w:eastAsia="宋体" w:hint="default"/>
          <w:sz w:val="13"/>
          <w:szCs w:val="13"/>
        </w:rPr>
      </w:pPr>
    </w:p>
    <w:p>
      <w:pPr>
        <w:pStyle w:val="Heading5"/>
        <w:spacing w:line="240" w:lineRule="auto"/>
        <w:ind w:left="972" w:right="0"/>
        <w:jc w:val="left"/>
        <w:rPr>
          <w:b w:val="0"/>
          <w:bCs w:val="0"/>
        </w:rPr>
      </w:pPr>
      <w:r>
        <w:rPr/>
        <w:t>九、聘任、解聘会计师事务所情况</w:t>
      </w:r>
      <w:r>
        <w:rPr>
          <w:b w:val="0"/>
          <w:bCs w:val="0"/>
        </w:rPr>
      </w:r>
    </w:p>
    <w:p>
      <w:pPr>
        <w:pStyle w:val="BodyText"/>
        <w:spacing w:line="240" w:lineRule="auto" w:before="207"/>
        <w:ind w:left="972"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004" w:type="dxa"/>
        <w:tblLayout w:type="fixed"/>
        <w:tblCellMar>
          <w:top w:w="0" w:type="dxa"/>
          <w:left w:w="0" w:type="dxa"/>
          <w:bottom w:w="0" w:type="dxa"/>
          <w:right w:w="0" w:type="dxa"/>
        </w:tblCellMar>
        <w:tblLook w:val="01E0"/>
      </w:tblPr>
      <w:tblGrid>
        <w:gridCol w:w="3887"/>
        <w:gridCol w:w="5682"/>
      </w:tblGrid>
      <w:tr>
        <w:trPr>
          <w:trHeight w:val="363"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361"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88</w:t>
            </w:r>
          </w:p>
        </w:tc>
      </w:tr>
      <w:tr>
        <w:trPr>
          <w:trHeight w:val="361"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Times New Roman"/>
                <w:sz w:val="18"/>
              </w:rPr>
              <w:t>8</w:t>
            </w:r>
          </w:p>
        </w:tc>
      </w:tr>
      <w:tr>
        <w:trPr>
          <w:trHeight w:val="362"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谭小青、张媛</w:t>
            </w:r>
          </w:p>
        </w:tc>
      </w:tr>
    </w:tbl>
    <w:p>
      <w:pPr>
        <w:pStyle w:val="BodyText"/>
        <w:spacing w:line="240" w:lineRule="auto" w:before="49"/>
        <w:ind w:left="972" w:right="0"/>
        <w:jc w:val="left"/>
      </w:pPr>
      <w:r>
        <w:rPr/>
        <w:t>当期是否改聘会计师事务所</w:t>
      </w:r>
    </w:p>
    <w:p>
      <w:pPr>
        <w:pStyle w:val="BodyText"/>
        <w:spacing w:line="240" w:lineRule="auto" w:before="117"/>
        <w:ind w:left="972" w:right="0"/>
        <w:jc w:val="left"/>
      </w:pPr>
      <w:r>
        <w:rPr/>
        <w:t>□ 是 √</w:t>
      </w:r>
      <w:r>
        <w:rPr>
          <w:spacing w:val="3"/>
        </w:rPr>
        <w:t> </w:t>
      </w:r>
      <w:r>
        <w:rPr/>
        <w:t>否</w:t>
      </w:r>
    </w:p>
    <w:p>
      <w:pPr>
        <w:spacing w:after="0" w:line="240" w:lineRule="auto"/>
        <w:jc w:val="left"/>
        <w:sectPr>
          <w:pgSz w:w="11910" w:h="16840"/>
          <w:pgMar w:header="877" w:footer="980" w:top="1100" w:bottom="1160" w:left="160" w:right="16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聘请内部控制审计会计师事务所、财务顾问或保荐人情况</w:t>
      </w:r>
    </w:p>
    <w:p>
      <w:pPr>
        <w:pStyle w:val="BodyText"/>
        <w:spacing w:line="240" w:lineRule="auto" w:before="117"/>
        <w:ind w:right="0"/>
        <w:jc w:val="left"/>
      </w:pPr>
      <w:r>
        <w:rPr/>
        <w:t>√ 适用 □</w:t>
      </w:r>
      <w:r>
        <w:rPr>
          <w:spacing w:val="3"/>
        </w:rPr>
        <w:t> </w:t>
      </w:r>
      <w:r>
        <w:rPr/>
        <w:t>不适用</w:t>
      </w:r>
    </w:p>
    <w:p>
      <w:pPr>
        <w:pStyle w:val="BodyText"/>
        <w:spacing w:line="240" w:lineRule="auto" w:before="115"/>
        <w:ind w:left="513" w:right="0"/>
        <w:jc w:val="left"/>
      </w:pPr>
      <w:r>
        <w:rPr/>
        <w:t>本年度，公司聘请信永中和会计师事务所为</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年度财务报告内部控制审计单位，审计费用为人民币</w:t>
      </w:r>
      <w:r>
        <w:rPr>
          <w:spacing w:val="-45"/>
        </w:rPr>
        <w:t> </w:t>
      </w:r>
      <w:r>
        <w:rPr>
          <w:rFonts w:ascii="Times New Roman" w:hAnsi="Times New Roman" w:cs="Times New Roman" w:eastAsia="Times New Roman" w:hint="default"/>
        </w:rPr>
        <w:t>27.5</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13"/>
          <w:szCs w:val="13"/>
        </w:rPr>
      </w:pPr>
    </w:p>
    <w:p>
      <w:pPr>
        <w:pStyle w:val="Heading5"/>
        <w:spacing w:line="240" w:lineRule="auto"/>
        <w:ind w:right="0"/>
        <w:jc w:val="left"/>
        <w:rPr>
          <w:b w:val="0"/>
          <w:bCs w:val="0"/>
        </w:rPr>
      </w:pPr>
      <w:r>
        <w:rPr/>
        <w:t>十、年度报告披露后面临暂停上市和终止上市情况</w:t>
      </w:r>
      <w:r>
        <w:rPr>
          <w:b w:val="0"/>
          <w:bCs w:val="0"/>
        </w:rPr>
      </w:r>
    </w:p>
    <w:p>
      <w:pPr>
        <w:pStyle w:val="BodyText"/>
        <w:spacing w:line="240" w:lineRule="auto" w:before="207"/>
        <w:ind w:right="0"/>
        <w:jc w:val="left"/>
      </w:pPr>
      <w:r>
        <w:rPr/>
        <w:t>□ 适用 √</w:t>
      </w:r>
      <w:r>
        <w:rPr>
          <w:spacing w:val="3"/>
        </w:rPr>
        <w:t> </w:t>
      </w:r>
      <w:r>
        <w:rPr/>
        <w:t>不适用</w:t>
      </w:r>
    </w:p>
    <w:p>
      <w:pPr>
        <w:spacing w:line="240" w:lineRule="auto" w:before="3"/>
        <w:rPr>
          <w:rFonts w:ascii="宋体" w:hAnsi="宋体" w:cs="宋体" w:eastAsia="宋体" w:hint="default"/>
          <w:sz w:val="14"/>
          <w:szCs w:val="14"/>
        </w:rPr>
      </w:pPr>
    </w:p>
    <w:p>
      <w:pPr>
        <w:pStyle w:val="Heading5"/>
        <w:spacing w:line="240" w:lineRule="auto"/>
        <w:ind w:right="0"/>
        <w:jc w:val="left"/>
        <w:rPr>
          <w:b w:val="0"/>
          <w:bCs w:val="0"/>
        </w:rPr>
      </w:pPr>
      <w:r>
        <w:rPr/>
        <w:t>十一、破产重整相关事项</w:t>
      </w:r>
      <w:r>
        <w:rPr>
          <w:b w:val="0"/>
          <w:bCs w:val="0"/>
        </w:rPr>
      </w:r>
    </w:p>
    <w:p>
      <w:pPr>
        <w:pStyle w:val="BodyText"/>
        <w:spacing w:line="360" w:lineRule="auto" w:before="207"/>
        <w:ind w:left="513" w:right="6413" w:hanging="361"/>
        <w:jc w:val="left"/>
      </w:pPr>
      <w:r>
        <w:rPr/>
        <w:t>□ 适用 √</w:t>
      </w:r>
      <w:r>
        <w:rPr>
          <w:spacing w:val="3"/>
        </w:rPr>
        <w:t> </w:t>
      </w:r>
      <w:r>
        <w:rPr/>
        <w:t>不适用</w:t>
      </w:r>
      <w:r>
        <w:rPr/>
        <w:t> 公司报告期未发生破产重整相关事项。</w:t>
      </w:r>
    </w:p>
    <w:p>
      <w:pPr>
        <w:pStyle w:val="Heading5"/>
        <w:spacing w:line="240" w:lineRule="auto" w:before="96"/>
        <w:ind w:right="0"/>
        <w:jc w:val="left"/>
        <w:rPr>
          <w:b w:val="0"/>
          <w:bCs w:val="0"/>
        </w:rPr>
      </w:pPr>
      <w:r>
        <w:rPr/>
        <w:t>十二、重大诉讼、仲裁事项</w:t>
      </w:r>
      <w:r>
        <w:rPr>
          <w:b w:val="0"/>
          <w:bCs w:val="0"/>
        </w:rPr>
      </w:r>
    </w:p>
    <w:p>
      <w:pPr>
        <w:pStyle w:val="BodyText"/>
        <w:spacing w:line="360" w:lineRule="auto" w:before="207"/>
        <w:ind w:left="513" w:right="0" w:hanging="361"/>
        <w:jc w:val="left"/>
      </w:pPr>
      <w:r>
        <w:rPr/>
        <w:t>□ 适用 √</w:t>
      </w:r>
      <w:r>
        <w:rPr>
          <w:spacing w:val="3"/>
        </w:rPr>
        <w:t> </w:t>
      </w:r>
      <w:r>
        <w:rPr/>
        <w:t>不适用</w:t>
      </w:r>
      <w:r>
        <w:rPr/>
        <w:t> </w:t>
      </w:r>
      <w:r>
        <w:rPr>
          <w:spacing w:val="-2"/>
        </w:rPr>
        <w:t>本报告期公司无重大诉讼、仲裁事项，因一般诉讼、仲裁事项形成的其他诉讼事项及或有负债事项详见下文描述和财务</w:t>
      </w:r>
    </w:p>
    <w:p>
      <w:pPr>
        <w:pStyle w:val="BodyText"/>
        <w:spacing w:line="222" w:lineRule="exact"/>
        <w:ind w:right="0"/>
        <w:jc w:val="left"/>
      </w:pPr>
      <w:r>
        <w:rPr/>
        <w:t>报告附注中的相关说明。</w:t>
      </w:r>
    </w:p>
    <w:p>
      <w:pPr>
        <w:pStyle w:val="BodyText"/>
        <w:spacing w:line="316" w:lineRule="auto" w:before="115"/>
        <w:ind w:right="213" w:firstLine="360"/>
        <w:jc w:val="both"/>
      </w:pPr>
      <w:r>
        <w:rPr>
          <w:spacing w:val="-2"/>
        </w:rPr>
        <w:t>（一）下属子公司冠捷科技在日常业务过程中不时涉及各项索偿、诉讼、调查及法律程序，冠捷科技董事不认为任何该</w:t>
      </w:r>
      <w:r>
        <w:rPr/>
        <w:t> </w:t>
      </w:r>
      <w:r>
        <w:rPr>
          <w:spacing w:val="-2"/>
        </w:rPr>
        <w:t>等法律程序的结果将会对冠捷科技集团的财务状况或经营业绩构成重大不利影响。其主要的未决诉讼或仲裁形成的或有负债</w:t>
      </w:r>
      <w:r>
        <w:rPr>
          <w:spacing w:val="-64"/>
        </w:rPr>
        <w:t> </w:t>
      </w:r>
      <w:r>
        <w:rPr>
          <w:spacing w:val="-64"/>
        </w:rPr>
      </w:r>
      <w:r>
        <w:rPr/>
        <w:t>事项如下（具体可参见冠捷科技于</w:t>
      </w:r>
      <w:r>
        <w:rPr>
          <w:spacing w:val="-43"/>
        </w:rPr>
        <w:t> </w:t>
      </w:r>
      <w:hyperlink r:id="rId11">
        <w:r>
          <w:rPr>
            <w:rFonts w:ascii="Times New Roman" w:hAnsi="Times New Roman" w:cs="Times New Roman" w:eastAsia="Times New Roman" w:hint="default"/>
            <w:spacing w:val="-1"/>
            <w:w w:val="99"/>
          </w:rPr>
          <w:t>http://www.hkexnews.hk</w:t>
        </w:r>
      </w:hyperlink>
      <w:r>
        <w:rPr>
          <w:rFonts w:ascii="Times New Roman" w:hAnsi="Times New Roman" w:cs="Times New Roman" w:eastAsia="Times New Roman" w:hint="default"/>
          <w:spacing w:val="1"/>
          <w:w w:val="99"/>
        </w:rPr>
        <w:t> </w:t>
      </w:r>
      <w:r>
        <w:rPr/>
        <w:t>中刊登的</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spacing w:val="-19"/>
        </w:rPr>
        <w:t>年年报）：</w:t>
      </w:r>
    </w:p>
    <w:p>
      <w:pPr>
        <w:pStyle w:val="BodyText"/>
        <w:spacing w:line="240" w:lineRule="auto" w:before="40"/>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月，一间第三方公司在美国对冠捷科技集团就各方签订的一份协议内与补偿责任相关的索偿提出诉讼。</w:t>
      </w:r>
    </w:p>
    <w:p>
      <w:pPr>
        <w:pStyle w:val="BodyText"/>
        <w:spacing w:line="300" w:lineRule="auto" w:before="103"/>
        <w:ind w:right="21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年，一名第三方就寻求收回现时由 </w:t>
      </w:r>
      <w:r>
        <w:rPr>
          <w:rFonts w:ascii="Times New Roman" w:hAnsi="Times New Roman" w:cs="Times New Roman" w:eastAsia="Times New Roman" w:hint="default"/>
        </w:rPr>
        <w:t>TP Vision</w:t>
      </w:r>
      <w:r>
        <w:rPr>
          <w:rFonts w:ascii="Times New Roman" w:hAnsi="Times New Roman" w:cs="Times New Roman" w:eastAsia="Times New Roman" w:hint="default"/>
          <w:spacing w:val="-12"/>
        </w:rPr>
        <w:t> </w:t>
      </w:r>
      <w:r>
        <w:rPr/>
        <w:t>集团拥有的一幅面积相对较小的土地提出索偿。该事项目前由法 律机关进行审议。根据与飞利浦订立的股份买卖协议，此次索偿导致的任何损失将全数由飞利浦补偿。</w:t>
      </w:r>
    </w:p>
    <w:p>
      <w:pPr>
        <w:pStyle w:val="BodyText"/>
        <w:spacing w:line="300" w:lineRule="auto" w:before="70"/>
        <w:ind w:right="212" w:firstLine="360"/>
        <w:jc w:val="both"/>
      </w:pP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2013</w:t>
      </w:r>
      <w:r>
        <w:rPr>
          <w:rFonts w:ascii="Times New Roman" w:hAnsi="Times New Roman" w:cs="Times New Roman" w:eastAsia="Times New Roman" w:hint="default"/>
          <w:spacing w:val="4"/>
        </w:rPr>
        <w:t> </w:t>
      </w:r>
      <w:r>
        <w:rPr>
          <w:spacing w:val="-1"/>
        </w:rPr>
        <w:t>年，一个指定国家的民法典规定生产或进口具复制音频</w:t>
      </w:r>
      <w:r>
        <w:rPr>
          <w:rFonts w:ascii="Times New Roman" w:hAnsi="Times New Roman" w:cs="Times New Roman" w:eastAsia="Times New Roman" w:hint="default"/>
          <w:spacing w:val="-1"/>
        </w:rPr>
        <w:t>/</w:t>
      </w:r>
      <w:r>
        <w:rPr>
          <w:spacing w:val="-1"/>
        </w:rPr>
        <w:t>视频功能商品的所有公司必须透过当地的版权拥有人协</w:t>
      </w:r>
      <w:r>
        <w:rPr/>
        <w:t> 会向版权拥有人（不具名作者名单）支付营业额（进口或生产价值）的</w:t>
      </w:r>
      <w:r>
        <w:rPr>
          <w:spacing w:val="-44"/>
        </w:rPr>
        <w:t> </w:t>
      </w:r>
      <w:r>
        <w:rPr>
          <w:rFonts w:ascii="Times New Roman" w:hAnsi="Times New Roman" w:cs="Times New Roman" w:eastAsia="Times New Roman" w:hint="default"/>
        </w:rPr>
        <w:t>1%</w:t>
      </w:r>
      <w:r>
        <w:rPr/>
        <w:t>的版权费用。</w:t>
      </w:r>
    </w:p>
    <w:p>
      <w:pPr>
        <w:pStyle w:val="BodyText"/>
        <w:spacing w:line="300" w:lineRule="auto" w:before="53"/>
        <w:ind w:right="211" w:firstLine="360"/>
        <w:jc w:val="both"/>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月，美国国际贸易委员会基于一间第三方公司对冠捷科技集团及其他第三方的修正诉讼展开调查。该调查 是就该第三方公司声称冠捷科技集团某些电视侵犯其某些电视调频器技术专利（</w:t>
      </w:r>
      <w:r>
        <w:rPr>
          <w:rFonts w:ascii="Times New Roman" w:hAnsi="Times New Roman" w:cs="Times New Roman" w:eastAsia="Times New Roman" w:hint="default"/>
        </w:rPr>
        <w:t>“</w:t>
      </w:r>
      <w:r>
        <w:rPr/>
        <w:t>专利Ⅰ</w:t>
      </w:r>
      <w:r>
        <w:rPr>
          <w:rFonts w:ascii="Times New Roman" w:hAnsi="Times New Roman" w:cs="Times New Roman" w:eastAsia="Times New Roman" w:hint="default"/>
        </w:rPr>
        <w:t>”</w:t>
      </w:r>
      <w:r>
        <w:rPr/>
        <w:t>）而作出。</w:t>
      </w:r>
    </w:p>
    <w:p>
      <w:pPr>
        <w:pStyle w:val="BodyText"/>
        <w:spacing w:line="240" w:lineRule="auto" w:before="53"/>
        <w:ind w:left="51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4"/>
        </w:rPr>
        <w:t>日，美国国际贸易委员会行政法官作出最终判决，确定本案并未违反美国关税法第</w:t>
      </w:r>
      <w:r>
        <w:rPr>
          <w:spacing w:val="-42"/>
        </w:rPr>
        <w:t> </w:t>
      </w:r>
      <w:r>
        <w:rPr>
          <w:rFonts w:ascii="Times New Roman" w:hAnsi="Times New Roman" w:cs="Times New Roman" w:eastAsia="Times New Roman" w:hint="default"/>
        </w:rPr>
        <w:t>337</w:t>
      </w:r>
      <w:r>
        <w:rPr>
          <w:rFonts w:ascii="Times New Roman" w:hAnsi="Times New Roman" w:cs="Times New Roman" w:eastAsia="Times New Roman" w:hint="default"/>
          <w:spacing w:val="2"/>
        </w:rPr>
        <w:t> </w:t>
      </w:r>
      <w:r>
        <w:rPr/>
        <w:t>条款而终止调查。</w:t>
      </w:r>
    </w:p>
    <w:p>
      <w:pPr>
        <w:pStyle w:val="BodyText"/>
        <w:spacing w:line="300" w:lineRule="auto" w:before="101"/>
        <w:ind w:right="212" w:firstLine="360"/>
        <w:jc w:val="both"/>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月，一间第三方公司在美国对冠捷科技集团提出诉讼。该诉讼起因是就一份关于欧洲数位电视的专利授权 协议的争议。</w:t>
      </w:r>
    </w:p>
    <w:p>
      <w:pPr>
        <w:pStyle w:val="BodyText"/>
        <w:spacing w:line="240" w:lineRule="auto" w:before="72"/>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月，冠捷科技集团与第三方订立商业和解以撤销合约争议。冠捷科技董事认为，和解金额并不重大且已于</w:t>
      </w:r>
      <w:r>
        <w:rPr>
          <w:spacing w:val="-44"/>
        </w:rPr>
        <w:t> </w:t>
      </w:r>
      <w:r>
        <w:rPr>
          <w:rFonts w:ascii="Times New Roman" w:hAnsi="Times New Roman" w:cs="Times New Roman" w:eastAsia="Times New Roman" w:hint="default"/>
        </w:rPr>
        <w:t>2015</w:t>
      </w:r>
    </w:p>
    <w:p>
      <w:pPr>
        <w:pStyle w:val="BodyText"/>
        <w:spacing w:line="240" w:lineRule="auto" w:before="63"/>
        <w:ind w:right="0"/>
        <w:jc w:val="left"/>
      </w:pPr>
      <w:r>
        <w:rPr/>
        <w:t>年</w:t>
      </w:r>
      <w:r>
        <w:rPr>
          <w:spacing w:val="-45"/>
        </w:rPr>
        <w:t> </w:t>
      </w:r>
      <w:r>
        <w:rPr>
          <w:rFonts w:ascii="Times New Roman" w:hAnsi="Times New Roman" w:cs="Times New Roman" w:eastAsia="Times New Roman" w:hint="default"/>
        </w:rPr>
        <w:t>12 </w:t>
      </w:r>
      <w:r>
        <w:rPr/>
        <w:t>月在收益表内确认，因有关条款及和解金额属保密性质且涉及敏感资料，故并未全面载列披露相关资料。</w:t>
      </w:r>
    </w:p>
    <w:p>
      <w:pPr>
        <w:pStyle w:val="BodyText"/>
        <w:spacing w:line="300" w:lineRule="auto" w:before="103"/>
        <w:ind w:right="211"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spacing w:val="-5"/>
        </w:rPr>
        <w:t>11 </w:t>
      </w:r>
      <w:r>
        <w:rPr/>
        <w:t>月，一间第三方公司在德国对冠捷科技集团提出诉讼。该诉讼乃就指控侵犯制造电脑显示器</w:t>
      </w:r>
      <w:r>
        <w:rPr>
          <w:spacing w:val="-49"/>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科技的 </w:t>
      </w:r>
      <w:r>
        <w:rPr>
          <w:spacing w:val="-3"/>
          <w:w w:val="100"/>
        </w:rPr>
        <w:t>专利（</w:t>
      </w:r>
      <w:r>
        <w:rPr>
          <w:rFonts w:ascii="Times New Roman" w:hAnsi="Times New Roman" w:cs="Times New Roman" w:eastAsia="Times New Roman" w:hint="default"/>
          <w:spacing w:val="-3"/>
          <w:w w:val="100"/>
        </w:rPr>
        <w:t>“</w:t>
      </w:r>
      <w:r>
        <w:rPr>
          <w:spacing w:val="-3"/>
          <w:w w:val="100"/>
        </w:rPr>
        <w:t>专利Ⅱ</w:t>
      </w:r>
      <w:r>
        <w:rPr>
          <w:rFonts w:ascii="Times New Roman" w:hAnsi="Times New Roman" w:cs="Times New Roman" w:eastAsia="Times New Roman" w:hint="default"/>
          <w:spacing w:val="-3"/>
          <w:w w:val="100"/>
        </w:rPr>
        <w:t>”</w:t>
      </w:r>
      <w:r>
        <w:rPr>
          <w:spacing w:val="-3"/>
          <w:w w:val="100"/>
        </w:rPr>
        <w:t>）而提出索偿。对冠捷科技集团的诉讼主要指称：（</w:t>
      </w:r>
      <w:r>
        <w:rPr>
          <w:rFonts w:ascii="Times New Roman" w:hAnsi="Times New Roman" w:cs="Times New Roman" w:eastAsia="Times New Roman" w:hint="default"/>
          <w:spacing w:val="-3"/>
          <w:w w:val="100"/>
        </w:rPr>
        <w:t>1</w:t>
      </w:r>
      <w:r>
        <w:rPr>
          <w:spacing w:val="-3"/>
          <w:w w:val="100"/>
        </w:rPr>
        <w:t>）冠捷科技在德国制造、使用、经销、提供及进口电脑</w:t>
      </w:r>
      <w:r>
        <w:rPr>
          <w:spacing w:val="-82"/>
          <w:w w:val="100"/>
        </w:rPr>
        <w:t> </w:t>
      </w:r>
      <w:r>
        <w:rPr>
          <w:spacing w:val="-82"/>
          <w:w w:val="100"/>
        </w:rPr>
      </w:r>
      <w:r>
        <w:rPr/>
        <w:t>显示器，从而侵犯专利Ⅱ；及（</w:t>
      </w:r>
      <w:r>
        <w:rPr>
          <w:rFonts w:ascii="Times New Roman" w:hAnsi="Times New Roman" w:cs="Times New Roman" w:eastAsia="Times New Roman" w:hint="default"/>
        </w:rPr>
        <w:t>2</w:t>
      </w:r>
      <w:r>
        <w:rPr/>
        <w:t>）该侵权行为引致原告人利益受损，原告人有资格获得相关赔偿。</w:t>
      </w:r>
    </w:p>
    <w:p>
      <w:pPr>
        <w:pStyle w:val="BodyText"/>
        <w:spacing w:line="240" w:lineRule="auto" w:before="51"/>
        <w:ind w:left="51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1 </w:t>
      </w:r>
      <w:r>
        <w:rPr/>
        <w:t>日，双方达成和解并撤销诉讼。</w:t>
      </w:r>
    </w:p>
    <w:p>
      <w:pPr>
        <w:pStyle w:val="BodyText"/>
        <w:spacing w:line="300" w:lineRule="auto" w:before="103"/>
        <w:ind w:right="211"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月，一间第三方公司在美国对冠捷科技集团及其一间联营公司提出诉讼。该诉讼乃就指控侵犯制造某些 </w:t>
      </w:r>
      <w:r>
        <w:rPr>
          <w:spacing w:val="-3"/>
          <w:w w:val="100"/>
        </w:rPr>
        <w:t>电视及监视器的技术的某些专利（</w:t>
      </w:r>
      <w:r>
        <w:rPr>
          <w:rFonts w:ascii="Times New Roman" w:hAnsi="Times New Roman" w:cs="Times New Roman" w:eastAsia="Times New Roman" w:hint="default"/>
          <w:spacing w:val="-3"/>
          <w:w w:val="100"/>
        </w:rPr>
        <w:t>“</w:t>
      </w:r>
      <w:r>
        <w:rPr>
          <w:spacing w:val="-3"/>
          <w:w w:val="100"/>
        </w:rPr>
        <w:t>专利Ⅲ</w:t>
      </w:r>
      <w:r>
        <w:rPr>
          <w:rFonts w:ascii="Times New Roman" w:hAnsi="Times New Roman" w:cs="Times New Roman" w:eastAsia="Times New Roman" w:hint="default"/>
          <w:spacing w:val="-3"/>
          <w:w w:val="100"/>
        </w:rPr>
        <w:t>”</w:t>
      </w:r>
      <w:r>
        <w:rPr>
          <w:spacing w:val="-3"/>
          <w:w w:val="100"/>
        </w:rPr>
        <w:t>）而提出索偿。对冠捷科技集团及其联营公司的诉讼主要指称：（</w:t>
      </w:r>
      <w:r>
        <w:rPr>
          <w:rFonts w:ascii="Times New Roman" w:hAnsi="Times New Roman" w:cs="Times New Roman" w:eastAsia="Times New Roman" w:hint="default"/>
          <w:spacing w:val="-3"/>
          <w:w w:val="100"/>
        </w:rPr>
        <w:t>1</w:t>
      </w:r>
      <w:r>
        <w:rPr>
          <w:spacing w:val="-3"/>
          <w:w w:val="100"/>
        </w:rPr>
        <w:t>）已侵犯并继</w:t>
      </w:r>
      <w:r>
        <w:rPr>
          <w:spacing w:val="-78"/>
          <w:w w:val="100"/>
        </w:rPr>
        <w:t> </w:t>
      </w:r>
      <w:r>
        <w:rPr>
          <w:spacing w:val="-78"/>
          <w:w w:val="100"/>
        </w:rPr>
      </w:r>
      <w:r>
        <w:rPr/>
        <w:t>续侵犯专利Ⅲ，以及在美国助成及积极促成他人侵犯专利Ⅲ；及（</w:t>
      </w:r>
      <w:r>
        <w:rPr>
          <w:rFonts w:ascii="Times New Roman" w:hAnsi="Times New Roman" w:cs="Times New Roman" w:eastAsia="Times New Roman" w:hint="default"/>
        </w:rPr>
        <w:t>2</w:t>
      </w:r>
      <w:r>
        <w:rPr/>
        <w:t>）该等侵权行为引致及将继续引致原告利益受损。</w:t>
      </w:r>
    </w:p>
    <w:p>
      <w:pPr>
        <w:pStyle w:val="BodyText"/>
        <w:spacing w:line="300" w:lineRule="auto" w:before="53"/>
        <w:ind w:right="211" w:firstLine="360"/>
        <w:jc w:val="both"/>
      </w:pP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月，一间第三方公司在美国对冠捷科技集团及其一间联营公司提出诉讼。该诉讼乃就指控侵犯制造某些电 </w:t>
      </w:r>
      <w:r>
        <w:rPr>
          <w:spacing w:val="-3"/>
          <w:w w:val="100"/>
        </w:rPr>
        <w:t>视的技术的某些专利（</w:t>
      </w:r>
      <w:r>
        <w:rPr>
          <w:rFonts w:ascii="Times New Roman" w:hAnsi="Times New Roman" w:cs="Times New Roman" w:eastAsia="Times New Roman" w:hint="default"/>
          <w:spacing w:val="-3"/>
          <w:w w:val="100"/>
        </w:rPr>
        <w:t>“</w:t>
      </w:r>
      <w:r>
        <w:rPr>
          <w:spacing w:val="-3"/>
          <w:w w:val="100"/>
        </w:rPr>
        <w:t>专利Ⅳ</w:t>
      </w:r>
      <w:r>
        <w:rPr>
          <w:rFonts w:ascii="Times New Roman" w:hAnsi="Times New Roman" w:cs="Times New Roman" w:eastAsia="Times New Roman" w:hint="default"/>
          <w:spacing w:val="-3"/>
          <w:w w:val="100"/>
        </w:rPr>
        <w:t>”</w:t>
      </w:r>
      <w:r>
        <w:rPr>
          <w:spacing w:val="-3"/>
          <w:w w:val="100"/>
        </w:rPr>
        <w:t>）而提出索偿。对冠捷科技集团及其联营公司的诉讼主要指称：（</w:t>
      </w:r>
      <w:r>
        <w:rPr>
          <w:rFonts w:ascii="Times New Roman" w:hAnsi="Times New Roman" w:cs="Times New Roman" w:eastAsia="Times New Roman" w:hint="default"/>
          <w:spacing w:val="-3"/>
          <w:w w:val="100"/>
        </w:rPr>
        <w:t>1</w:t>
      </w:r>
      <w:r>
        <w:rPr>
          <w:spacing w:val="-3"/>
          <w:w w:val="100"/>
        </w:rPr>
        <w:t>）已侵犯并继续侵犯专利</w:t>
      </w:r>
      <w:r>
        <w:rPr>
          <w:spacing w:val="-78"/>
          <w:w w:val="100"/>
        </w:rPr>
        <w:t> </w:t>
      </w:r>
      <w:r>
        <w:rPr>
          <w:spacing w:val="-78"/>
          <w:w w:val="100"/>
        </w:rPr>
      </w:r>
      <w:r>
        <w:rPr/>
        <w:t>Ⅳ，以及在美国助成及积极促成他人侵犯专利Ⅳ；及（</w:t>
      </w:r>
      <w:r>
        <w:rPr>
          <w:rFonts w:ascii="Times New Roman" w:hAnsi="Times New Roman" w:cs="Times New Roman" w:eastAsia="Times New Roman" w:hint="default"/>
        </w:rPr>
        <w:t>2</w:t>
      </w:r>
      <w:r>
        <w:rPr/>
        <w:t>）该等侵权行为引致及将继续引致原告利益受损。</w:t>
      </w:r>
    </w:p>
    <w:p>
      <w:pPr>
        <w:spacing w:after="0" w:line="300" w:lineRule="auto"/>
        <w:jc w:val="both"/>
        <w:sectPr>
          <w:pgSz w:w="11910" w:h="16840"/>
          <w:pgMar w:header="877" w:footer="980" w:top="1100" w:bottom="1160" w:left="980" w:right="920"/>
        </w:sectPr>
      </w:pPr>
    </w:p>
    <w:p>
      <w:pPr>
        <w:spacing w:line="240" w:lineRule="auto" w:before="11"/>
        <w:rPr>
          <w:rFonts w:ascii="宋体" w:hAnsi="宋体" w:cs="宋体" w:eastAsia="宋体" w:hint="default"/>
          <w:sz w:val="21"/>
          <w:szCs w:val="21"/>
        </w:rPr>
      </w:pPr>
      <w:r>
        <w:rPr/>
        <w:pict>
          <v:shape style="position:absolute;margin-left:111.120003pt;margin-top:248.065979pt;width:185.7pt;height:39.050pt;mso-position-horizontal-relative:page;mso-position-vertical-relative:page;z-index:-1193536" type="#_x0000_t202" filled="false" stroked="false">
            <v:textbox inset="0,0,0,0">
              <w:txbxContent>
                <w:p>
                  <w:pPr>
                    <w:spacing w:line="240" w:lineRule="auto" w:before="6"/>
                    <w:rPr>
                      <w:rFonts w:ascii="宋体" w:hAnsi="宋体" w:cs="宋体" w:eastAsia="宋体" w:hint="default"/>
                      <w:sz w:val="24"/>
                      <w:szCs w:val="24"/>
                    </w:rPr>
                  </w:pPr>
                </w:p>
                <w:p>
                  <w:pPr>
                    <w:pStyle w:val="BodyText"/>
                    <w:spacing w:line="240" w:lineRule="auto"/>
                    <w:ind w:left="0" w:right="0"/>
                    <w:jc w:val="left"/>
                  </w:pPr>
                  <w:r>
                    <w:rPr/>
                    <w:t>深圳市广鑫融进出口贸易有限公司、</w:t>
                  </w:r>
                </w:p>
              </w:txbxContent>
            </v:textbox>
            <w10:wrap type="none"/>
          </v:shape>
        </w:pict>
      </w:r>
    </w:p>
    <w:p>
      <w:pPr>
        <w:pStyle w:val="BodyText"/>
        <w:spacing w:line="240" w:lineRule="auto" w:before="44"/>
        <w:ind w:left="613" w:right="6633"/>
        <w:jc w:val="left"/>
      </w:pPr>
      <w:r>
        <w:rPr/>
        <w:t>（二）其他诉讼事项</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050"/>
        <w:gridCol w:w="900"/>
        <w:gridCol w:w="900"/>
        <w:gridCol w:w="1162"/>
        <w:gridCol w:w="1395"/>
        <w:gridCol w:w="1517"/>
      </w:tblGrid>
      <w:tr>
        <w:trPr>
          <w:trHeight w:val="634" w:hRule="exact"/>
        </w:trPr>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18" w:right="0"/>
              <w:jc w:val="left"/>
              <w:rPr>
                <w:rFonts w:ascii="宋体" w:hAnsi="宋体" w:cs="宋体" w:eastAsia="宋体" w:hint="default"/>
                <w:sz w:val="18"/>
                <w:szCs w:val="18"/>
              </w:rPr>
            </w:pPr>
            <w:r>
              <w:rPr>
                <w:rFonts w:ascii="宋体" w:hAnsi="宋体" w:cs="宋体" w:eastAsia="宋体" w:hint="default"/>
                <w:sz w:val="18"/>
                <w:szCs w:val="18"/>
              </w:rPr>
              <w:t>诉讼（仲裁）基本情况</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8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2"/>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95" w:right="35" w:hanging="360"/>
              <w:jc w:val="left"/>
              <w:rPr>
                <w:rFonts w:ascii="宋体" w:hAnsi="宋体" w:cs="宋体" w:eastAsia="宋体" w:hint="default"/>
                <w:sz w:val="18"/>
                <w:szCs w:val="18"/>
              </w:rPr>
            </w:pPr>
            <w:r>
              <w:rPr>
                <w:rFonts w:ascii="宋体" w:hAnsi="宋体" w:cs="宋体" w:eastAsia="宋体" w:hint="default"/>
                <w:sz w:val="18"/>
                <w:szCs w:val="18"/>
              </w:rPr>
              <w:t>诉讼（仲裁） 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2" w:right="62" w:firstLine="88"/>
              <w:jc w:val="left"/>
              <w:rPr>
                <w:rFonts w:ascii="宋体" w:hAnsi="宋体" w:cs="宋体" w:eastAsia="宋体" w:hint="default"/>
                <w:sz w:val="18"/>
                <w:szCs w:val="18"/>
              </w:rPr>
            </w:pPr>
            <w:r>
              <w:rPr>
                <w:rFonts w:ascii="宋体" w:hAnsi="宋体" w:cs="宋体" w:eastAsia="宋体" w:hint="default"/>
                <w:sz w:val="18"/>
                <w:szCs w:val="18"/>
              </w:rPr>
              <w:t>诉讼（仲裁） 审理结果及影响</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93" w:right="31" w:hanging="360"/>
              <w:jc w:val="left"/>
              <w:rPr>
                <w:rFonts w:ascii="宋体" w:hAnsi="宋体" w:cs="宋体" w:eastAsia="宋体" w:hint="default"/>
                <w:sz w:val="18"/>
                <w:szCs w:val="18"/>
              </w:rPr>
            </w:pPr>
            <w:r>
              <w:rPr>
                <w:rFonts w:ascii="宋体" w:hAnsi="宋体" w:cs="宋体" w:eastAsia="宋体" w:hint="default"/>
                <w:sz w:val="18"/>
                <w:szCs w:val="18"/>
              </w:rPr>
              <w:t>诉讼（仲裁）判决 执行情况</w:t>
            </w:r>
          </w:p>
        </w:tc>
      </w:tr>
      <w:tr>
        <w:trPr>
          <w:trHeight w:val="634"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4"/>
              <w:jc w:val="left"/>
              <w:rPr>
                <w:rFonts w:ascii="宋体" w:hAnsi="宋体" w:cs="宋体" w:eastAsia="宋体" w:hint="default"/>
                <w:sz w:val="18"/>
                <w:szCs w:val="18"/>
              </w:rPr>
            </w:pPr>
            <w:r>
              <w:rPr>
                <w:rFonts w:ascii="宋体" w:hAnsi="宋体" w:cs="宋体" w:eastAsia="宋体" w:hint="default"/>
                <w:sz w:val="18"/>
                <w:szCs w:val="18"/>
              </w:rPr>
              <w:t>长城电脑诉深圳市纳维德科技有限公司、杭州华奕 通信有限公司买卖合同纠纷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9"/>
              <w:jc w:val="left"/>
              <w:rPr>
                <w:rFonts w:ascii="宋体" w:hAnsi="宋体" w:cs="宋体" w:eastAsia="宋体" w:hint="default"/>
                <w:sz w:val="18"/>
                <w:szCs w:val="18"/>
              </w:rPr>
            </w:pPr>
            <w:r>
              <w:rPr>
                <w:rFonts w:ascii="宋体" w:hAnsi="宋体" w:cs="宋体" w:eastAsia="宋体" w:hint="default"/>
                <w:sz w:val="18"/>
                <w:szCs w:val="18"/>
              </w:rPr>
              <w:t>已结案，收回款 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已执行</w:t>
            </w:r>
          </w:p>
        </w:tc>
      </w:tr>
      <w:tr>
        <w:trPr>
          <w:trHeight w:val="946"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4"/>
              <w:jc w:val="both"/>
              <w:rPr>
                <w:rFonts w:ascii="宋体" w:hAnsi="宋体" w:cs="宋体" w:eastAsia="宋体" w:hint="default"/>
                <w:sz w:val="18"/>
                <w:szCs w:val="18"/>
              </w:rPr>
            </w:pPr>
            <w:r>
              <w:rPr>
                <w:rFonts w:ascii="宋体" w:hAnsi="宋体" w:cs="宋体" w:eastAsia="宋体" w:hint="default"/>
                <w:sz w:val="18"/>
                <w:szCs w:val="18"/>
              </w:rPr>
              <w:t>南京依可捷科技有限公司诉长城电脑承揽合同纠纷 案件、昆山龙腾光电有限公司诉长城电脑买卖合同 纠纷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318.65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败诉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9"/>
              <w:jc w:val="both"/>
              <w:rPr>
                <w:rFonts w:ascii="宋体" w:hAnsi="宋体" w:cs="宋体" w:eastAsia="宋体" w:hint="default"/>
                <w:sz w:val="18"/>
                <w:szCs w:val="18"/>
              </w:rPr>
            </w:pPr>
            <w:r>
              <w:rPr>
                <w:rFonts w:ascii="宋体" w:hAnsi="宋体" w:cs="宋体" w:eastAsia="宋体" w:hint="default"/>
                <w:sz w:val="18"/>
                <w:szCs w:val="18"/>
              </w:rPr>
              <w:t>已结案，对公司 影响较小，公司 执行偿付</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已执行</w:t>
            </w:r>
          </w:p>
        </w:tc>
      </w:tr>
      <w:tr>
        <w:trPr>
          <w:trHeight w:val="946"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位自然人诉深圳海量存储设备有限公司及长城电 脑保管合同纠纷案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败诉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9"/>
              <w:jc w:val="both"/>
              <w:rPr>
                <w:rFonts w:ascii="宋体" w:hAnsi="宋体" w:cs="宋体" w:eastAsia="宋体" w:hint="default"/>
                <w:sz w:val="18"/>
                <w:szCs w:val="18"/>
              </w:rPr>
            </w:pPr>
            <w:r>
              <w:rPr>
                <w:rFonts w:ascii="宋体" w:hAnsi="宋体" w:cs="宋体" w:eastAsia="宋体" w:hint="default"/>
                <w:sz w:val="18"/>
                <w:szCs w:val="18"/>
              </w:rPr>
              <w:t>已结案，对公司 影响较小，公司 执行偿付</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已执行</w:t>
            </w:r>
          </w:p>
        </w:tc>
      </w:tr>
      <w:tr>
        <w:trPr>
          <w:trHeight w:val="1882" w:hRule="exact"/>
        </w:trPr>
        <w:tc>
          <w:tcPr>
            <w:tcW w:w="4050"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长城电脑诉山东简单科技有限公司、北京科迪讯通 科技有限公司、 武汉新泽世纪科技发展有限公司（及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16"/>
                <w:sz w:val="18"/>
                <w:szCs w:val="18"/>
              </w:rPr>
              <w:t>位自然人）、</w:t>
            </w:r>
          </w:p>
          <w:p>
            <w:pPr>
              <w:pStyle w:val="TableParagraph"/>
              <w:spacing w:line="309" w:lineRule="auto"/>
              <w:ind w:left="24" w:right="44"/>
              <w:jc w:val="both"/>
              <w:rPr>
                <w:rFonts w:ascii="宋体" w:hAnsi="宋体" w:cs="宋体" w:eastAsia="宋体" w:hint="default"/>
                <w:sz w:val="18"/>
                <w:szCs w:val="18"/>
              </w:rPr>
            </w:pPr>
            <w:r>
              <w:rPr>
                <w:rFonts w:ascii="宋体" w:hAnsi="宋体" w:cs="宋体" w:eastAsia="宋体" w:hint="default"/>
                <w:sz w:val="18"/>
                <w:szCs w:val="18"/>
              </w:rPr>
              <w:t>贵阳兴一凡科技有限公司（及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位自然人）买卖合 同纠纷案件；广西长城计算机有限公司诉北京金卡 迪技术开发有限责任公司买卖合同纠纷案件</w:t>
            </w:r>
          </w:p>
        </w:tc>
        <w:tc>
          <w:tcPr>
            <w:tcW w:w="900" w:type="dxa"/>
            <w:tcBorders>
              <w:top w:val="single" w:sz="4" w:space="0" w:color="000000"/>
              <w:left w:val="single" w:sz="10" w:space="0" w:color="FFFFFF"/>
              <w:bottom w:val="single" w:sz="4" w:space="0" w:color="000000"/>
              <w:right w:val="single" w:sz="4" w:space="0" w:color="000000"/>
            </w:tcBorders>
          </w:tcPr>
          <w:p>
            <w:pPr>
              <w:pStyle w:val="TableParagraph"/>
              <w:spacing w:line="780" w:lineRule="exact"/>
              <w:ind w:left="-8"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44.55pt;height:39.050pt;mso-position-horizontal-relative:char;mso-position-vertical-relative:line" coordorigin="0,0" coordsize="891,781">
                  <v:group style="position:absolute;left:0;top:0;width:891;height:781" coordorigin="0,0" coordsize="891,781">
                    <v:shape style="position:absolute;left:0;top:0;width:891;height:781" coordorigin="0,0" coordsize="891,781" path="m0,780l890,780,890,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1,740.31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4" w:right="99"/>
              <w:jc w:val="left"/>
              <w:rPr>
                <w:rFonts w:ascii="宋体" w:hAnsi="宋体" w:cs="宋体" w:eastAsia="宋体" w:hint="default"/>
                <w:sz w:val="18"/>
                <w:szCs w:val="18"/>
              </w:rPr>
            </w:pPr>
            <w:r>
              <w:rPr>
                <w:rFonts w:ascii="宋体" w:hAnsi="宋体" w:cs="宋体" w:eastAsia="宋体" w:hint="default"/>
                <w:sz w:val="18"/>
                <w:szCs w:val="18"/>
              </w:rPr>
              <w:t>如执行到位，可 获得一定偿付</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636"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长城电脑诉榆树市第一小学债权追偿纠纷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99"/>
              <w:jc w:val="left"/>
              <w:rPr>
                <w:rFonts w:ascii="宋体" w:hAnsi="宋体" w:cs="宋体" w:eastAsia="宋体" w:hint="default"/>
                <w:sz w:val="18"/>
                <w:szCs w:val="18"/>
              </w:rPr>
            </w:pPr>
            <w:r>
              <w:rPr>
                <w:rFonts w:ascii="宋体" w:hAnsi="宋体" w:cs="宋体" w:eastAsia="宋体" w:hint="default"/>
                <w:sz w:val="18"/>
                <w:szCs w:val="18"/>
              </w:rPr>
              <w:t>如执行到位，可 获得一定偿付</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634"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长城香港诉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位自然人物权保护纠纷案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胜诉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9"/>
              <w:jc w:val="left"/>
              <w:rPr>
                <w:rFonts w:ascii="宋体" w:hAnsi="宋体" w:cs="宋体" w:eastAsia="宋体" w:hint="default"/>
                <w:sz w:val="18"/>
                <w:szCs w:val="18"/>
              </w:rPr>
            </w:pPr>
            <w:r>
              <w:rPr>
                <w:rFonts w:ascii="宋体" w:hAnsi="宋体" w:cs="宋体" w:eastAsia="宋体" w:hint="default"/>
                <w:sz w:val="18"/>
                <w:szCs w:val="18"/>
              </w:rPr>
              <w:t>如执行到位，可 获得一定偿付</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634"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4"/>
              <w:jc w:val="left"/>
              <w:rPr>
                <w:rFonts w:ascii="宋体" w:hAnsi="宋体" w:cs="宋体" w:eastAsia="宋体" w:hint="default"/>
                <w:sz w:val="18"/>
                <w:szCs w:val="18"/>
              </w:rPr>
            </w:pPr>
            <w:r>
              <w:rPr>
                <w:rFonts w:ascii="宋体" w:hAnsi="宋体" w:cs="宋体" w:eastAsia="宋体" w:hint="default"/>
                <w:sz w:val="18"/>
                <w:szCs w:val="18"/>
              </w:rPr>
              <w:t>长城电脑诉吉林工业经济学校（吉林外国语学校） 债权追偿纠纷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二审审理中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对公司影响较小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未结案</w:t>
            </w:r>
          </w:p>
        </w:tc>
      </w:tr>
      <w:tr>
        <w:trPr>
          <w:trHeight w:val="634"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4"/>
              <w:jc w:val="left"/>
              <w:rPr>
                <w:rFonts w:ascii="宋体" w:hAnsi="宋体" w:cs="宋体" w:eastAsia="宋体" w:hint="default"/>
                <w:sz w:val="18"/>
                <w:szCs w:val="18"/>
              </w:rPr>
            </w:pPr>
            <w:r>
              <w:rPr>
                <w:rFonts w:ascii="宋体" w:hAnsi="宋体" w:cs="宋体" w:eastAsia="宋体" w:hint="default"/>
                <w:sz w:val="18"/>
                <w:szCs w:val="18"/>
              </w:rPr>
              <w:t>长城电脑诉深圳市华芯锂能科技有限公司产品质量 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一审审理中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对公司影响较小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未结案</w:t>
            </w:r>
          </w:p>
        </w:tc>
      </w:tr>
      <w:tr>
        <w:trPr>
          <w:trHeight w:val="322" w:hRule="exact"/>
        </w:trPr>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长城诉深圳市皓勤电子有限公司买卖合同纠纷案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437.81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仲裁审理中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对公司影响较小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未结案</w:t>
            </w:r>
          </w:p>
        </w:tc>
      </w:tr>
    </w:tbl>
    <w:p>
      <w:pPr>
        <w:pStyle w:val="Heading5"/>
        <w:spacing w:line="240" w:lineRule="auto" w:before="60"/>
        <w:ind w:left="252" w:right="6633"/>
        <w:jc w:val="left"/>
        <w:rPr>
          <w:b w:val="0"/>
          <w:bCs w:val="0"/>
        </w:rPr>
      </w:pPr>
      <w:r>
        <w:rPr/>
        <w:t>十三、处罚及整改情况</w:t>
      </w:r>
      <w:r>
        <w:rPr>
          <w:b w:val="0"/>
          <w:bCs w:val="0"/>
        </w:rPr>
      </w:r>
    </w:p>
    <w:p>
      <w:pPr>
        <w:pStyle w:val="BodyText"/>
        <w:spacing w:line="357" w:lineRule="auto" w:before="147"/>
        <w:ind w:left="613" w:right="6633" w:hanging="361"/>
        <w:jc w:val="left"/>
      </w:pPr>
      <w:r>
        <w:rPr/>
        <w:t>□ 适用 √</w:t>
      </w:r>
      <w:r>
        <w:rPr>
          <w:spacing w:val="3"/>
        </w:rPr>
        <w:t> </w:t>
      </w:r>
      <w:r>
        <w:rPr/>
        <w:t>不适用</w:t>
      </w:r>
      <w:r>
        <w:rPr/>
        <w:t> 公司报告期不存在处罚及整改情况。</w:t>
      </w:r>
    </w:p>
    <w:p>
      <w:pPr>
        <w:pStyle w:val="Heading5"/>
        <w:spacing w:line="240" w:lineRule="auto" w:before="40"/>
        <w:ind w:left="252" w:right="333"/>
        <w:jc w:val="left"/>
        <w:rPr>
          <w:b w:val="0"/>
          <w:bCs w:val="0"/>
        </w:rPr>
      </w:pPr>
      <w:r>
        <w:rPr/>
        <w:t>十四、公司及其控股股东、实际控制人的诚信状况</w:t>
      </w:r>
      <w:r>
        <w:rPr>
          <w:b w:val="0"/>
          <w:bCs w:val="0"/>
        </w:rPr>
      </w:r>
    </w:p>
    <w:p>
      <w:pPr>
        <w:pStyle w:val="BodyText"/>
        <w:spacing w:line="357" w:lineRule="auto" w:before="147"/>
        <w:ind w:left="613" w:right="333" w:hanging="361"/>
        <w:jc w:val="left"/>
      </w:pPr>
      <w:r>
        <w:rPr/>
        <w:t>√ 适用 □</w:t>
      </w:r>
      <w:r>
        <w:rPr>
          <w:spacing w:val="3"/>
        </w:rPr>
        <w:t> </w:t>
      </w:r>
      <w:r>
        <w:rPr/>
        <w:t>不适用</w:t>
      </w:r>
      <w:r>
        <w:rPr/>
        <w:t> 报告期内，公司及其控股股东、实际控制人不存在未履行的法院生效判决、所负数额较大的债务到期未清偿等情况。</w:t>
      </w:r>
    </w:p>
    <w:p>
      <w:pPr>
        <w:pStyle w:val="Heading5"/>
        <w:spacing w:line="240" w:lineRule="auto" w:before="40"/>
        <w:ind w:left="252" w:right="333"/>
        <w:jc w:val="left"/>
        <w:rPr>
          <w:b w:val="0"/>
          <w:bCs w:val="0"/>
        </w:rPr>
      </w:pPr>
      <w:r>
        <w:rPr/>
        <w:t>十五、公司股权激励计划、员工持股计划或其他员工激励措施的实施情况</w:t>
      </w:r>
      <w:r>
        <w:rPr>
          <w:b w:val="0"/>
          <w:bCs w:val="0"/>
        </w:rPr>
      </w:r>
    </w:p>
    <w:p>
      <w:pPr>
        <w:pStyle w:val="BodyText"/>
        <w:spacing w:line="240" w:lineRule="auto" w:before="147"/>
        <w:ind w:left="252" w:right="6633"/>
        <w:jc w:val="left"/>
      </w:pPr>
      <w:r>
        <w:rPr/>
        <w:t>□ 适用 √</w:t>
      </w:r>
      <w:r>
        <w:rPr>
          <w:spacing w:val="3"/>
        </w:rPr>
        <w:t> </w:t>
      </w:r>
      <w:r>
        <w:rPr/>
        <w:t>不适用</w:t>
      </w:r>
    </w:p>
    <w:p>
      <w:pPr>
        <w:pStyle w:val="BodyText"/>
        <w:spacing w:line="240" w:lineRule="auto" w:before="115"/>
        <w:ind w:left="613" w:right="0"/>
        <w:jc w:val="left"/>
      </w:pPr>
      <w:r>
        <w:rPr/>
        <w:t>报告期内，本公司未有股权激励计划；下属子公司冠捷科技</w:t>
      </w:r>
      <w:r>
        <w:rPr>
          <w:spacing w:val="-51"/>
        </w:rPr>
        <w:t> </w:t>
      </w:r>
      <w:r>
        <w:rPr>
          <w:rFonts w:ascii="Times New Roman" w:hAnsi="Times New Roman" w:cs="Times New Roman" w:eastAsia="Times New Roman" w:hint="default"/>
        </w:rPr>
        <w:t>1</w:t>
      </w:r>
      <w:r>
        <w:rPr/>
        <w:t>）根据其于</w:t>
      </w:r>
      <w:r>
        <w:rPr>
          <w:spacing w:val="-5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日采纳的购股权计划，向若干</w:t>
      </w:r>
    </w:p>
    <w:p>
      <w:pPr>
        <w:pStyle w:val="BodyText"/>
        <w:spacing w:line="240" w:lineRule="auto" w:before="63"/>
        <w:ind w:left="252" w:right="0"/>
        <w:jc w:val="left"/>
      </w:pPr>
      <w:r>
        <w:rPr/>
        <w:t>资格人士授出购股权（有待各自接纳）以认购合共</w:t>
      </w:r>
      <w:r>
        <w:rPr>
          <w:spacing w:val="-52"/>
        </w:rPr>
        <w:t> </w:t>
      </w:r>
      <w:r>
        <w:rPr>
          <w:rFonts w:ascii="Times New Roman" w:hAnsi="Times New Roman" w:cs="Times New Roman" w:eastAsia="Times New Roman" w:hint="default"/>
        </w:rPr>
        <w:t>45,000,000</w:t>
      </w:r>
      <w:r>
        <w:rPr>
          <w:rFonts w:ascii="Times New Roman" w:hAnsi="Times New Roman" w:cs="Times New Roman" w:eastAsia="Times New Roman" w:hint="default"/>
          <w:spacing w:val="-7"/>
        </w:rPr>
        <w:t> </w:t>
      </w:r>
      <w:r>
        <w:rPr/>
        <w:t>股冠捷科技每股面值</w:t>
      </w:r>
      <w:r>
        <w:rPr>
          <w:spacing w:val="-52"/>
        </w:rPr>
        <w:t> </w:t>
      </w:r>
      <w:r>
        <w:rPr>
          <w:rFonts w:ascii="Times New Roman" w:hAnsi="Times New Roman" w:cs="Times New Roman" w:eastAsia="Times New Roman" w:hint="default"/>
        </w:rPr>
        <w:t>0.01</w:t>
      </w:r>
      <w:r>
        <w:rPr>
          <w:rFonts w:ascii="Times New Roman" w:hAnsi="Times New Roman" w:cs="Times New Roman" w:eastAsia="Times New Roman" w:hint="default"/>
          <w:spacing w:val="-7"/>
        </w:rPr>
        <w:t> </w:t>
      </w:r>
      <w:r>
        <w:rPr/>
        <w:t>美元之普通股，授出日期为</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p>
    <w:p>
      <w:pPr>
        <w:pStyle w:val="BodyText"/>
        <w:spacing w:line="240" w:lineRule="auto" w:before="63"/>
        <w:ind w:left="252" w:right="0"/>
        <w:jc w:val="left"/>
      </w:pP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18 </w:t>
      </w:r>
      <w:r>
        <w:rPr/>
        <w:t>日，授出购股权的行使价为每股</w:t>
      </w:r>
      <w:r>
        <w:rPr>
          <w:spacing w:val="-45"/>
        </w:rPr>
        <w:t> </w:t>
      </w:r>
      <w:r>
        <w:rPr>
          <w:rFonts w:ascii="Times New Roman" w:hAnsi="Times New Roman" w:cs="Times New Roman" w:eastAsia="Times New Roman" w:hint="default"/>
        </w:rPr>
        <w:t>5.008</w:t>
      </w:r>
      <w:r>
        <w:rPr>
          <w:rFonts w:ascii="Times New Roman" w:hAnsi="Times New Roman" w:cs="Times New Roman" w:eastAsia="Times New Roman" w:hint="default"/>
          <w:spacing w:val="1"/>
        </w:rPr>
        <w:t> </w:t>
      </w:r>
      <w:r>
        <w:rPr/>
        <w:t>港元，购股权期限为</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18 </w:t>
      </w:r>
      <w:r>
        <w:rPr/>
        <w:t>日起至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17 </w:t>
      </w:r>
      <w:r>
        <w:rPr/>
        <w:t>日止。</w:t>
      </w:r>
      <w:r>
        <w:rPr>
          <w:rFonts w:ascii="Times New Roman" w:hAnsi="Times New Roman" w:cs="Times New Roman" w:eastAsia="Times New Roman" w:hint="default"/>
        </w:rPr>
        <w:t>2</w:t>
      </w:r>
      <w:r>
        <w:rPr/>
        <w:t>）鉴于其</w:t>
      </w:r>
    </w:p>
    <w:p>
      <w:pPr>
        <w:pStyle w:val="BodyText"/>
        <w:spacing w:line="240" w:lineRule="auto" w:before="63"/>
        <w:ind w:left="252" w:right="0"/>
        <w:jc w:val="left"/>
      </w:pPr>
      <w:r>
        <w:rPr/>
        <w:t>于</w:t>
      </w:r>
      <w:r>
        <w:rPr>
          <w:spacing w:val="-5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日作出的购股权计划期限已届满，为吸纳及留任高质素雇员，继续鼓励合资格参与者为冠捷科技集团的可</w:t>
      </w:r>
    </w:p>
    <w:p>
      <w:pPr>
        <w:pStyle w:val="BodyText"/>
        <w:spacing w:line="300" w:lineRule="auto" w:before="63"/>
        <w:ind w:left="252" w:right="248"/>
        <w:jc w:val="both"/>
      </w:pPr>
      <w:r>
        <w:rPr>
          <w:spacing w:val="-5"/>
        </w:rPr>
        <w:t>持续发展作出贡献，冠捷科技向其</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1"/>
        </w:rPr>
        <w:t>日召开的股东特别大会提出新购股权计划并已获得其股东特别大会审议通</w:t>
      </w:r>
      <w:r>
        <w:rPr/>
        <w:t> 过。根据该计划，授出的所有购股权行使时可予以发行的股份总数不得超过采纳日期冠捷科技已发行股份总数的</w:t>
      </w:r>
      <w:r>
        <w:rPr>
          <w:spacing w:val="34"/>
        </w:rPr>
        <w:t> </w:t>
      </w:r>
      <w:r>
        <w:rPr>
          <w:rFonts w:ascii="Times New Roman" w:hAnsi="Times New Roman" w:cs="Times New Roman" w:eastAsia="Times New Roman" w:hint="default"/>
        </w:rPr>
        <w:t>10%</w:t>
      </w:r>
      <w:r>
        <w:rPr/>
        <w:t>；在</w:t>
      </w:r>
      <w:r>
        <w:rPr>
          <w:spacing w:val="-87"/>
        </w:rPr>
        <w:t> </w:t>
      </w:r>
      <w:r>
        <w:rPr/>
        <w:t>任何</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个月内每名参与者获授的购股权予以行使时已发行及将发行的股份总数，不得超过当时冠捷科技已发行股份总数的 </w:t>
      </w:r>
      <w:r>
        <w:rPr>
          <w:rFonts w:ascii="Times New Roman" w:hAnsi="Times New Roman" w:cs="Times New Roman" w:eastAsia="Times New Roman" w:hint="default"/>
        </w:rPr>
        <w:t>1%</w:t>
      </w:r>
      <w:r>
        <w:rPr/>
        <w:t>。新购股权计划于采纳购股权计划当日起十年内有效。</w:t>
      </w:r>
    </w:p>
    <w:p>
      <w:pPr>
        <w:spacing w:after="0" w:line="300" w:lineRule="auto"/>
        <w:jc w:val="both"/>
        <w:sectPr>
          <w:pgSz w:w="11910" w:h="16840"/>
          <w:pgMar w:header="877" w:footer="980" w:top="1100" w:bottom="1160" w:left="880" w:right="880"/>
        </w:sectPr>
      </w:pPr>
    </w:p>
    <w:p>
      <w:pPr>
        <w:spacing w:line="240" w:lineRule="auto" w:before="7"/>
        <w:rPr>
          <w:rFonts w:ascii="宋体" w:hAnsi="宋体" w:cs="宋体" w:eastAsia="宋体" w:hint="default"/>
          <w:sz w:val="19"/>
          <w:szCs w:val="19"/>
        </w:rPr>
      </w:pPr>
    </w:p>
    <w:p>
      <w:pPr>
        <w:pStyle w:val="Heading5"/>
        <w:spacing w:line="240" w:lineRule="auto" w:before="26"/>
        <w:ind w:left="1012" w:right="7573"/>
        <w:jc w:val="left"/>
        <w:rPr>
          <w:b w:val="0"/>
          <w:bCs w:val="0"/>
        </w:rPr>
      </w:pPr>
      <w:r>
        <w:rPr/>
        <w:t>十六、重大关联交易</w:t>
      </w:r>
      <w:r>
        <w:rPr>
          <w:b w:val="0"/>
          <w:bCs w:val="0"/>
        </w:rPr>
      </w:r>
    </w:p>
    <w:p>
      <w:pPr>
        <w:pStyle w:val="Heading8"/>
        <w:spacing w:line="240" w:lineRule="auto" w:before="187"/>
        <w:ind w:left="1012" w:right="757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left="1012" w:right="757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37"/>
        <w:gridCol w:w="907"/>
        <w:gridCol w:w="727"/>
        <w:gridCol w:w="788"/>
        <w:gridCol w:w="845"/>
        <w:gridCol w:w="593"/>
        <w:gridCol w:w="725"/>
        <w:gridCol w:w="908"/>
        <w:gridCol w:w="809"/>
        <w:gridCol w:w="571"/>
        <w:gridCol w:w="721"/>
        <w:gridCol w:w="888"/>
        <w:gridCol w:w="732"/>
        <w:gridCol w:w="888"/>
      </w:tblGrid>
      <w:tr>
        <w:trPr>
          <w:trHeight w:val="1025"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7"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6"/>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right="-5"/>
              <w:jc w:val="left"/>
              <w:rPr>
                <w:rFonts w:ascii="宋体" w:hAnsi="宋体" w:cs="宋体" w:eastAsia="宋体" w:hint="default"/>
                <w:sz w:val="18"/>
                <w:szCs w:val="18"/>
              </w:rPr>
            </w:pPr>
            <w:r>
              <w:rPr>
                <w:rFonts w:ascii="宋体" w:hAnsi="宋体" w:cs="宋体" w:eastAsia="宋体" w:hint="default"/>
                <w:sz w:val="18"/>
                <w:szCs w:val="18"/>
              </w:rPr>
              <w:t>（万元）</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4"/>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9"/>
              <w:ind w:left="4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1"/>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20"/>
              <w:jc w:val="left"/>
              <w:rPr>
                <w:rFonts w:ascii="宋体" w:hAnsi="宋体" w:cs="宋体" w:eastAsia="宋体" w:hint="default"/>
                <w:sz w:val="15"/>
                <w:szCs w:val="15"/>
              </w:rPr>
            </w:pPr>
            <w:r>
              <w:rPr>
                <w:rFonts w:ascii="宋体" w:hAnsi="宋体" w:cs="宋体" w:eastAsia="宋体" w:hint="default"/>
                <w:sz w:val="15"/>
                <w:szCs w:val="15"/>
              </w:rPr>
              <w:t>南京中电熊猫液晶</w:t>
            </w:r>
            <w:r>
              <w:rPr>
                <w:rFonts w:ascii="宋体" w:hAnsi="宋体" w:cs="宋体" w:eastAsia="宋体" w:hint="default"/>
                <w:w w:val="100"/>
                <w:sz w:val="15"/>
                <w:szCs w:val="15"/>
              </w:rPr>
              <w:t> </w:t>
            </w:r>
            <w:r>
              <w:rPr>
                <w:rFonts w:ascii="宋体" w:hAnsi="宋体" w:cs="宋体" w:eastAsia="宋体" w:hint="default"/>
                <w:sz w:val="15"/>
                <w:szCs w:val="15"/>
              </w:rPr>
              <w:t>显示科技有限公司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采购</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LCD</w:t>
            </w:r>
          </w:p>
          <w:p>
            <w:pPr>
              <w:pStyle w:val="TableParagraph"/>
              <w:spacing w:line="240" w:lineRule="auto" w:before="102"/>
              <w:ind w:right="0"/>
              <w:jc w:val="left"/>
              <w:rPr>
                <w:rFonts w:ascii="宋体" w:hAnsi="宋体" w:cs="宋体" w:eastAsia="宋体" w:hint="default"/>
                <w:sz w:val="15"/>
                <w:szCs w:val="15"/>
              </w:rPr>
            </w:pPr>
            <w:r>
              <w:rPr>
                <w:rFonts w:ascii="宋体" w:hAnsi="宋体" w:cs="宋体" w:eastAsia="宋体" w:hint="default"/>
                <w:sz w:val="15"/>
                <w:szCs w:val="15"/>
              </w:rPr>
              <w:t>面板</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91,399.07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1.39%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401,175.26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12</w:t>
            </w:r>
          </w:p>
          <w:p>
            <w:pPr>
              <w:pStyle w:val="TableParagraph"/>
              <w:spacing w:line="240" w:lineRule="auto" w:before="102"/>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2014-089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2"/>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713"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20"/>
              <w:jc w:val="left"/>
              <w:rPr>
                <w:rFonts w:ascii="宋体" w:hAnsi="宋体" w:cs="宋体" w:eastAsia="宋体" w:hint="default"/>
                <w:sz w:val="15"/>
                <w:szCs w:val="15"/>
              </w:rPr>
            </w:pPr>
            <w:r>
              <w:rPr>
                <w:rFonts w:ascii="宋体" w:hAnsi="宋体" w:cs="宋体" w:eastAsia="宋体" w:hint="default"/>
                <w:sz w:val="15"/>
                <w:szCs w:val="15"/>
              </w:rPr>
              <w:t>捷星显示科技（福</w:t>
            </w:r>
            <w:r>
              <w:rPr>
                <w:rFonts w:ascii="宋体" w:hAnsi="宋体" w:cs="宋体" w:eastAsia="宋体" w:hint="default"/>
                <w:w w:val="100"/>
                <w:sz w:val="15"/>
                <w:szCs w:val="15"/>
              </w:rPr>
              <w:t> </w:t>
            </w:r>
            <w:r>
              <w:rPr>
                <w:rFonts w:ascii="宋体" w:hAnsi="宋体" w:cs="宋体" w:eastAsia="宋体" w:hint="default"/>
                <w:sz w:val="15"/>
                <w:szCs w:val="15"/>
              </w:rPr>
              <w:t>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购买商品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59,181.28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0.90%</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20"/>
              <w:jc w:val="left"/>
              <w:rPr>
                <w:rFonts w:ascii="宋体" w:hAnsi="宋体" w:cs="宋体" w:eastAsia="宋体" w:hint="default"/>
                <w:sz w:val="15"/>
                <w:szCs w:val="15"/>
              </w:rPr>
            </w:pPr>
            <w:r>
              <w:rPr>
                <w:rFonts w:ascii="宋体" w:hAnsi="宋体" w:cs="宋体" w:eastAsia="宋体" w:hint="default"/>
                <w:sz w:val="15"/>
                <w:szCs w:val="15"/>
              </w:rPr>
              <w:t>奇菱光电股份有限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购买商品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54,334.48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0.83%</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20"/>
              <w:jc w:val="left"/>
              <w:rPr>
                <w:rFonts w:ascii="宋体" w:hAnsi="宋体" w:cs="宋体" w:eastAsia="宋体" w:hint="default"/>
                <w:sz w:val="15"/>
                <w:szCs w:val="15"/>
              </w:rPr>
            </w:pPr>
            <w:r>
              <w:rPr>
                <w:rFonts w:ascii="宋体" w:hAnsi="宋体" w:cs="宋体" w:eastAsia="宋体" w:hint="default"/>
                <w:sz w:val="15"/>
                <w:szCs w:val="15"/>
              </w:rPr>
              <w:t>桂林长海科技有限</w:t>
            </w:r>
            <w:r>
              <w:rPr>
                <w:rFonts w:ascii="宋体" w:hAnsi="宋体" w:cs="宋体" w:eastAsia="宋体" w:hint="default"/>
                <w:w w:val="100"/>
                <w:sz w:val="15"/>
                <w:szCs w:val="15"/>
              </w:rPr>
              <w:t> </w:t>
            </w:r>
            <w:r>
              <w:rPr>
                <w:rFonts w:ascii="宋体" w:hAnsi="宋体" w:cs="宋体" w:eastAsia="宋体" w:hint="default"/>
                <w:sz w:val="15"/>
                <w:szCs w:val="15"/>
              </w:rPr>
              <w:t>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left"/>
              <w:rPr>
                <w:rFonts w:ascii="宋体" w:hAnsi="宋体" w:cs="宋体" w:eastAsia="宋体" w:hint="default"/>
                <w:sz w:val="15"/>
                <w:szCs w:val="15"/>
              </w:rPr>
            </w:pPr>
            <w:r>
              <w:rPr>
                <w:rFonts w:ascii="宋体" w:hAnsi="宋体" w:cs="宋体" w:eastAsia="宋体" w:hint="default"/>
                <w:sz w:val="15"/>
                <w:szCs w:val="15"/>
              </w:rPr>
              <w:t>本公司联营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2"/>
              <w:jc w:val="left"/>
              <w:rPr>
                <w:rFonts w:ascii="宋体" w:hAnsi="宋体" w:cs="宋体" w:eastAsia="宋体" w:hint="default"/>
                <w:sz w:val="15"/>
                <w:szCs w:val="15"/>
              </w:rPr>
            </w:pPr>
            <w:r>
              <w:rPr>
                <w:rFonts w:ascii="宋体" w:hAnsi="宋体" w:cs="宋体" w:eastAsia="宋体" w:hint="default"/>
                <w:sz w:val="15"/>
                <w:szCs w:val="15"/>
              </w:rPr>
              <w:t>采购线材、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电源</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19,420.53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22,000.00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027"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20"/>
              <w:jc w:val="left"/>
              <w:rPr>
                <w:rFonts w:ascii="宋体" w:hAnsi="宋体" w:cs="宋体" w:eastAsia="宋体" w:hint="default"/>
                <w:sz w:val="15"/>
                <w:szCs w:val="15"/>
              </w:rPr>
            </w:pPr>
            <w:r>
              <w:rPr>
                <w:rFonts w:ascii="宋体" w:hAnsi="宋体" w:cs="宋体" w:eastAsia="宋体" w:hint="default"/>
                <w:sz w:val="15"/>
                <w:szCs w:val="15"/>
              </w:rPr>
              <w:t>南京华睿川电子科</w:t>
            </w:r>
            <w:r>
              <w:rPr>
                <w:rFonts w:ascii="宋体" w:hAnsi="宋体" w:cs="宋体" w:eastAsia="宋体" w:hint="default"/>
                <w:w w:val="100"/>
                <w:sz w:val="15"/>
                <w:szCs w:val="15"/>
              </w:rPr>
              <w:t> </w:t>
            </w:r>
            <w:r>
              <w:rPr>
                <w:rFonts w:ascii="宋体" w:hAnsi="宋体" w:cs="宋体" w:eastAsia="宋体" w:hint="default"/>
                <w:sz w:val="15"/>
                <w:szCs w:val="15"/>
              </w:rPr>
              <w:t>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22"/>
              <w:jc w:val="both"/>
              <w:rPr>
                <w:rFonts w:ascii="宋体" w:hAnsi="宋体" w:cs="宋体" w:eastAsia="宋体" w:hint="default"/>
                <w:sz w:val="15"/>
                <w:szCs w:val="15"/>
              </w:rPr>
            </w:pPr>
            <w:r>
              <w:rPr>
                <w:rFonts w:ascii="宋体" w:hAnsi="宋体" w:cs="宋体" w:eastAsia="宋体" w:hint="default"/>
                <w:sz w:val="15"/>
                <w:szCs w:val="15"/>
              </w:rPr>
              <w:t>采购触摸模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组、面板及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部件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9,148.83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0.14%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10,194.95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09</w:t>
            </w:r>
          </w:p>
          <w:p>
            <w:pPr>
              <w:pStyle w:val="TableParagraph"/>
              <w:spacing w:line="240" w:lineRule="auto" w:before="102"/>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2015-060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2"/>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713"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20"/>
              <w:jc w:val="left"/>
              <w:rPr>
                <w:rFonts w:ascii="宋体" w:hAnsi="宋体" w:cs="宋体" w:eastAsia="宋体" w:hint="default"/>
                <w:sz w:val="15"/>
                <w:szCs w:val="15"/>
              </w:rPr>
            </w:pPr>
            <w:r>
              <w:rPr>
                <w:rFonts w:ascii="宋体" w:hAnsi="宋体" w:cs="宋体" w:eastAsia="宋体" w:hint="default"/>
                <w:sz w:val="15"/>
                <w:szCs w:val="15"/>
              </w:rPr>
              <w:t>深圳中电长城信息</w:t>
            </w:r>
            <w:r>
              <w:rPr>
                <w:rFonts w:ascii="宋体" w:hAnsi="宋体" w:cs="宋体" w:eastAsia="宋体" w:hint="default"/>
                <w:w w:val="100"/>
                <w:sz w:val="15"/>
                <w:szCs w:val="15"/>
              </w:rPr>
              <w:t> </w:t>
            </w:r>
            <w:r>
              <w:rPr>
                <w:rFonts w:ascii="宋体" w:hAnsi="宋体" w:cs="宋体" w:eastAsia="宋体" w:hint="default"/>
                <w:sz w:val="15"/>
                <w:szCs w:val="15"/>
              </w:rPr>
              <w:t>安全系统有限公司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left"/>
              <w:rPr>
                <w:rFonts w:ascii="宋体" w:hAnsi="宋体" w:cs="宋体" w:eastAsia="宋体" w:hint="default"/>
                <w:sz w:val="15"/>
                <w:szCs w:val="15"/>
              </w:rPr>
            </w:pPr>
            <w:r>
              <w:rPr>
                <w:rFonts w:ascii="宋体" w:hAnsi="宋体" w:cs="宋体" w:eastAsia="宋体" w:hint="default"/>
                <w:sz w:val="15"/>
                <w:szCs w:val="15"/>
              </w:rPr>
              <w:t>本公司联营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2"/>
              <w:jc w:val="left"/>
              <w:rPr>
                <w:rFonts w:ascii="宋体" w:hAnsi="宋体" w:cs="宋体" w:eastAsia="宋体" w:hint="default"/>
                <w:sz w:val="15"/>
                <w:szCs w:val="15"/>
              </w:rPr>
            </w:pPr>
            <w:r>
              <w:rPr>
                <w:rFonts w:ascii="宋体" w:hAnsi="宋体" w:cs="宋体" w:eastAsia="宋体" w:hint="default"/>
                <w:sz w:val="15"/>
                <w:szCs w:val="15"/>
              </w:rPr>
              <w:t>采购原材料</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及产成品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5,307.98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0.08%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02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20"/>
              <w:jc w:val="left"/>
              <w:rPr>
                <w:rFonts w:ascii="宋体" w:hAnsi="宋体" w:cs="宋体" w:eastAsia="宋体" w:hint="default"/>
                <w:sz w:val="15"/>
                <w:szCs w:val="15"/>
              </w:rPr>
            </w:pPr>
            <w:r>
              <w:rPr>
                <w:rFonts w:ascii="宋体" w:hAnsi="宋体" w:cs="宋体" w:eastAsia="宋体" w:hint="default"/>
                <w:sz w:val="15"/>
                <w:szCs w:val="15"/>
              </w:rPr>
              <w:t>深圳市京华信息技</w:t>
            </w:r>
            <w:r>
              <w:rPr>
                <w:rFonts w:ascii="宋体" w:hAnsi="宋体" w:cs="宋体" w:eastAsia="宋体" w:hint="default"/>
                <w:w w:val="100"/>
                <w:sz w:val="15"/>
                <w:szCs w:val="15"/>
              </w:rPr>
              <w:t> </w:t>
            </w:r>
            <w:r>
              <w:rPr>
                <w:rFonts w:ascii="宋体" w:hAnsi="宋体" w:cs="宋体" w:eastAsia="宋体" w:hint="default"/>
                <w:sz w:val="15"/>
                <w:szCs w:val="15"/>
              </w:rPr>
              <w:t>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right="22"/>
              <w:jc w:val="left"/>
              <w:rPr>
                <w:rFonts w:ascii="宋体" w:hAnsi="宋体" w:cs="宋体" w:eastAsia="宋体" w:hint="default"/>
                <w:sz w:val="15"/>
                <w:szCs w:val="15"/>
              </w:rPr>
            </w:pPr>
            <w:r>
              <w:rPr>
                <w:rFonts w:ascii="宋体" w:hAnsi="宋体" w:cs="宋体" w:eastAsia="宋体" w:hint="default"/>
                <w:sz w:val="15"/>
                <w:szCs w:val="15"/>
              </w:rPr>
              <w:t>采购平板电</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3,684.87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5,194.88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10</w:t>
            </w:r>
          </w:p>
          <w:p>
            <w:pPr>
              <w:pStyle w:val="TableParagraph"/>
              <w:spacing w:line="240" w:lineRule="auto" w:before="102"/>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2014-065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2"/>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713"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20"/>
              <w:jc w:val="left"/>
              <w:rPr>
                <w:rFonts w:ascii="宋体" w:hAnsi="宋体" w:cs="宋体" w:eastAsia="宋体" w:hint="default"/>
                <w:sz w:val="15"/>
                <w:szCs w:val="15"/>
              </w:rPr>
            </w:pPr>
            <w:r>
              <w:rPr>
                <w:rFonts w:ascii="宋体" w:hAnsi="宋体" w:cs="宋体" w:eastAsia="宋体" w:hint="default"/>
                <w:sz w:val="15"/>
                <w:szCs w:val="15"/>
              </w:rPr>
              <w:t>福建华冠光电有限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购买商品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3,631.83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0.06%</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20"/>
              <w:jc w:val="left"/>
              <w:rPr>
                <w:rFonts w:ascii="宋体" w:hAnsi="宋体" w:cs="宋体" w:eastAsia="宋体" w:hint="default"/>
                <w:sz w:val="15"/>
                <w:szCs w:val="15"/>
              </w:rPr>
            </w:pPr>
            <w:r>
              <w:rPr>
                <w:rFonts w:ascii="宋体" w:hAnsi="宋体" w:cs="宋体" w:eastAsia="宋体" w:hint="default"/>
                <w:sz w:val="15"/>
                <w:szCs w:val="15"/>
              </w:rPr>
              <w:t>咸阳彩虹光伏科技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采购</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right="22"/>
              <w:jc w:val="left"/>
              <w:rPr>
                <w:rFonts w:ascii="宋体" w:hAnsi="宋体" w:cs="宋体" w:eastAsia="宋体" w:hint="default"/>
                <w:sz w:val="15"/>
                <w:szCs w:val="15"/>
              </w:rPr>
            </w:pPr>
            <w:r>
              <w:rPr>
                <w:rFonts w:ascii="宋体" w:hAnsi="宋体" w:cs="宋体" w:eastAsia="宋体" w:hint="default"/>
                <w:sz w:val="15"/>
                <w:szCs w:val="15"/>
              </w:rPr>
              <w:t>采购光伏逆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变器组件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594.53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0.01%</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20"/>
              <w:jc w:val="left"/>
              <w:rPr>
                <w:rFonts w:ascii="宋体" w:hAnsi="宋体" w:cs="宋体" w:eastAsia="宋体" w:hint="default"/>
                <w:sz w:val="15"/>
                <w:szCs w:val="15"/>
              </w:rPr>
            </w:pPr>
            <w:r>
              <w:rPr>
                <w:rFonts w:ascii="宋体" w:hAnsi="宋体" w:cs="宋体" w:eastAsia="宋体" w:hint="default"/>
                <w:sz w:val="15"/>
                <w:szCs w:val="15"/>
              </w:rPr>
              <w:t>捷星显示科技（福</w:t>
            </w:r>
            <w:r>
              <w:rPr>
                <w:rFonts w:ascii="宋体" w:hAnsi="宋体" w:cs="宋体" w:eastAsia="宋体" w:hint="default"/>
                <w:w w:val="100"/>
                <w:sz w:val="15"/>
                <w:szCs w:val="15"/>
              </w:rPr>
              <w:t> </w:t>
            </w:r>
            <w:r>
              <w:rPr>
                <w:rFonts w:ascii="宋体" w:hAnsi="宋体" w:cs="宋体" w:eastAsia="宋体" w:hint="default"/>
                <w:sz w:val="15"/>
                <w:szCs w:val="15"/>
              </w:rPr>
              <w:t>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出售商品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152,804.38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2"/>
                <w:sz w:val="15"/>
              </w:rPr>
              <w:t>2.11%</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112"/>
              <w:ind w:left="2" w:right="38"/>
              <w:jc w:val="left"/>
              <w:rPr>
                <w:rFonts w:ascii="Times New Roman" w:hAnsi="Times New Roman" w:cs="Times New Roman" w:eastAsia="Times New Roman" w:hint="default"/>
                <w:sz w:val="15"/>
                <w:szCs w:val="15"/>
              </w:rPr>
            </w:pPr>
            <w:r>
              <w:rPr>
                <w:rFonts w:ascii="Times New Roman"/>
                <w:sz w:val="15"/>
              </w:rPr>
              <w:t>Envision</w:t>
            </w:r>
            <w:r>
              <w:rPr>
                <w:rFonts w:ascii="Times New Roman"/>
                <w:spacing w:val="-4"/>
                <w:sz w:val="15"/>
              </w:rPr>
              <w:t> </w:t>
            </w:r>
            <w:r>
              <w:rPr>
                <w:rFonts w:ascii="Times New Roman"/>
                <w:sz w:val="15"/>
              </w:rPr>
              <w:t>Peripherals,</w:t>
            </w:r>
            <w:r>
              <w:rPr>
                <w:rFonts w:ascii="Times New Roman"/>
                <w:w w:val="100"/>
                <w:sz w:val="15"/>
              </w:rPr>
              <w:t> </w:t>
            </w:r>
            <w:r>
              <w:rPr>
                <w:rFonts w:ascii="Times New Roman"/>
                <w:sz w:val="15"/>
              </w:rPr>
              <w:t>Inc.</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出售商品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2"/>
                <w:sz w:val="15"/>
              </w:rPr>
              <w:t>67,535.11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0.93%</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桂林长海科技有限</w:t>
            </w:r>
            <w:r>
              <w:rPr>
                <w:rFonts w:ascii="宋体" w:hAnsi="宋体" w:cs="宋体" w:eastAsia="宋体" w:hint="default"/>
                <w:w w:val="100"/>
                <w:sz w:val="15"/>
                <w:szCs w:val="15"/>
              </w:rPr>
              <w:t> </w:t>
            </w:r>
            <w:r>
              <w:rPr>
                <w:rFonts w:ascii="宋体" w:hAnsi="宋体" w:cs="宋体" w:eastAsia="宋体" w:hint="default"/>
                <w:sz w:val="15"/>
                <w:szCs w:val="15"/>
              </w:rPr>
              <w:t>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right="141"/>
              <w:jc w:val="left"/>
              <w:rPr>
                <w:rFonts w:ascii="宋体" w:hAnsi="宋体" w:cs="宋体" w:eastAsia="宋体" w:hint="default"/>
                <w:sz w:val="15"/>
                <w:szCs w:val="15"/>
              </w:rPr>
            </w:pPr>
            <w:r>
              <w:rPr>
                <w:rFonts w:ascii="宋体" w:hAnsi="宋体" w:cs="宋体" w:eastAsia="宋体" w:hint="default"/>
                <w:sz w:val="15"/>
                <w:szCs w:val="15"/>
              </w:rPr>
              <w:t>本公司联营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22"/>
              <w:jc w:val="both"/>
              <w:rPr>
                <w:rFonts w:ascii="宋体" w:hAnsi="宋体" w:cs="宋体" w:eastAsia="宋体" w:hint="default"/>
                <w:sz w:val="15"/>
                <w:szCs w:val="15"/>
              </w:rPr>
            </w:pPr>
            <w:r>
              <w:rPr>
                <w:rFonts w:ascii="宋体" w:hAnsi="宋体" w:cs="宋体" w:eastAsia="宋体" w:hint="default"/>
                <w:sz w:val="15"/>
                <w:szCs w:val="15"/>
              </w:rPr>
              <w:t>销售电脑、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外设、配件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及原材料</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14,022.84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24,0000.00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339"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79" w:lineRule="auto"/>
              <w:ind w:left="2" w:right="120"/>
              <w:jc w:val="left"/>
              <w:rPr>
                <w:rFonts w:ascii="宋体" w:hAnsi="宋体" w:cs="宋体" w:eastAsia="宋体" w:hint="default"/>
                <w:sz w:val="15"/>
                <w:szCs w:val="15"/>
              </w:rPr>
            </w:pPr>
            <w:r>
              <w:rPr>
                <w:rFonts w:ascii="宋体" w:hAnsi="宋体" w:cs="宋体" w:eastAsia="宋体" w:hint="default"/>
                <w:sz w:val="15"/>
                <w:szCs w:val="15"/>
              </w:rPr>
              <w:t>湖南长城信息金融</w:t>
            </w:r>
            <w:r>
              <w:rPr>
                <w:rFonts w:ascii="宋体" w:hAnsi="宋体" w:cs="宋体" w:eastAsia="宋体" w:hint="default"/>
                <w:w w:val="100"/>
                <w:sz w:val="15"/>
                <w:szCs w:val="15"/>
              </w:rPr>
              <w:t> </w:t>
            </w:r>
            <w:r>
              <w:rPr>
                <w:rFonts w:ascii="宋体" w:hAnsi="宋体" w:cs="宋体" w:eastAsia="宋体" w:hint="default"/>
                <w:sz w:val="15"/>
                <w:szCs w:val="15"/>
              </w:rPr>
              <w:t>设备有限责任公司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right="22"/>
              <w:jc w:val="both"/>
              <w:rPr>
                <w:rFonts w:ascii="宋体" w:hAnsi="宋体" w:cs="宋体" w:eastAsia="宋体" w:hint="default"/>
                <w:sz w:val="15"/>
                <w:szCs w:val="15"/>
              </w:rPr>
            </w:pPr>
            <w:r>
              <w:rPr>
                <w:rFonts w:ascii="宋体" w:hAnsi="宋体" w:cs="宋体" w:eastAsia="宋体" w:hint="default"/>
                <w:sz w:val="15"/>
                <w:szCs w:val="15"/>
              </w:rPr>
              <w:t>销售电脑、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1"/>
                <w:sz w:val="15"/>
                <w:szCs w:val="15"/>
              </w:rPr>
              <w:t>外设、配件</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打印机及耗</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材</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79"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79"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5,723.12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0.08%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13,0000.00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79"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2"/>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2"/>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bl>
    <w:p>
      <w:pPr>
        <w:spacing w:after="0" w:line="240" w:lineRule="auto"/>
        <w:jc w:val="left"/>
        <w:rPr>
          <w:rFonts w:ascii="宋体" w:hAnsi="宋体" w:cs="宋体" w:eastAsia="宋体" w:hint="default"/>
          <w:sz w:val="15"/>
          <w:szCs w:val="15"/>
        </w:rPr>
        <w:sectPr>
          <w:pgSz w:w="11910" w:h="16840"/>
          <w:pgMar w:header="877" w:footer="980" w:top="1100" w:bottom="1160" w:left="120" w:right="120"/>
        </w:sectPr>
      </w:pPr>
    </w:p>
    <w:p>
      <w:pPr>
        <w:spacing w:line="240" w:lineRule="auto" w:before="11"/>
        <w:rPr>
          <w:rFonts w:ascii="Times New Roman" w:hAnsi="Times New Roman" w:cs="Times New Roman" w:eastAsia="Times New Roman" w:hint="default"/>
          <w:sz w:val="27"/>
          <w:szCs w:val="27"/>
        </w:rPr>
      </w:pPr>
      <w:r>
        <w:rPr/>
        <w:pict>
          <v:group style="position:absolute;margin-left:199.850006pt;margin-top:528.669983pt;width:383.5pt;height:15.6pt;mso-position-horizontal-relative:page;mso-position-vertical-relative:page;z-index:-1193512" coordorigin="3997,10573" coordsize="7670,312">
            <v:shape style="position:absolute;left:3997;top:10573;width:7670;height:312" coordorigin="3997,10573" coordsize="7670,312" path="m3997,10885l11666,10885,11666,10573,3997,10573,3997,10885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337"/>
        <w:gridCol w:w="907"/>
        <w:gridCol w:w="727"/>
        <w:gridCol w:w="788"/>
        <w:gridCol w:w="845"/>
        <w:gridCol w:w="593"/>
        <w:gridCol w:w="725"/>
        <w:gridCol w:w="908"/>
        <w:gridCol w:w="809"/>
        <w:gridCol w:w="571"/>
        <w:gridCol w:w="721"/>
        <w:gridCol w:w="888"/>
        <w:gridCol w:w="732"/>
        <w:gridCol w:w="888"/>
      </w:tblGrid>
      <w:tr>
        <w:trPr>
          <w:trHeight w:val="102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深圳市桑达汇通电</w:t>
            </w:r>
            <w:r>
              <w:rPr>
                <w:rFonts w:ascii="宋体" w:hAnsi="宋体" w:cs="宋体" w:eastAsia="宋体" w:hint="default"/>
                <w:w w:val="100"/>
                <w:sz w:val="15"/>
                <w:szCs w:val="15"/>
              </w:rPr>
              <w:t> </w:t>
            </w:r>
            <w:r>
              <w:rPr>
                <w:rFonts w:ascii="宋体" w:hAnsi="宋体" w:cs="宋体" w:eastAsia="宋体" w:hint="default"/>
                <w:sz w:val="15"/>
                <w:szCs w:val="15"/>
              </w:rPr>
              <w:t>子有限公司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right="22"/>
              <w:jc w:val="left"/>
              <w:rPr>
                <w:rFonts w:ascii="宋体" w:hAnsi="宋体" w:cs="宋体" w:eastAsia="宋体" w:hint="default"/>
                <w:sz w:val="15"/>
                <w:szCs w:val="15"/>
              </w:rPr>
            </w:pPr>
            <w:r>
              <w:rPr>
                <w:rFonts w:ascii="宋体" w:hAnsi="宋体" w:cs="宋体" w:eastAsia="宋体" w:hint="default"/>
                <w:sz w:val="15"/>
                <w:szCs w:val="15"/>
              </w:rPr>
              <w:t>销售移动电</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pacing w:val="-1"/>
                <w:sz w:val="15"/>
              </w:rPr>
              <w:t>4,405.62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6"/>
              <w:jc w:val="right"/>
              <w:rPr>
                <w:rFonts w:ascii="Times New Roman" w:hAnsi="Times New Roman" w:cs="Times New Roman" w:eastAsia="Times New Roman" w:hint="default"/>
                <w:sz w:val="15"/>
                <w:szCs w:val="15"/>
              </w:rPr>
            </w:pPr>
            <w:r>
              <w:rPr>
                <w:rFonts w:ascii="Times New Roman"/>
                <w:spacing w:val="-1"/>
                <w:sz w:val="15"/>
              </w:rPr>
              <w:t>0.06%</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20"/>
              <w:jc w:val="left"/>
              <w:rPr>
                <w:rFonts w:ascii="宋体" w:hAnsi="宋体" w:cs="宋体" w:eastAsia="宋体" w:hint="default"/>
                <w:sz w:val="15"/>
                <w:szCs w:val="15"/>
              </w:rPr>
            </w:pPr>
            <w:r>
              <w:rPr>
                <w:rFonts w:ascii="宋体" w:hAnsi="宋体" w:cs="宋体" w:eastAsia="宋体" w:hint="default"/>
                <w:sz w:val="15"/>
                <w:szCs w:val="15"/>
              </w:rPr>
              <w:t>深圳中电长城信息</w:t>
            </w:r>
            <w:r>
              <w:rPr>
                <w:rFonts w:ascii="宋体" w:hAnsi="宋体" w:cs="宋体" w:eastAsia="宋体" w:hint="default"/>
                <w:w w:val="100"/>
                <w:sz w:val="15"/>
                <w:szCs w:val="15"/>
              </w:rPr>
              <w:t> </w:t>
            </w:r>
            <w:r>
              <w:rPr>
                <w:rFonts w:ascii="宋体" w:hAnsi="宋体" w:cs="宋体" w:eastAsia="宋体" w:hint="default"/>
                <w:sz w:val="15"/>
                <w:szCs w:val="15"/>
              </w:rPr>
              <w:t>安全系统有限公司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left"/>
              <w:rPr>
                <w:rFonts w:ascii="宋体" w:hAnsi="宋体" w:cs="宋体" w:eastAsia="宋体" w:hint="default"/>
                <w:sz w:val="15"/>
                <w:szCs w:val="15"/>
              </w:rPr>
            </w:pPr>
            <w:r>
              <w:rPr>
                <w:rFonts w:ascii="宋体" w:hAnsi="宋体" w:cs="宋体" w:eastAsia="宋体" w:hint="default"/>
                <w:sz w:val="15"/>
                <w:szCs w:val="15"/>
              </w:rPr>
              <w:t>本公司联营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22"/>
              <w:jc w:val="left"/>
              <w:rPr>
                <w:rFonts w:ascii="宋体" w:hAnsi="宋体" w:cs="宋体" w:eastAsia="宋体" w:hint="default"/>
                <w:sz w:val="15"/>
                <w:szCs w:val="15"/>
              </w:rPr>
            </w:pPr>
            <w:r>
              <w:rPr>
                <w:rFonts w:ascii="宋体" w:hAnsi="宋体" w:cs="宋体" w:eastAsia="宋体" w:hint="default"/>
                <w:sz w:val="15"/>
                <w:szCs w:val="15"/>
              </w:rPr>
              <w:t>销售电脑、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外设及配件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1"/>
              <w:jc w:val="right"/>
              <w:rPr>
                <w:rFonts w:ascii="Times New Roman" w:hAnsi="Times New Roman" w:cs="Times New Roman" w:eastAsia="Times New Roman" w:hint="default"/>
                <w:sz w:val="15"/>
                <w:szCs w:val="15"/>
              </w:rPr>
            </w:pPr>
            <w:r>
              <w:rPr>
                <w:rFonts w:ascii="Times New Roman"/>
                <w:spacing w:val="-1"/>
                <w:sz w:val="15"/>
              </w:rPr>
              <w:t>2,309.43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6"/>
              <w:jc w:val="right"/>
              <w:rPr>
                <w:rFonts w:ascii="Times New Roman" w:hAnsi="Times New Roman" w:cs="Times New Roman" w:eastAsia="Times New Roman" w:hint="default"/>
                <w:sz w:val="15"/>
                <w:szCs w:val="15"/>
              </w:rPr>
            </w:pPr>
            <w:r>
              <w:rPr>
                <w:rFonts w:ascii="Times New Roman"/>
                <w:spacing w:val="-1"/>
                <w:sz w:val="15"/>
              </w:rPr>
              <w:t>0.03%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1"/>
              <w:jc w:val="right"/>
              <w:rPr>
                <w:rFonts w:ascii="Times New Roman" w:hAnsi="Times New Roman" w:cs="Times New Roman" w:eastAsia="Times New Roman" w:hint="default"/>
                <w:sz w:val="15"/>
                <w:szCs w:val="15"/>
              </w:rPr>
            </w:pPr>
            <w:r>
              <w:rPr>
                <w:rFonts w:ascii="Times New Roman"/>
                <w:spacing w:val="-1"/>
                <w:sz w:val="15"/>
              </w:rPr>
              <w:t>8,0000.00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2"/>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2"/>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713"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20"/>
              <w:jc w:val="left"/>
              <w:rPr>
                <w:rFonts w:ascii="宋体" w:hAnsi="宋体" w:cs="宋体" w:eastAsia="宋体" w:hint="default"/>
                <w:sz w:val="15"/>
                <w:szCs w:val="15"/>
              </w:rPr>
            </w:pPr>
            <w:r>
              <w:rPr>
                <w:rFonts w:ascii="宋体" w:hAnsi="宋体" w:cs="宋体" w:eastAsia="宋体" w:hint="default"/>
                <w:sz w:val="15"/>
                <w:szCs w:val="15"/>
              </w:rPr>
              <w:t>合肥市航嘉显示科</w:t>
            </w:r>
            <w:r>
              <w:rPr>
                <w:rFonts w:ascii="宋体" w:hAnsi="宋体" w:cs="宋体" w:eastAsia="宋体" w:hint="default"/>
                <w:w w:val="100"/>
                <w:sz w:val="15"/>
                <w:szCs w:val="15"/>
              </w:rPr>
              <w:t> </w:t>
            </w:r>
            <w:r>
              <w:rPr>
                <w:rFonts w:ascii="宋体" w:hAnsi="宋体" w:cs="宋体" w:eastAsia="宋体" w:hint="default"/>
                <w:sz w:val="15"/>
                <w:szCs w:val="15"/>
              </w:rPr>
              <w:t>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出售商品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
              <w:jc w:val="right"/>
              <w:rPr>
                <w:rFonts w:ascii="Times New Roman" w:hAnsi="Times New Roman" w:cs="Times New Roman" w:eastAsia="Times New Roman" w:hint="default"/>
                <w:sz w:val="15"/>
                <w:szCs w:val="15"/>
              </w:rPr>
            </w:pPr>
            <w:r>
              <w:rPr>
                <w:rFonts w:ascii="Times New Roman"/>
                <w:spacing w:val="-1"/>
                <w:sz w:val="15"/>
              </w:rPr>
              <w:t>1,803.43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6"/>
              <w:jc w:val="right"/>
              <w:rPr>
                <w:rFonts w:ascii="Times New Roman" w:hAnsi="Times New Roman" w:cs="Times New Roman" w:eastAsia="Times New Roman" w:hint="default"/>
                <w:sz w:val="15"/>
                <w:szCs w:val="15"/>
              </w:rPr>
            </w:pPr>
            <w:r>
              <w:rPr>
                <w:rFonts w:ascii="Times New Roman"/>
                <w:spacing w:val="-1"/>
                <w:sz w:val="15"/>
              </w:rPr>
              <w:t>0.02%</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20"/>
              <w:jc w:val="left"/>
              <w:rPr>
                <w:rFonts w:ascii="宋体" w:hAnsi="宋体" w:cs="宋体" w:eastAsia="宋体" w:hint="default"/>
                <w:sz w:val="15"/>
                <w:szCs w:val="15"/>
              </w:rPr>
            </w:pPr>
            <w:r>
              <w:rPr>
                <w:rFonts w:ascii="宋体" w:hAnsi="宋体" w:cs="宋体" w:eastAsia="宋体" w:hint="default"/>
                <w:sz w:val="15"/>
                <w:szCs w:val="15"/>
              </w:rPr>
              <w:t>奇菱光电股份有限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出售商品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1"/>
              <w:jc w:val="right"/>
              <w:rPr>
                <w:rFonts w:ascii="Times New Roman" w:hAnsi="Times New Roman" w:cs="Times New Roman" w:eastAsia="Times New Roman" w:hint="default"/>
                <w:sz w:val="15"/>
                <w:szCs w:val="15"/>
              </w:rPr>
            </w:pPr>
            <w:r>
              <w:rPr>
                <w:rFonts w:ascii="Times New Roman"/>
                <w:spacing w:val="-1"/>
                <w:sz w:val="15"/>
              </w:rPr>
              <w:t>1,136.97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6"/>
              <w:jc w:val="right"/>
              <w:rPr>
                <w:rFonts w:ascii="Times New Roman" w:hAnsi="Times New Roman" w:cs="Times New Roman" w:eastAsia="Times New Roman" w:hint="default"/>
                <w:sz w:val="15"/>
                <w:szCs w:val="15"/>
              </w:rPr>
            </w:pPr>
            <w:r>
              <w:rPr>
                <w:rFonts w:ascii="Times New Roman"/>
                <w:spacing w:val="-1"/>
                <w:sz w:val="15"/>
              </w:rPr>
              <w:t>0.02%</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深圳中电投资股份</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right="22"/>
              <w:jc w:val="left"/>
              <w:rPr>
                <w:rFonts w:ascii="宋体" w:hAnsi="宋体" w:cs="宋体" w:eastAsia="宋体" w:hint="default"/>
                <w:sz w:val="15"/>
                <w:szCs w:val="15"/>
              </w:rPr>
            </w:pPr>
            <w:r>
              <w:rPr>
                <w:rFonts w:ascii="宋体" w:hAnsi="宋体" w:cs="宋体" w:eastAsia="宋体" w:hint="default"/>
                <w:sz w:val="15"/>
                <w:szCs w:val="15"/>
              </w:rPr>
              <w:t>销售平板电</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 w:right="-3"/>
              <w:jc w:val="left"/>
              <w:rPr>
                <w:rFonts w:ascii="宋体" w:hAnsi="宋体" w:cs="宋体" w:eastAsia="宋体" w:hint="default"/>
                <w:sz w:val="15"/>
                <w:szCs w:val="15"/>
              </w:rPr>
            </w:pPr>
            <w:r>
              <w:rPr>
                <w:rFonts w:ascii="宋体" w:hAnsi="宋体" w:cs="宋体" w:eastAsia="宋体" w:hint="default"/>
                <w:sz w:val="15"/>
                <w:szCs w:val="15"/>
              </w:rPr>
              <w:t>根据市场价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2"/>
                <w:w w:val="100"/>
                <w:sz w:val="15"/>
                <w:szCs w:val="15"/>
              </w:rPr>
              <w:t>格，协商确定</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
              <w:jc w:val="right"/>
              <w:rPr>
                <w:rFonts w:ascii="Times New Roman" w:hAnsi="Times New Roman" w:cs="Times New Roman" w:eastAsia="Times New Roman" w:hint="default"/>
                <w:sz w:val="15"/>
                <w:szCs w:val="15"/>
              </w:rPr>
            </w:pPr>
            <w:r>
              <w:rPr>
                <w:rFonts w:ascii="Times New Roman"/>
                <w:spacing w:val="-1"/>
                <w:sz w:val="15"/>
              </w:rPr>
              <w:t>1,063.18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6"/>
              <w:jc w:val="right"/>
              <w:rPr>
                <w:rFonts w:ascii="Times New Roman" w:hAnsi="Times New Roman" w:cs="Times New Roman" w:eastAsia="Times New Roman" w:hint="default"/>
                <w:sz w:val="15"/>
                <w:szCs w:val="15"/>
              </w:rPr>
            </w:pPr>
            <w:r>
              <w:rPr>
                <w:rFonts w:ascii="Times New Roman"/>
                <w:spacing w:val="-1"/>
                <w:sz w:val="15"/>
              </w:rPr>
              <w:t>0.01%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
              <w:jc w:val="right"/>
              <w:rPr>
                <w:rFonts w:ascii="Times New Roman" w:hAnsi="Times New Roman" w:cs="Times New Roman" w:eastAsia="Times New Roman" w:hint="default"/>
                <w:sz w:val="15"/>
                <w:szCs w:val="15"/>
              </w:rPr>
            </w:pPr>
            <w:r>
              <w:rPr>
                <w:rFonts w:ascii="Times New Roman"/>
                <w:spacing w:val="-1"/>
                <w:sz w:val="15"/>
              </w:rPr>
              <w:t>1,0000.00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01</w:t>
            </w:r>
          </w:p>
          <w:p>
            <w:pPr>
              <w:pStyle w:val="TableParagraph"/>
              <w:spacing w:line="240" w:lineRule="auto" w:before="104"/>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2015-003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71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20"/>
              <w:jc w:val="left"/>
              <w:rPr>
                <w:rFonts w:ascii="宋体" w:hAnsi="宋体" w:cs="宋体" w:eastAsia="宋体" w:hint="default"/>
                <w:sz w:val="15"/>
                <w:szCs w:val="15"/>
              </w:rPr>
            </w:pPr>
            <w:r>
              <w:rPr>
                <w:rFonts w:ascii="宋体" w:hAnsi="宋体" w:cs="宋体" w:eastAsia="宋体" w:hint="default"/>
                <w:sz w:val="15"/>
                <w:szCs w:val="15"/>
              </w:rPr>
              <w:t>捷星显示科技（福</w:t>
            </w:r>
            <w:r>
              <w:rPr>
                <w:rFonts w:ascii="宋体" w:hAnsi="宋体" w:cs="宋体" w:eastAsia="宋体" w:hint="default"/>
                <w:w w:val="100"/>
                <w:sz w:val="15"/>
                <w:szCs w:val="15"/>
              </w:rPr>
              <w:t> </w:t>
            </w:r>
            <w:r>
              <w:rPr>
                <w:rFonts w:ascii="宋体" w:hAnsi="宋体" w:cs="宋体" w:eastAsia="宋体" w:hint="default"/>
                <w:sz w:val="15"/>
                <w:szCs w:val="15"/>
              </w:rPr>
              <w:t>建）有限公司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right="141"/>
              <w:jc w:val="left"/>
              <w:rPr>
                <w:rFonts w:ascii="宋体" w:hAnsi="宋体" w:cs="宋体" w:eastAsia="宋体" w:hint="default"/>
                <w:sz w:val="15"/>
                <w:szCs w:val="15"/>
              </w:rPr>
            </w:pPr>
            <w:r>
              <w:rPr>
                <w:rFonts w:ascii="宋体" w:hAnsi="宋体" w:cs="宋体" w:eastAsia="宋体" w:hint="default"/>
                <w:sz w:val="15"/>
                <w:szCs w:val="15"/>
              </w:rPr>
              <w:t>子公司联营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提供劳务</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提供劳务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1"/>
              <w:jc w:val="right"/>
              <w:rPr>
                <w:rFonts w:ascii="Times New Roman" w:hAnsi="Times New Roman" w:cs="Times New Roman" w:eastAsia="Times New Roman" w:hint="default"/>
                <w:sz w:val="15"/>
                <w:szCs w:val="15"/>
              </w:rPr>
            </w:pPr>
            <w:r>
              <w:rPr>
                <w:rFonts w:ascii="Times New Roman"/>
                <w:spacing w:val="-2"/>
                <w:sz w:val="15"/>
              </w:rPr>
              <w:t>2,252.11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6"/>
              <w:jc w:val="right"/>
              <w:rPr>
                <w:rFonts w:ascii="Times New Roman" w:hAnsi="Times New Roman" w:cs="Times New Roman" w:eastAsia="Times New Roman" w:hint="default"/>
                <w:sz w:val="15"/>
                <w:szCs w:val="15"/>
              </w:rPr>
            </w:pPr>
            <w:r>
              <w:rPr>
                <w:rFonts w:ascii="Times New Roman"/>
                <w:spacing w:val="-1"/>
                <w:sz w:val="15"/>
              </w:rPr>
              <w:t>0.03%</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 w:right="120"/>
              <w:jc w:val="left"/>
              <w:rPr>
                <w:rFonts w:ascii="宋体" w:hAnsi="宋体" w:cs="宋体" w:eastAsia="宋体" w:hint="default"/>
                <w:sz w:val="15"/>
                <w:szCs w:val="15"/>
              </w:rPr>
            </w:pPr>
            <w:r>
              <w:rPr>
                <w:rFonts w:ascii="宋体" w:hAnsi="宋体" w:cs="宋体" w:eastAsia="宋体" w:hint="default"/>
                <w:sz w:val="15"/>
                <w:szCs w:val="15"/>
              </w:rPr>
              <w:t>深圳市桑达无线通</w:t>
            </w:r>
            <w:r>
              <w:rPr>
                <w:rFonts w:ascii="宋体" w:hAnsi="宋体" w:cs="宋体" w:eastAsia="宋体" w:hint="default"/>
                <w:w w:val="100"/>
                <w:sz w:val="15"/>
                <w:szCs w:val="15"/>
              </w:rPr>
              <w:t> </w:t>
            </w:r>
            <w:r>
              <w:rPr>
                <w:rFonts w:ascii="宋体" w:hAnsi="宋体" w:cs="宋体" w:eastAsia="宋体" w:hint="default"/>
                <w:sz w:val="15"/>
                <w:szCs w:val="15"/>
              </w:rPr>
              <w:t>讯技术有限公司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141"/>
              <w:jc w:val="both"/>
              <w:rPr>
                <w:rFonts w:ascii="宋体" w:hAnsi="宋体" w:cs="宋体" w:eastAsia="宋体" w:hint="default"/>
                <w:sz w:val="15"/>
                <w:szCs w:val="15"/>
              </w:rPr>
            </w:pPr>
            <w:r>
              <w:rPr>
                <w:rFonts w:ascii="宋体" w:hAnsi="宋体" w:cs="宋体" w:eastAsia="宋体" w:hint="default"/>
                <w:sz w:val="15"/>
                <w:szCs w:val="15"/>
              </w:rPr>
              <w:t>受同一最终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控制方控制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的其他企业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提供劳务</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提供劳务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1" w:right="79"/>
              <w:jc w:val="left"/>
              <w:rPr>
                <w:rFonts w:ascii="宋体" w:hAnsi="宋体" w:cs="宋体" w:eastAsia="宋体" w:hint="default"/>
                <w:sz w:val="15"/>
                <w:szCs w:val="15"/>
              </w:rPr>
            </w:pPr>
            <w:r>
              <w:rPr>
                <w:rFonts w:ascii="宋体" w:hAnsi="宋体" w:cs="宋体" w:eastAsia="宋体" w:hint="default"/>
                <w:sz w:val="15"/>
                <w:szCs w:val="15"/>
              </w:rPr>
              <w:t>定价采用公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平合理原则</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67" w:right="60"/>
              <w:jc w:val="left"/>
              <w:rPr>
                <w:rFonts w:ascii="宋体" w:hAnsi="宋体" w:cs="宋体" w:eastAsia="宋体" w:hint="default"/>
                <w:sz w:val="15"/>
                <w:szCs w:val="15"/>
              </w:rPr>
            </w:pPr>
            <w:r>
              <w:rPr>
                <w:rFonts w:ascii="宋体" w:hAnsi="宋体" w:cs="宋体" w:eastAsia="宋体" w:hint="default"/>
                <w:sz w:val="15"/>
                <w:szCs w:val="15"/>
              </w:rPr>
              <w:t>参考市</w:t>
            </w:r>
            <w:r>
              <w:rPr>
                <w:rFonts w:ascii="宋体" w:hAnsi="宋体" w:cs="宋体" w:eastAsia="宋体" w:hint="default"/>
                <w:spacing w:val="-72"/>
                <w:sz w:val="15"/>
                <w:szCs w:val="15"/>
              </w:rPr>
              <w:t> </w:t>
            </w:r>
            <w:r>
              <w:rPr>
                <w:rFonts w:ascii="宋体" w:hAnsi="宋体" w:cs="宋体" w:eastAsia="宋体" w:hint="default"/>
                <w:sz w:val="15"/>
                <w:szCs w:val="15"/>
              </w:rPr>
              <w:t>场价格</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
              <w:jc w:val="right"/>
              <w:rPr>
                <w:rFonts w:ascii="Times New Roman" w:hAnsi="Times New Roman" w:cs="Times New Roman" w:eastAsia="Times New Roman" w:hint="default"/>
                <w:sz w:val="15"/>
                <w:szCs w:val="15"/>
              </w:rPr>
            </w:pPr>
            <w:r>
              <w:rPr>
                <w:rFonts w:ascii="Times New Roman"/>
                <w:spacing w:val="-1"/>
                <w:sz w:val="15"/>
              </w:rPr>
              <w:t>552.26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6"/>
              <w:jc w:val="right"/>
              <w:rPr>
                <w:rFonts w:ascii="Times New Roman" w:hAnsi="Times New Roman" w:cs="Times New Roman" w:eastAsia="Times New Roman" w:hint="default"/>
                <w:sz w:val="15"/>
                <w:szCs w:val="15"/>
              </w:rPr>
            </w:pPr>
            <w:r>
              <w:rPr>
                <w:rFonts w:ascii="Times New Roman"/>
                <w:spacing w:val="-1"/>
                <w:sz w:val="15"/>
              </w:rPr>
              <w:t>0.01%</w:t>
            </w:r>
          </w:p>
        </w:tc>
        <w:tc>
          <w:tcPr>
            <w:tcW w:w="80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0"/>
              <w:jc w:val="center"/>
              <w:rPr>
                <w:rFonts w:ascii="Times New Roman" w:hAnsi="Times New Roman" w:cs="Times New Roman" w:eastAsia="Times New Roman" w:hint="default"/>
                <w:sz w:val="15"/>
                <w:szCs w:val="15"/>
              </w:rPr>
            </w:pPr>
            <w:r>
              <w:rPr>
                <w:rFonts w:ascii="Times New Roman"/>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 w:right="104"/>
              <w:jc w:val="left"/>
              <w:rPr>
                <w:rFonts w:ascii="宋体" w:hAnsi="宋体" w:cs="宋体" w:eastAsia="宋体" w:hint="default"/>
                <w:sz w:val="15"/>
                <w:szCs w:val="15"/>
              </w:rPr>
            </w:pPr>
            <w:r>
              <w:rPr>
                <w:rFonts w:ascii="宋体" w:hAnsi="宋体" w:cs="宋体" w:eastAsia="宋体" w:hint="default"/>
                <w:sz w:val="15"/>
                <w:szCs w:val="15"/>
              </w:rPr>
              <w:t>根据合同</w:t>
            </w:r>
            <w:r>
              <w:rPr>
                <w:rFonts w:ascii="宋体" w:hAnsi="宋体" w:cs="宋体" w:eastAsia="宋体" w:hint="default"/>
                <w:w w:val="100"/>
                <w:sz w:val="15"/>
                <w:szCs w:val="15"/>
              </w:rPr>
              <w:t> </w:t>
            </w:r>
            <w:r>
              <w:rPr>
                <w:rFonts w:ascii="宋体" w:hAnsi="宋体" w:cs="宋体" w:eastAsia="宋体" w:hint="default"/>
                <w:sz w:val="15"/>
                <w:szCs w:val="15"/>
              </w:rPr>
              <w:t>约定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73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pacing w:val="-2"/>
                <w:sz w:val="15"/>
              </w:rPr>
              <w:t>500,311.85</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pacing w:val="-1"/>
                <w:sz w:val="15"/>
              </w:rPr>
              <w:t>494,565.09</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6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00"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4" w:lineRule="auto"/>
              <w:ind w:left="2" w:right="-33"/>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 额预计的，在报告期内的实际履行情况（如有）</w:t>
            </w:r>
          </w:p>
        </w:tc>
        <w:tc>
          <w:tcPr>
            <w:tcW w:w="76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 w:right="0"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日公司第六届董事会、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 东大会审议，通过公司《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年度日常关联交易预计》事宜。鉴于长城电脑及下属子公司开展日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常生产运营的需要，预计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年将涉及向关联方采购原材料及产成品、销售电脑及外设等商品、</w:t>
            </w:r>
          </w:p>
          <w:p>
            <w:pPr>
              <w:pStyle w:val="TableParagraph"/>
              <w:spacing w:line="240" w:lineRule="auto" w:before="13"/>
              <w:ind w:left="-1" w:right="-41"/>
              <w:jc w:val="left"/>
              <w:rPr>
                <w:rFonts w:ascii="宋体" w:hAnsi="宋体" w:cs="宋体" w:eastAsia="宋体" w:hint="default"/>
                <w:sz w:val="18"/>
                <w:szCs w:val="18"/>
              </w:rPr>
            </w:pPr>
            <w:r>
              <w:rPr>
                <w:rFonts w:ascii="宋体" w:hAnsi="宋体" w:cs="宋体" w:eastAsia="宋体" w:hint="default"/>
                <w:sz w:val="18"/>
                <w:szCs w:val="18"/>
              </w:rPr>
              <w:t>接受关联方提供的劳务、向关联方提供劳务、商标使用许可等（具体内容详见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公告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4"/>
              <w:ind w:left="359" w:right="0"/>
              <w:jc w:val="left"/>
              <w:rPr>
                <w:rFonts w:ascii="宋体" w:hAnsi="宋体" w:cs="宋体" w:eastAsia="宋体" w:hint="default"/>
                <w:sz w:val="18"/>
                <w:szCs w:val="18"/>
              </w:rPr>
            </w:pPr>
            <w:r>
              <w:rPr>
                <w:rFonts w:ascii="宋体" w:hAnsi="宋体" w:cs="宋体" w:eastAsia="宋体" w:hint="default"/>
                <w:sz w:val="18"/>
                <w:szCs w:val="18"/>
              </w:rPr>
              <w:t>母公司采购类日常关联交易全年预计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33,700 </w:t>
            </w:r>
            <w:r>
              <w:rPr>
                <w:rFonts w:ascii="宋体" w:hAnsi="宋体" w:cs="宋体" w:eastAsia="宋体" w:hint="default"/>
                <w:sz w:val="18"/>
                <w:szCs w:val="18"/>
              </w:rPr>
              <w:t>万元，报告期实发金额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25,658.75 </w:t>
            </w:r>
            <w:r>
              <w:rPr>
                <w:rFonts w:ascii="宋体" w:hAnsi="宋体" w:cs="宋体" w:eastAsia="宋体" w:hint="default"/>
                <w:sz w:val="18"/>
                <w:szCs w:val="18"/>
              </w:rPr>
              <w:t>万元；</w:t>
            </w:r>
          </w:p>
          <w:p>
            <w:pPr>
              <w:pStyle w:val="TableParagraph"/>
              <w:spacing w:line="240" w:lineRule="auto" w:before="103"/>
              <w:ind w:left="359" w:right="0"/>
              <w:jc w:val="left"/>
              <w:rPr>
                <w:rFonts w:ascii="宋体" w:hAnsi="宋体" w:cs="宋体" w:eastAsia="宋体" w:hint="default"/>
                <w:sz w:val="18"/>
                <w:szCs w:val="18"/>
              </w:rPr>
            </w:pPr>
            <w:r>
              <w:rPr>
                <w:rFonts w:ascii="宋体" w:hAnsi="宋体" w:cs="宋体" w:eastAsia="宋体" w:hint="default"/>
                <w:sz w:val="18"/>
                <w:szCs w:val="18"/>
              </w:rPr>
              <w:t>母公司销售类日常关联交易全年预计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50,500 </w:t>
            </w:r>
            <w:r>
              <w:rPr>
                <w:rFonts w:ascii="宋体" w:hAnsi="宋体" w:cs="宋体" w:eastAsia="宋体" w:hint="default"/>
                <w:sz w:val="18"/>
                <w:szCs w:val="18"/>
              </w:rPr>
              <w:t>万元，报告期实发金额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23,599.80 </w:t>
            </w:r>
            <w:r>
              <w:rPr>
                <w:rFonts w:ascii="宋体" w:hAnsi="宋体" w:cs="宋体" w:eastAsia="宋体" w:hint="default"/>
                <w:sz w:val="18"/>
                <w:szCs w:val="18"/>
              </w:rPr>
              <w:t>万元；</w:t>
            </w:r>
          </w:p>
          <w:p>
            <w:pPr>
              <w:pStyle w:val="TableParagraph"/>
              <w:spacing w:line="240" w:lineRule="auto" w:before="101"/>
              <w:ind w:left="359" w:right="0"/>
              <w:jc w:val="left"/>
              <w:rPr>
                <w:rFonts w:ascii="宋体" w:hAnsi="宋体" w:cs="宋体" w:eastAsia="宋体" w:hint="default"/>
                <w:sz w:val="18"/>
                <w:szCs w:val="18"/>
              </w:rPr>
            </w:pPr>
            <w:r>
              <w:rPr>
                <w:rFonts w:ascii="宋体" w:hAnsi="宋体" w:cs="宋体" w:eastAsia="宋体" w:hint="default"/>
                <w:sz w:val="18"/>
                <w:szCs w:val="18"/>
              </w:rPr>
              <w:t>母公司劳务类日常关联交易全年预计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万元，报告期实发金额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3"/>
              <w:ind w:left="-1" w:right="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）上表提及的“子公司联营企业”均为冠捷科技的联营企业，除此之外与本公司并无其他 关联关系，未构成境内上市规则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条规定之关联法人；</w:t>
            </w:r>
          </w:p>
          <w:p>
            <w:pPr>
              <w:pStyle w:val="TableParagraph"/>
              <w:spacing w:line="300" w:lineRule="auto" w:before="53"/>
              <w:ind w:left="-1" w:right="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）上表列示的为报告期内累计金额较大的日常关联交易事项，关于其他关联交易的情况详 </w:t>
            </w:r>
            <w:r>
              <w:rPr>
                <w:rFonts w:ascii="宋体" w:hAnsi="宋体" w:cs="宋体" w:eastAsia="宋体" w:hint="default"/>
                <w:spacing w:val="-4"/>
                <w:sz w:val="18"/>
                <w:szCs w:val="18"/>
              </w:rPr>
              <w:t>见第十节中“财务报表附注”中的“关联方及关联交易”；</w:t>
            </w:r>
          </w:p>
          <w:p>
            <w:pPr>
              <w:pStyle w:val="TableParagraph"/>
              <w:spacing w:line="300" w:lineRule="auto" w:before="70"/>
              <w:ind w:left="-1" w:right="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）其他部分未填写“获批的交易额度”的关联交易是①在公司与实际控制人中国电子年初 签署的年度关联交易框架协议项下进行的，采购类年度交易额度为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万元、销售类年度交易额</w:t>
            </w:r>
          </w:p>
          <w:p>
            <w:pPr>
              <w:pStyle w:val="TableParagraph"/>
              <w:spacing w:line="240" w:lineRule="auto" w:before="13"/>
              <w:ind w:left="-1" w:right="0"/>
              <w:jc w:val="left"/>
              <w:rPr>
                <w:rFonts w:ascii="宋体" w:hAnsi="宋体" w:cs="宋体" w:eastAsia="宋体" w:hint="default"/>
                <w:sz w:val="18"/>
                <w:szCs w:val="18"/>
              </w:rPr>
            </w:pPr>
            <w:r>
              <w:rPr>
                <w:rFonts w:ascii="宋体" w:hAnsi="宋体" w:cs="宋体" w:eastAsia="宋体" w:hint="default"/>
                <w:sz w:val="18"/>
                <w:szCs w:val="18"/>
              </w:rPr>
              <w:t>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万元、劳务类年度交易额度为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万元；②桑菲通信被收购前已存续的业务。</w:t>
            </w:r>
          </w:p>
        </w:tc>
      </w:tr>
      <w:tr>
        <w:trPr>
          <w:trHeight w:val="716" w:hRule="exact"/>
        </w:trPr>
        <w:tc>
          <w:tcPr>
            <w:tcW w:w="3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 w:right="1"/>
              <w:jc w:val="left"/>
              <w:rPr>
                <w:rFonts w:ascii="宋体" w:hAnsi="宋体" w:cs="宋体" w:eastAsia="宋体" w:hint="default"/>
                <w:sz w:val="18"/>
                <w:szCs w:val="18"/>
              </w:rPr>
            </w:pPr>
            <w:r>
              <w:rPr>
                <w:rFonts w:ascii="宋体" w:hAnsi="宋体" w:cs="宋体" w:eastAsia="宋体" w:hint="default"/>
                <w:spacing w:val="-2"/>
                <w:sz w:val="18"/>
                <w:szCs w:val="18"/>
              </w:rPr>
              <w:t>交易价格与市场参考价格差异较大的原因（如适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w:t>
            </w:r>
          </w:p>
        </w:tc>
        <w:tc>
          <w:tcPr>
            <w:tcW w:w="76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80" w:top="1100" w:bottom="1160" w:left="120" w:right="120"/>
        </w:sectPr>
      </w:pPr>
    </w:p>
    <w:p>
      <w:pPr>
        <w:spacing w:line="240" w:lineRule="auto" w:before="0"/>
        <w:rPr>
          <w:rFonts w:ascii="Times New Roman" w:hAnsi="Times New Roman" w:cs="Times New Roman" w:eastAsia="Times New Roman" w:hint="default"/>
          <w:sz w:val="20"/>
          <w:szCs w:val="20"/>
        </w:rPr>
      </w:pPr>
    </w:p>
    <w:p>
      <w:pPr>
        <w:pStyle w:val="Heading8"/>
        <w:spacing w:line="240" w:lineRule="auto" w:before="160"/>
        <w:ind w:left="1052"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pStyle w:val="BodyText"/>
        <w:spacing w:line="240" w:lineRule="auto" w:before="160"/>
        <w:ind w:left="1052" w:right="0"/>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16"/>
        <w:jc w:val="right"/>
      </w:pPr>
      <w:r>
        <w:rPr/>
        <w:pict>
          <v:shape style="position:absolute;margin-left:9.24pt;margin-top:-229.238281pt;width:577.1pt;height:266.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2"/>
                    <w:gridCol w:w="720"/>
                    <w:gridCol w:w="720"/>
                    <w:gridCol w:w="1801"/>
                    <w:gridCol w:w="1080"/>
                    <w:gridCol w:w="740"/>
                    <w:gridCol w:w="797"/>
                    <w:gridCol w:w="799"/>
                    <w:gridCol w:w="795"/>
                    <w:gridCol w:w="799"/>
                    <w:gridCol w:w="931"/>
                    <w:gridCol w:w="814"/>
                  </w:tblGrid>
                  <w:tr>
                    <w:trPr>
                      <w:trHeight w:val="986"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3"/>
                            <w:szCs w:val="13"/>
                          </w:rPr>
                        </w:pPr>
                      </w:p>
                      <w:p>
                        <w:pPr>
                          <w:pStyle w:val="TableParagraph"/>
                          <w:spacing w:line="340" w:lineRule="auto"/>
                          <w:ind w:left="177" w:right="17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9"/>
                          <w:ind w:left="2" w:right="0" w:firstLine="4"/>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9"/>
                          <w:ind w:left="2" w:right="29" w:firstLine="33"/>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6"/>
                            <w:sz w:val="18"/>
                            <w:szCs w:val="18"/>
                          </w:rPr>
                          <w:t>值（万元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33" w:right="2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81" w:lineRule="auto"/>
                          <w:ind w:left="2" w:right="15"/>
                          <w:jc w:val="left"/>
                          <w:rPr>
                            <w:rFonts w:ascii="宋体" w:hAnsi="宋体" w:cs="宋体" w:eastAsia="宋体" w:hint="default"/>
                            <w:sz w:val="15"/>
                            <w:szCs w:val="15"/>
                          </w:rPr>
                        </w:pPr>
                        <w:r>
                          <w:rPr>
                            <w:rFonts w:ascii="宋体" w:hAnsi="宋体" w:cs="宋体" w:eastAsia="宋体" w:hint="default"/>
                            <w:spacing w:val="-2"/>
                            <w:sz w:val="15"/>
                            <w:szCs w:val="15"/>
                          </w:rPr>
                          <w:t>中电信息技术研究院有</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81" w:lineRule="auto"/>
                          <w:ind w:left="2" w:right="103"/>
                          <w:jc w:val="left"/>
                          <w:rPr>
                            <w:rFonts w:ascii="宋体" w:hAnsi="宋体" w:cs="宋体" w:eastAsia="宋体" w:hint="default"/>
                            <w:sz w:val="15"/>
                            <w:szCs w:val="15"/>
                          </w:rPr>
                        </w:pPr>
                        <w:r>
                          <w:rPr>
                            <w:rFonts w:ascii="宋体" w:hAnsi="宋体" w:cs="宋体" w:eastAsia="宋体" w:hint="default"/>
                            <w:sz w:val="15"/>
                            <w:szCs w:val="15"/>
                          </w:rPr>
                          <w:t>同一实际</w:t>
                        </w:r>
                        <w:r>
                          <w:rPr>
                            <w:rFonts w:ascii="宋体" w:hAnsi="宋体" w:cs="宋体" w:eastAsia="宋体" w:hint="default"/>
                            <w:w w:val="100"/>
                            <w:sz w:val="15"/>
                            <w:szCs w:val="15"/>
                          </w:rPr>
                          <w:t> </w:t>
                        </w:r>
                        <w:r>
                          <w:rPr>
                            <w:rFonts w:ascii="宋体" w:hAnsi="宋体" w:cs="宋体" w:eastAsia="宋体" w:hint="default"/>
                            <w:sz w:val="15"/>
                            <w:szCs w:val="15"/>
                          </w:rPr>
                          <w:t>控制人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资产购买</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5"/>
                          <w:ind w:left="2" w:right="-5"/>
                          <w:jc w:val="both"/>
                          <w:rPr>
                            <w:rFonts w:ascii="宋体" w:hAnsi="宋体" w:cs="宋体" w:eastAsia="宋体" w:hint="default"/>
                            <w:sz w:val="15"/>
                            <w:szCs w:val="15"/>
                          </w:rPr>
                        </w:pPr>
                        <w:r>
                          <w:rPr>
                            <w:rFonts w:ascii="宋体" w:hAnsi="宋体" w:cs="宋体" w:eastAsia="宋体" w:hint="default"/>
                            <w:spacing w:val="10"/>
                            <w:sz w:val="15"/>
                            <w:szCs w:val="15"/>
                          </w:rPr>
                          <w:t>于北京未来科技城定制建</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筑面积约为 </w:t>
                        </w:r>
                        <w:r>
                          <w:rPr>
                            <w:rFonts w:ascii="Times New Roman" w:hAnsi="Times New Roman" w:cs="Times New Roman" w:eastAsia="Times New Roman" w:hint="default"/>
                            <w:sz w:val="15"/>
                            <w:szCs w:val="15"/>
                          </w:rPr>
                          <w:t>4,445</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平方米的</w:t>
                        </w:r>
                        <w:r>
                          <w:rPr>
                            <w:rFonts w:ascii="宋体" w:hAnsi="宋体" w:cs="宋体" w:eastAsia="宋体" w:hint="default"/>
                            <w:w w:val="100"/>
                            <w:sz w:val="15"/>
                            <w:szCs w:val="15"/>
                          </w:rPr>
                          <w:t> </w:t>
                        </w:r>
                        <w:r>
                          <w:rPr>
                            <w:rFonts w:ascii="宋体" w:hAnsi="宋体" w:cs="宋体" w:eastAsia="宋体" w:hint="default"/>
                            <w:sz w:val="15"/>
                            <w:szCs w:val="15"/>
                          </w:rPr>
                          <w:t>科研办公室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81" w:lineRule="auto"/>
                          <w:ind w:left="2" w:right="12"/>
                          <w:jc w:val="left"/>
                          <w:rPr>
                            <w:rFonts w:ascii="宋体" w:hAnsi="宋体" w:cs="宋体" w:eastAsia="宋体" w:hint="default"/>
                            <w:sz w:val="15"/>
                            <w:szCs w:val="15"/>
                          </w:rPr>
                        </w:pPr>
                        <w:r>
                          <w:rPr>
                            <w:rFonts w:ascii="宋体" w:hAnsi="宋体" w:cs="宋体" w:eastAsia="宋体" w:hint="default"/>
                            <w:sz w:val="15"/>
                            <w:szCs w:val="15"/>
                          </w:rPr>
                          <w:t>以房屋结算造价</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作为交易价款</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5"/>
                            <w:szCs w:val="15"/>
                          </w:rPr>
                        </w:pPr>
                        <w:r>
                          <w:rPr>
                            <w:rFonts w:ascii="Times New Roman"/>
                            <w:spacing w:val="-1"/>
                            <w:sz w:val="15"/>
                          </w:rPr>
                          <w:t>5,778.50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5,778.50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转账结算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35"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2013-044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1296"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5"/>
                          <w:ind w:left="2" w:right="15"/>
                          <w:jc w:val="left"/>
                          <w:rPr>
                            <w:rFonts w:ascii="宋体" w:hAnsi="宋体" w:cs="宋体" w:eastAsia="宋体" w:hint="default"/>
                            <w:sz w:val="15"/>
                            <w:szCs w:val="15"/>
                          </w:rPr>
                        </w:pPr>
                        <w:r>
                          <w:rPr>
                            <w:rFonts w:ascii="宋体" w:hAnsi="宋体" w:cs="宋体" w:eastAsia="宋体" w:hint="default"/>
                            <w:spacing w:val="-2"/>
                            <w:sz w:val="15"/>
                            <w:szCs w:val="15"/>
                          </w:rPr>
                          <w:t>中国中电国际信息服务</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有限公司、桑菲（</w:t>
                        </w:r>
                        <w:r>
                          <w:rPr>
                            <w:rFonts w:ascii="Times New Roman" w:hAnsi="Times New Roman" w:cs="Times New Roman" w:eastAsia="Times New Roman" w:hint="default"/>
                            <w:spacing w:val="-3"/>
                            <w:sz w:val="15"/>
                            <w:szCs w:val="15"/>
                          </w:rPr>
                          <w:t>BVI</w:t>
                        </w:r>
                        <w:r>
                          <w:rPr>
                            <w:rFonts w:ascii="Times New Roman" w:hAnsi="Times New Roman" w:cs="Times New Roman" w:eastAsia="Times New Roman" w:hint="default"/>
                            <w:spacing w:val="-16"/>
                            <w:sz w:val="15"/>
                            <w:szCs w:val="15"/>
                          </w:rPr>
                          <w:t> </w:t>
                        </w:r>
                        <w:r>
                          <w:rPr>
                            <w:rFonts w:ascii="Times New Roman" w:hAnsi="Times New Roman" w:cs="Times New Roman" w:eastAsia="Times New Roman" w:hint="default"/>
                            <w:spacing w:val="-16"/>
                            <w:sz w:val="15"/>
                            <w:szCs w:val="15"/>
                          </w:rPr>
                        </w:r>
                        <w:r>
                          <w:rPr>
                            <w:rFonts w:ascii="宋体" w:hAnsi="宋体" w:cs="宋体" w:eastAsia="宋体" w:hint="default"/>
                            <w:spacing w:val="-2"/>
                            <w:sz w:val="15"/>
                            <w:szCs w:val="15"/>
                          </w:rPr>
                          <w:t>有限公司、深圳市桑达</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实业股份有限公司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81" w:lineRule="auto"/>
                          <w:ind w:left="2" w:right="103"/>
                          <w:jc w:val="left"/>
                          <w:rPr>
                            <w:rFonts w:ascii="宋体" w:hAnsi="宋体" w:cs="宋体" w:eastAsia="宋体" w:hint="default"/>
                            <w:sz w:val="15"/>
                            <w:szCs w:val="15"/>
                          </w:rPr>
                        </w:pPr>
                        <w:r>
                          <w:rPr>
                            <w:rFonts w:ascii="宋体" w:hAnsi="宋体" w:cs="宋体" w:eastAsia="宋体" w:hint="default"/>
                            <w:sz w:val="15"/>
                            <w:szCs w:val="15"/>
                          </w:rPr>
                          <w:t>同一实际</w:t>
                        </w:r>
                        <w:r>
                          <w:rPr>
                            <w:rFonts w:ascii="宋体" w:hAnsi="宋体" w:cs="宋体" w:eastAsia="宋体" w:hint="default"/>
                            <w:w w:val="100"/>
                            <w:sz w:val="15"/>
                            <w:szCs w:val="15"/>
                          </w:rPr>
                          <w:t> </w:t>
                        </w:r>
                        <w:r>
                          <w:rPr>
                            <w:rFonts w:ascii="宋体" w:hAnsi="宋体" w:cs="宋体" w:eastAsia="宋体" w:hint="default"/>
                            <w:sz w:val="15"/>
                            <w:szCs w:val="15"/>
                          </w:rPr>
                          <w:t>控制人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 w:right="0"/>
                          <w:jc w:val="left"/>
                          <w:rPr>
                            <w:rFonts w:ascii="宋体" w:hAnsi="宋体" w:cs="宋体" w:eastAsia="宋体" w:hint="default"/>
                            <w:sz w:val="15"/>
                            <w:szCs w:val="15"/>
                          </w:rPr>
                        </w:pPr>
                        <w:r>
                          <w:rPr>
                            <w:rFonts w:ascii="宋体" w:hAnsi="宋体" w:cs="宋体" w:eastAsia="宋体" w:hint="default"/>
                            <w:sz w:val="15"/>
                            <w:szCs w:val="15"/>
                          </w:rPr>
                          <w:t>股权收购</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72" w:lineRule="auto"/>
                          <w:ind w:left="2" w:right="-6"/>
                          <w:jc w:val="both"/>
                          <w:rPr>
                            <w:rFonts w:ascii="宋体" w:hAnsi="宋体" w:cs="宋体" w:eastAsia="宋体" w:hint="default"/>
                            <w:sz w:val="15"/>
                            <w:szCs w:val="15"/>
                          </w:rPr>
                        </w:pPr>
                        <w:r>
                          <w:rPr>
                            <w:rFonts w:ascii="宋体" w:hAnsi="宋体" w:cs="宋体" w:eastAsia="宋体" w:hint="default"/>
                            <w:spacing w:val="10"/>
                            <w:sz w:val="15"/>
                            <w:szCs w:val="15"/>
                          </w:rPr>
                          <w:t>收购三家公司分别所持有</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的桑菲通信</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94.15%</w:t>
                        </w:r>
                        <w:r>
                          <w:rPr>
                            <w:rFonts w:ascii="宋体" w:hAnsi="宋体" w:cs="宋体" w:eastAsia="宋体" w:hint="default"/>
                            <w:sz w:val="15"/>
                            <w:szCs w:val="15"/>
                          </w:rPr>
                          <w:t>、</w:t>
                        </w:r>
                        <w:r>
                          <w:rPr>
                            <w:rFonts w:ascii="Times New Roman" w:hAnsi="Times New Roman" w:cs="Times New Roman" w:eastAsia="Times New Roman" w:hint="default"/>
                            <w:sz w:val="15"/>
                            <w:szCs w:val="15"/>
                          </w:rPr>
                          <w:t>5.07%</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和</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0.78%</w:t>
                        </w:r>
                        <w:r>
                          <w:rPr>
                            <w:rFonts w:ascii="宋体" w:hAnsi="宋体" w:cs="宋体" w:eastAsia="宋体" w:hint="default"/>
                            <w:sz w:val="15"/>
                            <w:szCs w:val="15"/>
                          </w:rPr>
                          <w:t>合计共</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100%</w:t>
                        </w:r>
                        <w:r>
                          <w:rPr>
                            <w:rFonts w:ascii="宋体" w:hAnsi="宋体" w:cs="宋体" w:eastAsia="宋体" w:hint="default"/>
                            <w:sz w:val="15"/>
                            <w:szCs w:val="15"/>
                          </w:rPr>
                          <w:t>股权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以基准日</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2014</w:t>
                        </w:r>
                      </w:p>
                      <w:p>
                        <w:pPr>
                          <w:pStyle w:val="TableParagraph"/>
                          <w:spacing w:line="372" w:lineRule="auto" w:before="102"/>
                          <w:ind w:left="2" w:right="-5"/>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月</w:t>
                        </w:r>
                        <w:r>
                          <w:rPr>
                            <w:rFonts w:ascii="宋体" w:hAnsi="宋体" w:cs="宋体" w:eastAsia="宋体" w:hint="default"/>
                            <w:spacing w:val="-54"/>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日的审</w:t>
                        </w:r>
                        <w:r>
                          <w:rPr>
                            <w:rFonts w:ascii="宋体" w:hAnsi="宋体" w:cs="宋体" w:eastAsia="宋体" w:hint="default"/>
                            <w:w w:val="100"/>
                            <w:sz w:val="15"/>
                            <w:szCs w:val="15"/>
                          </w:rPr>
                          <w:t> </w:t>
                        </w:r>
                        <w:r>
                          <w:rPr>
                            <w:rFonts w:ascii="宋体" w:hAnsi="宋体" w:cs="宋体" w:eastAsia="宋体" w:hint="default"/>
                            <w:sz w:val="15"/>
                            <w:szCs w:val="15"/>
                          </w:rPr>
                          <w:t>计、评估结果为</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基础协商确定</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4,407.89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63" w:right="-4"/>
                          <w:jc w:val="left"/>
                          <w:rPr>
                            <w:rFonts w:ascii="Times New Roman" w:hAnsi="Times New Roman" w:cs="Times New Roman" w:eastAsia="Times New Roman" w:hint="default"/>
                            <w:sz w:val="15"/>
                            <w:szCs w:val="15"/>
                          </w:rPr>
                        </w:pPr>
                        <w:r>
                          <w:rPr>
                            <w:rFonts w:ascii="Times New Roman"/>
                            <w:sz w:val="15"/>
                          </w:rPr>
                          <w:t>4,499.53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4,500.00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转账结算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10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2015-033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240" w:lineRule="auto" w:before="104"/>
                          <w:ind w:left="2" w:right="0"/>
                          <w:jc w:val="left"/>
                          <w:rPr>
                            <w:rFonts w:ascii="宋体" w:hAnsi="宋体" w:cs="宋体" w:eastAsia="宋体" w:hint="default"/>
                            <w:sz w:val="15"/>
                            <w:szCs w:val="15"/>
                          </w:rPr>
                        </w:pPr>
                        <w:r>
                          <w:rPr>
                            <w:rFonts w:ascii="宋体" w:hAnsi="宋体" w:cs="宋体" w:eastAsia="宋体" w:hint="default"/>
                            <w:sz w:val="15"/>
                            <w:szCs w:val="15"/>
                          </w:rPr>
                          <w:t>公告</w:t>
                        </w:r>
                      </w:p>
                    </w:tc>
                  </w:tr>
                  <w:tr>
                    <w:trPr>
                      <w:trHeight w:val="363" w:hRule="exact"/>
                    </w:trPr>
                    <w:tc>
                      <w:tcPr>
                        <w:tcW w:w="47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转让价格与账面价值或评估价值差异较大的原因（如有）</w:t>
                        </w:r>
                      </w:p>
                    </w:tc>
                    <w:tc>
                      <w:tcPr>
                        <w:tcW w:w="67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19" w:hRule="exact"/>
                    </w:trPr>
                    <w:tc>
                      <w:tcPr>
                        <w:tcW w:w="47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755" w:type="dxa"/>
                        <w:gridSpan w:val="8"/>
                        <w:tcBorders>
                          <w:top w:val="single" w:sz="4" w:space="0" w:color="000000"/>
                          <w:left w:val="single" w:sz="4" w:space="0" w:color="000000"/>
                          <w:bottom w:val="single" w:sz="4" w:space="0" w:color="000000"/>
                          <w:right w:val="single" w:sz="4" w:space="0" w:color="000000"/>
                        </w:tcBorders>
                      </w:tcPr>
                      <w:p>
                        <w:pPr>
                          <w:pStyle w:val="TableParagraph"/>
                          <w:spacing w:line="302" w:lineRule="auto" w:before="29"/>
                          <w:ind w:left="2" w:right="-2"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）与中电研究院签署《房屋定制协议》，报告期内已完成，具体内容详见第四</w:t>
                        </w:r>
                        <w:r>
                          <w:rPr>
                            <w:rFonts w:ascii="宋体" w:hAnsi="宋体" w:cs="宋体" w:eastAsia="宋体" w:hint="default"/>
                            <w:spacing w:val="2"/>
                            <w:sz w:val="18"/>
                            <w:szCs w:val="18"/>
                          </w:rPr>
                          <w:t> </w:t>
                        </w:r>
                        <w:r>
                          <w:rPr>
                            <w:rFonts w:ascii="宋体" w:hAnsi="宋体" w:cs="宋体" w:eastAsia="宋体" w:hint="default"/>
                            <w:sz w:val="18"/>
                            <w:szCs w:val="18"/>
                          </w:rPr>
                          <w:t>节</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报告期内正在进行的重大的非股权投资情况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pStyle w:val="TableParagraph"/>
                          <w:spacing w:line="302" w:lineRule="auto" w:before="28"/>
                          <w:ind w:left="2" w:right="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）子公司冠捷科技下属公司收购桑菲通信</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股权暨关联交易事宜，报告期 内已完成，具体内容详见第四节</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报告期内获取的重大的股权投资情况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tc>
                  </w:tr>
                  <w:tr>
                    <w:trPr>
                      <w:trHeight w:val="361" w:hRule="exact"/>
                    </w:trPr>
                    <w:tc>
                      <w:tcPr>
                        <w:tcW w:w="47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如相关交易涉及业绩约定的，报告期内的业绩实现情况</w:t>
                        </w:r>
                      </w:p>
                    </w:tc>
                    <w:tc>
                      <w:tcPr>
                        <w:tcW w:w="67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8"/>
        <w:spacing w:line="240" w:lineRule="auto" w:before="36"/>
        <w:ind w:left="1052"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pStyle w:val="BodyText"/>
        <w:spacing w:line="240" w:lineRule="auto" w:before="162"/>
        <w:ind w:left="1052"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2141"/>
        <w:gridCol w:w="1923"/>
        <w:gridCol w:w="1306"/>
        <w:gridCol w:w="1354"/>
        <w:gridCol w:w="806"/>
        <w:gridCol w:w="1265"/>
        <w:gridCol w:w="1255"/>
        <w:gridCol w:w="1260"/>
      </w:tblGrid>
      <w:tr>
        <w:trPr>
          <w:trHeight w:val="987"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470" w:right="103" w:hanging="360"/>
              <w:jc w:val="left"/>
              <w:rPr>
                <w:rFonts w:ascii="宋体" w:hAnsi="宋体" w:cs="宋体" w:eastAsia="宋体" w:hint="default"/>
                <w:sz w:val="18"/>
                <w:szCs w:val="18"/>
              </w:rPr>
            </w:pPr>
            <w:r>
              <w:rPr>
                <w:rFonts w:ascii="宋体" w:hAnsi="宋体" w:cs="宋体" w:eastAsia="宋体" w:hint="default"/>
                <w:sz w:val="18"/>
                <w:szCs w:val="18"/>
              </w:rPr>
              <w:t>被投资企业的 名称</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3"/>
                <w:szCs w:val="13"/>
              </w:rPr>
            </w:pPr>
          </w:p>
          <w:p>
            <w:pPr>
              <w:pStyle w:val="TableParagraph"/>
              <w:spacing w:line="340" w:lineRule="auto"/>
              <w:ind w:left="311" w:right="130"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38" w:right="36"/>
              <w:jc w:val="center"/>
              <w:rPr>
                <w:rFonts w:ascii="宋体" w:hAnsi="宋体" w:cs="宋体" w:eastAsia="宋体" w:hint="default"/>
                <w:sz w:val="18"/>
                <w:szCs w:val="18"/>
              </w:rPr>
            </w:pPr>
            <w:r>
              <w:rPr>
                <w:rFonts w:ascii="宋体" w:hAnsi="宋体" w:cs="宋体" w:eastAsia="宋体" w:hint="default"/>
                <w:sz w:val="18"/>
                <w:szCs w:val="18"/>
              </w:rPr>
              <w:t>被投资企 业的注册 资本</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4" w:right="-29" w:firstLine="64"/>
              <w:jc w:val="left"/>
              <w:rPr>
                <w:rFonts w:ascii="宋体" w:hAnsi="宋体" w:cs="宋体" w:eastAsia="宋体" w:hint="default"/>
                <w:sz w:val="18"/>
                <w:szCs w:val="18"/>
              </w:rPr>
            </w:pPr>
            <w:r>
              <w:rPr>
                <w:rFonts w:ascii="宋体" w:hAnsi="宋体" w:cs="宋体" w:eastAsia="宋体" w:hint="default"/>
                <w:sz w:val="18"/>
                <w:szCs w:val="18"/>
              </w:rPr>
              <w:t>被投资企业的 总资产（万元）</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4" w:right="-39" w:firstLine="57"/>
              <w:jc w:val="left"/>
              <w:rPr>
                <w:rFonts w:ascii="宋体" w:hAnsi="宋体" w:cs="宋体" w:eastAsia="宋体" w:hint="default"/>
                <w:sz w:val="18"/>
                <w:szCs w:val="18"/>
              </w:rPr>
            </w:pPr>
            <w:r>
              <w:rPr>
                <w:rFonts w:ascii="宋体" w:hAnsi="宋体" w:cs="宋体" w:eastAsia="宋体" w:hint="default"/>
                <w:sz w:val="18"/>
                <w:szCs w:val="18"/>
              </w:rPr>
              <w:t>被投资企业的 净资产（万元）</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4" w:right="-34" w:firstLine="62"/>
              <w:jc w:val="left"/>
              <w:rPr>
                <w:rFonts w:ascii="宋体" w:hAnsi="宋体" w:cs="宋体" w:eastAsia="宋体" w:hint="default"/>
                <w:sz w:val="18"/>
                <w:szCs w:val="18"/>
              </w:rPr>
            </w:pPr>
            <w:r>
              <w:rPr>
                <w:rFonts w:ascii="宋体" w:hAnsi="宋体" w:cs="宋体" w:eastAsia="宋体" w:hint="default"/>
                <w:sz w:val="18"/>
                <w:szCs w:val="18"/>
              </w:rPr>
              <w:t>被投资企业的 净利润（万元）</w:t>
            </w:r>
          </w:p>
        </w:tc>
      </w:tr>
      <w:tr>
        <w:trPr>
          <w:trHeight w:val="1922" w:hRule="exact"/>
        </w:trPr>
        <w:tc>
          <w:tcPr>
            <w:tcW w:w="2141"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29"/>
              <w:ind w:left="23" w:right="-29"/>
              <w:jc w:val="both"/>
              <w:rPr>
                <w:rFonts w:ascii="宋体" w:hAnsi="宋体" w:cs="宋体" w:eastAsia="宋体" w:hint="default"/>
                <w:sz w:val="18"/>
                <w:szCs w:val="18"/>
              </w:rPr>
            </w:pPr>
            <w:r>
              <w:rPr>
                <w:rFonts w:ascii="宋体" w:hAnsi="宋体" w:cs="宋体" w:eastAsia="宋体" w:hint="default"/>
                <w:spacing w:val="-8"/>
                <w:sz w:val="18"/>
                <w:szCs w:val="18"/>
              </w:rPr>
              <w:t>中国电子、南京中电熊猫信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息产业集团有限公司、南京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新工投资集团有限责任公</w:t>
            </w:r>
            <w:r>
              <w:rPr>
                <w:rFonts w:ascii="宋体" w:hAnsi="宋体" w:cs="宋体" w:eastAsia="宋体" w:hint="default"/>
                <w:spacing w:val="9"/>
                <w:sz w:val="18"/>
                <w:szCs w:val="18"/>
              </w:rPr>
              <w:t> </w:t>
            </w:r>
            <w:r>
              <w:rPr>
                <w:rFonts w:ascii="宋体" w:hAnsi="宋体" w:cs="宋体" w:eastAsia="宋体" w:hint="default"/>
                <w:spacing w:val="-3"/>
                <w:sz w:val="18"/>
                <w:szCs w:val="18"/>
              </w:rPr>
              <w:t>司、南京新港开发总公司、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夏普株式会社、南京华东电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子信息科技股份有限公司</w:t>
            </w:r>
          </w:p>
        </w:tc>
        <w:tc>
          <w:tcPr>
            <w:tcW w:w="1923"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29"/>
              <w:ind w:left="4" w:right="19"/>
              <w:jc w:val="both"/>
              <w:rPr>
                <w:rFonts w:ascii="宋体" w:hAnsi="宋体" w:cs="宋体" w:eastAsia="宋体" w:hint="default"/>
                <w:sz w:val="18"/>
                <w:szCs w:val="18"/>
              </w:rPr>
            </w:pPr>
            <w:r>
              <w:rPr>
                <w:rFonts w:ascii="宋体" w:hAnsi="宋体" w:cs="宋体" w:eastAsia="宋体" w:hint="default"/>
                <w:spacing w:val="7"/>
                <w:sz w:val="18"/>
                <w:szCs w:val="18"/>
              </w:rPr>
              <w:t>中国电子为公司实际控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制人；南京中电熊猫信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息产业集团有限公司、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南京华东电子信息科技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股份有限公司与公司为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同一实际控制人</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6" w:right="-13"/>
              <w:jc w:val="both"/>
              <w:rPr>
                <w:rFonts w:ascii="宋体" w:hAnsi="宋体" w:cs="宋体" w:eastAsia="宋体" w:hint="default"/>
                <w:sz w:val="18"/>
                <w:szCs w:val="18"/>
              </w:rPr>
            </w:pPr>
            <w:r>
              <w:rPr>
                <w:rFonts w:ascii="宋体" w:hAnsi="宋体" w:cs="宋体" w:eastAsia="宋体" w:hint="default"/>
                <w:spacing w:val="27"/>
                <w:sz w:val="18"/>
                <w:szCs w:val="18"/>
              </w:rPr>
              <w:t>南京中电熊猫</w:t>
            </w:r>
            <w:r>
              <w:rPr>
                <w:rFonts w:ascii="宋体" w:hAnsi="宋体" w:cs="宋体" w:eastAsia="宋体" w:hint="default"/>
                <w:spacing w:val="-88"/>
                <w:sz w:val="18"/>
                <w:szCs w:val="18"/>
              </w:rPr>
              <w:t> </w:t>
            </w:r>
            <w:r>
              <w:rPr>
                <w:rFonts w:ascii="宋体" w:hAnsi="宋体" w:cs="宋体" w:eastAsia="宋体" w:hint="default"/>
                <w:spacing w:val="27"/>
                <w:sz w:val="18"/>
                <w:szCs w:val="18"/>
              </w:rPr>
              <w:t>平板显示科技</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58"/>
              <w:jc w:val="left"/>
              <w:rPr>
                <w:rFonts w:ascii="宋体" w:hAnsi="宋体" w:cs="宋体" w:eastAsia="宋体" w:hint="default"/>
                <w:sz w:val="18"/>
                <w:szCs w:val="18"/>
              </w:rPr>
            </w:pPr>
            <w:r>
              <w:rPr>
                <w:rFonts w:ascii="宋体" w:hAnsi="宋体" w:cs="宋体" w:eastAsia="宋体" w:hint="default"/>
                <w:sz w:val="18"/>
                <w:szCs w:val="18"/>
              </w:rPr>
              <w:t>研发、生产和出 售</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TFT-LCD</w:t>
            </w:r>
            <w:r>
              <w:rPr>
                <w:rFonts w:ascii="Times New Roman" w:hAnsi="Times New Roman" w:cs="Times New Roman" w:eastAsia="Times New Roman" w:hint="default"/>
                <w:sz w:val="18"/>
                <w:szCs w:val="18"/>
              </w:rPr>
              <w:t> </w:t>
            </w:r>
            <w:r>
              <w:rPr>
                <w:rFonts w:ascii="宋体" w:hAnsi="宋体" w:cs="宋体" w:eastAsia="宋体" w:hint="default"/>
                <w:sz w:val="18"/>
                <w:szCs w:val="18"/>
              </w:rPr>
              <w:t>面</w:t>
            </w:r>
          </w:p>
          <w:p>
            <w:pPr>
              <w:pStyle w:val="TableParagraph"/>
              <w:spacing w:line="319" w:lineRule="auto" w:before="1"/>
              <w:ind w:left="23" w:right="58"/>
              <w:jc w:val="left"/>
              <w:rPr>
                <w:rFonts w:ascii="宋体" w:hAnsi="宋体" w:cs="宋体" w:eastAsia="宋体" w:hint="default"/>
                <w:sz w:val="18"/>
                <w:szCs w:val="18"/>
              </w:rPr>
            </w:pPr>
            <w:r>
              <w:rPr>
                <w:rFonts w:ascii="宋体" w:hAnsi="宋体" w:cs="宋体" w:eastAsia="宋体" w:hint="default"/>
                <w:sz w:val="18"/>
                <w:szCs w:val="18"/>
              </w:rPr>
              <w:t>板、彩色滤光片 和液晶整机模组</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00" w:lineRule="auto"/>
              <w:ind w:left="23"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175 </w:t>
            </w:r>
            <w:r>
              <w:rPr>
                <w:rFonts w:ascii="宋体" w:hAnsi="宋体" w:cs="宋体" w:eastAsia="宋体" w:hint="default"/>
                <w:sz w:val="18"/>
                <w:szCs w:val="18"/>
              </w:rPr>
              <w:t>亿元 人民币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88" w:right="0"/>
              <w:jc w:val="left"/>
              <w:rPr>
                <w:rFonts w:ascii="Times New Roman" w:hAnsi="Times New Roman" w:cs="Times New Roman" w:eastAsia="Times New Roman" w:hint="default"/>
                <w:sz w:val="18"/>
                <w:szCs w:val="18"/>
              </w:rPr>
            </w:pPr>
            <w:r>
              <w:rPr>
                <w:rFonts w:ascii="Times New Roman"/>
                <w:sz w:val="18"/>
              </w:rPr>
              <w:t>3,043,879.02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76" w:right="0"/>
              <w:jc w:val="left"/>
              <w:rPr>
                <w:rFonts w:ascii="Times New Roman" w:hAnsi="Times New Roman" w:cs="Times New Roman" w:eastAsia="Times New Roman" w:hint="default"/>
                <w:sz w:val="18"/>
                <w:szCs w:val="18"/>
              </w:rPr>
            </w:pPr>
            <w:r>
              <w:rPr>
                <w:rFonts w:ascii="Times New Roman"/>
                <w:sz w:val="18"/>
              </w:rPr>
              <w:t>1,755,765.40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604" w:right="0"/>
              <w:jc w:val="left"/>
              <w:rPr>
                <w:rFonts w:ascii="Times New Roman" w:hAnsi="Times New Roman" w:cs="Times New Roman" w:eastAsia="Times New Roman" w:hint="default"/>
                <w:sz w:val="18"/>
                <w:szCs w:val="18"/>
              </w:rPr>
            </w:pPr>
            <w:r>
              <w:rPr>
                <w:rFonts w:ascii="Times New Roman"/>
                <w:sz w:val="18"/>
              </w:rPr>
              <w:t>6,110.30</w:t>
            </w:r>
          </w:p>
        </w:tc>
      </w:tr>
      <w:tr>
        <w:trPr>
          <w:trHeight w:val="362" w:hRule="exact"/>
        </w:trPr>
        <w:tc>
          <w:tcPr>
            <w:tcW w:w="40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被投资企业的重大在建项目的进展情况（如有）</w:t>
            </w:r>
          </w:p>
        </w:tc>
        <w:tc>
          <w:tcPr>
            <w:tcW w:w="7247"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37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57" w:lineRule="auto" w:before="49"/>
        <w:ind w:left="1413" w:right="8043" w:hanging="361"/>
        <w:jc w:val="left"/>
        <w:rPr>
          <w:rFonts w:ascii="宋体" w:hAnsi="宋体" w:cs="宋体" w:eastAsia="宋体" w:hint="default"/>
          <w:sz w:val="18"/>
          <w:szCs w:val="18"/>
        </w:rPr>
      </w:pPr>
      <w:r>
        <w:rPr/>
        <w:pict>
          <v:group style="position:absolute;margin-left:122.779999pt;margin-top:-66.478287pt;width:94pt;height:15.6pt;mso-position-horizontal-relative:page;mso-position-vertical-relative:paragraph;z-index:-1193488" coordorigin="2456,-1330" coordsize="1880,312">
            <v:shape style="position:absolute;left:2456;top:-1330;width:1880;height:312" coordorigin="2456,-1330" coordsize="1880,312" path="m2456,-1018l4335,-1018,4335,-1330,2456,-1330,2456,-1018xe" filled="true" fillcolor="#ffffff" stroked="false">
              <v:path arrowok="t"/>
              <v:fill type="solid"/>
            </v:shape>
            <w10:wrap type="none"/>
          </v:group>
        </w:pict>
      </w:r>
      <w:r>
        <w:rPr>
          <w:rFonts w:ascii="宋体" w:hAnsi="宋体" w:cs="宋体" w:eastAsia="宋体" w:hint="default"/>
          <w:b/>
          <w:bCs/>
          <w:sz w:val="18"/>
          <w:szCs w:val="18"/>
        </w:rPr>
        <w:t>共同对外投资的关联交易情况说明</w:t>
      </w:r>
      <w:r>
        <w:rPr>
          <w:rFonts w:ascii="宋体" w:hAnsi="宋体" w:cs="宋体" w:eastAsia="宋体" w:hint="default"/>
          <w:b/>
          <w:bCs/>
          <w:w w:val="99"/>
          <w:sz w:val="18"/>
          <w:szCs w:val="18"/>
        </w:rPr>
        <w:t> </w:t>
      </w:r>
      <w:r>
        <w:rPr>
          <w:rFonts w:ascii="宋体" w:hAnsi="宋体" w:cs="宋体" w:eastAsia="宋体" w:hint="default"/>
          <w:sz w:val="18"/>
          <w:szCs w:val="18"/>
        </w:rPr>
        <w:t>“熊猫平板变更”项目</w:t>
      </w:r>
    </w:p>
    <w:p>
      <w:pPr>
        <w:pStyle w:val="BodyText"/>
        <w:spacing w:line="309" w:lineRule="auto" w:before="29"/>
        <w:ind w:left="1052" w:right="1132" w:firstLine="360"/>
        <w:jc w:val="both"/>
      </w:pPr>
      <w:r>
        <w:rPr/>
        <w:t>公司第五届董事会曾于</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60"/>
        </w:rPr>
        <w:t>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t>日审议通过了冠捷科技全资子公司冠捷投资与南京中电熊猫液晶显示科技有限公 </w:t>
      </w:r>
      <w:r>
        <w:rPr>
          <w:spacing w:val="-2"/>
        </w:rPr>
        <w:t>司（简称“熊猫液晶”）成立合营企业的事宜，双方于中国成立一间合营企业（南京中电熊猫平板显示科技有限公司，简称</w:t>
      </w:r>
      <w:r>
        <w:rPr>
          <w:spacing w:val="-65"/>
        </w:rPr>
        <w:t> </w:t>
      </w:r>
      <w:r>
        <w:rPr>
          <w:spacing w:val="-65"/>
        </w:rPr>
      </w:r>
      <w:r>
        <w:rPr>
          <w:spacing w:val="-15"/>
        </w:rPr>
        <w:t>“熊猫平板”），投资总额为</w:t>
      </w:r>
      <w:r>
        <w:rPr>
          <w:spacing w:val="-41"/>
        </w:rPr>
        <w:t> </w:t>
      </w:r>
      <w:r>
        <w:rPr>
          <w:rFonts w:ascii="Times New Roman" w:hAnsi="Times New Roman" w:cs="Times New Roman" w:eastAsia="Times New Roman" w:hint="default"/>
        </w:rPr>
        <w:t>350</w:t>
      </w:r>
      <w:r>
        <w:rPr>
          <w:rFonts w:ascii="Times New Roman" w:hAnsi="Times New Roman" w:cs="Times New Roman" w:eastAsia="Times New Roman" w:hint="default"/>
          <w:spacing w:val="4"/>
        </w:rPr>
        <w:t> </w:t>
      </w:r>
      <w:r>
        <w:rPr>
          <w:spacing w:val="-1"/>
        </w:rPr>
        <w:t>亿元人民币，注册资本为</w:t>
      </w:r>
      <w:r>
        <w:rPr>
          <w:spacing w:val="-41"/>
        </w:rPr>
        <w:t> </w:t>
      </w:r>
      <w:r>
        <w:rPr>
          <w:rFonts w:ascii="Times New Roman" w:hAnsi="Times New Roman" w:cs="Times New Roman" w:eastAsia="Times New Roman" w:hint="default"/>
          <w:spacing w:val="-2"/>
        </w:rPr>
        <w:t>175</w:t>
      </w:r>
      <w:r>
        <w:rPr>
          <w:rFonts w:ascii="Times New Roman" w:hAnsi="Times New Roman" w:cs="Times New Roman" w:eastAsia="Times New Roman" w:hint="default"/>
          <w:spacing w:val="4"/>
        </w:rPr>
        <w:t> </w:t>
      </w:r>
      <w:r>
        <w:rPr>
          <w:spacing w:val="-1"/>
        </w:rPr>
        <w:t>亿元人民币，其中冠捷投资出资</w:t>
      </w:r>
      <w:r>
        <w:rPr>
          <w:spacing w:val="-43"/>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4"/>
        </w:rPr>
        <w:t> </w:t>
      </w:r>
      <w:r>
        <w:rPr>
          <w:spacing w:val="-2"/>
        </w:rPr>
        <w:t>亿元人民币，持股比例为</w:t>
      </w:r>
    </w:p>
    <w:p>
      <w:pPr>
        <w:pStyle w:val="BodyText"/>
        <w:spacing w:line="240" w:lineRule="auto" w:before="5"/>
        <w:ind w:left="1052" w:right="0"/>
        <w:jc w:val="both"/>
      </w:pP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1"/>
        </w:rPr>
        <w:t>%</w:t>
      </w:r>
      <w:r>
        <w:rPr>
          <w:spacing w:val="-22"/>
        </w:rPr>
        <w:t>；</w:t>
      </w:r>
      <w:r>
        <w:rPr/>
        <w:t>熊猫液晶出资</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亿</w:t>
      </w:r>
      <w:r>
        <w:rPr/>
        <w:t>元人民币</w:t>
      </w:r>
      <w:r>
        <w:rPr>
          <w:spacing w:val="-22"/>
        </w:rPr>
        <w:t>，</w:t>
      </w:r>
      <w:r>
        <w:rPr/>
        <w:t>持股比例为</w:t>
      </w:r>
      <w:r>
        <w:rPr>
          <w:spacing w:val="-44"/>
        </w:rPr>
        <w:t> </w:t>
      </w:r>
      <w:r>
        <w:rPr>
          <w:rFonts w:ascii="Times New Roman" w:hAnsi="Times New Roman" w:cs="Times New Roman" w:eastAsia="Times New Roman" w:hint="default"/>
          <w:spacing w:val="1"/>
        </w:rPr>
        <w:t>99</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3"/>
        </w:rPr>
        <w:t>%</w:t>
      </w:r>
      <w:r>
        <w:rPr/>
        <w:t>（具体内容详见</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4</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号公</w:t>
      </w:r>
      <w:r>
        <w:rPr>
          <w:spacing w:val="-3"/>
        </w:rPr>
        <w:t>告</w:t>
      </w:r>
      <w:r>
        <w:rPr>
          <w:spacing w:val="-92"/>
        </w:rPr>
        <w:t>）</w:t>
      </w:r>
      <w:r>
        <w:rPr>
          <w:spacing w:val="-22"/>
        </w:rPr>
        <w:t>。</w:t>
      </w:r>
      <w:r>
        <w:rPr/>
        <w:t>该事项于</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日获</w:t>
      </w:r>
      <w:r>
        <w:rPr/>
      </w:r>
    </w:p>
    <w:p>
      <w:pPr>
        <w:pStyle w:val="BodyText"/>
        <w:spacing w:line="312" w:lineRule="auto" w:before="63"/>
        <w:ind w:left="1052" w:right="1130"/>
        <w:jc w:val="both"/>
      </w:pPr>
      <w:r>
        <w:rPr/>
        <w:t>得了公司</w:t>
      </w:r>
      <w:r>
        <w:rPr>
          <w:spacing w:val="-6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年度第三次临时股东大会的同意。在项目推进过程中，冠捷投资与熊猫液晶就熊猫平板项目事宜于</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spacing w:val="-3"/>
        </w:rPr>
        <w:t>年初 </w:t>
      </w:r>
      <w:r>
        <w:rPr>
          <w:spacing w:val="-5"/>
        </w:rPr>
        <w:t>进行了首次变更，熊猫平板的股东方由两方变更为六方：即由冠捷投资与中国电子、南京中电熊猫信息产业集团有限公司（简</w:t>
      </w:r>
      <w:r>
        <w:rPr>
          <w:spacing w:val="-75"/>
        </w:rPr>
        <w:t> </w:t>
      </w:r>
      <w:r>
        <w:rPr>
          <w:spacing w:val="-75"/>
        </w:rPr>
      </w:r>
      <w:r>
        <w:rPr>
          <w:spacing w:val="-11"/>
        </w:rPr>
        <w:t>称“中电熊猫”）、南京新工投资集团有限责任公司（简称“新工集团”）、南京新港开发总公司（简称“新港”）、夏普株式会</w:t>
      </w:r>
      <w:r>
        <w:rPr/>
        <w:t> </w:t>
      </w:r>
      <w:r>
        <w:rPr>
          <w:spacing w:val="-3"/>
        </w:rPr>
        <w:t>社（简称“夏普”）就熊猫平板项目进行了重组变更，投资总额由原人民币</w:t>
      </w:r>
      <w:r>
        <w:rPr/>
        <w:t> </w:t>
      </w:r>
      <w:r>
        <w:rPr>
          <w:rFonts w:ascii="Times New Roman" w:hAnsi="Times New Roman" w:cs="Times New Roman" w:eastAsia="Times New Roman" w:hint="default"/>
        </w:rPr>
        <w:t>350 </w:t>
      </w:r>
      <w:r>
        <w:rPr>
          <w:spacing w:val="-1"/>
        </w:rPr>
        <w:t>亿元调整为人民币</w:t>
      </w:r>
      <w:r>
        <w:rPr/>
        <w:t> </w:t>
      </w:r>
      <w:r>
        <w:rPr>
          <w:rFonts w:ascii="Times New Roman" w:hAnsi="Times New Roman" w:cs="Times New Roman" w:eastAsia="Times New Roman" w:hint="default"/>
        </w:rPr>
        <w:t>291.5</w:t>
      </w:r>
      <w:r>
        <w:rPr>
          <w:rFonts w:ascii="Times New Roman" w:hAnsi="Times New Roman" w:cs="Times New Roman" w:eastAsia="Times New Roman" w:hint="default"/>
          <w:spacing w:val="-16"/>
        </w:rPr>
        <w:t> </w:t>
      </w:r>
      <w:r>
        <w:rPr>
          <w:spacing w:val="-1"/>
        </w:rPr>
        <w:t>亿元，注册资本不</w:t>
      </w:r>
    </w:p>
    <w:p>
      <w:pPr>
        <w:pStyle w:val="BodyText"/>
        <w:spacing w:line="240" w:lineRule="auto" w:before="3"/>
        <w:ind w:left="1052" w:right="0"/>
        <w:jc w:val="both"/>
      </w:pPr>
      <w:r>
        <w:rPr/>
        <w:t>变仍人民币</w:t>
      </w:r>
      <w:r>
        <w:rPr>
          <w:spacing w:val="-46"/>
        </w:rPr>
        <w:t> </w:t>
      </w:r>
      <w:r>
        <w:rPr>
          <w:rFonts w:ascii="Times New Roman" w:hAnsi="Times New Roman" w:cs="Times New Roman" w:eastAsia="Times New Roman" w:hint="default"/>
        </w:rPr>
        <w:t>175</w:t>
      </w:r>
      <w:r>
        <w:rPr>
          <w:rFonts w:ascii="Times New Roman" w:hAnsi="Times New Roman" w:cs="Times New Roman" w:eastAsia="Times New Roman" w:hint="default"/>
          <w:spacing w:val="-1"/>
        </w:rPr>
        <w:t> </w:t>
      </w:r>
      <w:r>
        <w:rPr/>
        <w:t>亿元，其中中国电子出资人民币</w:t>
      </w:r>
      <w:r>
        <w:rPr>
          <w:spacing w:val="-46"/>
        </w:rPr>
        <w:t> </w:t>
      </w:r>
      <w:r>
        <w:rPr>
          <w:rFonts w:ascii="Times New Roman" w:hAnsi="Times New Roman" w:cs="Times New Roman" w:eastAsia="Times New Roman" w:hint="default"/>
        </w:rPr>
        <w:t>66.643052</w:t>
      </w:r>
      <w:r>
        <w:rPr>
          <w:rFonts w:ascii="Times New Roman" w:hAnsi="Times New Roman" w:cs="Times New Roman" w:eastAsia="Times New Roman" w:hint="default"/>
          <w:spacing w:val="-2"/>
        </w:rPr>
        <w:t> </w:t>
      </w:r>
      <w:r>
        <w:rPr/>
        <w:t>亿元，占</w:t>
      </w:r>
      <w:r>
        <w:rPr>
          <w:spacing w:val="-46"/>
        </w:rPr>
        <w:t> </w:t>
      </w:r>
      <w:r>
        <w:rPr>
          <w:rFonts w:ascii="Times New Roman" w:hAnsi="Times New Roman" w:cs="Times New Roman" w:eastAsia="Times New Roman" w:hint="default"/>
        </w:rPr>
        <w:t>38.082%</w:t>
      </w:r>
      <w:r>
        <w:rPr/>
        <w:t>；中电熊猫出资人民币</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亿元，占</w:t>
      </w:r>
      <w:r>
        <w:rPr>
          <w:spacing w:val="-47"/>
        </w:rPr>
        <w:t> </w:t>
      </w:r>
      <w:r>
        <w:rPr>
          <w:rFonts w:ascii="Times New Roman" w:hAnsi="Times New Roman" w:cs="Times New Roman" w:eastAsia="Times New Roman" w:hint="default"/>
        </w:rPr>
        <w:t>17.143%</w:t>
      </w:r>
      <w:r>
        <w:rPr/>
        <w:t>；</w:t>
      </w:r>
    </w:p>
    <w:p>
      <w:pPr>
        <w:spacing w:after="0" w:line="240" w:lineRule="auto"/>
        <w:jc w:val="both"/>
        <w:sectPr>
          <w:pgSz w:w="11910" w:h="16840"/>
          <w:pgMar w:header="877" w:footer="980" w:top="1100" w:bottom="1160" w:left="80" w:right="0"/>
        </w:sectPr>
      </w:pPr>
    </w:p>
    <w:p>
      <w:pPr>
        <w:spacing w:line="240" w:lineRule="auto" w:before="11"/>
        <w:rPr>
          <w:rFonts w:ascii="宋体" w:hAnsi="宋体" w:cs="宋体" w:eastAsia="宋体" w:hint="default"/>
          <w:sz w:val="21"/>
          <w:szCs w:val="21"/>
        </w:rPr>
      </w:pPr>
    </w:p>
    <w:p>
      <w:pPr>
        <w:pStyle w:val="BodyText"/>
        <w:spacing w:line="300" w:lineRule="auto" w:before="44"/>
        <w:ind w:left="232" w:right="134"/>
        <w:jc w:val="left"/>
      </w:pPr>
      <w:r>
        <w:rPr/>
        <w:t>新工集团出资人民币</w:t>
      </w:r>
      <w:r>
        <w:rPr>
          <w:spacing w:val="-44"/>
        </w:rPr>
        <w:t> </w:t>
      </w:r>
      <w:r>
        <w:rPr>
          <w:rFonts w:ascii="Times New Roman" w:hAnsi="Times New Roman" w:cs="Times New Roman" w:eastAsia="Times New Roman" w:hint="default"/>
        </w:rPr>
        <w:t>59.95</w:t>
      </w:r>
      <w:r>
        <w:rPr>
          <w:rFonts w:ascii="Times New Roman" w:hAnsi="Times New Roman" w:cs="Times New Roman" w:eastAsia="Times New Roman" w:hint="default"/>
          <w:spacing w:val="2"/>
        </w:rPr>
        <w:t> </w:t>
      </w:r>
      <w:r>
        <w:rPr/>
        <w:t>亿元，占</w:t>
      </w:r>
      <w:r>
        <w:rPr>
          <w:spacing w:val="-44"/>
        </w:rPr>
        <w:t> </w:t>
      </w:r>
      <w:r>
        <w:rPr>
          <w:rFonts w:ascii="Times New Roman" w:hAnsi="Times New Roman" w:cs="Times New Roman" w:eastAsia="Times New Roman" w:hint="default"/>
        </w:rPr>
        <w:t>34.257%</w:t>
      </w:r>
      <w:r>
        <w:rPr/>
        <w:t>；新港出资人民币</w:t>
      </w:r>
      <w:r>
        <w:rPr>
          <w:spacing w:val="-44"/>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 </w:t>
      </w:r>
      <w:r>
        <w:rPr/>
        <w:t>亿元，占</w:t>
      </w:r>
      <w:r>
        <w:rPr>
          <w:spacing w:val="-44"/>
        </w:rPr>
        <w:t> </w:t>
      </w:r>
      <w:r>
        <w:rPr>
          <w:rFonts w:ascii="Times New Roman" w:hAnsi="Times New Roman" w:cs="Times New Roman" w:eastAsia="Times New Roman" w:hint="default"/>
        </w:rPr>
        <w:t>2%</w:t>
      </w:r>
      <w:r>
        <w:rPr/>
        <w:t>；夏普出资</w:t>
      </w:r>
      <w:r>
        <w:rPr>
          <w:spacing w:val="-45"/>
        </w:rPr>
        <w:t> </w:t>
      </w:r>
      <w:r>
        <w:rPr>
          <w:rFonts w:ascii="Times New Roman" w:hAnsi="Times New Roman" w:cs="Times New Roman" w:eastAsia="Times New Roman" w:hint="default"/>
        </w:rPr>
        <w:t>217</w:t>
      </w:r>
      <w:r>
        <w:rPr>
          <w:rFonts w:ascii="Times New Roman" w:hAnsi="Times New Roman" w:cs="Times New Roman" w:eastAsia="Times New Roman" w:hint="default"/>
          <w:spacing w:val="2"/>
        </w:rPr>
        <w:t> </w:t>
      </w:r>
      <w:r>
        <w:rPr/>
        <w:t>亿日元折人民币</w:t>
      </w:r>
      <w:r>
        <w:rPr>
          <w:spacing w:val="-44"/>
        </w:rPr>
        <w:t> </w:t>
      </w:r>
      <w:r>
        <w:rPr>
          <w:rFonts w:ascii="Times New Roman" w:hAnsi="Times New Roman" w:cs="Times New Roman" w:eastAsia="Times New Roman" w:hint="default"/>
        </w:rPr>
        <w:t>13.506948 </w:t>
      </w:r>
      <w:r>
        <w:rPr/>
        <w:t>亿元，占 </w:t>
      </w:r>
      <w:r>
        <w:rPr>
          <w:rFonts w:ascii="Times New Roman" w:hAnsi="Times New Roman" w:cs="Times New Roman" w:eastAsia="Times New Roman" w:hint="default"/>
        </w:rPr>
        <w:t>7.718%</w:t>
      </w:r>
      <w:r>
        <w:rPr/>
        <w:t>；冠捷投资原在熊猫平板出资人民币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亿元所占的股权，将直接作为其在六方《合资合同》中的出资股 权，股权比例为</w:t>
      </w:r>
      <w:r>
        <w:rPr>
          <w:spacing w:val="-41"/>
        </w:rPr>
        <w:t> </w:t>
      </w:r>
      <w:r>
        <w:rPr>
          <w:rFonts w:ascii="Times New Roman" w:hAnsi="Times New Roman" w:cs="Times New Roman" w:eastAsia="Times New Roman" w:hint="default"/>
          <w:spacing w:val="-1"/>
        </w:rPr>
        <w:t>0.8%</w:t>
      </w:r>
      <w:r>
        <w:rPr>
          <w:spacing w:val="-1"/>
        </w:rPr>
        <w:t>（具体内容详见</w:t>
      </w:r>
      <w:r>
        <w:rPr>
          <w:spacing w:val="-41"/>
        </w:rPr>
        <w:t> </w:t>
      </w:r>
      <w:r>
        <w:rPr>
          <w:rFonts w:ascii="Times New Roman" w:hAnsi="Times New Roman" w:cs="Times New Roman" w:eastAsia="Times New Roman" w:hint="default"/>
          <w:spacing w:val="-1"/>
        </w:rPr>
        <w:t>2014-005</w:t>
      </w:r>
      <w:r>
        <w:rPr>
          <w:spacing w:val="-1"/>
        </w:rPr>
        <w:t>、</w:t>
      </w:r>
      <w:r>
        <w:rPr>
          <w:rFonts w:ascii="Times New Roman" w:hAnsi="Times New Roman" w:cs="Times New Roman" w:eastAsia="Times New Roman" w:hint="default"/>
          <w:spacing w:val="-1"/>
        </w:rPr>
        <w:t>2014-008</w:t>
      </w:r>
      <w:r>
        <w:rPr>
          <w:rFonts w:ascii="Times New Roman" w:hAnsi="Times New Roman" w:cs="Times New Roman" w:eastAsia="Times New Roman" w:hint="default"/>
          <w:spacing w:val="4"/>
        </w:rPr>
        <w:t> </w:t>
      </w:r>
      <w:r>
        <w:rPr>
          <w:spacing w:val="-10"/>
        </w:rPr>
        <w:t>号公告）。前述事项于</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1"/>
        </w:rPr>
        <w:t>日经公司董事会审议通过，</w:t>
      </w:r>
      <w:r>
        <w:rPr/>
        <w:t> 并于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6 </w:t>
      </w:r>
      <w:r>
        <w:rPr/>
        <w:t>日获得了公司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年度第二次临时股东大会的同意。</w:t>
      </w:r>
    </w:p>
    <w:p>
      <w:pPr>
        <w:pStyle w:val="BodyText"/>
        <w:spacing w:line="316" w:lineRule="auto" w:before="53"/>
        <w:ind w:left="232" w:right="232" w:firstLine="360"/>
        <w:jc w:val="both"/>
      </w:pPr>
      <w:r>
        <w:rPr>
          <w:spacing w:val="-2"/>
        </w:rPr>
        <w:t>在股东大会通过后，前述六方积极推进熊猫平板及项目开展的相关事项。过程中，基于为有效发挥资本市场配置资源功</w:t>
      </w:r>
      <w:r>
        <w:rPr/>
        <w:t> </w:t>
      </w:r>
      <w:r>
        <w:rPr>
          <w:spacing w:val="-2"/>
        </w:rPr>
        <w:t>能和引进战略投资者的需要，六方经协商一致，同意引入南京华东电子信息科技股份有限公司（简称“华东科技”）作为该</w:t>
      </w:r>
      <w:r>
        <w:rPr>
          <w:spacing w:val="-65"/>
        </w:rPr>
        <w:t> </w:t>
      </w:r>
      <w:r>
        <w:rPr>
          <w:spacing w:val="-65"/>
        </w:rPr>
      </w:r>
      <w:r>
        <w:rPr>
          <w:spacing w:val="-2"/>
        </w:rPr>
        <w:t>项目的新合作方：即由中国电子、中电熊猫、新工集团、新港、夏普、华东科技及冠捷投资通过签署《南京中电熊猫平板显</w:t>
      </w:r>
      <w:r>
        <w:rPr>
          <w:spacing w:val="-73"/>
        </w:rPr>
        <w:t> </w:t>
      </w:r>
      <w:r>
        <w:rPr>
          <w:spacing w:val="-73"/>
        </w:rPr>
      </w:r>
      <w:r>
        <w:rPr>
          <w:spacing w:val="-5"/>
        </w:rPr>
        <w:t>示科技有限公司合资合同》（简称“七方《合资合同》”）对熊猫平板进行再次重组，重组后熊猫平板的股东将由原来的六方</w:t>
      </w:r>
    </w:p>
    <w:p>
      <w:pPr>
        <w:pStyle w:val="BodyText"/>
        <w:spacing w:line="304" w:lineRule="auto" w:before="19"/>
        <w:ind w:left="232" w:right="134"/>
        <w:jc w:val="left"/>
      </w:pPr>
      <w:r>
        <w:rPr/>
        <w:t>（中国电子、中电熊猫、新工集团、新港、夏普及冠捷投资）变更为七方（中国电子、中电熊猫、新工集团、新港、夏普、 </w:t>
      </w:r>
      <w:r>
        <w:rPr>
          <w:spacing w:val="-5"/>
        </w:rPr>
        <w:t>华东科技及冠捷投资），投资总额、注册资本维持不变，即分别仍为人民币</w:t>
      </w:r>
      <w:r>
        <w:rPr>
          <w:spacing w:val="-36"/>
        </w:rPr>
        <w:t> </w:t>
      </w:r>
      <w:r>
        <w:rPr>
          <w:rFonts w:ascii="Times New Roman" w:hAnsi="Times New Roman" w:cs="Times New Roman" w:eastAsia="Times New Roman" w:hint="default"/>
          <w:spacing w:val="-1"/>
        </w:rPr>
        <w:t>291.5</w:t>
      </w:r>
      <w:r>
        <w:rPr>
          <w:rFonts w:ascii="Times New Roman" w:hAnsi="Times New Roman" w:cs="Times New Roman" w:eastAsia="Times New Roman" w:hint="default"/>
          <w:spacing w:val="9"/>
        </w:rPr>
        <w:t> </w:t>
      </w:r>
      <w:r>
        <w:rPr>
          <w:spacing w:val="-3"/>
        </w:rPr>
        <w:t>亿元、</w:t>
      </w:r>
      <w:r>
        <w:rPr>
          <w:rFonts w:ascii="Times New Roman" w:hAnsi="Times New Roman" w:cs="Times New Roman" w:eastAsia="Times New Roman" w:hint="default"/>
          <w:spacing w:val="-3"/>
        </w:rPr>
        <w:t>175</w:t>
      </w:r>
      <w:r>
        <w:rPr>
          <w:rFonts w:ascii="Times New Roman" w:hAnsi="Times New Roman" w:cs="Times New Roman" w:eastAsia="Times New Roman" w:hint="default"/>
          <w:spacing w:val="6"/>
        </w:rPr>
        <w:t> </w:t>
      </w:r>
      <w:r>
        <w:rPr>
          <w:spacing w:val="-2"/>
        </w:rPr>
        <w:t>亿元；华东科技将通过分别受让</w:t>
      </w:r>
      <w:r>
        <w:rPr>
          <w:spacing w:val="-76"/>
        </w:rPr>
        <w:t> </w:t>
      </w:r>
      <w:r>
        <w:rPr>
          <w:spacing w:val="-76"/>
        </w:rPr>
      </w:r>
      <w:r>
        <w:rPr>
          <w:spacing w:val="-5"/>
        </w:rPr>
        <w:t>中国电子、中电熊猫、新工集团对熊猫平板部分未缴纳的出资额（中国电子</w:t>
      </w:r>
      <w:r>
        <w:rPr>
          <w:spacing w:val="-44"/>
        </w:rPr>
        <w:t> </w:t>
      </w:r>
      <w:r>
        <w:rPr>
          <w:rFonts w:ascii="Times New Roman" w:hAnsi="Times New Roman" w:cs="Times New Roman" w:eastAsia="Times New Roman" w:hint="default"/>
        </w:rPr>
        <w:t>40.10</w:t>
      </w:r>
      <w:r>
        <w:rPr>
          <w:rFonts w:ascii="Times New Roman" w:hAnsi="Times New Roman" w:cs="Times New Roman" w:eastAsia="Times New Roman" w:hint="default"/>
          <w:spacing w:val="2"/>
        </w:rPr>
        <w:t> </w:t>
      </w:r>
      <w:r>
        <w:rPr>
          <w:spacing w:val="-8"/>
        </w:rPr>
        <w:t>亿元、中电熊猫</w:t>
      </w:r>
      <w:r>
        <w:rPr>
          <w:spacing w:val="-45"/>
        </w:rPr>
        <w:t> </w:t>
      </w:r>
      <w:r>
        <w:rPr>
          <w:rFonts w:ascii="Times New Roman" w:hAnsi="Times New Roman" w:cs="Times New Roman" w:eastAsia="Times New Roman" w:hint="default"/>
        </w:rPr>
        <w:t>20.87</w:t>
      </w:r>
      <w:r>
        <w:rPr>
          <w:rFonts w:ascii="Times New Roman" w:hAnsi="Times New Roman" w:cs="Times New Roman" w:eastAsia="Times New Roman" w:hint="default"/>
          <w:spacing w:val="2"/>
        </w:rPr>
        <w:t> </w:t>
      </w:r>
      <w:r>
        <w:rPr>
          <w:spacing w:val="-8"/>
        </w:rPr>
        <w:t>亿元、新工集团</w:t>
      </w:r>
      <w:r>
        <w:rPr>
          <w:spacing w:val="-45"/>
        </w:rPr>
        <w:t> </w:t>
      </w:r>
      <w:r>
        <w:rPr>
          <w:rFonts w:ascii="Times New Roman" w:hAnsi="Times New Roman" w:cs="Times New Roman" w:eastAsia="Times New Roman" w:hint="default"/>
        </w:rPr>
        <w:t>39.91 </w:t>
      </w:r>
      <w:r>
        <w:rPr>
          <w:spacing w:val="-2"/>
        </w:rPr>
        <w:t>亿元）而取得对应的出资股权和继承对应的出资义务。如本次变更顺利完成，则熊猫平板的股权结构将由原来的“中国电子</w:t>
      </w:r>
      <w:r>
        <w:rPr>
          <w:spacing w:val="-65"/>
        </w:rPr>
        <w:t> </w:t>
      </w:r>
      <w:r>
        <w:rPr>
          <w:spacing w:val="-65"/>
        </w:rPr>
      </w:r>
      <w:r>
        <w:rPr/>
        <w:t>持股</w:t>
      </w:r>
      <w:r>
        <w:rPr>
          <w:spacing w:val="-38"/>
        </w:rPr>
        <w:t> </w:t>
      </w:r>
      <w:r>
        <w:rPr>
          <w:rFonts w:ascii="Times New Roman" w:hAnsi="Times New Roman" w:cs="Times New Roman" w:eastAsia="Times New Roman" w:hint="default"/>
          <w:spacing w:val="-6"/>
        </w:rPr>
        <w:t>38.082%</w:t>
      </w:r>
      <w:r>
        <w:rPr>
          <w:spacing w:val="-6"/>
        </w:rPr>
        <w:t>、中电熊猫持股</w:t>
      </w:r>
      <w:r>
        <w:rPr>
          <w:spacing w:val="-42"/>
        </w:rPr>
        <w:t> </w:t>
      </w:r>
      <w:r>
        <w:rPr>
          <w:rFonts w:ascii="Times New Roman" w:hAnsi="Times New Roman" w:cs="Times New Roman" w:eastAsia="Times New Roman" w:hint="default"/>
          <w:spacing w:val="-6"/>
        </w:rPr>
        <w:t>17.143%</w:t>
      </w:r>
      <w:r>
        <w:rPr>
          <w:spacing w:val="-6"/>
        </w:rPr>
        <w:t>、新工集团持股</w:t>
      </w:r>
      <w:r>
        <w:rPr>
          <w:spacing w:val="-42"/>
        </w:rPr>
        <w:t> </w:t>
      </w:r>
      <w:r>
        <w:rPr>
          <w:rFonts w:ascii="Times New Roman" w:hAnsi="Times New Roman" w:cs="Times New Roman" w:eastAsia="Times New Roman" w:hint="default"/>
          <w:spacing w:val="-7"/>
        </w:rPr>
        <w:t>34.257%</w:t>
      </w:r>
      <w:r>
        <w:rPr>
          <w:spacing w:val="-7"/>
        </w:rPr>
        <w:t>、新港持股</w:t>
      </w:r>
      <w:r>
        <w:rPr>
          <w:spacing w:val="-38"/>
        </w:rPr>
        <w:t> </w:t>
      </w:r>
      <w:r>
        <w:rPr>
          <w:rFonts w:ascii="Times New Roman" w:hAnsi="Times New Roman" w:cs="Times New Roman" w:eastAsia="Times New Roman" w:hint="default"/>
          <w:spacing w:val="-7"/>
        </w:rPr>
        <w:t>2.000%</w:t>
      </w:r>
      <w:r>
        <w:rPr>
          <w:spacing w:val="-7"/>
        </w:rPr>
        <w:t>、夏普持股</w:t>
      </w:r>
      <w:r>
        <w:rPr>
          <w:spacing w:val="-39"/>
        </w:rPr>
        <w:t> </w:t>
      </w:r>
      <w:r>
        <w:rPr>
          <w:rFonts w:ascii="Times New Roman" w:hAnsi="Times New Roman" w:cs="Times New Roman" w:eastAsia="Times New Roman" w:hint="default"/>
          <w:spacing w:val="-6"/>
        </w:rPr>
        <w:t>7.718%</w:t>
      </w:r>
      <w:r>
        <w:rPr>
          <w:spacing w:val="-6"/>
        </w:rPr>
        <w:t>、冠捷投资持股</w:t>
      </w:r>
      <w:r>
        <w:rPr>
          <w:spacing w:val="-38"/>
        </w:rPr>
        <w:t> </w:t>
      </w:r>
      <w:r>
        <w:rPr>
          <w:rFonts w:ascii="Times New Roman" w:hAnsi="Times New Roman" w:cs="Times New Roman" w:eastAsia="Times New Roman" w:hint="default"/>
          <w:spacing w:val="-24"/>
        </w:rPr>
        <w:t>0.800%</w:t>
      </w:r>
      <w:r>
        <w:rPr>
          <w:spacing w:val="-24"/>
        </w:rPr>
        <w:t>、”</w:t>
      </w:r>
      <w:r>
        <w:rPr>
          <w:spacing w:val="-76"/>
        </w:rPr>
        <w:t> </w:t>
      </w:r>
      <w:r>
        <w:rPr/>
        <w:t>调整为“中国电子持股</w:t>
      </w:r>
      <w:r>
        <w:rPr>
          <w:spacing w:val="-51"/>
        </w:rPr>
        <w:t> </w:t>
      </w:r>
      <w:r>
        <w:rPr>
          <w:rFonts w:ascii="Times New Roman" w:hAnsi="Times New Roman" w:cs="Times New Roman" w:eastAsia="Times New Roman" w:hint="default"/>
        </w:rPr>
        <w:t>15.168%</w:t>
      </w:r>
      <w:r>
        <w:rPr/>
        <w:t>、中电熊猫持股</w:t>
      </w:r>
      <w:r>
        <w:rPr>
          <w:spacing w:val="-50"/>
        </w:rPr>
        <w:t> </w:t>
      </w:r>
      <w:r>
        <w:rPr>
          <w:rFonts w:ascii="Times New Roman" w:hAnsi="Times New Roman" w:cs="Times New Roman" w:eastAsia="Times New Roman" w:hint="default"/>
        </w:rPr>
        <w:t>5.217%</w:t>
      </w:r>
      <w:r>
        <w:rPr/>
        <w:t>、新工集团持股</w:t>
      </w:r>
      <w:r>
        <w:rPr>
          <w:spacing w:val="-51"/>
        </w:rPr>
        <w:t> </w:t>
      </w:r>
      <w:r>
        <w:rPr>
          <w:rFonts w:ascii="Times New Roman" w:hAnsi="Times New Roman" w:cs="Times New Roman" w:eastAsia="Times New Roman" w:hint="default"/>
        </w:rPr>
        <w:t>11.451%</w:t>
      </w:r>
      <w:r>
        <w:rPr/>
        <w:t>、新港持股</w:t>
      </w:r>
      <w:r>
        <w:rPr>
          <w:spacing w:val="-51"/>
        </w:rPr>
        <w:t> </w:t>
      </w:r>
      <w:r>
        <w:rPr>
          <w:rFonts w:ascii="Times New Roman" w:hAnsi="Times New Roman" w:cs="Times New Roman" w:eastAsia="Times New Roman" w:hint="default"/>
        </w:rPr>
        <w:t>2.000%</w:t>
      </w:r>
      <w:r>
        <w:rPr/>
        <w:t>、夏普持股</w:t>
      </w:r>
      <w:r>
        <w:rPr>
          <w:spacing w:val="-52"/>
        </w:rPr>
        <w:t> </w:t>
      </w:r>
      <w:r>
        <w:rPr>
          <w:rFonts w:ascii="Times New Roman" w:hAnsi="Times New Roman" w:cs="Times New Roman" w:eastAsia="Times New Roman" w:hint="default"/>
        </w:rPr>
        <w:t>7.718%</w:t>
      </w:r>
      <w:r>
        <w:rPr/>
        <w:t>、冠</w:t>
      </w:r>
      <w:r>
        <w:rPr>
          <w:spacing w:val="-5"/>
        </w:rPr>
        <w:t> </w:t>
      </w:r>
      <w:r>
        <w:rPr/>
        <w:t>捷投资持股</w:t>
      </w:r>
      <w:r>
        <w:rPr>
          <w:spacing w:val="-36"/>
        </w:rPr>
        <w:t> </w:t>
      </w:r>
      <w:r>
        <w:rPr>
          <w:rFonts w:ascii="Times New Roman" w:hAnsi="Times New Roman" w:cs="Times New Roman" w:eastAsia="Times New Roman" w:hint="default"/>
          <w:spacing w:val="-1"/>
        </w:rPr>
        <w:t>0.800%</w:t>
      </w:r>
      <w:r>
        <w:rPr>
          <w:spacing w:val="-1"/>
        </w:rPr>
        <w:t>、华东科技持股</w:t>
      </w:r>
      <w:r>
        <w:rPr>
          <w:spacing w:val="-36"/>
        </w:rPr>
        <w:t> </w:t>
      </w:r>
      <w:r>
        <w:rPr>
          <w:rFonts w:ascii="Times New Roman" w:hAnsi="Times New Roman" w:cs="Times New Roman" w:eastAsia="Times New Roman" w:hint="default"/>
          <w:spacing w:val="-3"/>
        </w:rPr>
        <w:t>57.646%</w:t>
      </w:r>
      <w:r>
        <w:rPr>
          <w:spacing w:val="-3"/>
        </w:rPr>
        <w:t>”，其中冠捷投资的出资额和出资比例均不发生变化，仍为人民币</w:t>
      </w:r>
      <w:r>
        <w:rPr>
          <w:spacing w:val="-35"/>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spacing w:val="-1"/>
        </w:rPr>
        <w:t>亿元，持</w:t>
      </w:r>
      <w:r>
        <w:rPr>
          <w:spacing w:val="-82"/>
        </w:rPr>
        <w:t> </w:t>
      </w:r>
      <w:r>
        <w:rPr>
          <w:spacing w:val="-82"/>
        </w:rPr>
      </w:r>
      <w:r>
        <w:rPr/>
        <w:t>股</w:t>
      </w:r>
      <w:r>
        <w:rPr>
          <w:spacing w:val="-41"/>
        </w:rPr>
        <w:t> </w:t>
      </w:r>
      <w:r>
        <w:rPr>
          <w:rFonts w:ascii="Times New Roman" w:hAnsi="Times New Roman" w:cs="Times New Roman" w:eastAsia="Times New Roman" w:hint="default"/>
        </w:rPr>
        <w:t>0.8%</w:t>
      </w:r>
      <w:r>
        <w:rPr/>
        <w:t>（具体内容详见</w:t>
      </w:r>
      <w:r>
        <w:rPr>
          <w:spacing w:val="-45"/>
        </w:rPr>
        <w:t> </w:t>
      </w:r>
      <w:r>
        <w:rPr>
          <w:rFonts w:ascii="Times New Roman" w:hAnsi="Times New Roman" w:cs="Times New Roman" w:eastAsia="Times New Roman" w:hint="default"/>
          <w:spacing w:val="-1"/>
        </w:rPr>
        <w:t>2014-081</w:t>
      </w:r>
      <w:r>
        <w:rPr>
          <w:rFonts w:ascii="Times New Roman" w:hAnsi="Times New Roman" w:cs="Times New Roman" w:eastAsia="Times New Roman" w:hint="default"/>
          <w:spacing w:val="4"/>
        </w:rPr>
        <w:t> </w:t>
      </w:r>
      <w:r>
        <w:rPr>
          <w:spacing w:val="-19"/>
        </w:rPr>
        <w:t>号公告）。</w:t>
      </w:r>
    </w:p>
    <w:p>
      <w:pPr>
        <w:pStyle w:val="BodyText"/>
        <w:spacing w:line="300" w:lineRule="auto" w:before="47"/>
        <w:ind w:left="232" w:right="228" w:firstLine="360"/>
        <w:jc w:val="both"/>
      </w:pPr>
      <w:r>
        <w:rPr/>
        <w:t>上述事项经</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日公司第五届董事会第二十六次会议审议通过，并于</w:t>
      </w:r>
      <w:r>
        <w:rPr>
          <w:spacing w:val="-44"/>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1"/>
        </w:rPr>
        <w:t>12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1"/>
        </w:rPr>
        <w:t>日获得公司</w:t>
      </w:r>
      <w:r>
        <w:rPr>
          <w:spacing w:val="-45"/>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2"/>
        </w:rPr>
        <w:t> </w:t>
      </w:r>
      <w:r>
        <w:rPr/>
        <w:t>年度 第五次临时股东大会的同意。报告期内，该事项已完成。</w:t>
      </w:r>
    </w:p>
    <w:p>
      <w:pPr>
        <w:spacing w:line="240" w:lineRule="auto" w:before="1"/>
        <w:rPr>
          <w:rFonts w:ascii="宋体" w:hAnsi="宋体" w:cs="宋体" w:eastAsia="宋体" w:hint="default"/>
          <w:sz w:val="13"/>
          <w:szCs w:val="13"/>
        </w:rPr>
      </w:pPr>
    </w:p>
    <w:p>
      <w:pPr>
        <w:pStyle w:val="Heading8"/>
        <w:spacing w:line="240" w:lineRule="auto"/>
        <w:ind w:left="232" w:right="13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15"/>
          <w:szCs w:val="15"/>
        </w:rPr>
      </w:pPr>
    </w:p>
    <w:p>
      <w:pPr>
        <w:pStyle w:val="BodyText"/>
        <w:spacing w:line="357" w:lineRule="auto"/>
        <w:ind w:left="232" w:right="6974"/>
        <w:jc w:val="left"/>
      </w:pPr>
      <w:r>
        <w:rPr/>
        <w:t>√ 适用 □</w:t>
      </w:r>
      <w:r>
        <w:rPr>
          <w:spacing w:val="3"/>
        </w:rPr>
        <w:t> </w:t>
      </w:r>
      <w:r>
        <w:rPr/>
        <w:t>不适用</w:t>
      </w:r>
      <w:r>
        <w:rPr/>
        <w:t> 是否存在非经营性关联债权债务往来</w:t>
      </w:r>
    </w:p>
    <w:p>
      <w:pPr>
        <w:pStyle w:val="BodyText"/>
        <w:spacing w:line="360" w:lineRule="auto" w:before="29"/>
        <w:ind w:left="232" w:right="8594"/>
        <w:jc w:val="left"/>
      </w:pPr>
      <w:r>
        <w:rPr/>
        <w:t>□ 是 √</w:t>
      </w:r>
      <w:r>
        <w:rPr>
          <w:spacing w:val="3"/>
        </w:rPr>
        <w:t> </w:t>
      </w:r>
      <w:r>
        <w:rPr/>
        <w:t>否</w:t>
      </w:r>
      <w:r>
        <w:rPr/>
        <w:t> 应付关联方债务</w:t>
      </w:r>
    </w:p>
    <w:tbl>
      <w:tblPr>
        <w:tblW w:w="0" w:type="auto"/>
        <w:jc w:val="left"/>
        <w:tblInd w:w="105" w:type="dxa"/>
        <w:tblLayout w:type="fixed"/>
        <w:tblCellMar>
          <w:top w:w="0" w:type="dxa"/>
          <w:left w:w="0" w:type="dxa"/>
          <w:bottom w:w="0" w:type="dxa"/>
          <w:right w:w="0" w:type="dxa"/>
        </w:tblCellMar>
        <w:tblLook w:val="01E0"/>
      </w:tblPr>
      <w:tblGrid>
        <w:gridCol w:w="1397"/>
        <w:gridCol w:w="1078"/>
        <w:gridCol w:w="958"/>
        <w:gridCol w:w="1078"/>
        <w:gridCol w:w="1073"/>
        <w:gridCol w:w="1075"/>
        <w:gridCol w:w="1078"/>
        <w:gridCol w:w="1081"/>
        <w:gridCol w:w="1066"/>
      </w:tblGrid>
      <w:tr>
        <w:trPr>
          <w:trHeight w:val="634"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 w:right="-41" w:firstLine="148"/>
              <w:jc w:val="left"/>
              <w:rPr>
                <w:rFonts w:ascii="宋体" w:hAnsi="宋体" w:cs="宋体" w:eastAsia="宋体" w:hint="default"/>
                <w:sz w:val="18"/>
                <w:szCs w:val="18"/>
              </w:rPr>
            </w:pPr>
            <w:r>
              <w:rPr>
                <w:rFonts w:ascii="宋体" w:hAnsi="宋体" w:cs="宋体" w:eastAsia="宋体" w:hint="default"/>
                <w:sz w:val="18"/>
                <w:szCs w:val="18"/>
              </w:rPr>
              <w:t>本期新增 金额（万元）</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6" w:right="-41" w:firstLine="148"/>
              <w:jc w:val="left"/>
              <w:rPr>
                <w:rFonts w:ascii="宋体" w:hAnsi="宋体" w:cs="宋体" w:eastAsia="宋体" w:hint="default"/>
                <w:sz w:val="18"/>
                <w:szCs w:val="18"/>
              </w:rPr>
            </w:pPr>
            <w:r>
              <w:rPr>
                <w:rFonts w:ascii="宋体" w:hAnsi="宋体" w:cs="宋体" w:eastAsia="宋体" w:hint="default"/>
                <w:sz w:val="18"/>
                <w:szCs w:val="18"/>
              </w:rPr>
              <w:t>本期归还 金额（万元）</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7"/>
              <w:ind w:left="168"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中国电子信息产 业集团有限公司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国有资本金 待注资</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16,500.00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0.00%</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16,500.00</w:t>
            </w:r>
          </w:p>
        </w:tc>
      </w:tr>
      <w:tr>
        <w:trPr>
          <w:trHeight w:val="715" w:hRule="exact"/>
        </w:trPr>
        <w:tc>
          <w:tcPr>
            <w:tcW w:w="24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关联债务对公司经营成果及财 务状况的影响</w:t>
            </w:r>
          </w:p>
        </w:tc>
        <w:tc>
          <w:tcPr>
            <w:tcW w:w="740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firstLine="360"/>
              <w:jc w:val="left"/>
              <w:rPr>
                <w:rFonts w:ascii="宋体" w:hAnsi="宋体" w:cs="宋体" w:eastAsia="宋体" w:hint="default"/>
                <w:sz w:val="18"/>
                <w:szCs w:val="18"/>
              </w:rPr>
            </w:pPr>
            <w:r>
              <w:rPr>
                <w:rFonts w:ascii="宋体" w:hAnsi="宋体" w:cs="宋体" w:eastAsia="宋体" w:hint="default"/>
                <w:spacing w:val="-1"/>
                <w:sz w:val="18"/>
                <w:szCs w:val="18"/>
              </w:rPr>
              <w:t>上述资金为中国电子拨付公司先行使用的国有资本金，目前暂不具备注资条件，能够为公</w:t>
            </w:r>
            <w:r>
              <w:rPr>
                <w:rFonts w:ascii="宋体" w:hAnsi="宋体" w:cs="宋体" w:eastAsia="宋体" w:hint="default"/>
                <w:sz w:val="18"/>
                <w:szCs w:val="18"/>
              </w:rPr>
              <w:t> 司运营带来正面的影响。</w:t>
            </w:r>
          </w:p>
        </w:tc>
      </w:tr>
    </w:tbl>
    <w:p>
      <w:pPr>
        <w:pStyle w:val="BodyText"/>
        <w:spacing w:line="357" w:lineRule="auto" w:before="65"/>
        <w:ind w:left="593" w:right="1233" w:hanging="361"/>
        <w:jc w:val="left"/>
      </w:pPr>
      <w:r>
        <w:rPr>
          <w:rFonts w:ascii="宋体" w:hAnsi="宋体" w:cs="宋体" w:eastAsia="宋体" w:hint="default"/>
          <w:b/>
          <w:bCs/>
        </w:rPr>
        <w:t>关联债权债务往来说明</w:t>
      </w:r>
      <w:r>
        <w:rPr>
          <w:rFonts w:ascii="宋体" w:hAnsi="宋体" w:cs="宋体" w:eastAsia="宋体" w:hint="default"/>
          <w:b/>
          <w:bCs/>
          <w:w w:val="99"/>
        </w:rPr>
        <w:t> </w:t>
      </w:r>
      <w:r>
        <w:rPr/>
        <w:t>其他因购销、物业租赁等经营业务所产生的关联债权债务往来请参见财务报表附注中</w:t>
      </w:r>
      <w:r>
        <w:rPr>
          <w:rFonts w:ascii="Times New Roman" w:hAnsi="Times New Roman" w:cs="Times New Roman" w:eastAsia="Times New Roman" w:hint="default"/>
        </w:rPr>
        <w:t>“</w:t>
      </w:r>
      <w:r>
        <w:rPr/>
        <w:t>关联方往来余额</w:t>
      </w:r>
      <w:r>
        <w:rPr>
          <w:rFonts w:ascii="Times New Roman" w:hAnsi="Times New Roman" w:cs="Times New Roman" w:eastAsia="Times New Roman" w:hint="default"/>
        </w:rPr>
        <w:t>”</w:t>
      </w:r>
      <w:r>
        <w:rPr/>
        <w:t>。</w:t>
      </w:r>
    </w:p>
    <w:p>
      <w:pPr>
        <w:pStyle w:val="Heading8"/>
        <w:spacing w:line="240" w:lineRule="auto" w:before="105"/>
        <w:ind w:left="232" w:right="134"/>
        <w:jc w:val="left"/>
        <w:rPr>
          <w:b w:val="0"/>
          <w:bCs w:val="0"/>
        </w:rPr>
      </w:pPr>
      <w:r>
        <w:rPr>
          <w:rFonts w:ascii="Times New Roman" w:hAnsi="Times New Roman" w:cs="Times New Roman" w:eastAsia="Times New Roman" w:hint="default"/>
        </w:rPr>
        <w:t>5</w:t>
      </w:r>
      <w:r>
        <w:rPr/>
        <w:t>、关于与集团财务公司开展全面金融合作情况</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left="593" w:right="134"/>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5"/>
        </w:rPr>
        <w:t>日，公司第五届董事会审议通过了关于与关联方中国电子财务有限责任公司（简称</w:t>
      </w:r>
      <w:r>
        <w:rPr>
          <w:rFonts w:ascii="Times New Roman" w:hAnsi="Times New Roman" w:cs="Times New Roman" w:eastAsia="Times New Roman" w:hint="default"/>
          <w:spacing w:val="-5"/>
        </w:rPr>
        <w:t>“</w:t>
      </w:r>
      <w:r>
        <w:rPr>
          <w:spacing w:val="-5"/>
        </w:rPr>
        <w:t>中电财务</w:t>
      </w:r>
      <w:r>
        <w:rPr>
          <w:rFonts w:ascii="Times New Roman" w:hAnsi="Times New Roman" w:cs="Times New Roman" w:eastAsia="Times New Roman" w:hint="default"/>
          <w:spacing w:val="-5"/>
        </w:rPr>
        <w:t>”</w:t>
      </w:r>
      <w:r>
        <w:rPr>
          <w:spacing w:val="-5"/>
        </w:rPr>
        <w:t>）签署《全</w:t>
      </w:r>
    </w:p>
    <w:p>
      <w:pPr>
        <w:pStyle w:val="BodyText"/>
        <w:spacing w:line="240" w:lineRule="auto" w:before="63"/>
        <w:ind w:left="232" w:right="134"/>
        <w:jc w:val="left"/>
        <w:rPr>
          <w:rFonts w:ascii="Times New Roman" w:hAnsi="Times New Roman" w:cs="Times New Roman" w:eastAsia="Times New Roman" w:hint="default"/>
        </w:rPr>
      </w:pPr>
      <w:r>
        <w:rPr/>
        <w:t>面金融合作协议</w:t>
      </w:r>
      <w:r>
        <w:rPr>
          <w:spacing w:val="-92"/>
        </w:rPr>
        <w:t>》</w:t>
      </w:r>
      <w:r>
        <w:rPr/>
        <w:t>事宜</w:t>
      </w:r>
      <w:r>
        <w:rPr>
          <w:spacing w:val="-92"/>
        </w:rPr>
        <w:t>，</w:t>
      </w:r>
      <w:r>
        <w:rPr/>
        <w:t>并获得</w:t>
      </w:r>
      <w:r>
        <w:rPr>
          <w:spacing w:val="-66"/>
        </w:rPr>
        <w:t> </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年</w:t>
      </w:r>
      <w:r>
        <w:rPr>
          <w:spacing w:val="-6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月</w:t>
      </w:r>
      <w:r>
        <w:rPr>
          <w:spacing w:val="-6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日召开的公司</w:t>
      </w:r>
      <w:r>
        <w:rPr>
          <w:spacing w:val="-66"/>
        </w:rPr>
        <w:t> </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年度第二次临时股东大会</w:t>
      </w:r>
      <w:r>
        <w:rPr>
          <w:spacing w:val="-3"/>
        </w:rPr>
        <w:t>审</w:t>
      </w:r>
      <w:r>
        <w:rPr/>
        <w:t>议批</w:t>
      </w:r>
      <w:r>
        <w:rPr>
          <w:spacing w:val="-92"/>
        </w:rPr>
        <w:t>准</w:t>
      </w:r>
      <w:r>
        <w:rPr/>
        <w:t>（具体内容详见</w:t>
      </w:r>
      <w:r>
        <w:rPr>
          <w:spacing w:val="-65"/>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rPr>
        <w:t>2</w:t>
      </w:r>
    </w:p>
    <w:p>
      <w:pPr>
        <w:pStyle w:val="BodyText"/>
        <w:spacing w:line="240" w:lineRule="auto" w:before="63"/>
        <w:ind w:left="232" w:right="134"/>
        <w:jc w:val="left"/>
      </w:pPr>
      <w:r>
        <w:rPr/>
        <w:t>号公告</w:t>
      </w:r>
      <w:r>
        <w:rPr>
          <w:spacing w:val="-92"/>
        </w:rPr>
        <w:t>）</w:t>
      </w:r>
      <w:r>
        <w:rPr/>
        <w:t>。</w:t>
      </w:r>
    </w:p>
    <w:p>
      <w:pPr>
        <w:pStyle w:val="BodyText"/>
        <w:spacing w:line="240" w:lineRule="auto" w:before="117"/>
        <w:ind w:left="593" w:right="134"/>
        <w:jc w:val="left"/>
      </w:pPr>
      <w:r>
        <w:rPr/>
        <w:t>后经</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日公司第六届董事会、</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日公司</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年度第一次临时股东大会审议，同意公司与中</w:t>
      </w:r>
    </w:p>
    <w:p>
      <w:pPr>
        <w:pStyle w:val="BodyText"/>
        <w:spacing w:line="240" w:lineRule="auto" w:before="63"/>
        <w:ind w:left="232" w:right="134"/>
        <w:jc w:val="left"/>
      </w:pPr>
      <w:r>
        <w:rPr/>
        <w:t>电财务就调整存贷款额度及延长协议期限事宜重新签订《全面金融合作协议</w:t>
      </w:r>
      <w:r>
        <w:rPr>
          <w:spacing w:val="-92"/>
        </w:rPr>
        <w:t>》</w:t>
      </w:r>
      <w:r>
        <w:rPr/>
        <w:t>（具体内容</w:t>
      </w:r>
      <w:r>
        <w:rPr>
          <w:spacing w:val="2"/>
        </w:rPr>
        <w:t>详</w:t>
      </w:r>
      <w:r>
        <w:rPr/>
        <w:t>见</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号公告</w:t>
      </w:r>
      <w:r>
        <w:rPr>
          <w:spacing w:val="-92"/>
        </w:rPr>
        <w:t>）</w:t>
      </w:r>
      <w:r>
        <w:rPr/>
        <w:t>。</w:t>
      </w:r>
    </w:p>
    <w:p>
      <w:pPr>
        <w:pStyle w:val="BodyText"/>
        <w:spacing w:line="300" w:lineRule="auto" w:before="103"/>
        <w:ind w:left="232" w:right="134" w:firstLine="360"/>
        <w:jc w:val="left"/>
      </w:pPr>
      <w:r>
        <w:rPr/>
        <w:t>截止</w:t>
      </w:r>
      <w:r>
        <w:rPr>
          <w:spacing w:val="-47"/>
        </w:rPr>
        <w:t> </w:t>
      </w:r>
      <w:r>
        <w:rPr>
          <w:rFonts w:ascii="Times New Roman" w:hAnsi="Times New Roman" w:cs="Times New Roman" w:eastAsia="Times New Roman" w:hint="default"/>
        </w:rPr>
        <w:t>2015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日，公司在中电财务办理存款余额为</w:t>
      </w:r>
      <w:r>
        <w:rPr>
          <w:spacing w:val="-46"/>
        </w:rPr>
        <w:t> </w:t>
      </w:r>
      <w:r>
        <w:rPr>
          <w:rFonts w:ascii="Times New Roman" w:hAnsi="Times New Roman" w:cs="Times New Roman" w:eastAsia="Times New Roman" w:hint="default"/>
        </w:rPr>
        <w:t>99,983,071.82</w:t>
      </w:r>
      <w:r>
        <w:rPr>
          <w:rFonts w:ascii="Times New Roman" w:hAnsi="Times New Roman" w:cs="Times New Roman" w:eastAsia="Times New Roman" w:hint="default"/>
          <w:spacing w:val="1"/>
        </w:rPr>
        <w:t> </w:t>
      </w:r>
      <w:r>
        <w:rPr/>
        <w:t>元人民币，贷款余额为</w:t>
      </w:r>
      <w:r>
        <w:rPr>
          <w:spacing w:val="-46"/>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元人民 币，详见下表：</w:t>
      </w:r>
    </w:p>
    <w:p>
      <w:pPr>
        <w:pStyle w:val="BodyText"/>
        <w:spacing w:line="240" w:lineRule="auto" w:before="69"/>
        <w:ind w:left="593" w:right="134"/>
        <w:jc w:val="left"/>
      </w:pPr>
      <w:r>
        <w:rPr/>
        <w:t>（因将桑菲通信去年同期数据纳入统计范围调整期初余额）</w:t>
      </w:r>
    </w:p>
    <w:p>
      <w:pPr>
        <w:spacing w:after="0" w:line="240" w:lineRule="auto"/>
        <w:jc w:val="left"/>
        <w:sectPr>
          <w:pgSz w:w="11910" w:h="16840"/>
          <w:pgMar w:header="877" w:footer="980" w:top="1100" w:bottom="1160" w:left="90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p>
      <w:pPr>
        <w:spacing w:line="2280" w:lineRule="exact"/>
        <w:ind w:left="153"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6161405" cy="14478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161405" cy="1447800"/>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8"/>
        <w:rPr>
          <w:rFonts w:ascii="宋体" w:hAnsi="宋体" w:cs="宋体" w:eastAsia="宋体" w:hint="default"/>
          <w:sz w:val="8"/>
          <w:szCs w:val="8"/>
        </w:rPr>
      </w:pPr>
    </w:p>
    <w:p>
      <w:pPr>
        <w:pStyle w:val="BodyText"/>
        <w:spacing w:line="240" w:lineRule="auto" w:before="44"/>
        <w:ind w:left="513" w:right="89"/>
        <w:jc w:val="left"/>
      </w:pPr>
      <w:r>
        <w:rPr/>
        <w:t>此外，公司聘请了立信会计师事务所（特殊普通合伙）对中国电子财务有限责任公司截止</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日与财务报</w:t>
      </w:r>
    </w:p>
    <w:p>
      <w:pPr>
        <w:pStyle w:val="BodyText"/>
        <w:spacing w:line="300" w:lineRule="auto" w:before="63"/>
        <w:ind w:right="189"/>
        <w:jc w:val="both"/>
      </w:pPr>
      <w:r>
        <w:rPr/>
        <w:t>表相关资金</w:t>
      </w:r>
      <w:r>
        <w:rPr>
          <w:spacing w:val="-87"/>
        </w:rPr>
        <w:t>、</w:t>
      </w:r>
      <w:r>
        <w:rPr/>
        <w:t>信贷</w:t>
      </w:r>
      <w:r>
        <w:rPr>
          <w:spacing w:val="-87"/>
        </w:rPr>
        <w:t>、</w:t>
      </w:r>
      <w:r>
        <w:rPr/>
        <w:t>投资</w:t>
      </w:r>
      <w:r>
        <w:rPr>
          <w:spacing w:val="-87"/>
        </w:rPr>
        <w:t>、</w:t>
      </w:r>
      <w:r>
        <w:rPr/>
        <w:t>稽</w:t>
      </w:r>
      <w:r>
        <w:rPr>
          <w:spacing w:val="2"/>
        </w:rPr>
        <w:t>核</w:t>
      </w:r>
      <w:r>
        <w:rPr>
          <w:spacing w:val="-85"/>
        </w:rPr>
        <w:t>、</w:t>
      </w:r>
      <w:r>
        <w:rPr/>
        <w:t>信息管理等风险控制体系的制定及实施情况进行了审核</w:t>
      </w:r>
      <w:r>
        <w:rPr>
          <w:spacing w:val="-87"/>
        </w:rPr>
        <w:t>，</w:t>
      </w:r>
      <w:r>
        <w:rPr/>
        <w:t>并</w:t>
      </w:r>
      <w:r>
        <w:rPr>
          <w:spacing w:val="2"/>
        </w:rPr>
        <w:t>出</w:t>
      </w:r>
      <w:r>
        <w:rPr/>
        <w:t>具了信会师报</w:t>
      </w:r>
      <w:r>
        <w:rPr>
          <w:spacing w:val="2"/>
        </w:rPr>
        <w:t>字</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2"/>
        </w:rPr>
        <w:t>]</w:t>
      </w:r>
      <w:r>
        <w:rPr/>
        <w:t>第</w:t>
      </w:r>
      <w:r>
        <w:rPr>
          <w:spacing w:val="-47"/>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27</w:t>
      </w:r>
      <w:r>
        <w:rPr>
          <w:rFonts w:ascii="Times New Roman" w:hAnsi="Times New Roman" w:cs="Times New Roman" w:eastAsia="Times New Roman" w:hint="default"/>
        </w:rPr>
        <w:t>4</w:t>
      </w:r>
      <w:r>
        <w:rPr>
          <w:rFonts w:ascii="Times New Roman" w:hAnsi="Times New Roman" w:cs="Times New Roman" w:eastAsia="Times New Roman" w:hint="default"/>
        </w:rPr>
        <w:t> </w:t>
      </w:r>
      <w:r>
        <w:rPr>
          <w:spacing w:val="-17"/>
        </w:rPr>
        <w:t>号</w:t>
      </w:r>
      <w:r>
        <w:rPr/>
        <w:t>《关于中国电子财务有限责任公司风险评估报告</w:t>
      </w:r>
      <w:r>
        <w:rPr>
          <w:spacing w:val="-92"/>
        </w:rPr>
        <w:t>》</w:t>
      </w:r>
      <w:r>
        <w:rPr>
          <w:spacing w:val="-17"/>
        </w:rPr>
        <w:t>，</w:t>
      </w:r>
      <w:r>
        <w:rPr/>
        <w:t>认为</w:t>
      </w:r>
      <w:r>
        <w:rPr>
          <w:spacing w:val="-16"/>
        </w:rPr>
        <w:t>：</w:t>
      </w:r>
      <w:r>
        <w:rPr>
          <w:rFonts w:ascii="Times New Roman" w:hAnsi="Times New Roman" w:cs="Times New Roman" w:eastAsia="Times New Roman" w:hint="default"/>
          <w:spacing w:val="-1"/>
          <w:w w:val="100"/>
        </w:rPr>
        <w:t>“</w:t>
      </w:r>
      <w:r>
        <w:rPr/>
        <w:t>中国电子财务有限责任公司严格按银监</w:t>
      </w:r>
      <w:r>
        <w:rPr>
          <w:spacing w:val="-17"/>
        </w:rPr>
        <w:t>会</w:t>
      </w:r>
      <w:r>
        <w:rPr/>
        <w:t>《企业集团财务管理</w:t>
      </w:r>
      <w:r>
        <w:rPr/>
        <w:t> 办法</w:t>
      </w:r>
      <w:r>
        <w:rPr>
          <w:spacing w:val="-92"/>
        </w:rPr>
        <w:t>》</w:t>
      </w:r>
      <w:r>
        <w:rPr/>
        <w:t>（中国银监会令〔</w:t>
      </w:r>
      <w:r>
        <w:rPr>
          <w:rFonts w:ascii="Times New Roman" w:hAnsi="Times New Roman" w:cs="Times New Roman" w:eastAsia="Times New Roman" w:hint="default"/>
          <w:spacing w:val="1"/>
        </w:rPr>
        <w:t>2004</w:t>
      </w:r>
      <w:r>
        <w:rPr>
          <w:spacing w:val="-3"/>
        </w:rPr>
        <w:t>〕</w:t>
      </w:r>
      <w:r>
        <w:rPr/>
        <w:t>第</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号）规定经营，经营业绩良好，根据我们对风险管理的了解和评价，我们未发现中国电</w:t>
      </w:r>
    </w:p>
    <w:p>
      <w:pPr>
        <w:pStyle w:val="BodyText"/>
        <w:spacing w:line="300" w:lineRule="auto" w:before="13"/>
        <w:ind w:right="181"/>
        <w:jc w:val="left"/>
        <w:rPr>
          <w:rFonts w:ascii="Times New Roman" w:hAnsi="Times New Roman" w:cs="Times New Roman" w:eastAsia="Times New Roman" w:hint="default"/>
        </w:rPr>
      </w:pPr>
      <w:r>
        <w:rPr/>
        <w:t>子财务有限责任公司截止</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日与财务报表相关资金、信贷、中间业务、投资、稽核、信息管理风险控制体系 存在重大缺陷。</w:t>
      </w:r>
      <w:r>
        <w:rPr>
          <w:rFonts w:ascii="Times New Roman" w:hAnsi="Times New Roman" w:cs="Times New Roman" w:eastAsia="Times New Roman" w:hint="default"/>
        </w:rPr>
        <w:t>”</w:t>
      </w:r>
    </w:p>
    <w:p>
      <w:pPr>
        <w:pStyle w:val="Heading8"/>
        <w:spacing w:line="240" w:lineRule="auto" w:before="150"/>
        <w:ind w:right="0"/>
        <w:jc w:val="both"/>
        <w:rPr>
          <w:b w:val="0"/>
          <w:bCs w:val="0"/>
        </w:rPr>
      </w:pPr>
      <w:r>
        <w:rPr>
          <w:rFonts w:ascii="Times New Roman" w:hAnsi="Times New Roman" w:cs="Times New Roman" w:eastAsia="Times New Roman" w:hint="default"/>
        </w:rPr>
        <w:t>6</w:t>
      </w:r>
      <w:r>
        <w:rPr/>
        <w:t>、其他重大关联交易</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0"/>
        <w:jc w:val="both"/>
      </w:pPr>
      <w:r>
        <w:rPr/>
        <w:t>√ 适用 □</w:t>
      </w:r>
      <w:r>
        <w:rPr>
          <w:spacing w:val="3"/>
        </w:rPr>
        <w:t> </w:t>
      </w:r>
      <w:r>
        <w:rPr/>
        <w:t>不适用</w:t>
      </w:r>
    </w:p>
    <w:p>
      <w:pPr>
        <w:pStyle w:val="BodyText"/>
        <w:spacing w:line="338" w:lineRule="auto" w:before="117"/>
        <w:ind w:left="513" w:right="89"/>
        <w:jc w:val="left"/>
      </w:pPr>
      <w:r>
        <w:rPr/>
        <w:t>（</w:t>
      </w:r>
      <w:r>
        <w:rPr>
          <w:rFonts w:ascii="Times New Roman" w:hAnsi="Times New Roman" w:cs="Times New Roman" w:eastAsia="Times New Roman" w:hint="default"/>
        </w:rPr>
        <w:t>1</w:t>
      </w:r>
      <w:r>
        <w:rPr/>
        <w:t>）聘请中电国际为中电长城大厦项目管理咨询单位 </w:t>
      </w:r>
      <w:r>
        <w:rPr>
          <w:spacing w:val="-2"/>
        </w:rPr>
        <w:t>公司中电长城大厦项目现已开工建设，为科学规范管理和推进项目，需要聘请具有丰富工作经验的专业机构负责项目全</w:t>
      </w:r>
    </w:p>
    <w:p>
      <w:pPr>
        <w:pStyle w:val="BodyText"/>
        <w:spacing w:line="300" w:lineRule="auto" w:before="2"/>
        <w:ind w:right="114"/>
        <w:jc w:val="left"/>
      </w:pPr>
      <w:r>
        <w:rPr/>
        <w:t>过程的管理咨询工作。公司采用综合性价比评分法通过公开招标后，由中国中电国际信息服务有限公司（简称</w:t>
      </w:r>
      <w:r>
        <w:rPr>
          <w:rFonts w:ascii="Times New Roman" w:hAnsi="Times New Roman" w:cs="Times New Roman" w:eastAsia="Times New Roman" w:hint="default"/>
        </w:rPr>
        <w:t>“</w:t>
      </w:r>
      <w:r>
        <w:rPr/>
        <w:t>中电国际</w:t>
      </w:r>
      <w:r>
        <w:rPr>
          <w:rFonts w:ascii="Times New Roman" w:hAnsi="Times New Roman" w:cs="Times New Roman" w:eastAsia="Times New Roman" w:hint="default"/>
        </w:rPr>
        <w:t>”</w:t>
      </w:r>
      <w:r>
        <w:rPr/>
        <w:t>） 中标，费用为不超过人民币</w:t>
      </w:r>
      <w:r>
        <w:rPr>
          <w:spacing w:val="-34"/>
        </w:rPr>
        <w:t> </w:t>
      </w:r>
      <w:r>
        <w:rPr>
          <w:rFonts w:ascii="Times New Roman" w:hAnsi="Times New Roman" w:cs="Times New Roman" w:eastAsia="Times New Roman" w:hint="default"/>
          <w:spacing w:val="-1"/>
        </w:rPr>
        <w:t>1,600</w:t>
      </w:r>
      <w:r>
        <w:rPr>
          <w:rFonts w:ascii="Times New Roman" w:hAnsi="Times New Roman" w:cs="Times New Roman" w:eastAsia="Times New Roman" w:hint="default"/>
          <w:spacing w:val="12"/>
        </w:rPr>
        <w:t> </w:t>
      </w:r>
      <w:r>
        <w:rPr>
          <w:spacing w:val="-7"/>
        </w:rPr>
        <w:t>万元（包干含税价），前述事项经</w:t>
      </w:r>
      <w:r>
        <w:rPr>
          <w:spacing w:val="-34"/>
        </w:rPr>
        <w:t> </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35"/>
        </w:rPr>
        <w:t> </w:t>
      </w:r>
      <w:r>
        <w:rPr>
          <w:rFonts w:ascii="Times New Roman" w:hAnsi="Times New Roman" w:cs="Times New Roman" w:eastAsia="Times New Roman" w:hint="default"/>
          <w:spacing w:val="-1"/>
        </w:rPr>
        <w:t>27</w:t>
      </w:r>
      <w:r>
        <w:rPr>
          <w:rFonts w:ascii="Times New Roman" w:hAnsi="Times New Roman" w:cs="Times New Roman" w:eastAsia="Times New Roman" w:hint="default"/>
          <w:spacing w:val="12"/>
        </w:rPr>
        <w:t> </w:t>
      </w:r>
      <w:r>
        <w:rPr>
          <w:spacing w:val="-1"/>
        </w:rPr>
        <w:t>日公司第六届董事会审议通过（具体内</w:t>
      </w:r>
    </w:p>
    <w:p>
      <w:pPr>
        <w:pStyle w:val="BodyText"/>
        <w:spacing w:line="240" w:lineRule="auto" w:before="13"/>
        <w:ind w:right="0"/>
        <w:jc w:val="both"/>
      </w:pPr>
      <w:r>
        <w:rPr/>
        <w:t>容详见</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号公告</w:t>
      </w:r>
      <w:r>
        <w:rPr>
          <w:spacing w:val="-92"/>
        </w:rPr>
        <w:t>）</w:t>
      </w:r>
      <w:r>
        <w:rPr/>
        <w:t>。</w:t>
      </w:r>
    </w:p>
    <w:p>
      <w:pPr>
        <w:pStyle w:val="BodyText"/>
        <w:spacing w:line="340" w:lineRule="auto" w:before="103"/>
        <w:ind w:left="513" w:right="89"/>
        <w:jc w:val="left"/>
      </w:pPr>
      <w:r>
        <w:rPr/>
        <w:t>（</w:t>
      </w:r>
      <w:r>
        <w:rPr>
          <w:rFonts w:ascii="Times New Roman" w:hAnsi="Times New Roman" w:cs="Times New Roman" w:eastAsia="Times New Roman" w:hint="default"/>
        </w:rPr>
        <w:t>2</w:t>
      </w:r>
      <w:r>
        <w:rPr/>
        <w:t>）冠捷投资与惠州开发、华睿川电子订立采购协议 </w:t>
      </w:r>
      <w:r>
        <w:rPr>
          <w:spacing w:val="-2"/>
        </w:rPr>
        <w:t>基于冠捷科技集团日常业务需要，以及为充分利用中国电子内部资源优化冠捷科技集团触摸模组及相关零部件的采购渠</w:t>
      </w:r>
    </w:p>
    <w:p>
      <w:pPr>
        <w:pStyle w:val="BodyText"/>
        <w:spacing w:line="300" w:lineRule="auto" w:before="1"/>
        <w:ind w:right="179"/>
        <w:jc w:val="left"/>
      </w:pPr>
      <w:r>
        <w:rPr>
          <w:spacing w:val="-2"/>
          <w:w w:val="100"/>
        </w:rPr>
        <w:t>道，冠捷投资就采购触摸模组、面板及部件等相关产品事宜与关联方惠州长城开发科技有限公司（简称</w:t>
      </w:r>
      <w:r>
        <w:rPr>
          <w:rFonts w:ascii="Times New Roman" w:hAnsi="Times New Roman" w:cs="Times New Roman" w:eastAsia="Times New Roman" w:hint="default"/>
          <w:spacing w:val="-2"/>
          <w:w w:val="100"/>
        </w:rPr>
        <w:t>“</w:t>
      </w:r>
      <w:r>
        <w:rPr>
          <w:spacing w:val="-2"/>
          <w:w w:val="100"/>
        </w:rPr>
        <w:t>惠州开发</w:t>
      </w:r>
      <w:r>
        <w:rPr>
          <w:rFonts w:ascii="Times New Roman" w:hAnsi="Times New Roman" w:cs="Times New Roman" w:eastAsia="Times New Roman" w:hint="default"/>
          <w:spacing w:val="-2"/>
          <w:w w:val="100"/>
        </w:rPr>
        <w:t>”</w:t>
      </w:r>
      <w:r>
        <w:rPr>
          <w:spacing w:val="-2"/>
          <w:w w:val="100"/>
        </w:rPr>
        <w:t>）、南京</w:t>
      </w:r>
      <w:r>
        <w:rPr>
          <w:spacing w:val="-44"/>
          <w:w w:val="100"/>
        </w:rPr>
        <w:t> </w:t>
      </w:r>
      <w:r>
        <w:rPr>
          <w:spacing w:val="-44"/>
          <w:w w:val="100"/>
        </w:rPr>
      </w:r>
      <w:r>
        <w:rPr/>
        <w:t>华睿川电子科技有限公司（简称</w:t>
      </w:r>
      <w:r>
        <w:rPr>
          <w:rFonts w:ascii="Times New Roman" w:hAnsi="Times New Roman" w:cs="Times New Roman" w:eastAsia="Times New Roman" w:hint="default"/>
        </w:rPr>
        <w:t>“</w:t>
      </w:r>
      <w:r>
        <w:rPr/>
        <w:t>华睿川电子</w:t>
      </w:r>
      <w:r>
        <w:rPr>
          <w:rFonts w:ascii="Times New Roman" w:hAnsi="Times New Roman" w:cs="Times New Roman" w:eastAsia="Times New Roman" w:hint="default"/>
        </w:rPr>
        <w:t>”</w:t>
      </w:r>
      <w:r>
        <w:rPr/>
        <w:t>）订立采购协议，预计与惠州开发、华睿川电子 </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年度交易金额上限总额</w:t>
      </w:r>
    </w:p>
    <w:p>
      <w:pPr>
        <w:pStyle w:val="BodyText"/>
        <w:spacing w:line="240" w:lineRule="auto" w:before="13"/>
        <w:ind w:right="0"/>
        <w:jc w:val="both"/>
      </w:pPr>
      <w:r>
        <w:rPr/>
        <w:t>为</w:t>
      </w:r>
      <w:r>
        <w:rPr>
          <w:spacing w:val="-52"/>
        </w:rPr>
        <w:t> </w:t>
      </w:r>
      <w:r>
        <w:rPr>
          <w:rFonts w:ascii="Times New Roman" w:hAnsi="Times New Roman" w:cs="Times New Roman" w:eastAsia="Times New Roman" w:hint="default"/>
        </w:rPr>
        <w:t>1,570</w:t>
      </w:r>
      <w:r>
        <w:rPr>
          <w:rFonts w:ascii="Times New Roman" w:hAnsi="Times New Roman" w:cs="Times New Roman" w:eastAsia="Times New Roman" w:hint="default"/>
          <w:spacing w:val="-6"/>
        </w:rPr>
        <w:t> </w:t>
      </w:r>
      <w:r>
        <w:rPr/>
        <w:t>万美元、</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年度交易金额上限总额为</w:t>
      </w:r>
      <w:r>
        <w:rPr>
          <w:spacing w:val="-52"/>
        </w:rPr>
        <w:t> </w:t>
      </w:r>
      <w:r>
        <w:rPr>
          <w:rFonts w:ascii="Times New Roman" w:hAnsi="Times New Roman" w:cs="Times New Roman" w:eastAsia="Times New Roman" w:hint="default"/>
        </w:rPr>
        <w:t>7,110</w:t>
      </w:r>
      <w:r>
        <w:rPr>
          <w:rFonts w:ascii="Times New Roman" w:hAnsi="Times New Roman" w:cs="Times New Roman" w:eastAsia="Times New Roman" w:hint="default"/>
          <w:spacing w:val="-6"/>
        </w:rPr>
        <w:t> </w:t>
      </w:r>
      <w:r>
        <w:rPr/>
        <w:t>万美元、</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年度交易金额上限总额为</w:t>
      </w:r>
      <w:r>
        <w:rPr>
          <w:spacing w:val="-52"/>
        </w:rPr>
        <w:t> </w:t>
      </w:r>
      <w:r>
        <w:rPr>
          <w:rFonts w:ascii="Times New Roman" w:hAnsi="Times New Roman" w:cs="Times New Roman" w:eastAsia="Times New Roman" w:hint="default"/>
        </w:rPr>
        <w:t>8,090</w:t>
      </w:r>
      <w:r>
        <w:rPr>
          <w:rFonts w:ascii="Times New Roman" w:hAnsi="Times New Roman" w:cs="Times New Roman" w:eastAsia="Times New Roman" w:hint="default"/>
          <w:spacing w:val="-6"/>
        </w:rPr>
        <w:t> </w:t>
      </w:r>
      <w:r>
        <w:rPr/>
        <w:t>万美元（具体内容详见</w:t>
      </w:r>
    </w:p>
    <w:p>
      <w:pPr>
        <w:pStyle w:val="BodyText"/>
        <w:spacing w:line="240" w:lineRule="auto" w:before="63"/>
        <w:ind w:right="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6</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号公告</w:t>
      </w:r>
      <w:r>
        <w:rPr>
          <w:spacing w:val="-92"/>
        </w:rPr>
        <w:t>）</w:t>
      </w:r>
      <w:r>
        <w:rPr/>
        <w:t>。</w:t>
      </w:r>
    </w:p>
    <w:p>
      <w:pPr>
        <w:pStyle w:val="BodyText"/>
        <w:spacing w:line="240" w:lineRule="auto" w:before="101"/>
        <w:ind w:left="513" w:right="89"/>
        <w:jc w:val="left"/>
      </w:pPr>
      <w:r>
        <w:rPr/>
        <w:t>前述事项已经</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日公司第六届董事会、</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13 </w:t>
      </w:r>
      <w:r>
        <w:rPr/>
        <w:t>日公司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年度第二次临时股东大会审议通过。</w:t>
      </w:r>
    </w:p>
    <w:p>
      <w:pPr>
        <w:pStyle w:val="BodyText"/>
        <w:spacing w:line="340" w:lineRule="auto" w:before="103"/>
        <w:ind w:left="513" w:right="186"/>
        <w:jc w:val="left"/>
      </w:pPr>
      <w:r>
        <w:rPr/>
        <w:t>（</w:t>
      </w:r>
      <w:r>
        <w:rPr>
          <w:rFonts w:ascii="Times New Roman" w:hAnsi="Times New Roman" w:cs="Times New Roman" w:eastAsia="Times New Roman" w:hint="default"/>
        </w:rPr>
        <w:t>3</w:t>
      </w:r>
      <w:r>
        <w:rPr/>
        <w:t>）武汉艾德蒙与中国电子续签《商标授权与销售代理合同》 为继续取得于中国境内（不含港、澳、台）独家使用</w:t>
      </w:r>
      <w:r>
        <w:rPr>
          <w:rFonts w:ascii="Times New Roman" w:hAnsi="Times New Roman" w:cs="Times New Roman" w:eastAsia="Times New Roman" w:hint="default"/>
        </w:rPr>
        <w:t>“Great </w:t>
      </w:r>
      <w:r>
        <w:rPr>
          <w:rFonts w:ascii="Times New Roman" w:hAnsi="Times New Roman" w:cs="Times New Roman" w:eastAsia="Times New Roman" w:hint="default"/>
          <w:spacing w:val="8"/>
        </w:rPr>
        <w:t> </w:t>
      </w:r>
      <w:r>
        <w:rPr>
          <w:rFonts w:ascii="Times New Roman" w:hAnsi="Times New Roman" w:cs="Times New Roman" w:eastAsia="Times New Roman" w:hint="default"/>
        </w:rPr>
        <w:t>Wall”</w:t>
      </w:r>
      <w:r>
        <w:rPr/>
        <w:t>商标以及</w:t>
      </w:r>
      <w:r>
        <w:rPr>
          <w:rFonts w:ascii="Times New Roman" w:hAnsi="Times New Roman" w:cs="Times New Roman" w:eastAsia="Times New Roman" w:hint="default"/>
        </w:rPr>
        <w:t>“</w:t>
      </w:r>
      <w:r>
        <w:rPr/>
        <w:t>长城显示器</w:t>
      </w:r>
      <w:r>
        <w:rPr>
          <w:rFonts w:ascii="Times New Roman" w:hAnsi="Times New Roman" w:cs="Times New Roman" w:eastAsia="Times New Roman" w:hint="default"/>
        </w:rPr>
        <w:t>”</w:t>
      </w:r>
      <w:r>
        <w:rPr/>
        <w:t>字样，包括制造、生产、销售</w:t>
      </w:r>
    </w:p>
    <w:p>
      <w:pPr>
        <w:pStyle w:val="BodyText"/>
        <w:spacing w:line="228" w:lineRule="exact"/>
        <w:ind w:right="0"/>
        <w:jc w:val="both"/>
      </w:pPr>
      <w:r>
        <w:rPr/>
        <w:t>长城显示器及管理其分销商的权利，武汉艾德蒙科技股份有限公司（简称</w:t>
      </w:r>
      <w:r>
        <w:rPr>
          <w:rFonts w:ascii="Times New Roman" w:hAnsi="Times New Roman" w:cs="Times New Roman" w:eastAsia="Times New Roman" w:hint="default"/>
        </w:rPr>
        <w:t>“</w:t>
      </w:r>
      <w:r>
        <w:rPr/>
        <w:t>武汉艾德蒙</w:t>
      </w:r>
      <w:r>
        <w:rPr>
          <w:rFonts w:ascii="Times New Roman" w:hAnsi="Times New Roman" w:cs="Times New Roman" w:eastAsia="Times New Roman" w:hint="default"/>
        </w:rPr>
        <w:t>”</w:t>
      </w:r>
      <w:r>
        <w:rPr/>
        <w:t>，为冠捷科技全资下属公司）与中国</w:t>
      </w:r>
    </w:p>
    <w:p>
      <w:pPr>
        <w:pStyle w:val="BodyText"/>
        <w:spacing w:line="300" w:lineRule="auto" w:before="63"/>
        <w:ind w:right="188"/>
        <w:jc w:val="left"/>
      </w:pPr>
      <w:r>
        <w:rPr/>
        <w:t>电子续签《商标授权与销售代理合同</w:t>
      </w:r>
      <w:r>
        <w:rPr>
          <w:spacing w:val="-92"/>
        </w:rPr>
        <w:t>》</w:t>
      </w:r>
      <w:r>
        <w:rPr/>
        <w:t>，预计</w:t>
      </w:r>
      <w:r>
        <w:rPr>
          <w:spacing w:val="-37"/>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年交易金额上限分</w:t>
      </w:r>
      <w:r>
        <w:rPr>
          <w:spacing w:val="-3"/>
        </w:rPr>
        <w:t>别</w:t>
      </w:r>
      <w:r>
        <w:rPr/>
        <w:t>为不超过</w:t>
      </w:r>
      <w:r>
        <w:rPr>
          <w:spacing w:val="-38"/>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8</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千美元、</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3"/>
        </w:rPr>
        <w:t>千美 </w:t>
      </w:r>
      <w:r>
        <w:rPr/>
        <w:t>元、</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千美元（具体内容</w:t>
      </w:r>
      <w:r>
        <w:rPr>
          <w:spacing w:val="-3"/>
        </w:rPr>
        <w:t>详</w:t>
      </w:r>
      <w:r>
        <w:rPr/>
        <w:t>见</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号公告</w:t>
      </w:r>
      <w:r>
        <w:rPr>
          <w:spacing w:val="-92"/>
        </w:rPr>
        <w:t>）</w:t>
      </w:r>
      <w:r>
        <w:rPr/>
        <w:t>。</w:t>
      </w:r>
    </w:p>
    <w:p>
      <w:pPr>
        <w:pStyle w:val="BodyText"/>
        <w:spacing w:line="240" w:lineRule="auto" w:before="51"/>
        <w:ind w:left="513" w:right="89"/>
        <w:jc w:val="left"/>
      </w:pPr>
      <w:r>
        <w:rPr/>
        <w:t>前述事项已经</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日公司第六届董事会、</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 </w:t>
      </w:r>
      <w:r>
        <w:rPr/>
        <w:t>日公司</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年度第一次临时股东大会审议通过。</w:t>
      </w:r>
    </w:p>
    <w:p>
      <w:pPr>
        <w:pStyle w:val="BodyText"/>
        <w:spacing w:line="340" w:lineRule="auto" w:before="103"/>
        <w:ind w:left="513" w:right="89"/>
        <w:jc w:val="left"/>
      </w:pPr>
      <w:r>
        <w:rPr/>
        <w:t>（</w:t>
      </w:r>
      <w:r>
        <w:rPr>
          <w:rFonts w:ascii="Times New Roman" w:hAnsi="Times New Roman" w:cs="Times New Roman" w:eastAsia="Times New Roman" w:hint="default"/>
        </w:rPr>
        <w:t>4</w:t>
      </w:r>
      <w:r>
        <w:rPr/>
        <w:t>）桑菲通信与桑达汇通订立《分销协议》 基于日常业务需要，建立长期稳定销售渠道，桑菲通信就委任深圳市桑达汇通电子有限公司（简称</w:t>
      </w:r>
      <w:r>
        <w:rPr>
          <w:rFonts w:ascii="Times New Roman" w:hAnsi="Times New Roman" w:cs="Times New Roman" w:eastAsia="Times New Roman" w:hint="default"/>
        </w:rPr>
        <w:t>“</w:t>
      </w:r>
      <w:r>
        <w:rPr/>
        <w:t>桑达汇通</w:t>
      </w:r>
      <w:r>
        <w:rPr>
          <w:rFonts w:ascii="Times New Roman" w:hAnsi="Times New Roman" w:cs="Times New Roman" w:eastAsia="Times New Roman" w:hint="default"/>
        </w:rPr>
        <w:t>”</w:t>
      </w:r>
      <w:r>
        <w:rPr/>
        <w:t>）为</w:t>
      </w:r>
      <w:r>
        <w:rPr>
          <w:rFonts w:ascii="Times New Roman" w:hAnsi="Times New Roman" w:cs="Times New Roman" w:eastAsia="Times New Roman" w:hint="default"/>
        </w:rPr>
        <w:t>“</w:t>
      </w:r>
      <w:r>
        <w:rPr/>
        <w:t>飞</w:t>
      </w:r>
    </w:p>
    <w:p>
      <w:pPr>
        <w:pStyle w:val="BodyText"/>
        <w:spacing w:line="228" w:lineRule="exact"/>
        <w:ind w:right="0"/>
        <w:jc w:val="both"/>
      </w:pPr>
      <w:r>
        <w:rPr/>
        <w:t>利浦</w:t>
      </w:r>
      <w:r>
        <w:rPr>
          <w:rFonts w:ascii="Times New Roman" w:hAnsi="Times New Roman" w:cs="Times New Roman" w:eastAsia="Times New Roman" w:hint="default"/>
          <w:spacing w:val="-1"/>
          <w:w w:val="100"/>
        </w:rPr>
        <w:t>”</w:t>
      </w:r>
      <w:r>
        <w:rPr/>
        <w:t>品牌移动电话中国非独家分销商事宜与其签</w:t>
      </w:r>
      <w:r>
        <w:rPr>
          <w:spacing w:val="-17"/>
        </w:rPr>
        <w:t>署</w:t>
      </w:r>
      <w:r>
        <w:rPr/>
        <w:t>《分销协议</w:t>
      </w:r>
      <w:r>
        <w:rPr>
          <w:spacing w:val="-92"/>
        </w:rPr>
        <w:t>》</w:t>
      </w:r>
      <w:r>
        <w:rPr>
          <w:spacing w:val="-17"/>
        </w:rPr>
        <w:t>，</w:t>
      </w:r>
      <w:r>
        <w:rPr/>
        <w:t>预计</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年</w:t>
      </w:r>
      <w:r>
        <w:rPr>
          <w:spacing w:val="-17"/>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
        </w:rPr>
        <w:t>年</w:t>
      </w:r>
      <w:r>
        <w:rPr>
          <w:spacing w:val="-17"/>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年交易金额上限分别为</w:t>
      </w:r>
      <w:r>
        <w:rPr>
          <w:spacing w:val="-3"/>
        </w:rPr>
        <w:t>不</w:t>
      </w:r>
      <w:r>
        <w:rPr/>
        <w:t>超</w:t>
      </w:r>
    </w:p>
    <w:p>
      <w:pPr>
        <w:pStyle w:val="BodyText"/>
        <w:spacing w:line="240" w:lineRule="auto" w:before="63"/>
        <w:ind w:right="0"/>
        <w:jc w:val="both"/>
      </w:pPr>
      <w:r>
        <w:rPr/>
        <w:t>过人民币</w:t>
      </w:r>
      <w:r>
        <w:rPr>
          <w:spacing w:val="-44"/>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3"/>
        </w:rPr>
        <w:t>、</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万元（具体内</w:t>
      </w:r>
      <w:r>
        <w:rPr>
          <w:spacing w:val="-3"/>
        </w:rPr>
        <w:t>容</w:t>
      </w:r>
      <w:r>
        <w:rPr/>
        <w:t>详见</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号公告</w:t>
      </w:r>
      <w:r>
        <w:rPr>
          <w:spacing w:val="-92"/>
        </w:rPr>
        <w:t>）</w:t>
      </w:r>
      <w:r>
        <w:rPr/>
        <w:t>。</w:t>
      </w:r>
    </w:p>
    <w:p>
      <w:pPr>
        <w:pStyle w:val="BodyText"/>
        <w:spacing w:line="240" w:lineRule="auto" w:before="101"/>
        <w:ind w:left="513" w:right="89"/>
        <w:jc w:val="left"/>
      </w:pPr>
      <w:r>
        <w:rPr/>
        <w:t>前述事项已经</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日公司第六届董事会、</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 </w:t>
      </w:r>
      <w:r>
        <w:rPr/>
        <w:t>日公司</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年度第一次临时股东大会审议通过。</w:t>
      </w:r>
    </w:p>
    <w:p>
      <w:pPr>
        <w:pStyle w:val="BodyText"/>
        <w:spacing w:line="240" w:lineRule="auto" w:before="103"/>
        <w:ind w:left="513" w:right="89"/>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年度非公开发行股票</w:t>
      </w:r>
    </w:p>
    <w:p>
      <w:pPr>
        <w:pStyle w:val="BodyText"/>
        <w:spacing w:line="300" w:lineRule="auto" w:before="103"/>
        <w:ind w:right="89" w:firstLine="360"/>
        <w:jc w:val="left"/>
      </w:pPr>
      <w:r>
        <w:rPr/>
        <w:t>经公司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日第五届董事会第二十四次会议和</w:t>
      </w:r>
      <w:r>
        <w:rPr>
          <w:spacing w:val="-46"/>
        </w:rPr>
        <w:t> </w:t>
      </w: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spacing w:val="-48"/>
        </w:rPr>
        <w:t> </w:t>
      </w:r>
      <w:r>
        <w:rPr>
          <w:rFonts w:ascii="Times New Roman" w:hAnsi="Times New Roman" w:cs="Times New Roman" w:eastAsia="Times New Roman" w:hint="default"/>
        </w:rPr>
        <w:t>2014 </w:t>
      </w:r>
      <w:r>
        <w:rPr/>
        <w:t>年度第五次临时股东大会审议通过， 同意公司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年度非公开发行</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股股票的相关事宜，发行对象之一为公司实际控制人中国电子，构成关联交易；报告期内</w:t>
      </w:r>
    </w:p>
    <w:p>
      <w:pPr>
        <w:spacing w:after="0" w:line="30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192" w:right="0"/>
        <w:jc w:val="both"/>
      </w:pPr>
      <w:r>
        <w:rPr/>
        <w:t>公司非公开发行股票方案因股东大会决议的失效而自动终止，具体内容详见本节</w:t>
      </w:r>
      <w:r>
        <w:rPr>
          <w:rFonts w:ascii="Times New Roman" w:hAnsi="Times New Roman" w:cs="Times New Roman" w:eastAsia="Times New Roman" w:hint="default"/>
        </w:rPr>
        <w:t>“</w:t>
      </w:r>
      <w:r>
        <w:rPr/>
        <w:t>其他重大事项的说明</w:t>
      </w:r>
      <w:r>
        <w:rPr>
          <w:rFonts w:ascii="Times New Roman" w:hAnsi="Times New Roman" w:cs="Times New Roman" w:eastAsia="Times New Roman" w:hint="default"/>
        </w:rPr>
        <w:t>”</w:t>
      </w:r>
      <w:r>
        <w:rPr/>
        <w:t>中的相关介绍。</w:t>
      </w:r>
    </w:p>
    <w:p>
      <w:pPr>
        <w:pStyle w:val="BodyText"/>
        <w:spacing w:line="240" w:lineRule="auto" w:before="104"/>
        <w:ind w:left="553" w:right="0"/>
        <w:jc w:val="left"/>
      </w:pPr>
      <w:r>
        <w:rPr/>
        <w:t>（</w:t>
      </w:r>
      <w:r>
        <w:rPr>
          <w:rFonts w:ascii="Times New Roman" w:hAnsi="Times New Roman" w:cs="Times New Roman" w:eastAsia="Times New Roman" w:hint="default"/>
        </w:rPr>
        <w:t>6</w:t>
      </w:r>
      <w:r>
        <w:rPr/>
        <w:t>）重大资产重组</w:t>
      </w:r>
    </w:p>
    <w:p>
      <w:pPr>
        <w:pStyle w:val="BodyText"/>
        <w:spacing w:line="240" w:lineRule="auto" w:before="101"/>
        <w:ind w:left="553" w:right="0"/>
        <w:jc w:val="left"/>
      </w:pPr>
      <w:r>
        <w:rPr/>
        <w:t>由于公司实际控制人中国电子正在筹划涉及公司的重大事项，经公司申请，公司股票自</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18 </w:t>
      </w:r>
      <w:r>
        <w:rPr/>
        <w:t>日开市起停牌。</w:t>
      </w:r>
    </w:p>
    <w:p>
      <w:pPr>
        <w:pStyle w:val="BodyText"/>
        <w:spacing w:line="240" w:lineRule="auto" w:before="103"/>
        <w:ind w:left="55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日，经确认，中国电子本次筹划的重大事项涉及本公司的重大资产重组，经公司申请，公司股票转为重</w:t>
      </w:r>
    </w:p>
    <w:p>
      <w:pPr>
        <w:pStyle w:val="BodyText"/>
        <w:spacing w:line="240" w:lineRule="auto" w:before="63"/>
        <w:ind w:left="192" w:right="0"/>
        <w:jc w:val="both"/>
        <w:rPr>
          <w:rFonts w:ascii="Times New Roman" w:hAnsi="Times New Roman" w:cs="Times New Roman" w:eastAsia="Times New Roman" w:hint="default"/>
        </w:rPr>
      </w:pPr>
      <w:r>
        <w:rPr/>
        <w:t>大资产重组停牌</w:t>
      </w:r>
      <w:r>
        <w:rPr>
          <w:spacing w:val="-7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spacing w:val="-72"/>
        </w:rPr>
        <w:t>，</w:t>
      </w:r>
      <w:r>
        <w:rPr/>
        <w:t>公司第六届董事会第六</w:t>
      </w:r>
      <w:r>
        <w:rPr>
          <w:spacing w:val="-3"/>
        </w:rPr>
        <w:t>次</w:t>
      </w:r>
      <w:r>
        <w:rPr/>
        <w:t>会议审议通过了本次重大资产重组预案及其他相关议案</w:t>
      </w:r>
      <w:r>
        <w:rPr>
          <w:spacing w:val="-7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p>
    <w:p>
      <w:pPr>
        <w:pStyle w:val="BodyText"/>
        <w:spacing w:line="240" w:lineRule="auto" w:before="63"/>
        <w:ind w:left="192" w:right="0"/>
        <w:jc w:val="both"/>
      </w:pPr>
      <w:r>
        <w:rPr/>
        <w:t>年</w:t>
      </w:r>
      <w:r>
        <w:rPr>
          <w:spacing w:val="-45"/>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10 </w:t>
      </w:r>
      <w:r>
        <w:rPr>
          <w:spacing w:val="-4"/>
        </w:rPr>
        <w:t>日，经公司申请，公司股票恢复交易；</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10 </w:t>
      </w:r>
      <w:r>
        <w:rPr/>
        <w:t>日公司第六届董事会第七次会议、</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18 </w:t>
      </w:r>
      <w:r>
        <w:rPr/>
        <w:t>日公司第</w:t>
      </w:r>
    </w:p>
    <w:p>
      <w:pPr>
        <w:pStyle w:val="BodyText"/>
        <w:spacing w:line="300" w:lineRule="auto" w:before="63"/>
        <w:ind w:left="192" w:right="191"/>
        <w:jc w:val="both"/>
      </w:pPr>
      <w:r>
        <w:rPr/>
        <w:t>六届董事会第八次会议和</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 </w:t>
      </w:r>
      <w:r>
        <w:rPr/>
        <w:t>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年度第二次临时股东大会审议通过了本次重大资产重组报告书（草案）及 </w:t>
      </w:r>
      <w:r>
        <w:rPr>
          <w:spacing w:val="-2"/>
        </w:rPr>
        <w:t>其他相关议案。本次重大资产重组总体方案包括：</w:t>
      </w:r>
      <w:r>
        <w:rPr>
          <w:rFonts w:ascii="Times New Roman" w:hAnsi="Times New Roman" w:cs="Times New Roman" w:eastAsia="Times New Roman" w:hint="default"/>
          <w:spacing w:val="-2"/>
        </w:rPr>
        <w:t>1</w:t>
      </w:r>
      <w:r>
        <w:rPr>
          <w:spacing w:val="-2"/>
        </w:rPr>
        <w:t>）换股合并；</w:t>
      </w:r>
      <w:r>
        <w:rPr>
          <w:rFonts w:ascii="Times New Roman" w:hAnsi="Times New Roman" w:cs="Times New Roman" w:eastAsia="Times New Roman" w:hint="default"/>
          <w:spacing w:val="-2"/>
        </w:rPr>
        <w:t>2</w:t>
      </w:r>
      <w:r>
        <w:rPr>
          <w:spacing w:val="-2"/>
        </w:rPr>
        <w:t>）重大资产置换；</w:t>
      </w:r>
      <w:r>
        <w:rPr>
          <w:rFonts w:ascii="Times New Roman" w:hAnsi="Times New Roman" w:cs="Times New Roman" w:eastAsia="Times New Roman" w:hint="default"/>
          <w:spacing w:val="-2"/>
        </w:rPr>
        <w:t>3</w:t>
      </w:r>
      <w:r>
        <w:rPr>
          <w:spacing w:val="-2"/>
        </w:rPr>
        <w:t>）发行股份购买资产；</w:t>
      </w:r>
      <w:r>
        <w:rPr>
          <w:rFonts w:ascii="Times New Roman" w:hAnsi="Times New Roman" w:cs="Times New Roman" w:eastAsia="Times New Roman" w:hint="default"/>
          <w:spacing w:val="-2"/>
        </w:rPr>
        <w:t>4</w:t>
      </w:r>
      <w:r>
        <w:rPr>
          <w:spacing w:val="-2"/>
        </w:rPr>
        <w:t>）配套募集资</w:t>
      </w:r>
      <w:r>
        <w:rPr>
          <w:spacing w:val="-63"/>
        </w:rPr>
        <w:t> </w:t>
      </w:r>
      <w:r>
        <w:rPr>
          <w:spacing w:val="-63"/>
        </w:rPr>
      </w:r>
      <w:r>
        <w:rPr/>
        <w:t>金。因交易方实际控制人均为中国电子，本次重大资产重组构成关联交易。</w:t>
      </w:r>
    </w:p>
    <w:p>
      <w:pPr>
        <w:pStyle w:val="BodyText"/>
        <w:spacing w:line="676" w:lineRule="auto" w:before="72"/>
        <w:ind w:left="192" w:right="2454" w:firstLine="360"/>
        <w:jc w:val="left"/>
      </w:pPr>
      <w:r>
        <w:rPr/>
        <w:pict>
          <v:shape style="position:absolute;margin-left:52.799999pt;margin-top:55.994717pt;width:489.95pt;height:459.9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73"/>
                    <w:gridCol w:w="2652"/>
                    <w:gridCol w:w="3459"/>
                  </w:tblGrid>
                  <w:tr>
                    <w:trPr>
                      <w:trHeight w:val="322" w:hRule="exact"/>
                    </w:trPr>
                    <w:tc>
                      <w:tcPr>
                        <w:tcW w:w="3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3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2013-044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关联交易公告（在北京未来城定制科</w:t>
                        </w:r>
                        <w:r>
                          <w:rPr>
                            <w:rFonts w:ascii="宋体" w:hAnsi="宋体" w:cs="宋体" w:eastAsia="宋体" w:hint="default"/>
                            <w:sz w:val="18"/>
                            <w:szCs w:val="18"/>
                          </w:rPr>
                          <w:t> 研办公室）</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46"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关于子公司冠捷科技之下属公司冠 捷投资与桑菲通信订立主供应商协议、与京华 信息订立采购协议暨日常关联交易的公告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关联方房屋租赁公告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关于熊猫平板项目二次变更并放弃 优先购买权暨关联交易事宜的公告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48"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关于冠捷科技与桑菲通信续签供应 协议、冠捷投资与熊猫液晶、中电信息续签及 订立采购协议暨日常关联交易的公告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2015-003 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关于聘请中国中电国际信息服务有 限公司为项目管理咨询单位暨关联交易的公告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关于子公司冠捷科技下属公司收购 桑菲通信暨关联交易的公告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关于冠捷投资与惠州开发、华睿川电</w:t>
                        </w:r>
                        <w:r>
                          <w:rPr>
                            <w:rFonts w:ascii="宋体" w:hAnsi="宋体" w:cs="宋体" w:eastAsia="宋体" w:hint="default"/>
                            <w:sz w:val="18"/>
                            <w:szCs w:val="18"/>
                          </w:rPr>
                          <w:t> 子订立采购协议暨日常关联交易的公告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关于公司非公开发行股票方案到期 失效的公告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48"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2015-096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关于武汉艾德蒙与中国电子续签《商</w:t>
                        </w:r>
                        <w:r>
                          <w:rPr>
                            <w:rFonts w:ascii="宋体" w:hAnsi="宋体" w:cs="宋体" w:eastAsia="宋体" w:hint="default"/>
                            <w:sz w:val="18"/>
                            <w:szCs w:val="18"/>
                          </w:rPr>
                          <w:t> </w:t>
                        </w:r>
                        <w:r>
                          <w:rPr>
                            <w:rFonts w:ascii="宋体" w:hAnsi="宋体" w:cs="宋体" w:eastAsia="宋体" w:hint="default"/>
                            <w:spacing w:val="-8"/>
                            <w:sz w:val="18"/>
                            <w:szCs w:val="18"/>
                          </w:rPr>
                          <w:t>标授权与销售代理合同》、桑菲通信与桑达汇通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订立《分销协议》暨日常关联交易的公告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4"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2016-013 </w:t>
                        </w:r>
                        <w:r>
                          <w:rPr>
                            <w:rFonts w:ascii="宋体" w:hAnsi="宋体" w:cs="宋体" w:eastAsia="宋体" w:hint="default"/>
                            <w:spacing w:val="-3"/>
                            <w:sz w:val="18"/>
                            <w:szCs w:val="18"/>
                          </w:rPr>
                          <w:t>关于《全面金融合作协议》调整存贷</w:t>
                        </w:r>
                        <w:r>
                          <w:rPr>
                            <w:rFonts w:ascii="宋体" w:hAnsi="宋体" w:cs="宋体" w:eastAsia="宋体" w:hint="default"/>
                            <w:sz w:val="18"/>
                            <w:szCs w:val="18"/>
                          </w:rPr>
                          <w:t> 款额度及延长协议期限暨关联交易的公告</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46"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7"/>
                          <w:jc w:val="both"/>
                          <w:rPr>
                            <w:rFonts w:ascii="宋体" w:hAnsi="宋体" w:cs="宋体" w:eastAsia="宋体" w:hint="default"/>
                            <w:sz w:val="18"/>
                            <w:szCs w:val="18"/>
                          </w:rPr>
                        </w:pPr>
                        <w:r>
                          <w:rPr>
                            <w:rFonts w:ascii="宋体" w:hAnsi="宋体" w:cs="宋体" w:eastAsia="宋体" w:hint="default"/>
                            <w:sz w:val="18"/>
                            <w:szCs w:val="18"/>
                          </w:rPr>
                          <w:t>长城电脑换股合并长城信息及重大资产置换和 发行股份购买资产并募集配套资金暨关联交易 报告书（草案）</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
              </w:txbxContent>
            </v:textbox>
            <w10:wrap type="none"/>
          </v:shape>
        </w:pict>
      </w:r>
      <w:r>
        <w:rPr/>
        <w:t>截至目前，该事项仍在进行中，具体内容详见本节</w:t>
      </w:r>
      <w:r>
        <w:rPr>
          <w:rFonts w:ascii="Times New Roman" w:hAnsi="Times New Roman" w:cs="Times New Roman" w:eastAsia="Times New Roman" w:hint="default"/>
        </w:rPr>
        <w:t>“</w:t>
      </w:r>
      <w:r>
        <w:rPr/>
        <w:t>其他重大事项的说明</w:t>
      </w:r>
      <w:r>
        <w:rPr>
          <w:rFonts w:ascii="Times New Roman" w:hAnsi="Times New Roman" w:cs="Times New Roman" w:eastAsia="Times New Roman" w:hint="default"/>
        </w:rPr>
        <w:t>”</w:t>
      </w:r>
      <w:r>
        <w:rPr/>
        <w:t>中的相关介绍。 重大关联交易临时报告披露网站相关查询</w:t>
      </w:r>
    </w:p>
    <w:p>
      <w:pPr>
        <w:spacing w:after="0" w:line="676" w:lineRule="auto"/>
        <w:jc w:val="left"/>
        <w:sectPr>
          <w:pgSz w:w="11910" w:h="16840"/>
          <w:pgMar w:header="877" w:footer="980" w:top="1100" w:bottom="1160" w:left="940" w:right="940"/>
        </w:sectPr>
      </w:pPr>
    </w:p>
    <w:p>
      <w:pPr>
        <w:spacing w:line="240" w:lineRule="auto" w:before="7"/>
        <w:rPr>
          <w:rFonts w:ascii="宋体" w:hAnsi="宋体" w:cs="宋体" w:eastAsia="宋体" w:hint="default"/>
          <w:sz w:val="19"/>
          <w:szCs w:val="19"/>
        </w:rPr>
      </w:pPr>
    </w:p>
    <w:p>
      <w:pPr>
        <w:pStyle w:val="Heading5"/>
        <w:spacing w:line="240" w:lineRule="auto" w:before="26"/>
        <w:ind w:left="692" w:right="615"/>
        <w:jc w:val="left"/>
        <w:rPr>
          <w:b w:val="0"/>
          <w:bCs w:val="0"/>
        </w:rPr>
      </w:pPr>
      <w:r>
        <w:rPr/>
        <w:t>十七、重大合同及其履行情况</w:t>
      </w:r>
      <w:r>
        <w:rPr>
          <w:b w:val="0"/>
          <w:bCs w:val="0"/>
        </w:rPr>
      </w:r>
    </w:p>
    <w:p>
      <w:pPr>
        <w:spacing w:line="240" w:lineRule="auto" w:before="4"/>
        <w:rPr>
          <w:rFonts w:ascii="宋体" w:hAnsi="宋体" w:cs="宋体" w:eastAsia="宋体" w:hint="default"/>
          <w:b/>
          <w:bCs/>
          <w:sz w:val="20"/>
          <w:szCs w:val="20"/>
        </w:rPr>
      </w:pPr>
    </w:p>
    <w:p>
      <w:pPr>
        <w:pStyle w:val="Heading8"/>
        <w:spacing w:line="240" w:lineRule="auto"/>
        <w:ind w:left="692" w:right="61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3"/>
        <w:rPr>
          <w:rFonts w:ascii="宋体" w:hAnsi="宋体" w:cs="宋体" w:eastAsia="宋体" w:hint="default"/>
          <w:b/>
          <w:bCs/>
          <w:sz w:val="19"/>
          <w:szCs w:val="19"/>
        </w:rPr>
      </w:pPr>
    </w:p>
    <w:p>
      <w:pPr>
        <w:pStyle w:val="Heading8"/>
        <w:spacing w:line="240" w:lineRule="auto"/>
        <w:ind w:left="692" w:right="615"/>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15"/>
          <w:szCs w:val="15"/>
        </w:rPr>
      </w:pPr>
    </w:p>
    <w:p>
      <w:pPr>
        <w:spacing w:line="357" w:lineRule="auto" w:before="0"/>
        <w:ind w:left="692" w:right="880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托管情况说明</w:t>
      </w:r>
      <w:r>
        <w:rPr>
          <w:rFonts w:ascii="宋体" w:hAnsi="宋体" w:cs="宋体" w:eastAsia="宋体" w:hint="default"/>
          <w:sz w:val="18"/>
          <w:szCs w:val="18"/>
        </w:rPr>
      </w:r>
    </w:p>
    <w:p>
      <w:pPr>
        <w:pStyle w:val="BodyText"/>
        <w:spacing w:line="240" w:lineRule="auto" w:before="29"/>
        <w:ind w:left="1053" w:right="615"/>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日，经公司第五届董事会审议，同意公司与实际控制人中国电子就深圳中电长城信息安全系统有限公司</w:t>
      </w:r>
    </w:p>
    <w:p>
      <w:pPr>
        <w:pStyle w:val="BodyText"/>
        <w:spacing w:line="300" w:lineRule="auto" w:before="63"/>
        <w:ind w:left="692" w:right="615"/>
        <w:jc w:val="left"/>
      </w:pPr>
      <w:r>
        <w:rPr/>
        <w:t>（为中国电子的控股子公司；中国电子持股</w:t>
      </w:r>
      <w:r>
        <w:rPr>
          <w:spacing w:val="-51"/>
        </w:rPr>
        <w:t> </w:t>
      </w:r>
      <w:r>
        <w:rPr>
          <w:rFonts w:ascii="Times New Roman" w:hAnsi="Times New Roman" w:cs="Times New Roman" w:eastAsia="Times New Roman" w:hint="default"/>
        </w:rPr>
        <w:t>85.11%</w:t>
      </w:r>
      <w:r>
        <w:rPr/>
        <w:t>，公司持股</w:t>
      </w:r>
      <w:r>
        <w:rPr>
          <w:spacing w:val="-52"/>
        </w:rPr>
        <w:t> </w:t>
      </w:r>
      <w:r>
        <w:rPr>
          <w:rFonts w:ascii="Times New Roman" w:hAnsi="Times New Roman" w:cs="Times New Roman" w:eastAsia="Times New Roman" w:hint="default"/>
        </w:rPr>
        <w:t>14.89%</w:t>
      </w:r>
      <w:r>
        <w:rPr/>
        <w:t>）委托给本公司进行经营管理事宜签署《委托管理协 </w:t>
      </w:r>
      <w:r>
        <w:rPr>
          <w:spacing w:val="-6"/>
        </w:rPr>
        <w:t>议》，协议有效期三年，委托管理费按长城信安年度净利润的</w:t>
      </w:r>
      <w:r>
        <w:rPr>
          <w:spacing w:val="-34"/>
        </w:rPr>
        <w:t> </w:t>
      </w:r>
      <w:r>
        <w:rPr>
          <w:rFonts w:ascii="Times New Roman" w:hAnsi="Times New Roman" w:cs="Times New Roman" w:eastAsia="Times New Roman" w:hint="default"/>
          <w:spacing w:val="-2"/>
        </w:rPr>
        <w:t>5%</w:t>
      </w:r>
      <w:r>
        <w:rPr>
          <w:spacing w:val="-2"/>
        </w:rPr>
        <w:t>计算，但每年最高不超过人民币</w:t>
      </w:r>
      <w:r>
        <w:rPr>
          <w:spacing w:val="-36"/>
        </w:rPr>
        <w:t> </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spacing w:val="-3"/>
        </w:rPr>
        <w:t>万元。在委托管理期间，</w:t>
      </w:r>
      <w:r>
        <w:rPr>
          <w:spacing w:val="-88"/>
        </w:rPr>
        <w:t> </w:t>
      </w:r>
      <w:r>
        <w:rPr>
          <w:spacing w:val="-88"/>
        </w:rPr>
      </w:r>
      <w:r>
        <w:rPr/>
        <w:t>长城信安独立核算，自负盈亏，财务报表纳入中国电子合并报表范围。</w:t>
      </w:r>
    </w:p>
    <w:p>
      <w:pPr>
        <w:pStyle w:val="BodyText"/>
        <w:spacing w:line="240" w:lineRule="auto" w:before="72"/>
        <w:ind w:left="692" w:right="615"/>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left="692" w:right="615"/>
        <w:jc w:val="left"/>
      </w:pPr>
      <w:r>
        <w:rPr/>
        <w:t>□ 适用 √</w:t>
      </w:r>
      <w:r>
        <w:rPr>
          <w:spacing w:val="3"/>
        </w:rPr>
        <w:t> </w:t>
      </w:r>
      <w:r>
        <w:rPr/>
        <w:t>不适用</w:t>
      </w:r>
    </w:p>
    <w:p>
      <w:pPr>
        <w:pStyle w:val="BodyText"/>
        <w:spacing w:line="240" w:lineRule="auto" w:before="118"/>
        <w:ind w:left="1053" w:right="615"/>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以上的托管项目。</w:t>
      </w:r>
    </w:p>
    <w:p>
      <w:pPr>
        <w:spacing w:line="240" w:lineRule="auto" w:before="7"/>
        <w:rPr>
          <w:rFonts w:ascii="宋体" w:hAnsi="宋体" w:cs="宋体" w:eastAsia="宋体" w:hint="default"/>
          <w:sz w:val="15"/>
          <w:szCs w:val="15"/>
        </w:rPr>
      </w:pPr>
    </w:p>
    <w:p>
      <w:pPr>
        <w:pStyle w:val="Heading8"/>
        <w:spacing w:line="240" w:lineRule="auto"/>
        <w:ind w:left="692" w:right="61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15"/>
          <w:szCs w:val="15"/>
        </w:rPr>
      </w:pPr>
    </w:p>
    <w:p>
      <w:pPr>
        <w:pStyle w:val="BodyText"/>
        <w:spacing w:line="360" w:lineRule="auto"/>
        <w:ind w:left="1053" w:right="7633" w:hanging="361"/>
        <w:jc w:val="left"/>
      </w:pPr>
      <w:r>
        <w:rPr/>
        <w:t>□ 适用 √</w:t>
      </w:r>
      <w:r>
        <w:rPr>
          <w:spacing w:val="3"/>
        </w:rPr>
        <w:t> </w:t>
      </w:r>
      <w:r>
        <w:rPr/>
        <w:t>不适用</w:t>
      </w:r>
      <w:r>
        <w:rPr/>
        <w:t> 公司报告期不存在承包情况。</w:t>
      </w:r>
    </w:p>
    <w:p>
      <w:pPr>
        <w:pStyle w:val="Heading8"/>
        <w:spacing w:line="240" w:lineRule="auto" w:before="126"/>
        <w:ind w:left="692" w:right="61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15"/>
          <w:szCs w:val="15"/>
        </w:rPr>
      </w:pPr>
    </w:p>
    <w:p>
      <w:pPr>
        <w:spacing w:line="360" w:lineRule="auto" w:before="0"/>
        <w:ind w:left="692" w:right="880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租赁情况说明</w:t>
      </w:r>
      <w:r>
        <w:rPr>
          <w:rFonts w:ascii="宋体" w:hAnsi="宋体" w:cs="宋体" w:eastAsia="宋体" w:hint="default"/>
          <w:sz w:val="18"/>
          <w:szCs w:val="18"/>
        </w:rPr>
      </w:r>
    </w:p>
    <w:p>
      <w:pPr>
        <w:pStyle w:val="BodyText"/>
        <w:spacing w:line="240" w:lineRule="auto" w:before="27"/>
        <w:ind w:left="1053" w:right="615"/>
        <w:jc w:val="left"/>
      </w:pPr>
      <w:r>
        <w:rPr>
          <w:rFonts w:ascii="Times New Roman" w:hAnsi="Times New Roman" w:cs="Times New Roman" w:eastAsia="Times New Roman" w:hint="default"/>
        </w:rPr>
        <w:t>1</w:t>
      </w:r>
      <w:r>
        <w:rPr/>
        <w:t>）本公司历年来对外出租部分自有物业，对关联方的出租详见财务报表附注中</w:t>
      </w:r>
      <w:r>
        <w:rPr>
          <w:rFonts w:ascii="Times New Roman" w:hAnsi="Times New Roman" w:cs="Times New Roman" w:eastAsia="Times New Roman" w:hint="default"/>
        </w:rPr>
        <w:t>“</w:t>
      </w:r>
      <w:r>
        <w:rPr/>
        <w:t>关联交易</w:t>
      </w:r>
      <w:r>
        <w:rPr>
          <w:rFonts w:ascii="Times New Roman" w:hAnsi="Times New Roman" w:cs="Times New Roman" w:eastAsia="Times New Roman" w:hint="default"/>
        </w:rPr>
        <w:t>”</w:t>
      </w:r>
      <w:r>
        <w:rPr/>
        <w:t>的相关介绍；</w:t>
      </w:r>
    </w:p>
    <w:p>
      <w:pPr>
        <w:pStyle w:val="BodyText"/>
        <w:spacing w:line="340" w:lineRule="auto" w:before="101"/>
        <w:ind w:left="1053" w:right="1263"/>
        <w:jc w:val="left"/>
      </w:pPr>
      <w:r>
        <w:rPr>
          <w:rFonts w:ascii="Times New Roman" w:hAnsi="Times New Roman" w:cs="Times New Roman" w:eastAsia="Times New Roman" w:hint="default"/>
        </w:rPr>
        <w:t>2</w:t>
      </w:r>
      <w:r>
        <w:rPr/>
        <w:t>）公司亦存在少量租赁厂房、宿舍的情况，向关联方承租的情况详见财务报表附注中</w:t>
      </w:r>
      <w:r>
        <w:rPr>
          <w:rFonts w:ascii="Times New Roman" w:hAnsi="Times New Roman" w:cs="Times New Roman" w:eastAsia="Times New Roman" w:hint="default"/>
        </w:rPr>
        <w:t>“</w:t>
      </w:r>
      <w:r>
        <w:rPr/>
        <w:t>关联交易</w:t>
      </w:r>
      <w:r>
        <w:rPr>
          <w:rFonts w:ascii="Times New Roman" w:hAnsi="Times New Roman" w:cs="Times New Roman" w:eastAsia="Times New Roman" w:hint="default"/>
        </w:rPr>
        <w:t>”</w:t>
      </w:r>
      <w:r>
        <w:rPr/>
        <w:t>的相关介绍。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0"/>
        <w:ind w:left="692" w:right="615"/>
        <w:jc w:val="left"/>
      </w:pPr>
      <w:r>
        <w:rPr/>
        <w:t>□ 适用 √</w:t>
      </w:r>
      <w:r>
        <w:rPr>
          <w:spacing w:val="3"/>
        </w:rPr>
        <w:t> </w:t>
      </w:r>
      <w:r>
        <w:rPr/>
        <w:t>不适用</w:t>
      </w:r>
    </w:p>
    <w:p>
      <w:pPr>
        <w:pStyle w:val="BodyText"/>
        <w:spacing w:line="240" w:lineRule="auto" w:before="115"/>
        <w:ind w:left="1053" w:right="615"/>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1"/>
          <w:szCs w:val="21"/>
        </w:rPr>
      </w:pPr>
    </w:p>
    <w:p>
      <w:pPr>
        <w:pStyle w:val="Heading8"/>
        <w:spacing w:line="240" w:lineRule="auto"/>
        <w:ind w:left="692" w:right="615"/>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692" w:right="615"/>
        <w:jc w:val="left"/>
      </w:pPr>
      <w:r>
        <w:rPr/>
        <w:t>√ 适用 □</w:t>
      </w:r>
      <w:r>
        <w:rPr>
          <w:spacing w:val="3"/>
        </w:rPr>
        <w:t> </w:t>
      </w:r>
      <w:r>
        <w:rPr/>
        <w:t>不适用</w:t>
      </w:r>
    </w:p>
    <w:p>
      <w:pPr>
        <w:spacing w:line="240" w:lineRule="auto" w:before="7"/>
        <w:rPr>
          <w:rFonts w:ascii="宋体" w:hAnsi="宋体" w:cs="宋体" w:eastAsia="宋体" w:hint="default"/>
          <w:sz w:val="16"/>
          <w:szCs w:val="16"/>
        </w:rPr>
      </w:pPr>
    </w:p>
    <w:p>
      <w:pPr>
        <w:pStyle w:val="Heading8"/>
        <w:spacing w:line="240" w:lineRule="auto"/>
        <w:ind w:left="692" w:right="615"/>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0" w:right="711"/>
        <w:jc w:val="right"/>
      </w:pPr>
      <w:r>
        <w:rPr/>
        <w:t>单位：万元</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736"/>
        <w:gridCol w:w="1514"/>
        <w:gridCol w:w="901"/>
        <w:gridCol w:w="1440"/>
        <w:gridCol w:w="900"/>
        <w:gridCol w:w="1260"/>
        <w:gridCol w:w="1604"/>
        <w:gridCol w:w="720"/>
        <w:gridCol w:w="737"/>
      </w:tblGrid>
      <w:tr>
        <w:trPr>
          <w:trHeight w:val="362" w:hRule="exact"/>
        </w:trPr>
        <w:tc>
          <w:tcPr>
            <w:tcW w:w="108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675"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29"/>
              <w:ind w:left="391" w:right="31"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29"/>
              <w:ind w:left="266" w:right="-3" w:hanging="264"/>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29"/>
              <w:ind w:left="266" w:right="82"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29"/>
              <w:ind w:left="84" w:right="8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29"/>
              <w:ind w:left="2"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62" w:hRule="exact"/>
        </w:trPr>
        <w:tc>
          <w:tcPr>
            <w:tcW w:w="173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9"/>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341" w:type="dxa"/>
            <w:gridSpan w:val="2"/>
            <w:tcBorders>
              <w:top w:val="single" w:sz="4" w:space="0" w:color="000000"/>
              <w:left w:val="single" w:sz="4" w:space="0" w:color="000000"/>
              <w:bottom w:val="single" w:sz="4" w:space="0" w:color="000000"/>
              <w:right w:val="single" w:sz="4" w:space="0" w:color="000000"/>
            </w:tcBorders>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9"/>
              <w:ind w:left="2" w:right="166"/>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341" w:type="dxa"/>
            <w:gridSpan w:val="2"/>
            <w:tcBorders>
              <w:top w:val="single" w:sz="4" w:space="0" w:color="000000"/>
              <w:left w:val="single" w:sz="4" w:space="0" w:color="000000"/>
              <w:bottom w:val="single" w:sz="4" w:space="0" w:color="000000"/>
              <w:right w:val="single" w:sz="4" w:space="0" w:color="000000"/>
            </w:tcBorders>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9"/>
              <w:ind w:left="2" w:right="166"/>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44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736"/>
        <w:gridCol w:w="1509"/>
        <w:gridCol w:w="906"/>
        <w:gridCol w:w="1440"/>
        <w:gridCol w:w="900"/>
        <w:gridCol w:w="1260"/>
        <w:gridCol w:w="1604"/>
        <w:gridCol w:w="720"/>
        <w:gridCol w:w="737"/>
      </w:tblGrid>
      <w:tr>
        <w:trPr>
          <w:trHeight w:val="362" w:hRule="exact"/>
        </w:trPr>
        <w:tc>
          <w:tcPr>
            <w:tcW w:w="108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675"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0"/>
              <w:ind w:left="391" w:right="2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0"/>
              <w:ind w:left="266" w:right="-3" w:hanging="264"/>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0"/>
              <w:ind w:left="266" w:right="82"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0"/>
              <w:ind w:left="84" w:right="8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0"/>
              <w:ind w:left="2"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60" w:hRule="exact"/>
        </w:trPr>
        <w:tc>
          <w:tcPr>
            <w:tcW w:w="1736" w:type="dxa"/>
            <w:vMerge w:val="restart"/>
            <w:tcBorders>
              <w:top w:val="single" w:sz="4" w:space="0" w:color="000000"/>
              <w:left w:val="single" w:sz="4" w:space="0" w:color="000000"/>
              <w:right w:val="single" w:sz="4" w:space="0" w:color="000000"/>
            </w:tcBorders>
          </w:tcPr>
          <w:p>
            <w:pPr>
              <w:pStyle w:val="TableParagraph"/>
              <w:spacing w:line="319" w:lineRule="auto" w:before="53"/>
              <w:ind w:right="105"/>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78" w:right="-3"/>
              <w:jc w:val="left"/>
              <w:rPr>
                <w:rFonts w:ascii="Times New Roman" w:hAnsi="Times New Roman" w:cs="Times New Roman" w:eastAsia="Times New Roman" w:hint="default"/>
                <w:sz w:val="18"/>
                <w:szCs w:val="18"/>
              </w:rPr>
            </w:pPr>
            <w:r>
              <w:rPr>
                <w:rFonts w:ascii="Times New Roman"/>
                <w:sz w:val="18"/>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w w:val="95"/>
                <w:sz w:val="18"/>
              </w:rPr>
              <w:t>6,474.05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36"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90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w w:val="95"/>
                <w:sz w:val="18"/>
              </w:rPr>
              <w:t>7,014.63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right="105"/>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78" w:right="-3"/>
              <w:jc w:val="left"/>
              <w:rPr>
                <w:rFonts w:ascii="Times New Roman" w:hAnsi="Times New Roman" w:cs="Times New Roman" w:eastAsia="Times New Roman" w:hint="default"/>
                <w:sz w:val="18"/>
                <w:szCs w:val="18"/>
              </w:rPr>
            </w:pPr>
            <w:r>
              <w:rPr>
                <w:rFonts w:ascii="Times New Roman"/>
                <w:sz w:val="18"/>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12,193.63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3"/>
              <w:jc w:val="center"/>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36"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906"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w w:val="95"/>
                <w:sz w:val="18"/>
              </w:rPr>
              <w:t>9,759.55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36"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90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12,677.29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right="105"/>
              <w:jc w:val="left"/>
              <w:rPr>
                <w:rFonts w:ascii="宋体" w:hAnsi="宋体" w:cs="宋体" w:eastAsia="宋体" w:hint="default"/>
                <w:sz w:val="18"/>
                <w:szCs w:val="18"/>
              </w:rPr>
            </w:pPr>
            <w:r>
              <w:rPr>
                <w:rFonts w:ascii="宋体" w:hAnsi="宋体" w:cs="宋体" w:eastAsia="宋体" w:hint="default"/>
                <w:sz w:val="18"/>
                <w:szCs w:val="18"/>
              </w:rPr>
              <w:t>深圳中电长城能源有 限公司</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4,000.00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8"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73"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44,000.00</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9"/>
              <w:ind w:left="2" w:right="166"/>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w w:val="95"/>
                <w:sz w:val="18"/>
              </w:rPr>
              <w:t>50,119.15</w:t>
            </w:r>
          </w:p>
        </w:tc>
      </w:tr>
      <w:tr>
        <w:trPr>
          <w:trHeight w:val="679"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44,000.00</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1"/>
              <w:ind w:left="2" w:right="166"/>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24,436.84</w:t>
            </w:r>
          </w:p>
        </w:tc>
      </w:tr>
      <w:tr>
        <w:trPr>
          <w:trHeight w:val="358" w:hRule="exact"/>
        </w:trPr>
        <w:tc>
          <w:tcPr>
            <w:tcW w:w="108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674"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391" w:right="2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266" w:right="-3" w:hanging="264"/>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266" w:right="82"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84" w:right="8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2" w:right="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7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right="0"/>
              <w:jc w:val="left"/>
              <w:rPr>
                <w:rFonts w:ascii="宋体" w:hAnsi="宋体" w:cs="宋体" w:eastAsia="宋体" w:hint="default"/>
                <w:sz w:val="18"/>
                <w:szCs w:val="18"/>
              </w:rPr>
            </w:pPr>
            <w:r>
              <w:rPr>
                <w:rFonts w:ascii="宋体" w:hAnsi="宋体" w:cs="宋体" w:eastAsia="宋体" w:hint="default"/>
                <w:spacing w:val="-8"/>
                <w:sz w:val="18"/>
                <w:szCs w:val="18"/>
              </w:rPr>
              <w:t>柏怡电子（香港）有限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被公司收购前存续</w:t>
            </w:r>
          </w:p>
        </w:tc>
        <w:tc>
          <w:tcPr>
            <w:tcW w:w="90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23.66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pacing w:val="-8"/>
                <w:sz w:val="18"/>
                <w:szCs w:val="18"/>
              </w:rPr>
              <w:t>柏怡电子（香港）有限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67" w:right="-3"/>
              <w:jc w:val="left"/>
              <w:rPr>
                <w:rFonts w:ascii="Times New Roman" w:hAnsi="Times New Roman" w:cs="Times New Roman" w:eastAsia="Times New Roman" w:hint="default"/>
                <w:sz w:val="18"/>
                <w:szCs w:val="18"/>
              </w:rPr>
            </w:pPr>
            <w:r>
              <w:rPr>
                <w:rFonts w:ascii="Times New Roman"/>
                <w:sz w:val="18"/>
              </w:rPr>
              <w:t>4,641.84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8"/>
                <w:szCs w:val="18"/>
              </w:rPr>
            </w:pPr>
            <w:r>
              <w:rPr>
                <w:rFonts w:ascii="Times New Roman"/>
                <w:spacing w:val="-1"/>
                <w:sz w:val="18"/>
              </w:rPr>
              <w:t>256.36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3"/>
              <w:jc w:val="center"/>
              <w:rPr>
                <w:rFonts w:ascii="宋体" w:hAnsi="宋体" w:cs="宋体" w:eastAsia="宋体" w:hint="default"/>
                <w:sz w:val="18"/>
                <w:szCs w:val="18"/>
              </w:rPr>
            </w:pPr>
            <w:r>
              <w:rPr>
                <w:rFonts w:ascii="宋体" w:hAnsi="宋体" w:cs="宋体" w:eastAsia="宋体" w:hint="default"/>
                <w:sz w:val="18"/>
                <w:szCs w:val="18"/>
              </w:rPr>
              <w:t>协议签署后为期</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736"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906"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w w:val="95"/>
                <w:sz w:val="18"/>
              </w:rPr>
              <w:t>1,137.28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3"/>
              <w:jc w:val="center"/>
              <w:rPr>
                <w:rFonts w:ascii="宋体" w:hAnsi="宋体" w:cs="宋体" w:eastAsia="宋体" w:hint="default"/>
                <w:sz w:val="18"/>
                <w:szCs w:val="18"/>
              </w:rPr>
            </w:pPr>
            <w:r>
              <w:rPr>
                <w:rFonts w:ascii="宋体" w:hAnsi="宋体" w:cs="宋体" w:eastAsia="宋体" w:hint="default"/>
                <w:sz w:val="18"/>
                <w:szCs w:val="18"/>
              </w:rPr>
              <w:t>协议签署后为期</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36"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90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right"/>
              <w:rPr>
                <w:rFonts w:ascii="Times New Roman" w:hAnsi="Times New Roman" w:cs="Times New Roman" w:eastAsia="Times New Roman" w:hint="default"/>
                <w:sz w:val="18"/>
                <w:szCs w:val="18"/>
              </w:rPr>
            </w:pPr>
            <w:r>
              <w:rPr>
                <w:rFonts w:ascii="Times New Roman"/>
                <w:spacing w:val="-1"/>
                <w:sz w:val="18"/>
              </w:rPr>
              <w:t>1.41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3"/>
              <w:jc w:val="center"/>
              <w:rPr>
                <w:rFonts w:ascii="宋体" w:hAnsi="宋体" w:cs="宋体" w:eastAsia="宋体" w:hint="default"/>
                <w:sz w:val="18"/>
                <w:szCs w:val="18"/>
              </w:rPr>
            </w:pPr>
            <w:r>
              <w:rPr>
                <w:rFonts w:ascii="宋体" w:hAnsi="宋体" w:cs="宋体" w:eastAsia="宋体" w:hint="default"/>
                <w:sz w:val="18"/>
                <w:szCs w:val="18"/>
              </w:rPr>
              <w:t>协议签署后为期</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92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85"/>
              <w:jc w:val="right"/>
              <w:rPr>
                <w:rFonts w:ascii="宋体" w:hAnsi="宋体" w:cs="宋体" w:eastAsia="宋体" w:hint="default"/>
                <w:sz w:val="18"/>
                <w:szCs w:val="18"/>
              </w:rPr>
            </w:pPr>
            <w:r>
              <w:rPr>
                <w:rFonts w:ascii="宋体" w:hAnsi="宋体" w:cs="宋体" w:eastAsia="宋体" w:hint="default"/>
                <w:sz w:val="18"/>
                <w:szCs w:val="18"/>
              </w:rPr>
              <w:t>冠捷科技附属公司</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 w:right="-18"/>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部分担保已由冠捷 科技按其上市地规 </w:t>
            </w:r>
            <w:r>
              <w:rPr>
                <w:rFonts w:ascii="宋体" w:hAnsi="宋体" w:cs="宋体" w:eastAsia="宋体" w:hint="default"/>
                <w:sz w:val="18"/>
                <w:szCs w:val="18"/>
              </w:rPr>
              <w:t>则于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p>
          <w:p>
            <w:pPr>
              <w:pStyle w:val="TableParagraph"/>
              <w:spacing w:line="302" w:lineRule="auto"/>
              <w:ind w:left="-1" w:right="-8"/>
              <w:jc w:val="both"/>
              <w:rPr>
                <w:rFonts w:ascii="宋体" w:hAnsi="宋体" w:cs="宋体" w:eastAsia="宋体" w:hint="default"/>
                <w:sz w:val="18"/>
                <w:szCs w:val="18"/>
              </w:rPr>
            </w:pPr>
            <w:r>
              <w:rPr>
                <w:rFonts w:ascii="宋体" w:hAnsi="宋体" w:cs="宋体" w:eastAsia="宋体" w:hint="default"/>
                <w:sz w:val="18"/>
                <w:szCs w:val="18"/>
              </w:rPr>
              <w:t>日在其</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年度审 计报告中披露</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360,869.11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109,456.45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 w:right="0"/>
              <w:jc w:val="both"/>
              <w:rPr>
                <w:rFonts w:ascii="宋体" w:hAnsi="宋体" w:cs="宋体" w:eastAsia="宋体" w:hint="default"/>
                <w:sz w:val="15"/>
                <w:szCs w:val="15"/>
              </w:rPr>
            </w:pPr>
            <w:r>
              <w:rPr>
                <w:rFonts w:ascii="宋体" w:hAnsi="宋体" w:cs="宋体" w:eastAsia="宋体" w:hint="default"/>
                <w:sz w:val="15"/>
                <w:szCs w:val="15"/>
              </w:rPr>
              <w:t>担保对象共计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家，担</w:t>
            </w:r>
          </w:p>
          <w:p>
            <w:pPr>
              <w:pStyle w:val="TableParagraph"/>
              <w:spacing w:line="360" w:lineRule="auto" w:before="104"/>
              <w:ind w:left="2" w:right="-3"/>
              <w:jc w:val="both"/>
              <w:rPr>
                <w:rFonts w:ascii="宋体" w:hAnsi="宋体" w:cs="宋体" w:eastAsia="宋体" w:hint="default"/>
                <w:sz w:val="15"/>
                <w:szCs w:val="15"/>
              </w:rPr>
            </w:pPr>
            <w:r>
              <w:rPr>
                <w:rFonts w:ascii="宋体" w:hAnsi="宋体" w:cs="宋体" w:eastAsia="宋体" w:hint="default"/>
                <w:sz w:val="15"/>
                <w:szCs w:val="15"/>
              </w:rPr>
              <w:t>保期</w:t>
            </w:r>
            <w:r>
              <w:rPr>
                <w:rFonts w:ascii="宋体" w:hAnsi="宋体" w:cs="宋体" w:eastAsia="宋体" w:hint="default"/>
                <w:spacing w:val="-5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个月至</w:t>
            </w:r>
            <w:r>
              <w:rPr>
                <w:rFonts w:ascii="宋体" w:hAnsi="宋体" w:cs="宋体" w:eastAsia="宋体" w:hint="default"/>
                <w:spacing w:val="-53"/>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个月不</w:t>
            </w:r>
            <w:r>
              <w:rPr>
                <w:rFonts w:ascii="宋体" w:hAnsi="宋体" w:cs="宋体" w:eastAsia="宋体" w:hint="default"/>
                <w:w w:val="100"/>
                <w:sz w:val="15"/>
                <w:szCs w:val="15"/>
              </w:rPr>
              <w:t> </w:t>
            </w:r>
            <w:r>
              <w:rPr>
                <w:rFonts w:ascii="宋体" w:hAnsi="宋体" w:cs="宋体" w:eastAsia="宋体" w:hint="default"/>
                <w:spacing w:val="6"/>
                <w:sz w:val="15"/>
                <w:szCs w:val="15"/>
              </w:rPr>
              <w:t>等或至担保项下的合约</w:t>
            </w:r>
          </w:p>
          <w:p>
            <w:pPr>
              <w:pStyle w:val="TableParagraph"/>
              <w:spacing w:line="384" w:lineRule="auto" w:before="40"/>
              <w:ind w:left="2" w:right="-2"/>
              <w:jc w:val="both"/>
              <w:rPr>
                <w:rFonts w:ascii="宋体" w:hAnsi="宋体" w:cs="宋体" w:eastAsia="宋体" w:hint="default"/>
                <w:sz w:val="15"/>
                <w:szCs w:val="15"/>
              </w:rPr>
            </w:pPr>
            <w:r>
              <w:rPr>
                <w:rFonts w:ascii="宋体" w:hAnsi="宋体" w:cs="宋体" w:eastAsia="宋体" w:hint="default"/>
                <w:spacing w:val="-7"/>
                <w:w w:val="100"/>
                <w:sz w:val="15"/>
                <w:szCs w:val="15"/>
              </w:rPr>
              <w:t>（协议）终止时为止或至</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7"/>
                <w:w w:val="100"/>
                <w:sz w:val="15"/>
                <w:szCs w:val="15"/>
              </w:rPr>
              <w:t>担保方、被担保方与受益</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人达成一致终止为止。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27" w:right="-3"/>
              <w:jc w:val="left"/>
              <w:rPr>
                <w:rFonts w:ascii="Times New Roman" w:hAnsi="Times New Roman" w:cs="Times New Roman" w:eastAsia="Times New Roman" w:hint="default"/>
                <w:sz w:val="18"/>
                <w:szCs w:val="18"/>
              </w:rPr>
            </w:pPr>
            <w:r>
              <w:rPr>
                <w:rFonts w:ascii="Times New Roman"/>
                <w:sz w:val="18"/>
              </w:rPr>
              <w:t>221,933.99</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29"/>
              <w:ind w:left="2" w:right="166"/>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110,875.16</w:t>
            </w:r>
          </w:p>
        </w:tc>
      </w:tr>
      <w:tr>
        <w:trPr>
          <w:trHeight w:val="679"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27" w:right="-3"/>
              <w:jc w:val="left"/>
              <w:rPr>
                <w:rFonts w:ascii="Times New Roman" w:hAnsi="Times New Roman" w:cs="Times New Roman" w:eastAsia="Times New Roman" w:hint="default"/>
                <w:sz w:val="18"/>
                <w:szCs w:val="18"/>
              </w:rPr>
            </w:pPr>
            <w:r>
              <w:rPr>
                <w:rFonts w:ascii="Times New Roman"/>
                <w:sz w:val="18"/>
              </w:rPr>
              <w:t>365,510.95</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9"/>
              <w:ind w:left="2" w:right="166"/>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110,851.50</w:t>
            </w:r>
          </w:p>
        </w:tc>
      </w:tr>
      <w:tr>
        <w:trPr>
          <w:trHeight w:val="353" w:hRule="exact"/>
        </w:trPr>
        <w:tc>
          <w:tcPr>
            <w:tcW w:w="108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79"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报告期内审批担保额度合计（</w:t>
            </w:r>
            <w:r>
              <w:rPr>
                <w:rFonts w:ascii="Times New Roman" w:hAnsi="Times New Roman" w:cs="Times New Roman" w:eastAsia="Times New Roman" w:hint="default"/>
                <w:spacing w:val="-3"/>
                <w:sz w:val="18"/>
                <w:szCs w:val="18"/>
              </w:rPr>
              <w:t>A1+B1+C1</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525" w:right="-1"/>
              <w:jc w:val="left"/>
              <w:rPr>
                <w:rFonts w:ascii="Times New Roman" w:hAnsi="Times New Roman" w:cs="Times New Roman" w:eastAsia="Times New Roman" w:hint="default"/>
                <w:sz w:val="18"/>
                <w:szCs w:val="18"/>
              </w:rPr>
            </w:pPr>
            <w:r>
              <w:rPr>
                <w:rFonts w:ascii="Times New Roman"/>
                <w:sz w:val="18"/>
              </w:rPr>
              <w:t>265,933.99</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2" w:right="166"/>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160,994.31</w:t>
            </w:r>
          </w:p>
        </w:tc>
      </w:tr>
      <w:tr>
        <w:trPr>
          <w:trHeight w:val="673"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525" w:right="-1"/>
              <w:jc w:val="left"/>
              <w:rPr>
                <w:rFonts w:ascii="Times New Roman" w:hAnsi="Times New Roman" w:cs="Times New Roman" w:eastAsia="Times New Roman" w:hint="default"/>
                <w:sz w:val="18"/>
                <w:szCs w:val="18"/>
              </w:rPr>
            </w:pPr>
            <w:r>
              <w:rPr>
                <w:rFonts w:ascii="Times New Roman"/>
                <w:sz w:val="18"/>
              </w:rPr>
              <w:t>409,510.95</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1"/>
              <w:ind w:left="2" w:right="16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135,288.34</w:t>
            </w:r>
          </w:p>
        </w:tc>
      </w:tr>
      <w:tr>
        <w:trPr>
          <w:trHeight w:val="367" w:hRule="exact"/>
        </w:trPr>
        <w:tc>
          <w:tcPr>
            <w:tcW w:w="55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52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52.23%</w:t>
            </w:r>
          </w:p>
        </w:tc>
      </w:tr>
      <w:tr>
        <w:trPr>
          <w:trHeight w:val="353" w:hRule="exact"/>
        </w:trPr>
        <w:tc>
          <w:tcPr>
            <w:tcW w:w="108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67" w:hRule="exact"/>
        </w:trPr>
        <w:tc>
          <w:tcPr>
            <w:tcW w:w="55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2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44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5591"/>
        <w:gridCol w:w="5221"/>
      </w:tblGrid>
      <w:tr>
        <w:trPr>
          <w:trHeight w:val="675" w:hRule="exact"/>
        </w:trPr>
        <w:tc>
          <w:tcPr>
            <w:tcW w:w="5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p>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42"/>
              <w:jc w:val="right"/>
              <w:rPr>
                <w:rFonts w:ascii="Times New Roman" w:hAnsi="Times New Roman" w:cs="Times New Roman" w:eastAsia="Times New Roman" w:hint="default"/>
                <w:sz w:val="18"/>
                <w:szCs w:val="18"/>
              </w:rPr>
            </w:pPr>
            <w:r>
              <w:rPr>
                <w:rFonts w:ascii="Times New Roman"/>
                <w:spacing w:val="-1"/>
                <w:sz w:val="18"/>
              </w:rPr>
              <w:t>23,831.89</w:t>
            </w:r>
          </w:p>
        </w:tc>
      </w:tr>
      <w:tr>
        <w:trPr>
          <w:trHeight w:val="362" w:hRule="exact"/>
        </w:trPr>
        <w:tc>
          <w:tcPr>
            <w:tcW w:w="5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85"/>
              <w:jc w:val="right"/>
              <w:rPr>
                <w:rFonts w:ascii="Times New Roman" w:hAnsi="Times New Roman" w:cs="Times New Roman" w:eastAsia="Times New Roman" w:hint="default"/>
                <w:sz w:val="18"/>
                <w:szCs w:val="18"/>
              </w:rPr>
            </w:pPr>
            <w:r>
              <w:rPr>
                <w:rFonts w:ascii="Times New Roman"/>
                <w:w w:val="95"/>
                <w:sz w:val="18"/>
              </w:rPr>
              <w:t>5,770.50</w:t>
            </w:r>
          </w:p>
        </w:tc>
      </w:tr>
      <w:tr>
        <w:trPr>
          <w:trHeight w:val="361" w:hRule="exact"/>
        </w:trPr>
        <w:tc>
          <w:tcPr>
            <w:tcW w:w="5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42"/>
              <w:jc w:val="right"/>
              <w:rPr>
                <w:rFonts w:ascii="Times New Roman" w:hAnsi="Times New Roman" w:cs="Times New Roman" w:eastAsia="Times New Roman" w:hint="default"/>
                <w:sz w:val="18"/>
                <w:szCs w:val="18"/>
              </w:rPr>
            </w:pPr>
            <w:r>
              <w:rPr>
                <w:rFonts w:ascii="Times New Roman"/>
                <w:spacing w:val="-1"/>
                <w:sz w:val="18"/>
              </w:rPr>
              <w:t>29,602.39</w:t>
            </w:r>
          </w:p>
        </w:tc>
      </w:tr>
      <w:tr>
        <w:trPr>
          <w:trHeight w:val="673" w:hRule="exact"/>
        </w:trPr>
        <w:tc>
          <w:tcPr>
            <w:tcW w:w="5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2" w:right="-2" w:firstLine="360"/>
              <w:jc w:val="left"/>
              <w:rPr>
                <w:rFonts w:ascii="宋体" w:hAnsi="宋体" w:cs="宋体" w:eastAsia="宋体" w:hint="default"/>
                <w:sz w:val="18"/>
                <w:szCs w:val="18"/>
              </w:rPr>
            </w:pPr>
            <w:r>
              <w:rPr>
                <w:rFonts w:ascii="宋体" w:hAnsi="宋体" w:cs="宋体" w:eastAsia="宋体" w:hint="default"/>
                <w:spacing w:val="-1"/>
                <w:sz w:val="18"/>
                <w:szCs w:val="18"/>
              </w:rPr>
              <w:t>如子公司未按约定履行还款责任，本公司须在保证范围内承担</w:t>
            </w:r>
            <w:r>
              <w:rPr>
                <w:rFonts w:ascii="宋体" w:hAnsi="宋体" w:cs="宋体" w:eastAsia="宋体" w:hint="default"/>
                <w:sz w:val="18"/>
                <w:szCs w:val="18"/>
              </w:rPr>
              <w:t> 连带保证责任。</w:t>
            </w:r>
          </w:p>
        </w:tc>
      </w:tr>
      <w:tr>
        <w:trPr>
          <w:trHeight w:val="362" w:hRule="exact"/>
        </w:trPr>
        <w:tc>
          <w:tcPr>
            <w:tcW w:w="5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left="1053" w:right="61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对子公司的担保协议由公司按照审批额度，在有效期限内决定与银行签订的具体方式。</w:t>
      </w:r>
    </w:p>
    <w:p>
      <w:pPr>
        <w:spacing w:line="338" w:lineRule="auto" w:before="103"/>
        <w:ind w:left="692" w:right="655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子公司担保情况已按持股比例进行折算。 </w:t>
      </w:r>
      <w:r>
        <w:rPr>
          <w:rFonts w:ascii="宋体" w:hAnsi="宋体" w:cs="宋体" w:eastAsia="宋体" w:hint="default"/>
          <w:b/>
          <w:bCs/>
          <w:sz w:val="18"/>
          <w:szCs w:val="18"/>
        </w:rPr>
        <w:t>担保情况说明</w:t>
      </w:r>
      <w:r>
        <w:rPr>
          <w:rFonts w:ascii="宋体" w:hAnsi="宋体" w:cs="宋体" w:eastAsia="宋体" w:hint="default"/>
          <w:sz w:val="18"/>
          <w:szCs w:val="18"/>
        </w:rPr>
      </w:r>
    </w:p>
    <w:p>
      <w:pPr>
        <w:pStyle w:val="BodyText"/>
        <w:spacing w:line="340" w:lineRule="auto" w:before="43"/>
        <w:ind w:left="1053" w:right="615"/>
        <w:jc w:val="left"/>
      </w:pPr>
      <w:r>
        <w:rPr>
          <w:rFonts w:ascii="Times New Roman" w:hAnsi="Times New Roman" w:cs="Times New Roman" w:eastAsia="Times New Roman" w:hint="default"/>
        </w:rPr>
        <w:t>1</w:t>
      </w:r>
      <w:r>
        <w:rPr/>
        <w:t>）为子公司长城香港提供担保 </w:t>
      </w:r>
      <w:r>
        <w:rPr>
          <w:spacing w:val="-2"/>
        </w:rPr>
        <w:t>为降低融资成本，节约财务费用，提高资金使用效率，满足子公司长城香港未来发展及日常运作的资金需求，公司通过</w:t>
      </w:r>
    </w:p>
    <w:p>
      <w:pPr>
        <w:pStyle w:val="BodyText"/>
        <w:spacing w:line="300" w:lineRule="auto" w:before="1"/>
        <w:ind w:left="692" w:right="711"/>
        <w:jc w:val="both"/>
      </w:pPr>
      <w:r>
        <w:rPr>
          <w:rFonts w:ascii="Times New Roman" w:hAnsi="Times New Roman" w:cs="Times New Roman" w:eastAsia="Times New Roman" w:hint="default"/>
        </w:rPr>
        <w:t>“</w:t>
      </w:r>
      <w:r>
        <w:rPr/>
        <w:t>内保外贷</w:t>
      </w:r>
      <w:r>
        <w:rPr>
          <w:rFonts w:ascii="Times New Roman" w:hAnsi="Times New Roman" w:cs="Times New Roman" w:eastAsia="Times New Roman" w:hint="default"/>
        </w:rPr>
        <w:t>”</w:t>
      </w:r>
      <w:r>
        <w:rPr/>
        <w:t>的方式为长城香港的银行融资等提供担保，担保额度总额预计为</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亿元人民币，担保期限</w:t>
      </w:r>
      <w:r>
        <w:rPr>
          <w:spacing w:val="-39"/>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个月，担保方式为 连带责任保证。</w:t>
      </w:r>
    </w:p>
    <w:p>
      <w:pPr>
        <w:pStyle w:val="BodyText"/>
        <w:spacing w:line="340" w:lineRule="auto" w:before="70"/>
        <w:ind w:left="1053" w:right="615"/>
        <w:jc w:val="left"/>
      </w:pPr>
      <w:r>
        <w:rPr>
          <w:rFonts w:ascii="Times New Roman" w:hAnsi="Times New Roman" w:cs="Times New Roman" w:eastAsia="Times New Roman" w:hint="default"/>
        </w:rPr>
        <w:t>2</w:t>
      </w:r>
      <w:r>
        <w:rPr/>
        <w:t>）为子公司长城能源提供担保 </w:t>
      </w:r>
      <w:r>
        <w:rPr>
          <w:spacing w:val="-2"/>
        </w:rPr>
        <w:t>为减少资金占用，提高资金使用效率，满足子公司长城能源生产经营所需的资金需求，公司通过信用担保的方式为长城</w:t>
      </w:r>
    </w:p>
    <w:p>
      <w:pPr>
        <w:pStyle w:val="BodyText"/>
        <w:spacing w:line="240" w:lineRule="auto" w:before="1"/>
        <w:ind w:left="692" w:right="615"/>
        <w:jc w:val="left"/>
      </w:pPr>
      <w:r>
        <w:rPr/>
        <w:t>能源向银行申请最高不超过</w:t>
      </w:r>
      <w:r>
        <w:rPr>
          <w:spacing w:val="-4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万元人民币的综合授信额度提供担保，担保期限不超过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年，担保方式为连带责任保证。</w:t>
      </w:r>
    </w:p>
    <w:p>
      <w:pPr>
        <w:pStyle w:val="BodyText"/>
        <w:spacing w:line="240" w:lineRule="auto" w:before="103"/>
        <w:ind w:left="1053" w:right="615"/>
        <w:jc w:val="left"/>
      </w:pPr>
      <w:r>
        <w:rPr>
          <w:rFonts w:ascii="Times New Roman" w:hAnsi="Times New Roman" w:cs="Times New Roman" w:eastAsia="Times New Roman" w:hint="default"/>
        </w:rPr>
        <w:t>3</w:t>
      </w:r>
      <w:r>
        <w:rPr/>
        <w:t>）为下属公司柏怡香港提供担保，具体内容详见</w:t>
      </w:r>
      <w:r>
        <w:rPr>
          <w:rFonts w:ascii="Times New Roman" w:hAnsi="Times New Roman" w:cs="Times New Roman" w:eastAsia="Times New Roman" w:hint="default"/>
        </w:rPr>
        <w:t>“</w:t>
      </w:r>
      <w:r>
        <w:rPr/>
        <w:t>采用复合方式担保的具体情况说明</w:t>
      </w:r>
      <w:r>
        <w:rPr>
          <w:rFonts w:ascii="Times New Roman" w:hAnsi="Times New Roman" w:cs="Times New Roman" w:eastAsia="Times New Roman" w:hint="default"/>
        </w:rPr>
        <w:t>”</w:t>
      </w:r>
      <w:r>
        <w:rPr/>
        <w:t>中的相关介绍。</w:t>
      </w:r>
    </w:p>
    <w:p>
      <w:pPr>
        <w:pStyle w:val="BodyText"/>
        <w:spacing w:line="300" w:lineRule="auto" w:before="101"/>
        <w:ind w:left="692" w:right="704" w:firstLine="360"/>
        <w:jc w:val="left"/>
      </w:pPr>
      <w:r>
        <w:rPr>
          <w:rFonts w:ascii="Times New Roman" w:hAnsi="Times New Roman" w:cs="Times New Roman" w:eastAsia="Times New Roman" w:hint="default"/>
        </w:rPr>
        <w:t>4</w:t>
      </w:r>
      <w:r>
        <w:rPr/>
        <w:t>）其余担保为冠捷科技发生，冠捷科技为在香港和新加坡两地的上市公司，其已按照其上市地要求及其内部规范制度 履行了相应审批程序。</w:t>
      </w:r>
    </w:p>
    <w:p>
      <w:pPr>
        <w:spacing w:line="360" w:lineRule="auto" w:before="72"/>
        <w:ind w:left="1053" w:right="6733" w:hanging="361"/>
        <w:jc w:val="left"/>
        <w:rPr>
          <w:rFonts w:ascii="宋体" w:hAnsi="宋体" w:cs="宋体" w:eastAsia="宋体" w:hint="default"/>
          <w:sz w:val="18"/>
          <w:szCs w:val="18"/>
        </w:rPr>
      </w:pPr>
      <w:r>
        <w:rPr>
          <w:rFonts w:ascii="宋体" w:hAnsi="宋体" w:cs="宋体" w:eastAsia="宋体" w:hint="default"/>
          <w:b/>
          <w:bCs/>
          <w:sz w:val="18"/>
          <w:szCs w:val="18"/>
        </w:rPr>
        <w:t>采用复合方式担保的具体情况说明</w:t>
      </w:r>
      <w:r>
        <w:rPr>
          <w:rFonts w:ascii="宋体" w:hAnsi="宋体" w:cs="宋体" w:eastAsia="宋体" w:hint="default"/>
          <w:b/>
          <w:bCs/>
          <w:w w:val="99"/>
          <w:sz w:val="18"/>
          <w:szCs w:val="18"/>
        </w:rPr>
        <w:t> </w:t>
      </w:r>
      <w:r>
        <w:rPr>
          <w:rFonts w:ascii="宋体" w:hAnsi="宋体" w:cs="宋体" w:eastAsia="宋体" w:hint="default"/>
          <w:sz w:val="18"/>
          <w:szCs w:val="18"/>
        </w:rPr>
        <w:t>长城香港、柏怡国际为柏怡香港提供担保</w:t>
      </w:r>
    </w:p>
    <w:p>
      <w:pPr>
        <w:pStyle w:val="BodyText"/>
        <w:spacing w:line="319" w:lineRule="auto" w:before="25"/>
        <w:ind w:left="692" w:right="697" w:firstLine="360"/>
        <w:jc w:val="left"/>
      </w:pPr>
      <w:r>
        <w:rPr/>
        <w:t>基于柏怡香港正常经营业务</w:t>
      </w:r>
      <w:r>
        <w:rPr>
          <w:spacing w:val="-1"/>
        </w:rPr>
        <w:t>的</w:t>
      </w:r>
      <w:r>
        <w:rPr/>
        <w:t>流动资金需求</w:t>
      </w:r>
      <w:r>
        <w:rPr>
          <w:spacing w:val="-82"/>
        </w:rPr>
        <w:t>，</w:t>
      </w:r>
      <w:r>
        <w:rPr/>
        <w:t>柏怡香港通过资产抵押和信用担保的方式向香港汇丰银行申请授信额度港</w:t>
      </w:r>
      <w:r>
        <w:rPr/>
        <w:t> 币</w:t>
      </w:r>
      <w:r>
        <w:rPr>
          <w:spacing w:val="-4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6</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万元（含</w:t>
      </w:r>
      <w:r>
        <w:rPr>
          <w:spacing w:val="-47"/>
        </w:rPr>
        <w:t> </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万美</w:t>
      </w:r>
      <w:r>
        <w:rPr>
          <w:spacing w:val="-3"/>
        </w:rPr>
        <w:t>元</w:t>
      </w:r>
      <w:r>
        <w:rPr/>
        <w:t>应收账款保理额度</w:t>
      </w:r>
      <w:r>
        <w:rPr>
          <w:spacing w:val="-92"/>
        </w:rPr>
        <w:t>）</w:t>
      </w:r>
      <w:r>
        <w:rPr/>
        <w:t>，授信有</w:t>
      </w:r>
      <w:r>
        <w:rPr>
          <w:spacing w:val="2"/>
        </w:rPr>
        <w:t>效</w:t>
      </w:r>
      <w:r>
        <w:rPr/>
        <w:t>期自协议签署日起为期一年。</w:t>
      </w:r>
    </w:p>
    <w:p>
      <w:pPr>
        <w:pStyle w:val="BodyText"/>
        <w:spacing w:line="300" w:lineRule="auto" w:before="38"/>
        <w:ind w:left="692" w:right="695" w:firstLine="360"/>
        <w:jc w:val="left"/>
        <w:rPr>
          <w:rFonts w:ascii="Times New Roman" w:hAnsi="Times New Roman" w:cs="Times New Roman" w:eastAsia="Times New Roman" w:hint="default"/>
        </w:rPr>
      </w:pPr>
      <w:r>
        <w:rPr>
          <w:spacing w:val="-4"/>
        </w:rPr>
        <w:t>除自身所持的债券抵押和应收账款保理外，柏怡香港需：（</w:t>
      </w:r>
      <w:r>
        <w:rPr>
          <w:rFonts w:ascii="Times New Roman" w:hAnsi="Times New Roman" w:cs="Times New Roman" w:eastAsia="Times New Roman" w:hint="default"/>
          <w:spacing w:val="-4"/>
        </w:rPr>
        <w:t>1</w:t>
      </w:r>
      <w:r>
        <w:rPr>
          <w:spacing w:val="-4"/>
        </w:rPr>
        <w:t>）柏怡国际为柏怡香港在上述授信范围内的贷款提供无限额</w:t>
      </w:r>
      <w:r>
        <w:rPr/>
        <w:t> </w:t>
      </w:r>
      <w:r>
        <w:rPr>
          <w:spacing w:val="-3"/>
        </w:rPr>
        <w:t>的信用担保（担保范围为贷款本金、利息、违约金及其他相关费用，对其中的香港特区政府特别担保计划项目提供限额</w:t>
      </w:r>
      <w:r>
        <w:rPr>
          <w:spacing w:val="-15"/>
        </w:rPr>
        <w:t> </w:t>
      </w:r>
      <w:r>
        <w:rPr>
          <w:rFonts w:ascii="Times New Roman" w:hAnsi="Times New Roman" w:cs="Times New Roman" w:eastAsia="Times New Roman" w:hint="default"/>
        </w:rPr>
        <w:t>1200</w:t>
      </w:r>
    </w:p>
    <w:p>
      <w:pPr>
        <w:pStyle w:val="BodyText"/>
        <w:spacing w:line="300" w:lineRule="auto" w:before="13"/>
        <w:ind w:left="692" w:right="711"/>
        <w:jc w:val="both"/>
      </w:pPr>
      <w:r>
        <w:rPr>
          <w:spacing w:val="-7"/>
        </w:rPr>
        <w:t>万港币的信用担保）；以及（</w:t>
      </w:r>
      <w:r>
        <w:rPr>
          <w:rFonts w:ascii="Times New Roman" w:hAnsi="Times New Roman" w:cs="Times New Roman" w:eastAsia="Times New Roman" w:hint="default"/>
          <w:spacing w:val="-7"/>
        </w:rPr>
        <w:t>2</w:t>
      </w:r>
      <w:r>
        <w:rPr>
          <w:spacing w:val="-7"/>
        </w:rPr>
        <w:t>）长城香港为柏怡香港在上述授信范围内的贷款提供额度为港币</w:t>
      </w:r>
      <w:r>
        <w:rPr/>
        <w:t> </w:t>
      </w:r>
      <w:r>
        <w:rPr>
          <w:rFonts w:ascii="Times New Roman" w:hAnsi="Times New Roman" w:cs="Times New Roman" w:eastAsia="Times New Roman" w:hint="default"/>
          <w:spacing w:val="-1"/>
        </w:rPr>
        <w:t>3,000</w:t>
      </w:r>
      <w:r>
        <w:rPr>
          <w:rFonts w:ascii="Times New Roman" w:hAnsi="Times New Roman" w:cs="Times New Roman" w:eastAsia="Times New Roman" w:hint="default"/>
        </w:rPr>
        <w:t> </w:t>
      </w:r>
      <w:r>
        <w:rPr>
          <w:spacing w:val="-6"/>
        </w:rPr>
        <w:t>万元的公司信用担保（担</w:t>
      </w:r>
      <w:r>
        <w:rPr>
          <w:spacing w:val="-82"/>
        </w:rPr>
        <w:t> </w:t>
      </w:r>
      <w:r>
        <w:rPr>
          <w:spacing w:val="-82"/>
        </w:rPr>
      </w:r>
      <w:r>
        <w:rPr>
          <w:spacing w:val="-4"/>
        </w:rPr>
        <w:t>保范围为贷款本金、利息、违约金及其他相关费用）；担保期限均为自授信协议签署后为期一年。（</w:t>
      </w:r>
      <w:r>
        <w:rPr>
          <w:rFonts w:ascii="Times New Roman" w:hAnsi="Times New Roman" w:cs="Times New Roman" w:eastAsia="Times New Roman" w:hint="default"/>
          <w:spacing w:val="-4"/>
        </w:rPr>
        <w:t>3</w:t>
      </w:r>
      <w:r>
        <w:rPr>
          <w:spacing w:val="-4"/>
        </w:rPr>
        <w:t>）就长城香港所提供的</w:t>
      </w:r>
      <w:r>
        <w:rPr>
          <w:spacing w:val="-42"/>
        </w:rPr>
        <w:t> </w:t>
      </w:r>
      <w:r>
        <w:rPr/>
        <w:t>担保，柏怡国际的全资下属公司宝辉科技（龙南）有限公司将会以其所拥有的评估价值不低于港币</w:t>
      </w:r>
      <w:r>
        <w:rPr>
          <w:spacing w:val="-6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8"/>
        </w:rPr>
        <w:t> </w:t>
      </w:r>
      <w:r>
        <w:rPr/>
        <w:t>万元的房地产提供 反担保。</w:t>
      </w:r>
    </w:p>
    <w:p>
      <w:pPr>
        <w:spacing w:line="240" w:lineRule="auto" w:before="5"/>
        <w:rPr>
          <w:rFonts w:ascii="宋体" w:hAnsi="宋体" w:cs="宋体" w:eastAsia="宋体" w:hint="default"/>
          <w:sz w:val="19"/>
          <w:szCs w:val="19"/>
        </w:rPr>
      </w:pPr>
    </w:p>
    <w:p>
      <w:pPr>
        <w:pStyle w:val="Heading8"/>
        <w:spacing w:line="240" w:lineRule="auto"/>
        <w:ind w:left="692" w:right="615"/>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1"/>
          <w:szCs w:val="21"/>
        </w:rPr>
      </w:pPr>
    </w:p>
    <w:p>
      <w:pPr>
        <w:pStyle w:val="BodyText"/>
        <w:spacing w:line="360" w:lineRule="auto"/>
        <w:ind w:left="1053" w:right="7273" w:hanging="361"/>
        <w:jc w:val="left"/>
      </w:pPr>
      <w:r>
        <w:rPr/>
        <w:t>□ 适用 √</w:t>
      </w:r>
      <w:r>
        <w:rPr>
          <w:spacing w:val="3"/>
        </w:rPr>
        <w:t> </w:t>
      </w:r>
      <w:r>
        <w:rPr/>
        <w:t>不适用</w:t>
      </w:r>
      <w:r>
        <w:rPr/>
        <w:t> 公司报告期无违规对外担保情况。</w:t>
      </w:r>
    </w:p>
    <w:p>
      <w:pPr>
        <w:spacing w:line="240" w:lineRule="auto" w:before="10"/>
        <w:rPr>
          <w:rFonts w:ascii="宋体" w:hAnsi="宋体" w:cs="宋体" w:eastAsia="宋体" w:hint="default"/>
          <w:sz w:val="15"/>
          <w:szCs w:val="15"/>
        </w:rPr>
      </w:pPr>
    </w:p>
    <w:p>
      <w:pPr>
        <w:pStyle w:val="Heading8"/>
        <w:spacing w:line="240" w:lineRule="auto"/>
        <w:ind w:left="692" w:right="615"/>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3"/>
        <w:rPr>
          <w:rFonts w:ascii="宋体" w:hAnsi="宋体" w:cs="宋体" w:eastAsia="宋体" w:hint="default"/>
          <w:b/>
          <w:bCs/>
          <w:sz w:val="19"/>
          <w:szCs w:val="19"/>
        </w:rPr>
      </w:pPr>
    </w:p>
    <w:p>
      <w:pPr>
        <w:pStyle w:val="Heading8"/>
        <w:spacing w:line="240" w:lineRule="auto"/>
        <w:ind w:left="692" w:right="61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692" w:right="615"/>
        <w:jc w:val="left"/>
      </w:pPr>
      <w:r>
        <w:rPr/>
        <w:t>√ 适用 □</w:t>
      </w:r>
      <w:r>
        <w:rPr>
          <w:spacing w:val="3"/>
        </w:rPr>
        <w:t> </w:t>
      </w:r>
      <w:r>
        <w:rPr/>
        <w:t>不适用</w:t>
      </w:r>
    </w:p>
    <w:p>
      <w:pPr>
        <w:pStyle w:val="BodyText"/>
        <w:spacing w:line="240" w:lineRule="auto" w:before="114"/>
        <w:ind w:left="0" w:right="711"/>
        <w:jc w:val="right"/>
      </w:pPr>
      <w:r>
        <w:rPr/>
        <w:t>单位：万元</w:t>
      </w:r>
    </w:p>
    <w:p>
      <w:pPr>
        <w:spacing w:after="0" w:line="240" w:lineRule="auto"/>
        <w:jc w:val="right"/>
        <w:sectPr>
          <w:pgSz w:w="11910" w:h="16840"/>
          <w:pgMar w:header="877" w:footer="980" w:top="1100" w:bottom="1160" w:left="440" w:right="420"/>
        </w:sectPr>
      </w:pP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653"/>
        <w:gridCol w:w="720"/>
        <w:gridCol w:w="540"/>
        <w:gridCol w:w="1080"/>
        <w:gridCol w:w="1621"/>
        <w:gridCol w:w="1620"/>
        <w:gridCol w:w="900"/>
        <w:gridCol w:w="1080"/>
        <w:gridCol w:w="901"/>
        <w:gridCol w:w="535"/>
        <w:gridCol w:w="1015"/>
        <w:gridCol w:w="776"/>
      </w:tblGrid>
      <w:tr>
        <w:trPr>
          <w:trHeight w:val="1066"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141" w:right="50" w:hanging="92"/>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84" w:right="84"/>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83" w:right="8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57"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4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83" w:right="84"/>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83" w:right="8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8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81" w:right="8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141" w:right="50" w:hanging="89"/>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1" w:right="22"/>
              <w:jc w:val="center"/>
              <w:rPr>
                <w:rFonts w:ascii="宋体" w:hAnsi="宋体" w:cs="宋体" w:eastAsia="宋体" w:hint="default"/>
                <w:sz w:val="18"/>
                <w:szCs w:val="18"/>
              </w:rPr>
            </w:pPr>
            <w:r>
              <w:rPr>
                <w:rFonts w:ascii="宋体" w:hAnsi="宋体" w:cs="宋体" w:eastAsia="宋体" w:hint="default"/>
                <w:sz w:val="18"/>
                <w:szCs w:val="18"/>
              </w:rPr>
              <w:t>报告期损 益实际 收回情况</w:t>
            </w:r>
          </w:p>
        </w:tc>
      </w:tr>
      <w:tr>
        <w:trPr>
          <w:trHeight w:val="40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3"/>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2,096,800.00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2,096,800.00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1,333.94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1"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829,050.00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829,050.00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674.75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254,700.00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254,700.00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716.29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1"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58,850.00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58,850.00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41,820.00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41,820.00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50.96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1"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5"/>
                <w:sz w:val="18"/>
              </w:rPr>
              <w:t>8,000.00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5"/>
                <w:sz w:val="18"/>
              </w:rPr>
              <w:t>8,000.00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5"/>
                <w:sz w:val="18"/>
              </w:rPr>
              <w:t>2,500.00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5"/>
                <w:sz w:val="18"/>
              </w:rPr>
              <w:t>2,500.00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6.52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1" w:hRule="exact"/>
        </w:trPr>
        <w:tc>
          <w:tcPr>
            <w:tcW w:w="19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3,291,720.00</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3,291,720.00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2,844.92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95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冠捷科技自有资金。</w:t>
            </w:r>
          </w:p>
        </w:tc>
      </w:tr>
      <w:tr>
        <w:trPr>
          <w:trHeight w:val="713" w:hRule="exact"/>
        </w:trPr>
        <w:tc>
          <w:tcPr>
            <w:tcW w:w="19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right="101"/>
              <w:jc w:val="left"/>
              <w:rPr>
                <w:rFonts w:ascii="宋体" w:hAnsi="宋体" w:cs="宋体" w:eastAsia="宋体" w:hint="default"/>
                <w:sz w:val="18"/>
                <w:szCs w:val="18"/>
              </w:rPr>
            </w:pPr>
            <w:r>
              <w:rPr>
                <w:rFonts w:ascii="宋体" w:hAnsi="宋体" w:cs="宋体" w:eastAsia="宋体" w:hint="default"/>
                <w:sz w:val="18"/>
                <w:szCs w:val="18"/>
              </w:rPr>
              <w:t>逾期未收回的本金和收 益累计金额</w:t>
            </w:r>
          </w:p>
        </w:tc>
        <w:tc>
          <w:tcPr>
            <w:tcW w:w="95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9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right="101"/>
              <w:jc w:val="left"/>
              <w:rPr>
                <w:rFonts w:ascii="宋体" w:hAnsi="宋体" w:cs="宋体" w:eastAsia="宋体" w:hint="default"/>
                <w:sz w:val="18"/>
                <w:szCs w:val="18"/>
              </w:rPr>
            </w:pPr>
            <w:r>
              <w:rPr>
                <w:rFonts w:ascii="宋体" w:hAnsi="宋体" w:cs="宋体" w:eastAsia="宋体" w:hint="default"/>
                <w:sz w:val="18"/>
                <w:szCs w:val="18"/>
              </w:rPr>
              <w:t>未来是否还有委托理财 计划</w:t>
            </w:r>
          </w:p>
        </w:tc>
        <w:tc>
          <w:tcPr>
            <w:tcW w:w="95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 w:right="0" w:firstLine="360"/>
              <w:jc w:val="left"/>
              <w:rPr>
                <w:rFonts w:ascii="宋体" w:hAnsi="宋体" w:cs="宋体" w:eastAsia="宋体" w:hint="default"/>
                <w:sz w:val="18"/>
                <w:szCs w:val="18"/>
              </w:rPr>
            </w:pPr>
            <w:r>
              <w:rPr>
                <w:rFonts w:ascii="宋体" w:hAnsi="宋体" w:cs="宋体" w:eastAsia="宋体" w:hint="default"/>
                <w:spacing w:val="-1"/>
                <w:sz w:val="18"/>
                <w:szCs w:val="18"/>
              </w:rPr>
              <w:t>上述委托理财为冠捷科技旗下所持有。冠捷科技为在香港和新加坡两地的上市公司，其已按照其上市地要求及其内部</w:t>
            </w:r>
            <w:r>
              <w:rPr>
                <w:rFonts w:ascii="宋体" w:hAnsi="宋体" w:cs="宋体" w:eastAsia="宋体" w:hint="default"/>
                <w:sz w:val="18"/>
                <w:szCs w:val="18"/>
              </w:rPr>
              <w:t> 规范制度履行了相应审批程序，并将根据其业务经营需要合规开展委托理财事项。</w:t>
            </w:r>
          </w:p>
        </w:tc>
      </w:tr>
    </w:tbl>
    <w:p>
      <w:pPr>
        <w:spacing w:line="240" w:lineRule="auto" w:before="7"/>
        <w:rPr>
          <w:rFonts w:ascii="宋体" w:hAnsi="宋体" w:cs="宋体" w:eastAsia="宋体" w:hint="default"/>
          <w:sz w:val="8"/>
          <w:szCs w:val="8"/>
        </w:rPr>
      </w:pPr>
    </w:p>
    <w:p>
      <w:pPr>
        <w:pStyle w:val="Heading8"/>
        <w:spacing w:line="240" w:lineRule="auto" w:before="36"/>
        <w:ind w:left="1012" w:right="757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15"/>
          <w:szCs w:val="15"/>
        </w:rPr>
      </w:pPr>
    </w:p>
    <w:p>
      <w:pPr>
        <w:pStyle w:val="BodyText"/>
        <w:spacing w:line="360" w:lineRule="auto"/>
        <w:ind w:left="1373" w:right="7933" w:hanging="361"/>
        <w:jc w:val="left"/>
      </w:pPr>
      <w:r>
        <w:rPr/>
        <w:t>□ 适用 √</w:t>
      </w:r>
      <w:r>
        <w:rPr>
          <w:spacing w:val="3"/>
        </w:rPr>
        <w:t> </w:t>
      </w:r>
      <w:r>
        <w:rPr/>
        <w:t>不适用</w:t>
      </w:r>
      <w:r>
        <w:rPr/>
        <w:t> 公司报告期不存在委托贷款。</w:t>
      </w:r>
    </w:p>
    <w:p>
      <w:pPr>
        <w:pStyle w:val="Heading8"/>
        <w:spacing w:line="240" w:lineRule="auto" w:before="124"/>
        <w:ind w:left="1012" w:right="757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15"/>
          <w:szCs w:val="15"/>
        </w:rPr>
      </w:pPr>
    </w:p>
    <w:p>
      <w:pPr>
        <w:pStyle w:val="BodyText"/>
        <w:spacing w:line="360" w:lineRule="auto"/>
        <w:ind w:left="1373" w:right="7573" w:hanging="361"/>
        <w:jc w:val="left"/>
      </w:pPr>
      <w:r>
        <w:rPr/>
        <w:t>□ 适用 √</w:t>
      </w:r>
      <w:r>
        <w:rPr>
          <w:spacing w:val="3"/>
        </w:rPr>
        <w:t> </w:t>
      </w:r>
      <w:r>
        <w:rPr/>
        <w:t>不适用</w:t>
      </w:r>
      <w:r>
        <w:rPr/>
        <w:t> 公司报告期不存在其他重大合同。</w:t>
      </w:r>
    </w:p>
    <w:p>
      <w:pPr>
        <w:pStyle w:val="Heading8"/>
        <w:spacing w:line="240" w:lineRule="auto" w:before="124"/>
        <w:ind w:left="1012" w:right="999"/>
        <w:jc w:val="left"/>
        <w:rPr>
          <w:b w:val="0"/>
          <w:bCs w:val="0"/>
        </w:rPr>
      </w:pPr>
      <w:r>
        <w:rPr>
          <w:rFonts w:ascii="Times New Roman" w:hAnsi="Times New Roman" w:cs="Times New Roman" w:eastAsia="Times New Roman" w:hint="default"/>
        </w:rPr>
        <w:t>5</w:t>
      </w:r>
      <w:r>
        <w:rPr/>
        <w:t>、报告期内获得银行综合授信及贷款的情况</w:t>
      </w:r>
      <w:r>
        <w:rPr>
          <w:b w:val="0"/>
          <w:bCs w:val="0"/>
        </w:rPr>
      </w:r>
    </w:p>
    <w:p>
      <w:pPr>
        <w:spacing w:line="240" w:lineRule="auto" w:before="6"/>
        <w:rPr>
          <w:rFonts w:ascii="宋体" w:hAnsi="宋体" w:cs="宋体" w:eastAsia="宋体" w:hint="default"/>
          <w:b/>
          <w:bCs/>
          <w:sz w:val="15"/>
          <w:szCs w:val="15"/>
        </w:rPr>
      </w:pPr>
    </w:p>
    <w:p>
      <w:pPr>
        <w:pStyle w:val="BodyText"/>
        <w:spacing w:line="300" w:lineRule="auto"/>
        <w:ind w:left="1012" w:right="999"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日，公司以信用担保方式向中国电子财务有限责任公司申请综合授信额度人民币贰亿元整（</w:t>
      </w:r>
      <w:r>
        <w:rPr>
          <w:rFonts w:ascii="Times New Roman" w:hAnsi="Times New Roman" w:cs="Times New Roman" w:eastAsia="Times New Roman" w:hint="default"/>
        </w:rPr>
        <w:t>RMB2 </w:t>
      </w:r>
      <w:r>
        <w:rPr>
          <w:spacing w:val="-11"/>
        </w:rPr>
        <w:t>亿元），期限一年。</w:t>
      </w:r>
    </w:p>
    <w:p>
      <w:pPr>
        <w:pStyle w:val="BodyText"/>
        <w:spacing w:line="300" w:lineRule="auto" w:before="72"/>
        <w:ind w:left="1012" w:right="917" w:firstLine="360"/>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7"/>
        </w:rPr>
        <w:t> </w:t>
      </w:r>
      <w:r>
        <w:rPr>
          <w:spacing w:val="-1"/>
          <w:w w:val="99"/>
        </w:rPr>
        <w:t>日，公司以信用担保方式向平安银行深圳分行申请综合授信额度人民币贰亿元整（</w:t>
      </w:r>
      <w:r>
        <w:rPr>
          <w:rFonts w:ascii="Times New Roman" w:hAnsi="Times New Roman" w:cs="Times New Roman" w:eastAsia="Times New Roman" w:hint="default"/>
          <w:spacing w:val="-1"/>
          <w:w w:val="99"/>
        </w:rPr>
        <w:t>RMB2</w:t>
      </w:r>
      <w:r>
        <w:rPr>
          <w:rFonts w:ascii="Times New Roman" w:hAnsi="Times New Roman" w:cs="Times New Roman" w:eastAsia="Times New Roman" w:hint="default"/>
          <w:spacing w:val="7"/>
          <w:w w:val="99"/>
        </w:rPr>
        <w:t> </w:t>
      </w:r>
      <w:r>
        <w:rPr>
          <w:spacing w:val="-23"/>
        </w:rPr>
        <w:t>亿元），</w:t>
      </w:r>
      <w:r>
        <w:rPr/>
        <w:t> 期限一年。</w:t>
      </w:r>
    </w:p>
    <w:p>
      <w:pPr>
        <w:pStyle w:val="BodyText"/>
        <w:spacing w:line="300" w:lineRule="auto" w:before="70"/>
        <w:ind w:left="1012" w:right="1003"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日，公司以信用担保方式向建设银行深圳分行申请综合授信额度人民币柒亿伍仟万元整（</w:t>
      </w:r>
      <w:r>
        <w:rPr>
          <w:rFonts w:ascii="Times New Roman" w:hAnsi="Times New Roman" w:cs="Times New Roman" w:eastAsia="Times New Roman" w:hint="default"/>
        </w:rPr>
        <w:t>RMB7.5 </w:t>
      </w:r>
      <w:r>
        <w:rPr>
          <w:spacing w:val="-11"/>
        </w:rPr>
        <w:t>亿元），期限一年。</w:t>
      </w:r>
    </w:p>
    <w:p>
      <w:pPr>
        <w:pStyle w:val="BodyText"/>
        <w:spacing w:line="300" w:lineRule="auto" w:before="72"/>
        <w:ind w:left="1012" w:right="917" w:firstLine="360"/>
        <w:jc w:val="left"/>
      </w:pPr>
      <w:r>
        <w:rPr>
          <w:spacing w:val="-7"/>
        </w:rPr>
        <w:t>（</w:t>
      </w: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38"/>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8"/>
        </w:rPr>
        <w:t> </w:t>
      </w:r>
      <w:r>
        <w:rPr>
          <w:spacing w:val="-3"/>
          <w:w w:val="99"/>
        </w:rPr>
        <w:t>日，公司以信用担保方式向建设银行深圳分行申请融资性保函额度人民币伍亿元整（</w:t>
      </w:r>
      <w:r>
        <w:rPr>
          <w:rFonts w:ascii="Times New Roman" w:hAnsi="Times New Roman" w:cs="Times New Roman" w:eastAsia="Times New Roman" w:hint="default"/>
          <w:spacing w:val="-3"/>
          <w:w w:val="99"/>
        </w:rPr>
        <w:t>RMB5</w:t>
      </w:r>
      <w:r>
        <w:rPr>
          <w:rFonts w:ascii="Times New Roman" w:hAnsi="Times New Roman" w:cs="Times New Roman" w:eastAsia="Times New Roman" w:hint="default"/>
          <w:spacing w:val="8"/>
          <w:w w:val="99"/>
        </w:rPr>
        <w:t> </w:t>
      </w:r>
      <w:r>
        <w:rPr>
          <w:spacing w:val="-23"/>
        </w:rPr>
        <w:t>亿元），</w:t>
      </w:r>
      <w:r>
        <w:rPr/>
        <w:t> 期限两年。</w:t>
      </w:r>
    </w:p>
    <w:p>
      <w:pPr>
        <w:pStyle w:val="BodyText"/>
        <w:spacing w:line="300" w:lineRule="auto" w:before="72"/>
        <w:ind w:left="1012" w:right="1004" w:firstLine="36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21</w:t>
      </w:r>
      <w:r>
        <w:rPr>
          <w:rFonts w:ascii="Times New Roman" w:hAnsi="Times New Roman" w:cs="Times New Roman" w:eastAsia="Times New Roman" w:hint="default"/>
          <w:spacing w:val="10"/>
        </w:rPr>
        <w:t> </w:t>
      </w:r>
      <w:r>
        <w:rPr/>
        <w:t>日，公司以房产抵押方式向中国进出口银行深圳分行申请高新技术产品出口卖方信贷额度人民币 </w:t>
      </w:r>
      <w:r>
        <w:rPr>
          <w:w w:val="99"/>
        </w:rPr>
        <w:t>壹亿元整（</w:t>
      </w:r>
      <w:r>
        <w:rPr>
          <w:rFonts w:ascii="Times New Roman" w:hAnsi="Times New Roman" w:cs="Times New Roman" w:eastAsia="Times New Roman" w:hint="default"/>
          <w:w w:val="99"/>
        </w:rPr>
        <w:t>RMB1</w:t>
      </w:r>
      <w:r>
        <w:rPr>
          <w:rFonts w:ascii="Times New Roman" w:hAnsi="Times New Roman" w:cs="Times New Roman" w:eastAsia="Times New Roman" w:hint="default"/>
          <w:spacing w:val="8"/>
          <w:w w:val="99"/>
        </w:rPr>
        <w:t> </w:t>
      </w:r>
      <w:r>
        <w:rPr>
          <w:spacing w:val="-11"/>
        </w:rPr>
        <w:t>亿元），期限两年。</w:t>
      </w:r>
    </w:p>
    <w:p>
      <w:pPr>
        <w:pStyle w:val="BodyText"/>
        <w:spacing w:line="300" w:lineRule="auto" w:before="51"/>
        <w:ind w:left="1012" w:right="1004" w:firstLine="36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日，深圳中电长城能源有限公司以母公司担保方式向建设银行深圳分行申请借款额度人民币肆仟 </w:t>
      </w:r>
      <w:r>
        <w:rPr>
          <w:spacing w:val="-1"/>
          <w:w w:val="99"/>
        </w:rPr>
        <w:t>万元整（</w:t>
      </w:r>
      <w:r>
        <w:rPr>
          <w:rFonts w:ascii="Times New Roman" w:hAnsi="Times New Roman" w:cs="Times New Roman" w:eastAsia="Times New Roman" w:hint="default"/>
          <w:spacing w:val="-1"/>
          <w:w w:val="99"/>
        </w:rPr>
        <w:t>RMB4,000</w:t>
      </w:r>
      <w:r>
        <w:rPr>
          <w:rFonts w:ascii="Times New Roman" w:hAnsi="Times New Roman" w:cs="Times New Roman" w:eastAsia="Times New Roman" w:hint="default"/>
          <w:spacing w:val="17"/>
          <w:w w:val="99"/>
        </w:rPr>
        <w:t> </w:t>
      </w:r>
      <w:r>
        <w:rPr>
          <w:spacing w:val="-11"/>
        </w:rPr>
        <w:t>万元），期限一年。</w:t>
      </w:r>
    </w:p>
    <w:p>
      <w:pPr>
        <w:pStyle w:val="BodyText"/>
        <w:spacing w:line="300" w:lineRule="auto" w:before="53"/>
        <w:ind w:left="1012" w:right="999" w:firstLine="36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日，公司以信用担保方式向中国银行深圳高新区支行申请综合授信额度人民币肆亿元整（</w:t>
      </w:r>
      <w:r>
        <w:rPr>
          <w:rFonts w:ascii="Times New Roman" w:hAnsi="Times New Roman" w:cs="Times New Roman" w:eastAsia="Times New Roman" w:hint="default"/>
        </w:rPr>
        <w:t>RMB4 </w:t>
      </w:r>
      <w:r>
        <w:rPr>
          <w:spacing w:val="-11"/>
        </w:rPr>
        <w:t>亿元），期限一年。</w:t>
      </w:r>
    </w:p>
    <w:p>
      <w:pPr>
        <w:spacing w:after="0" w:line="300" w:lineRule="auto"/>
        <w:jc w:val="left"/>
        <w:sectPr>
          <w:pgSz w:w="11910" w:h="16840"/>
          <w:pgMar w:header="877" w:footer="980" w:top="1100" w:bottom="1160" w:left="120" w:right="120"/>
        </w:sectPr>
      </w:pPr>
    </w:p>
    <w:p>
      <w:pPr>
        <w:spacing w:line="240" w:lineRule="auto" w:before="11"/>
        <w:rPr>
          <w:rFonts w:ascii="宋体" w:hAnsi="宋体" w:cs="宋体" w:eastAsia="宋体" w:hint="default"/>
          <w:sz w:val="21"/>
          <w:szCs w:val="21"/>
        </w:rPr>
      </w:pPr>
    </w:p>
    <w:p>
      <w:pPr>
        <w:pStyle w:val="BodyText"/>
        <w:spacing w:line="300" w:lineRule="auto" w:before="44"/>
        <w:ind w:right="184" w:firstLine="36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日，公司以房产抵押方式向建设银行深圳分行、平安银行深圳分行申请银团贷款额度人民币壹拾 </w:t>
      </w:r>
      <w:r>
        <w:rPr>
          <w:w w:val="99"/>
        </w:rPr>
        <w:t>叁亿元整（</w:t>
      </w:r>
      <w:r>
        <w:rPr>
          <w:rFonts w:ascii="Times New Roman" w:hAnsi="Times New Roman" w:cs="Times New Roman" w:eastAsia="Times New Roman" w:hint="default"/>
          <w:w w:val="99"/>
        </w:rPr>
        <w:t>RMB13</w:t>
      </w:r>
      <w:r>
        <w:rPr>
          <w:rFonts w:ascii="Times New Roman" w:hAnsi="Times New Roman" w:cs="Times New Roman" w:eastAsia="Times New Roman" w:hint="default"/>
          <w:spacing w:val="6"/>
          <w:w w:val="99"/>
        </w:rPr>
        <w:t> </w:t>
      </w:r>
      <w:r>
        <w:rPr>
          <w:spacing w:val="-11"/>
        </w:rPr>
        <w:t>亿元），期限八年。</w:t>
      </w:r>
    </w:p>
    <w:p>
      <w:pPr>
        <w:pStyle w:val="BodyText"/>
        <w:spacing w:line="300" w:lineRule="auto" w:before="53"/>
        <w:ind w:right="185" w:firstLine="360"/>
        <w:jc w:val="left"/>
      </w:pPr>
      <w:r>
        <w:rPr>
          <w:spacing w:val="-3"/>
        </w:rPr>
        <w:t>（</w:t>
      </w: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日，公司以房产抵押方式向中国进出口银行深圳分行申请高新技术产品出口卖方信贷额度人民币 </w:t>
      </w:r>
      <w:r>
        <w:rPr>
          <w:spacing w:val="-1"/>
          <w:w w:val="99"/>
        </w:rPr>
        <w:t>贰亿伍仟万元整（</w:t>
      </w:r>
      <w:r>
        <w:rPr>
          <w:rFonts w:ascii="Times New Roman" w:hAnsi="Times New Roman" w:cs="Times New Roman" w:eastAsia="Times New Roman" w:hint="default"/>
          <w:spacing w:val="-1"/>
          <w:w w:val="99"/>
        </w:rPr>
        <w:t>RMB2.5</w:t>
      </w:r>
      <w:r>
        <w:rPr>
          <w:rFonts w:ascii="Times New Roman" w:hAnsi="Times New Roman" w:cs="Times New Roman" w:eastAsia="Times New Roman" w:hint="default"/>
          <w:spacing w:val="18"/>
          <w:w w:val="99"/>
        </w:rPr>
        <w:t> </w:t>
      </w:r>
      <w:r>
        <w:rPr>
          <w:spacing w:val="-11"/>
        </w:rPr>
        <w:t>亿元），期限两年。</w:t>
      </w:r>
    </w:p>
    <w:p>
      <w:pPr>
        <w:pStyle w:val="Heading5"/>
        <w:spacing w:line="240" w:lineRule="auto" w:before="123"/>
        <w:ind w:right="0"/>
        <w:jc w:val="both"/>
        <w:rPr>
          <w:b w:val="0"/>
          <w:bCs w:val="0"/>
        </w:rPr>
      </w:pPr>
      <w:r>
        <w:rPr/>
        <w:t>十八、其他重大事项的说明</w:t>
      </w:r>
      <w:r>
        <w:rPr>
          <w:b w:val="0"/>
          <w:bCs w:val="0"/>
        </w:rPr>
      </w:r>
    </w:p>
    <w:p>
      <w:pPr>
        <w:pStyle w:val="BodyText"/>
        <w:spacing w:line="240" w:lineRule="auto" w:before="207"/>
        <w:ind w:right="0"/>
        <w:jc w:val="both"/>
      </w:pPr>
      <w:r>
        <w:rPr/>
        <w:t>√ 适用 □</w:t>
      </w:r>
      <w:r>
        <w:rPr>
          <w:spacing w:val="3"/>
        </w:rPr>
        <w:t> </w:t>
      </w:r>
      <w:r>
        <w:rPr/>
        <w:t>不适用</w:t>
      </w:r>
    </w:p>
    <w:p>
      <w:pPr>
        <w:pStyle w:val="BodyText"/>
        <w:spacing w:line="240" w:lineRule="auto" w:before="117"/>
        <w:ind w:left="513" w:right="89"/>
        <w:jc w:val="left"/>
      </w:pPr>
      <w:r>
        <w:rPr>
          <w:rFonts w:ascii="Times New Roman" w:hAnsi="Times New Roman" w:cs="Times New Roman" w:eastAsia="Times New Roman" w:hint="default"/>
        </w:rPr>
        <w:t>1</w:t>
      </w:r>
      <w:r>
        <w:rPr/>
        <w:t>、控股股东整合重组</w:t>
      </w:r>
    </w:p>
    <w:p>
      <w:pPr>
        <w:pStyle w:val="BodyText"/>
        <w:spacing w:line="309" w:lineRule="auto" w:before="101"/>
        <w:ind w:right="188" w:firstLine="360"/>
        <w:jc w:val="both"/>
      </w:pPr>
      <w:r>
        <w:rPr>
          <w:spacing w:val="-4"/>
          <w:w w:val="100"/>
        </w:rPr>
        <w:t>中国电子与其下属企业中电长城计算机集团公司（以下简称</w:t>
      </w:r>
      <w:r>
        <w:rPr>
          <w:rFonts w:ascii="Times New Roman" w:hAnsi="Times New Roman" w:cs="Times New Roman" w:eastAsia="Times New Roman" w:hint="default"/>
          <w:spacing w:val="-4"/>
          <w:w w:val="100"/>
        </w:rPr>
        <w:t>“</w:t>
      </w:r>
      <w:r>
        <w:rPr>
          <w:spacing w:val="-4"/>
          <w:w w:val="100"/>
        </w:rPr>
        <w:t>长城集团</w:t>
      </w:r>
      <w:r>
        <w:rPr>
          <w:rFonts w:ascii="Times New Roman" w:hAnsi="Times New Roman" w:cs="Times New Roman" w:eastAsia="Times New Roman" w:hint="default"/>
          <w:spacing w:val="-4"/>
          <w:w w:val="100"/>
        </w:rPr>
        <w:t>”</w:t>
      </w:r>
      <w:r>
        <w:rPr>
          <w:spacing w:val="-4"/>
          <w:w w:val="100"/>
        </w:rPr>
        <w:t>）、长城科技于</w:t>
      </w:r>
      <w:r>
        <w:rPr>
          <w:spacing w:val="-41"/>
          <w:w w:val="10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5"/>
        </w:rPr>
        <w:t> </w:t>
      </w:r>
      <w:r>
        <w:rPr>
          <w:spacing w:val="-4"/>
        </w:rPr>
        <w:t>日签署了《中国</w:t>
      </w:r>
      <w:r>
        <w:rPr/>
        <w:t> </w:t>
      </w:r>
      <w:r>
        <w:rPr>
          <w:spacing w:val="-2"/>
        </w:rPr>
        <w:t>电子信息产业集团有限公司与中电长城计算机集团公司、长城科技股份有限公司之吸收合并协议》。中国电子作为吸收方将</w:t>
      </w:r>
      <w:r>
        <w:rPr>
          <w:spacing w:val="-65"/>
        </w:rPr>
        <w:t> </w:t>
      </w:r>
      <w:r>
        <w:rPr>
          <w:spacing w:val="-65"/>
        </w:rPr>
      </w:r>
      <w:r>
        <w:rPr>
          <w:spacing w:val="-2"/>
        </w:rPr>
        <w:t>同时吸收合并长城集团和长城科技，吸收合并完成后，中国电子作为存续方，将取得长城集团、长城科技的全部资产和负债</w:t>
      </w:r>
      <w:r>
        <w:rPr>
          <w:spacing w:val="-64"/>
        </w:rPr>
        <w:t> </w:t>
      </w:r>
      <w:r>
        <w:rPr>
          <w:spacing w:val="-64"/>
        </w:rPr>
      </w:r>
      <w:r>
        <w:rPr/>
        <w:t>并进而承继长城科技所持本公司</w:t>
      </w:r>
      <w:r>
        <w:rPr>
          <w:spacing w:val="-43"/>
        </w:rPr>
        <w:t> </w:t>
      </w:r>
      <w:r>
        <w:rPr>
          <w:rFonts w:ascii="Times New Roman" w:hAnsi="Times New Roman" w:cs="Times New Roman" w:eastAsia="Times New Roman" w:hint="default"/>
        </w:rPr>
        <w:t>713,647,921</w:t>
      </w:r>
      <w:r>
        <w:rPr>
          <w:rFonts w:ascii="Times New Roman" w:hAnsi="Times New Roman" w:cs="Times New Roman" w:eastAsia="Times New Roman" w:hint="default"/>
          <w:spacing w:val="4"/>
        </w:rPr>
        <w:t> </w:t>
      </w:r>
      <w:r>
        <w:rPr/>
        <w:t>股股份，并注销长城集团和长城科技的法人资格；即本次吸收合并完成后，本 公司的控股股东变更为中国电子，实际控制人保持不变（具体内容详见</w:t>
      </w:r>
      <w:r>
        <w:rPr>
          <w:spacing w:val="-38"/>
        </w:rPr>
        <w:t> </w:t>
      </w:r>
      <w:r>
        <w:rPr>
          <w:rFonts w:ascii="Times New Roman" w:hAnsi="Times New Roman" w:cs="Times New Roman" w:eastAsia="Times New Roman" w:hint="default"/>
          <w:spacing w:val="-1"/>
        </w:rPr>
        <w:t>2013-041</w:t>
      </w:r>
      <w:r>
        <w:rPr>
          <w:spacing w:val="-1"/>
        </w:rPr>
        <w:t>、</w:t>
      </w:r>
      <w:r>
        <w:rPr>
          <w:rFonts w:ascii="Times New Roman" w:hAnsi="Times New Roman" w:cs="Times New Roman" w:eastAsia="Times New Roman" w:hint="default"/>
          <w:spacing w:val="-1"/>
        </w:rPr>
        <w:t>2013-059</w:t>
      </w:r>
      <w:r>
        <w:rPr>
          <w:rFonts w:ascii="Times New Roman" w:hAnsi="Times New Roman" w:cs="Times New Roman" w:eastAsia="Times New Roman" w:hint="default"/>
          <w:spacing w:val="7"/>
        </w:rPr>
        <w:t> </w:t>
      </w:r>
      <w:r>
        <w:rPr>
          <w:spacing w:val="-19"/>
        </w:rPr>
        <w:t>号公告）。</w:t>
      </w:r>
    </w:p>
    <w:p>
      <w:pPr>
        <w:pStyle w:val="BodyText"/>
        <w:spacing w:line="240" w:lineRule="auto" w:before="46"/>
        <w:ind w:left="513" w:right="89"/>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月，中国证监会核</w:t>
      </w:r>
      <w:r>
        <w:rPr>
          <w:spacing w:val="-3"/>
        </w:rPr>
        <w:t>准</w:t>
      </w:r>
      <w:r>
        <w:rPr/>
        <w:t>中国电子公告收购报告书并豁免其要约收购义务（具体内容详见</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号公告</w:t>
      </w:r>
      <w:r>
        <w:rPr>
          <w:spacing w:val="-92"/>
        </w:rPr>
        <w:t>）</w:t>
      </w:r>
      <w:r>
        <w:rPr/>
        <w:t>。</w:t>
      </w:r>
    </w:p>
    <w:p>
      <w:pPr>
        <w:pStyle w:val="BodyText"/>
        <w:spacing w:line="240" w:lineRule="auto" w:before="103"/>
        <w:ind w:left="513" w:right="89"/>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月，中国电子与长城集团、长城科技签署了《中国电子信息产业集团有限公司与中电长城计算机集团公司、</w:t>
      </w:r>
    </w:p>
    <w:p>
      <w:pPr>
        <w:pStyle w:val="BodyText"/>
        <w:spacing w:line="240" w:lineRule="auto" w:before="63"/>
        <w:ind w:right="0"/>
        <w:jc w:val="both"/>
        <w:rPr>
          <w:rFonts w:ascii="Times New Roman" w:hAnsi="Times New Roman" w:cs="Times New Roman" w:eastAsia="Times New Roman" w:hint="default"/>
        </w:rPr>
      </w:pPr>
      <w:r>
        <w:rPr/>
        <w:t>长城科技股份有限公司之</w:t>
      </w:r>
      <w:r>
        <w:rPr>
          <w:rFonts w:ascii="Times New Roman" w:hAnsi="Times New Roman" w:cs="Times New Roman" w:eastAsia="Times New Roman" w:hint="default"/>
          <w:spacing w:val="-1"/>
        </w:rPr>
        <w:t>&lt;</w:t>
      </w:r>
      <w:r>
        <w:rPr/>
        <w:t>吸收合并协议</w:t>
      </w:r>
      <w:r>
        <w:rPr>
          <w:rFonts w:ascii="Times New Roman" w:hAnsi="Times New Roman" w:cs="Times New Roman" w:eastAsia="Times New Roman" w:hint="default"/>
          <w:spacing w:val="-1"/>
        </w:rPr>
        <w:t>&gt;</w:t>
      </w:r>
      <w:r>
        <w:rPr/>
        <w:t>之补充协议</w:t>
      </w:r>
      <w:r>
        <w:rPr>
          <w:spacing w:val="-92"/>
        </w:rPr>
        <w:t>》</w:t>
      </w:r>
      <w:r>
        <w:rPr/>
        <w:t>，将</w:t>
      </w:r>
      <w:r>
        <w:rPr>
          <w:spacing w:val="2"/>
        </w:rPr>
        <w:t>协</w:t>
      </w:r>
      <w:r>
        <w:rPr/>
        <w:t>议有条件的自动终止日期由原</w:t>
      </w:r>
      <w:r>
        <w:rPr>
          <w:spacing w:val="-27"/>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年</w:t>
      </w:r>
      <w:r>
        <w:rPr>
          <w:spacing w:val="-30"/>
        </w:rPr>
        <w:t>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月</w:t>
      </w:r>
      <w:r>
        <w:rPr>
          <w:spacing w:val="-28"/>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日变更至</w:t>
      </w:r>
      <w:r>
        <w:rPr>
          <w:spacing w:val="-3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p>
    <w:p>
      <w:pPr>
        <w:pStyle w:val="BodyText"/>
        <w:spacing w:line="240" w:lineRule="auto" w:before="63"/>
        <w:ind w:right="0"/>
        <w:jc w:val="both"/>
      </w:pPr>
      <w:r>
        <w:rPr/>
        <w:t>年</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日（具体内容详见</w:t>
      </w:r>
      <w:r>
        <w:rPr>
          <w:spacing w:val="-47"/>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号公告</w:t>
      </w:r>
      <w:r>
        <w:rPr>
          <w:spacing w:val="-92"/>
        </w:rPr>
        <w:t>）</w:t>
      </w:r>
      <w:r>
        <w:rPr/>
        <w:t>。</w:t>
      </w:r>
    </w:p>
    <w:p>
      <w:pPr>
        <w:pStyle w:val="BodyText"/>
        <w:spacing w:line="240" w:lineRule="auto" w:before="101"/>
        <w:ind w:left="513" w:right="89"/>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月，吸收合并事项</w:t>
      </w:r>
      <w:r>
        <w:rPr>
          <w:spacing w:val="-3"/>
        </w:rPr>
        <w:t>经</w:t>
      </w:r>
      <w:r>
        <w:rPr/>
        <w:t>长城科技临时股东大会、</w:t>
      </w:r>
      <w:r>
        <w:rPr>
          <w:rFonts w:ascii="Times New Roman" w:hAnsi="Times New Roman" w:cs="Times New Roman" w:eastAsia="Times New Roman" w:hint="default"/>
          <w:w w:val="99"/>
        </w:rPr>
        <w:t>H</w:t>
      </w:r>
      <w:r>
        <w:rPr>
          <w:rFonts w:ascii="Times New Roman" w:hAnsi="Times New Roman" w:cs="Times New Roman" w:eastAsia="Times New Roman" w:hint="default"/>
        </w:rPr>
        <w:t> </w:t>
      </w:r>
      <w:r>
        <w:rPr/>
        <w:t>股类别股东会审议通过（具体内容详见</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号公告</w:t>
      </w:r>
      <w:r>
        <w:rPr>
          <w:spacing w:val="-92"/>
        </w:rPr>
        <w:t>）</w:t>
      </w:r>
      <w:r>
        <w:rPr/>
        <w:t>。</w:t>
      </w:r>
    </w:p>
    <w:p>
      <w:pPr>
        <w:pStyle w:val="BodyText"/>
        <w:spacing w:line="309" w:lineRule="auto" w:before="103"/>
        <w:ind w:right="94" w:firstLine="36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2"/>
        </w:rPr>
        <w:t>月，经香港联合交易所有限公司批准，长城科技撤回</w:t>
      </w:r>
      <w:r>
        <w:rPr>
          <w:spacing w:val="-42"/>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2"/>
          <w:w w:val="99"/>
        </w:rPr>
        <w:t> </w:t>
      </w:r>
      <w:r>
        <w:rPr>
          <w:spacing w:val="-6"/>
        </w:rPr>
        <w:t>股上市地位正式生效，《吸收合并协议》约定的生效条</w:t>
      </w:r>
      <w:r>
        <w:rPr/>
        <w:t> 件至此已全部满足。中国电子将适时实施合并长城集团和长城科技；待合并完成后，长城集团和长城科技将注销法人资格， 中国电子将成为公司的控股股东（具体内容详见</w:t>
      </w:r>
      <w:r>
        <w:rPr>
          <w:spacing w:val="-42"/>
        </w:rPr>
        <w:t> </w:t>
      </w:r>
      <w:r>
        <w:rPr>
          <w:rFonts w:ascii="Times New Roman" w:hAnsi="Times New Roman" w:cs="Times New Roman" w:eastAsia="Times New Roman" w:hint="default"/>
          <w:spacing w:val="-1"/>
        </w:rPr>
        <w:t>2014-046</w:t>
      </w:r>
      <w:r>
        <w:rPr>
          <w:rFonts w:ascii="Times New Roman" w:hAnsi="Times New Roman" w:cs="Times New Roman" w:eastAsia="Times New Roman" w:hint="default"/>
          <w:spacing w:val="3"/>
        </w:rPr>
        <w:t> </w:t>
      </w:r>
      <w:r>
        <w:rPr>
          <w:spacing w:val="-19"/>
        </w:rPr>
        <w:t>号公告）。</w:t>
      </w:r>
    </w:p>
    <w:p>
      <w:pPr>
        <w:pStyle w:val="BodyText"/>
        <w:spacing w:line="240" w:lineRule="auto" w:before="46"/>
        <w:ind w:left="513" w:right="89"/>
        <w:jc w:val="left"/>
      </w:pPr>
      <w:r>
        <w:rPr/>
        <w:t>截至目前，该事项仍在进行中。</w:t>
      </w:r>
    </w:p>
    <w:p>
      <w:pPr>
        <w:pStyle w:val="BodyText"/>
        <w:spacing w:line="240" w:lineRule="auto" w:before="115"/>
        <w:ind w:left="513" w:right="89"/>
        <w:jc w:val="left"/>
      </w:pPr>
      <w:r>
        <w:rPr>
          <w:rFonts w:ascii="Times New Roman" w:hAnsi="Times New Roman" w:cs="Times New Roman" w:eastAsia="Times New Roman" w:hint="default"/>
        </w:rPr>
        <w:t>2</w:t>
      </w:r>
      <w:r>
        <w:rPr/>
        <w:t>、股东回报规划（</w:t>
      </w:r>
      <w:r>
        <w:rPr>
          <w:rFonts w:ascii="Times New Roman" w:hAnsi="Times New Roman" w:cs="Times New Roman" w:eastAsia="Times New Roman" w:hint="default"/>
        </w:rPr>
        <w:t>2015-2017</w:t>
      </w:r>
      <w:r>
        <w:rPr/>
        <w:t>）</w:t>
      </w:r>
    </w:p>
    <w:p>
      <w:pPr>
        <w:pStyle w:val="BodyText"/>
        <w:spacing w:line="300" w:lineRule="auto" w:before="103"/>
        <w:ind w:right="194" w:firstLine="360"/>
        <w:jc w:val="left"/>
      </w:pPr>
      <w:r>
        <w:rPr/>
        <w:t>鉴于公</w:t>
      </w:r>
      <w:r>
        <w:rPr>
          <w:spacing w:val="-10"/>
        </w:rPr>
        <w:t>司</w:t>
      </w:r>
      <w:r>
        <w:rPr/>
        <w:t>《股东回报规</w:t>
      </w:r>
      <w:r>
        <w:rPr>
          <w:spacing w:val="-10"/>
        </w:rPr>
        <w:t>划</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spacing w:val="-92"/>
        </w:rPr>
        <w:t>）</w:t>
      </w:r>
      <w:r>
        <w:rPr>
          <w:spacing w:val="-10"/>
        </w:rPr>
        <w:t>》</w:t>
      </w:r>
      <w:r>
        <w:rPr/>
        <w:t>已到期</w:t>
      </w:r>
      <w:r>
        <w:rPr>
          <w:spacing w:val="-10"/>
        </w:rPr>
        <w:t>，</w:t>
      </w:r>
      <w:r>
        <w:rPr/>
        <w:t>结合公司</w:t>
      </w:r>
      <w:r>
        <w:rPr>
          <w:spacing w:val="2"/>
        </w:rPr>
        <w:t>实</w:t>
      </w:r>
      <w:r>
        <w:rPr/>
        <w:t>际情况和监管机构的最新要求</w:t>
      </w:r>
      <w:r>
        <w:rPr>
          <w:spacing w:val="-10"/>
        </w:rPr>
        <w:t>，</w:t>
      </w:r>
      <w:r>
        <w:rPr/>
        <w:t>公司制定</w:t>
      </w:r>
      <w:r>
        <w:rPr>
          <w:spacing w:val="-10"/>
        </w:rPr>
        <w:t>了</w:t>
      </w:r>
      <w:r>
        <w:rPr/>
        <w:t>《股东回报规</w:t>
      </w:r>
      <w:r>
        <w:rPr/>
        <w:t> 划（</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92"/>
        </w:rPr>
        <w:t>）》</w:t>
      </w:r>
      <w:r>
        <w:rPr/>
        <w:t>（详见巨潮资讯</w:t>
      </w:r>
      <w:r>
        <w:rPr>
          <w:spacing w:val="-45"/>
        </w:rPr>
        <w:t> </w:t>
      </w:r>
      <w:hyperlink r:id="rId8">
        <w:r>
          <w:rPr>
            <w:rFonts w:ascii="Times New Roman" w:hAnsi="Times New Roman" w:cs="Times New Roman" w:eastAsia="Times New Roman" w:hint="default"/>
            <w:spacing w:val="1"/>
          </w:rPr>
          <w:t>h</w:t>
        </w:r>
        <w:r>
          <w:rPr>
            <w:rFonts w:ascii="Times New Roman" w:hAnsi="Times New Roman" w:cs="Times New Roman" w:eastAsia="Times New Roman" w:hint="default"/>
          </w:rPr>
          <w:t>t</w:t>
        </w:r>
        <w:r>
          <w:rPr>
            <w:rFonts w:ascii="Times New Roman" w:hAnsi="Times New Roman" w:cs="Times New Roman" w:eastAsia="Times New Roman" w:hint="default"/>
            <w:spacing w:val="-2"/>
          </w:rPr>
          <w:t>t</w:t>
        </w:r>
        <w:r>
          <w:rPr>
            <w:rFonts w:ascii="Times New Roman" w:hAnsi="Times New Roman" w:cs="Times New Roman" w:eastAsia="Times New Roman" w:hint="default"/>
            <w:spacing w:val="1"/>
          </w:rPr>
          <w:t>p</w:t>
        </w:r>
        <w:r>
          <w:rPr>
            <w:rFonts w:ascii="Times New Roman" w:hAnsi="Times New Roman" w:cs="Times New Roman" w:eastAsia="Times New Roman" w:hint="default"/>
          </w:rPr>
          <w:t>:/</w:t>
        </w:r>
        <w:r>
          <w:rPr>
            <w:rFonts w:ascii="Times New Roman" w:hAnsi="Times New Roman" w:cs="Times New Roman" w:eastAsia="Times New Roman" w:hint="default"/>
            <w:w w:val="99"/>
          </w:rPr>
          <w:t>/</w:t>
        </w:r>
        <w:r>
          <w:rPr>
            <w:rFonts w:ascii="Times New Roman" w:hAnsi="Times New Roman" w:cs="Times New Roman" w:eastAsia="Times New Roman" w:hint="default"/>
            <w:spacing w:val="-3"/>
            <w:w w:val="99"/>
          </w:rPr>
          <w:t>w</w:t>
        </w:r>
        <w:r>
          <w:rPr>
            <w:rFonts w:ascii="Times New Roman" w:hAnsi="Times New Roman" w:cs="Times New Roman" w:eastAsia="Times New Roman" w:hint="default"/>
            <w:w w:val="99"/>
          </w:rPr>
          <w:t>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n</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3"/>
          </w:rPr>
          <w:t>f</w:t>
        </w:r>
        <w:r>
          <w:rPr>
            <w:rFonts w:ascii="Times New Roman" w:hAnsi="Times New Roman" w:cs="Times New Roman" w:eastAsia="Times New Roman" w:hint="default"/>
            <w:spacing w:val="1"/>
          </w:rPr>
          <w:t>o</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o</w:t>
        </w:r>
        <w:r>
          <w:rPr>
            <w:rFonts w:ascii="Times New Roman" w:hAnsi="Times New Roman" w:cs="Times New Roman" w:eastAsia="Times New Roman" w:hint="default"/>
            <w:spacing w:val="-4"/>
          </w:rPr>
          <w:t>m</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3"/>
          </w:rPr>
          <w:t>n</w:t>
        </w:r>
      </w:hyperlink>
      <w:r>
        <w:rPr>
          <w:spacing w:val="-92"/>
        </w:rPr>
        <w:t>）。</w:t>
      </w:r>
      <w:r>
        <w:rPr/>
      </w:r>
    </w:p>
    <w:p>
      <w:pPr>
        <w:pStyle w:val="BodyText"/>
        <w:spacing w:line="240" w:lineRule="auto" w:before="53"/>
        <w:ind w:left="513" w:right="89"/>
        <w:jc w:val="left"/>
      </w:pPr>
      <w:r>
        <w:rPr>
          <w:rFonts w:ascii="Times New Roman" w:hAnsi="Times New Roman" w:cs="Times New Roman" w:eastAsia="Times New Roman" w:hint="default"/>
        </w:rPr>
        <w:t>3</w:t>
      </w:r>
      <w:r>
        <w:rPr/>
        <w:t>、中期票据付息</w:t>
      </w:r>
    </w:p>
    <w:p>
      <w:pPr>
        <w:pStyle w:val="BodyText"/>
        <w:spacing w:line="240" w:lineRule="auto" w:before="101"/>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月</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日</w:t>
      </w:r>
      <w:r>
        <w:rPr>
          <w:spacing w:val="-92"/>
        </w:rPr>
        <w:t>，</w:t>
      </w:r>
      <w:r>
        <w:rPr/>
        <w:t>中国长城计</w:t>
      </w:r>
      <w:r>
        <w:rPr>
          <w:spacing w:val="-3"/>
        </w:rPr>
        <w:t>算</w:t>
      </w:r>
      <w:r>
        <w:rPr/>
        <w:t>机深圳股份有限公司</w:t>
      </w:r>
      <w:r>
        <w:rPr>
          <w:spacing w:val="-6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年</w:t>
      </w:r>
      <w:r>
        <w:rPr>
          <w:spacing w:val="-3"/>
        </w:rPr>
        <w:t>度</w:t>
      </w:r>
      <w:r>
        <w:rPr/>
        <w:t>第一期中期票</w:t>
      </w:r>
      <w:r>
        <w:rPr>
          <w:spacing w:val="-92"/>
        </w:rPr>
        <w:t>据</w:t>
      </w:r>
      <w:r>
        <w:rPr/>
        <w:t>（发行总额</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亿元</w:t>
      </w:r>
      <w:r>
        <w:rPr>
          <w:spacing w:val="-92"/>
        </w:rPr>
        <w:t>，</w:t>
      </w:r>
      <w:r>
        <w:rPr/>
        <w:t>计息期债券利率</w:t>
      </w:r>
      <w:r>
        <w:rPr>
          <w:spacing w:val="-63"/>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38</w:t>
      </w:r>
      <w:r>
        <w:rPr>
          <w:rFonts w:ascii="Times New Roman" w:hAnsi="Times New Roman" w:cs="Times New Roman" w:eastAsia="Times New Roman" w:hint="default"/>
          <w:spacing w:val="-1"/>
        </w:rPr>
        <w:t>%</w:t>
      </w:r>
      <w:r>
        <w:rPr/>
        <w:t>）</w:t>
      </w:r>
    </w:p>
    <w:p>
      <w:pPr>
        <w:pStyle w:val="BodyText"/>
        <w:spacing w:line="240" w:lineRule="auto" w:before="63"/>
        <w:ind w:right="0"/>
        <w:jc w:val="both"/>
      </w:pPr>
      <w:r>
        <w:rPr/>
        <w:t>支付第二年利息（具体内容详见</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号公告</w:t>
      </w:r>
      <w:r>
        <w:rPr>
          <w:spacing w:val="-92"/>
        </w:rPr>
        <w:t>）</w:t>
      </w:r>
      <w:r>
        <w:rPr/>
        <w:t>。</w:t>
      </w:r>
    </w:p>
    <w:p>
      <w:pPr>
        <w:pStyle w:val="BodyText"/>
        <w:spacing w:line="240" w:lineRule="auto" w:before="103"/>
        <w:ind w:left="513" w:right="89"/>
        <w:jc w:val="left"/>
      </w:pPr>
      <w:r>
        <w:rPr>
          <w:rFonts w:ascii="Times New Roman" w:hAnsi="Times New Roman" w:cs="Times New Roman" w:eastAsia="Times New Roman" w:hint="default"/>
        </w:rPr>
        <w:t>4</w:t>
      </w:r>
      <w:r>
        <w:rPr/>
        <w:t>、积极响应号召维护公司市值稳定</w:t>
      </w:r>
    </w:p>
    <w:p>
      <w:pPr>
        <w:pStyle w:val="BodyText"/>
        <w:spacing w:line="304" w:lineRule="auto" w:before="103"/>
        <w:ind w:right="89"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日公司实际控制人中国电子在其公司官网刊发如下声明：</w:t>
      </w:r>
      <w:r>
        <w:rPr>
          <w:rFonts w:ascii="Times New Roman" w:hAnsi="Times New Roman" w:cs="Times New Roman" w:eastAsia="Times New Roman" w:hint="default"/>
        </w:rPr>
        <w:t>1</w:t>
      </w:r>
      <w:r>
        <w:rPr/>
        <w:t>）中国电子主动承担社会责任，作负责任的股 </w:t>
      </w:r>
      <w:r>
        <w:rPr>
          <w:spacing w:val="-2"/>
        </w:rPr>
        <w:t>东。在股市异常波动时期，不减持所控股上市公司股票；</w:t>
      </w:r>
      <w:r>
        <w:rPr>
          <w:rFonts w:ascii="Times New Roman" w:hAnsi="Times New Roman" w:cs="Times New Roman" w:eastAsia="Times New Roman" w:hint="default"/>
          <w:spacing w:val="-2"/>
        </w:rPr>
        <w:t>2</w:t>
      </w:r>
      <w:r>
        <w:rPr>
          <w:spacing w:val="-2"/>
        </w:rPr>
        <w:t>）中国电子承诺在法律、法规允许的范围内，积极探索采取回购、</w:t>
      </w:r>
      <w:r>
        <w:rPr>
          <w:spacing w:val="-66"/>
        </w:rPr>
        <w:t> </w:t>
      </w:r>
      <w:r>
        <w:rPr>
          <w:spacing w:val="-66"/>
        </w:rPr>
      </w:r>
      <w:r>
        <w:rPr/>
        <w:t>增持等措施，加大对股价严重偏离其价值的上市公司股票的增持力度，切实保护投资者利益；</w:t>
      </w:r>
      <w:r>
        <w:rPr>
          <w:rFonts w:ascii="Times New Roman" w:hAnsi="Times New Roman" w:cs="Times New Roman" w:eastAsia="Times New Roman" w:hint="default"/>
        </w:rPr>
        <w:t>3</w:t>
      </w:r>
      <w:r>
        <w:rPr/>
        <w:t>）中国电子将继续采取资产</w:t>
      </w:r>
      <w:r>
        <w:rPr>
          <w:spacing w:val="-82"/>
        </w:rPr>
        <w:t> </w:t>
      </w:r>
      <w:r>
        <w:rPr>
          <w:spacing w:val="-2"/>
        </w:rPr>
        <w:t>重组、培育注资等方式，着力提高上市公司质量，支持所控股上市公司加快转型升级和结构调整力度，建立健全投资者回报</w:t>
      </w:r>
      <w:r>
        <w:rPr>
          <w:spacing w:val="-64"/>
        </w:rPr>
        <w:t> </w:t>
      </w:r>
      <w:r>
        <w:rPr>
          <w:spacing w:val="-64"/>
        </w:rPr>
      </w:r>
      <w:r>
        <w:rPr/>
        <w:t>长效机制，不断提高投资者回报水平（具体内容详见</w:t>
      </w:r>
      <w:r>
        <w:rPr>
          <w:spacing w:val="-40"/>
        </w:rPr>
        <w:t> </w:t>
      </w:r>
      <w:r>
        <w:rPr>
          <w:rFonts w:ascii="Times New Roman" w:hAnsi="Times New Roman" w:cs="Times New Roman" w:eastAsia="Times New Roman" w:hint="default"/>
          <w:spacing w:val="-1"/>
        </w:rPr>
        <w:t>2015-039</w:t>
      </w:r>
      <w:r>
        <w:rPr>
          <w:rFonts w:ascii="Times New Roman" w:hAnsi="Times New Roman" w:cs="Times New Roman" w:eastAsia="Times New Roman" w:hint="default"/>
          <w:spacing w:val="5"/>
        </w:rPr>
        <w:t> </w:t>
      </w:r>
      <w:r>
        <w:rPr>
          <w:spacing w:val="-19"/>
        </w:rPr>
        <w:t>号公告）。</w:t>
      </w:r>
    </w:p>
    <w:p>
      <w:pPr>
        <w:pStyle w:val="BodyText"/>
        <w:spacing w:line="240" w:lineRule="auto" w:before="47"/>
        <w:ind w:left="513" w:right="8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3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日本公司发布公告：</w:t>
      </w:r>
      <w:r>
        <w:rPr>
          <w:rFonts w:ascii="Times New Roman" w:hAnsi="Times New Roman" w:cs="Times New Roman" w:eastAsia="Times New Roman" w:hint="default"/>
        </w:rPr>
        <w:t>1</w:t>
      </w:r>
      <w:r>
        <w:rPr/>
        <w:t>）为促进公司持续、稳定、健康发展，维护公司全体股东的利益，持有公司股票</w:t>
      </w:r>
    </w:p>
    <w:p>
      <w:pPr>
        <w:pStyle w:val="BodyText"/>
        <w:spacing w:line="309" w:lineRule="auto" w:before="63"/>
        <w:ind w:right="191"/>
        <w:jc w:val="both"/>
      </w:pPr>
      <w:r>
        <w:rPr/>
        <w:t>的董事、监事、高级管理人员承诺本年内不减持本人所持公司股票；</w:t>
      </w:r>
      <w:r>
        <w:rPr>
          <w:rFonts w:ascii="Times New Roman" w:hAnsi="Times New Roman" w:cs="Times New Roman" w:eastAsia="Times New Roman" w:hint="default"/>
        </w:rPr>
        <w:t>2</w:t>
      </w:r>
      <w:r>
        <w:rPr/>
        <w:t>）若公司股价未来</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个月出现大幅下跌，公司将积极 </w:t>
      </w:r>
      <w:r>
        <w:rPr>
          <w:spacing w:val="-2"/>
        </w:rPr>
        <w:t>研究推进股份回购相关事宜，并鼓励公司董事（独立董事除外）、监事、高级管理人员及员工根据实际情况在合法合规的前</w:t>
      </w:r>
      <w:r>
        <w:rPr>
          <w:spacing w:val="-65"/>
        </w:rPr>
        <w:t> </w:t>
      </w:r>
      <w:r>
        <w:rPr>
          <w:spacing w:val="-65"/>
        </w:rPr>
      </w:r>
      <w:r>
        <w:rPr/>
        <w:t>提下积极买入公司股票（具体内容详见</w:t>
      </w:r>
      <w:r>
        <w:rPr>
          <w:spacing w:val="-40"/>
        </w:rPr>
        <w:t> </w:t>
      </w:r>
      <w:r>
        <w:rPr>
          <w:rFonts w:ascii="Times New Roman" w:hAnsi="Times New Roman" w:cs="Times New Roman" w:eastAsia="Times New Roman" w:hint="default"/>
          <w:spacing w:val="-1"/>
        </w:rPr>
        <w:t>2015-040</w:t>
      </w:r>
      <w:r>
        <w:rPr>
          <w:rFonts w:ascii="Times New Roman" w:hAnsi="Times New Roman" w:cs="Times New Roman" w:eastAsia="Times New Roman" w:hint="default"/>
          <w:spacing w:val="5"/>
        </w:rPr>
        <w:t> </w:t>
      </w:r>
      <w:r>
        <w:rPr>
          <w:spacing w:val="-19"/>
        </w:rPr>
        <w:t>号公告）。</w:t>
      </w:r>
    </w:p>
    <w:p>
      <w:pPr>
        <w:pStyle w:val="BodyText"/>
        <w:spacing w:line="240" w:lineRule="auto" w:before="46"/>
        <w:ind w:left="513" w:right="89"/>
        <w:jc w:val="left"/>
      </w:pPr>
      <w:r>
        <w:rPr>
          <w:rFonts w:ascii="Times New Roman" w:hAnsi="Times New Roman" w:cs="Times New Roman" w:eastAsia="Times New Roman" w:hint="default"/>
        </w:rPr>
        <w:t>5</w:t>
      </w:r>
      <w:r>
        <w:rPr/>
        <w:t>、株洲高新区天易科技城基地投资</w:t>
      </w:r>
    </w:p>
    <w:p>
      <w:pPr>
        <w:pStyle w:val="BodyText"/>
        <w:spacing w:line="300" w:lineRule="auto" w:before="103"/>
        <w:ind w:right="191" w:firstLine="360"/>
        <w:jc w:val="both"/>
      </w:pPr>
      <w:r>
        <w:rPr/>
        <w:t>经公司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日第六届董事会会议审议，同意公司投资人民币</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亿元于湖南省株洲市高新区天易科技城自主 创业园项目一期 </w:t>
      </w:r>
      <w:r>
        <w:rPr>
          <w:rFonts w:ascii="Times New Roman" w:hAnsi="Times New Roman" w:cs="Times New Roman" w:eastAsia="Times New Roman" w:hint="default"/>
        </w:rPr>
        <w:t>B</w:t>
      </w:r>
      <w:r>
        <w:rPr>
          <w:rFonts w:ascii="Times New Roman" w:hAnsi="Times New Roman" w:cs="Times New Roman" w:eastAsia="Times New Roman" w:hint="default"/>
          <w:spacing w:val="23"/>
        </w:rPr>
        <w:t> </w:t>
      </w:r>
      <w:r>
        <w:rPr/>
        <w:t>地块投资建设自主可控计算机测试中心、中国电子自主可控计算机整机生产基地，业务范围主要涵盖自 </w:t>
      </w:r>
      <w:r>
        <w:rPr>
          <w:spacing w:val="-2"/>
        </w:rPr>
        <w:t>主可控与信息安全计算机及服务器、电源等相关零组件的研发、制造、销售和售后维修服务，并成立全资配套项目公司湖南</w:t>
      </w:r>
    </w:p>
    <w:p>
      <w:pPr>
        <w:spacing w:after="0" w:line="300"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长城计算机系统有限公司。</w:t>
      </w:r>
    </w:p>
    <w:p>
      <w:pPr>
        <w:pStyle w:val="BodyText"/>
        <w:spacing w:line="240" w:lineRule="auto" w:before="117"/>
        <w:ind w:left="513" w:right="89"/>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年度非公开发行股票</w:t>
      </w:r>
    </w:p>
    <w:p>
      <w:pPr>
        <w:pStyle w:val="BodyText"/>
        <w:spacing w:line="240" w:lineRule="auto" w:before="101"/>
        <w:ind w:left="513" w:right="89"/>
        <w:jc w:val="left"/>
      </w:pPr>
      <w:r>
        <w:rPr/>
        <w:t>经公司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日第五届董事会第二十四次会议和</w:t>
      </w:r>
      <w:r>
        <w:rPr>
          <w:spacing w:val="-46"/>
        </w:rPr>
        <w:t> </w:t>
      </w: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spacing w:val="-48"/>
        </w:rPr>
        <w:t> </w:t>
      </w:r>
      <w:r>
        <w:rPr>
          <w:rFonts w:ascii="Times New Roman" w:hAnsi="Times New Roman" w:cs="Times New Roman" w:eastAsia="Times New Roman" w:hint="default"/>
        </w:rPr>
        <w:t>2014 </w:t>
      </w:r>
      <w:r>
        <w:rPr/>
        <w:t>年度第五次临时股东大会审议通过，</w:t>
      </w:r>
    </w:p>
    <w:p>
      <w:pPr>
        <w:pStyle w:val="BodyText"/>
        <w:spacing w:line="240" w:lineRule="auto" w:before="63"/>
        <w:ind w:right="0"/>
        <w:jc w:val="both"/>
      </w:pPr>
      <w:r>
        <w:rPr/>
        <w:t>同意公司</w:t>
      </w:r>
      <w:r>
        <w:rPr>
          <w:spacing w:val="-4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年度非公开</w:t>
      </w:r>
      <w:r>
        <w:rPr>
          <w:spacing w:val="-3"/>
        </w:rPr>
        <w:t>发</w:t>
      </w:r>
      <w:r>
        <w:rPr/>
        <w:t>行</w:t>
      </w:r>
      <w:r>
        <w:rPr>
          <w:spacing w:val="-50"/>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7"/>
        </w:rPr>
        <w:t> </w:t>
      </w:r>
      <w:r>
        <w:rPr/>
        <w:t>股股票的相关事</w:t>
      </w:r>
      <w:r>
        <w:rPr>
          <w:spacing w:val="2"/>
        </w:rPr>
        <w:t>宜</w:t>
      </w:r>
      <w:r>
        <w:rPr>
          <w:spacing w:val="-92"/>
        </w:rPr>
        <w:t>。</w:t>
      </w:r>
      <w:r>
        <w:rPr/>
        <w:t>本</w:t>
      </w:r>
      <w:r>
        <w:rPr>
          <w:spacing w:val="2"/>
        </w:rPr>
        <w:t>次</w:t>
      </w:r>
      <w:r>
        <w:rPr/>
        <w:t>非公开发行股票数量为不超过</w:t>
      </w:r>
      <w:r>
        <w:rPr>
          <w:spacing w:val="-48"/>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万</w:t>
      </w:r>
      <w:r>
        <w:rPr>
          <w:spacing w:val="-92"/>
        </w:rPr>
        <w:t>股</w:t>
      </w:r>
      <w:r>
        <w:rPr/>
        <w:t>（含</w:t>
      </w:r>
      <w:r>
        <w:rPr>
          <w:spacing w:val="-4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65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3"/>
        </w:rPr>
        <w:t>万</w:t>
      </w:r>
      <w:r>
        <w:rPr/>
        <w:t>股</w:t>
      </w:r>
      <w:r>
        <w:rPr>
          <w:spacing w:val="-92"/>
        </w:rPr>
        <w:t>）</w:t>
      </w:r>
      <w:r>
        <w:rPr/>
        <w:t>，</w:t>
      </w:r>
    </w:p>
    <w:p>
      <w:pPr>
        <w:pStyle w:val="BodyText"/>
        <w:spacing w:line="312" w:lineRule="auto" w:before="63"/>
        <w:ind w:right="192"/>
        <w:jc w:val="both"/>
      </w:pPr>
      <w:r>
        <w:rPr/>
        <w:t>募集资金总额不超过</w:t>
      </w:r>
      <w:r>
        <w:rPr>
          <w:spacing w:val="-28"/>
        </w:rPr>
        <w:t> </w:t>
      </w:r>
      <w:r>
        <w:rPr>
          <w:rFonts w:ascii="Times New Roman" w:hAnsi="Times New Roman" w:cs="Times New Roman" w:eastAsia="Times New Roman" w:hint="default"/>
          <w:spacing w:val="-1"/>
        </w:rPr>
        <w:t>80,681.76</w:t>
      </w:r>
      <w:r>
        <w:rPr>
          <w:rFonts w:ascii="Times New Roman" w:hAnsi="Times New Roman" w:cs="Times New Roman" w:eastAsia="Times New Roman" w:hint="default"/>
          <w:spacing w:val="16"/>
        </w:rPr>
        <w:t> </w:t>
      </w:r>
      <w:r>
        <w:rPr>
          <w:spacing w:val="-5"/>
        </w:rPr>
        <w:t>万元（含发行费用），所募得的资金主要用于信息安全研发中心、高端电源扩产、投资光伏电</w:t>
      </w:r>
      <w:r>
        <w:rPr>
          <w:spacing w:val="-86"/>
        </w:rPr>
        <w:t> </w:t>
      </w:r>
      <w:r>
        <w:rPr>
          <w:spacing w:val="-86"/>
        </w:rPr>
      </w:r>
      <w:r>
        <w:rPr>
          <w:spacing w:val="-2"/>
        </w:rPr>
        <w:t>站建设和补充公司流动资金等项目；本次非公开发行的发行对象为公司实际控制人中国电子及其他符合中国证监会规定条件</w:t>
      </w:r>
      <w:r>
        <w:rPr>
          <w:spacing w:val="-64"/>
        </w:rPr>
        <w:t> </w:t>
      </w:r>
      <w:r>
        <w:rPr>
          <w:spacing w:val="-64"/>
        </w:rPr>
      </w:r>
      <w:r>
        <w:rPr>
          <w:spacing w:val="-2"/>
        </w:rPr>
        <w:t>的证券投资基金管理公司、证券公司、信托投资公司、财务公司、保险机构投资者、合格境外机构投资者、其他境内法人投</w:t>
      </w:r>
      <w:r>
        <w:rPr>
          <w:spacing w:val="-68"/>
        </w:rPr>
        <w:t> </w:t>
      </w:r>
      <w:r>
        <w:rPr>
          <w:spacing w:val="-68"/>
        </w:rPr>
      </w:r>
      <w:r>
        <w:rPr/>
        <w:t>资者和自然人等总共不超过</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名特定对象，除中国电子外其他特定投资者均以现金参与认购；中国电子以其拨入本公司的</w:t>
      </w:r>
    </w:p>
    <w:p>
      <w:pPr>
        <w:pStyle w:val="BodyText"/>
        <w:spacing w:line="300" w:lineRule="auto" w:before="3"/>
        <w:ind w:right="192"/>
        <w:jc w:val="both"/>
      </w:pPr>
      <w:r>
        <w:rPr/>
        <w:t>国有资本经营预算尚未转增资本而形成的债权 </w:t>
      </w:r>
      <w:r>
        <w:rPr>
          <w:rFonts w:ascii="Times New Roman" w:hAnsi="Times New Roman" w:cs="Times New Roman" w:eastAsia="Times New Roman" w:hint="default"/>
        </w:rPr>
        <w:t>16,500</w:t>
      </w:r>
      <w:r>
        <w:rPr>
          <w:rFonts w:ascii="Times New Roman" w:hAnsi="Times New Roman" w:cs="Times New Roman" w:eastAsia="Times New Roman" w:hint="default"/>
          <w:spacing w:val="7"/>
        </w:rPr>
        <w:t> </w:t>
      </w:r>
      <w:r>
        <w:rPr/>
        <w:t>万元参与认购，其不参与本次非公开发行股票询价过程中的报价，其 认购价格与其他特定投资者认购的价格相同，该行为构成关联交易（具体内容详见 </w:t>
      </w:r>
      <w:r>
        <w:rPr>
          <w:rFonts w:ascii="Times New Roman" w:hAnsi="Times New Roman" w:cs="Times New Roman" w:eastAsia="Times New Roman" w:hint="default"/>
          <w:spacing w:val="-1"/>
        </w:rPr>
        <w:t>2014-061</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2014-062</w:t>
      </w:r>
      <w:r>
        <w:rPr>
          <w:rFonts w:ascii="Times New Roman" w:hAnsi="Times New Roman" w:cs="Times New Roman" w:eastAsia="Times New Roman" w:hint="default"/>
          <w:spacing w:val="-25"/>
        </w:rPr>
        <w:t> </w:t>
      </w:r>
      <w:r>
        <w:rPr>
          <w:spacing w:val="-19"/>
        </w:rPr>
        <w:t>号公告）。</w:t>
      </w:r>
    </w:p>
    <w:p>
      <w:pPr>
        <w:pStyle w:val="BodyText"/>
        <w:spacing w:line="300" w:lineRule="auto" w:before="53"/>
        <w:ind w:right="177" w:firstLine="360"/>
        <w:jc w:val="left"/>
      </w:pPr>
      <w:r>
        <w:rPr/>
        <w:t>此次非公开发行股票决议有效期自公司股东大会审议通过本次非公开发行股票议案之日起</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个月内有效，期间已获得 国务院国有资产监督管理委员会的批复。</w:t>
      </w:r>
    </w:p>
    <w:p>
      <w:pPr>
        <w:pStyle w:val="BodyText"/>
        <w:spacing w:line="319" w:lineRule="auto" w:before="72"/>
        <w:ind w:right="89" w:firstLine="360"/>
        <w:jc w:val="left"/>
      </w:pPr>
      <w:r>
        <w:rPr>
          <w:spacing w:val="-2"/>
        </w:rPr>
        <w:t>报告期内，由于公司内外部一些政策的调整，本次非公开发行股票事宜未取得实质性进展，公司未实施本次非公开发行</w:t>
      </w:r>
      <w:r>
        <w:rPr/>
        <w:t> 方案。</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6"/>
        </w:rPr>
        <w:t> </w:t>
      </w:r>
      <w:r>
        <w:rPr>
          <w:spacing w:val="-1"/>
        </w:rPr>
        <w:t>日，非公开发行股票方案因股东大会决议的失效而自动终止（具体内容详见</w:t>
      </w:r>
      <w:r>
        <w:rPr>
          <w:spacing w:val="-39"/>
        </w:rPr>
        <w:t> </w:t>
      </w:r>
      <w:r>
        <w:rPr>
          <w:rFonts w:ascii="Times New Roman" w:hAnsi="Times New Roman" w:cs="Times New Roman" w:eastAsia="Times New Roman" w:hint="default"/>
          <w:spacing w:val="-1"/>
        </w:rPr>
        <w:t>2015-092</w:t>
      </w:r>
      <w:r>
        <w:rPr>
          <w:rFonts w:ascii="Times New Roman" w:hAnsi="Times New Roman" w:cs="Times New Roman" w:eastAsia="Times New Roman" w:hint="default"/>
          <w:spacing w:val="6"/>
        </w:rPr>
        <w:t> </w:t>
      </w:r>
      <w:r>
        <w:rPr>
          <w:spacing w:val="-19"/>
        </w:rPr>
        <w:t>号公告）。</w:t>
      </w:r>
    </w:p>
    <w:p>
      <w:pPr>
        <w:pStyle w:val="BodyText"/>
        <w:spacing w:line="240" w:lineRule="auto" w:before="35"/>
        <w:ind w:left="513" w:right="89"/>
        <w:jc w:val="left"/>
      </w:pPr>
      <w:r>
        <w:rPr>
          <w:rFonts w:ascii="Times New Roman" w:hAnsi="Times New Roman" w:cs="Times New Roman" w:eastAsia="Times New Roman" w:hint="default"/>
        </w:rPr>
        <w:t>7</w:t>
      </w:r>
      <w:r>
        <w:rPr/>
        <w:t>、重大资产重组</w:t>
      </w:r>
    </w:p>
    <w:p>
      <w:pPr>
        <w:pStyle w:val="BodyText"/>
        <w:spacing w:line="240" w:lineRule="auto" w:before="103"/>
        <w:ind w:left="513" w:right="0"/>
        <w:jc w:val="left"/>
      </w:pPr>
      <w:r>
        <w:rPr/>
        <w:t>由于公司实际控制人中国电子正在筹划涉及公司的重大事项，经公司申请，公司股票自</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18 </w:t>
      </w:r>
      <w:r>
        <w:rPr/>
        <w:t>日开市起停牌。</w:t>
      </w:r>
    </w:p>
    <w:p>
      <w:pPr>
        <w:pStyle w:val="BodyText"/>
        <w:spacing w:line="300" w:lineRule="auto" w:before="103"/>
        <w:ind w:right="182"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日，经确认，中国电子本次筹划的重大事项涉及本公司的重大资产重组，经公司申请，公司股票转为重 大资产重组停牌。</w:t>
      </w:r>
    </w:p>
    <w:p>
      <w:pPr>
        <w:pStyle w:val="BodyText"/>
        <w:spacing w:line="240" w:lineRule="auto" w:before="70"/>
        <w:ind w:left="513" w:right="89"/>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日，公司第六届董事会第六次会议审议通过了本次重大资产重组预案及其他相关议案；</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10</w:t>
      </w:r>
    </w:p>
    <w:p>
      <w:pPr>
        <w:pStyle w:val="BodyText"/>
        <w:spacing w:line="240" w:lineRule="auto" w:before="63"/>
        <w:ind w:right="0"/>
        <w:jc w:val="both"/>
      </w:pPr>
      <w:r>
        <w:rPr/>
        <w:t>日，经公司申请，公司股票恢复交易；</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10 </w:t>
      </w:r>
      <w:r>
        <w:rPr/>
        <w:t>日公司第六届董事会第七次会议、</w:t>
      </w:r>
      <w:r>
        <w:rPr>
          <w:rFonts w:ascii="Times New Roman" w:hAnsi="Times New Roman" w:cs="Times New Roman" w:eastAsia="Times New Roman" w:hint="default"/>
        </w:rPr>
        <w:t>2016 </w:t>
      </w:r>
      <w:r>
        <w:rPr/>
        <w:t>年</w:t>
      </w:r>
      <w:r>
        <w:rPr>
          <w:spacing w:val="-48"/>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18 </w:t>
      </w:r>
      <w:r>
        <w:rPr/>
        <w:t>日公司第六届董事</w:t>
      </w:r>
    </w:p>
    <w:p>
      <w:pPr>
        <w:pStyle w:val="BodyText"/>
        <w:spacing w:line="300" w:lineRule="auto" w:before="63"/>
        <w:ind w:right="192"/>
        <w:jc w:val="both"/>
      </w:pPr>
      <w:r>
        <w:rPr/>
        <w:t>会第八次会议和</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28 </w:t>
      </w:r>
      <w:r>
        <w:rPr/>
        <w:t>日</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年度第二次临时股东大会审议通过了本次重大资产重组报告书（草案）及其他相关 议案。</w:t>
      </w:r>
    </w:p>
    <w:p>
      <w:pPr>
        <w:pStyle w:val="BodyText"/>
        <w:spacing w:line="240" w:lineRule="auto" w:before="72"/>
        <w:ind w:left="513" w:right="89"/>
        <w:jc w:val="left"/>
      </w:pPr>
      <w:r>
        <w:rPr/>
        <w:t>本次重大资产重组总体方案包括：</w:t>
      </w:r>
    </w:p>
    <w:p>
      <w:pPr>
        <w:pStyle w:val="BodyText"/>
        <w:spacing w:line="300" w:lineRule="auto" w:before="117"/>
        <w:ind w:right="93" w:firstLine="360"/>
        <w:jc w:val="left"/>
      </w:pPr>
      <w:r>
        <w:rPr>
          <w:rFonts w:ascii="Times New Roman" w:hAnsi="Times New Roman" w:cs="Times New Roman" w:eastAsia="Times New Roman" w:hint="default"/>
        </w:rPr>
        <w:t>1</w:t>
      </w:r>
      <w:r>
        <w:rPr/>
        <w:t>）换股合并：通过公司以新增股份换股吸收合并长城信息产业股份有限公司（简称</w:t>
      </w:r>
      <w:r>
        <w:rPr>
          <w:rFonts w:ascii="Times New Roman" w:hAnsi="Times New Roman" w:cs="Times New Roman" w:eastAsia="Times New Roman" w:hint="default"/>
        </w:rPr>
        <w:t>“</w:t>
      </w:r>
      <w:r>
        <w:rPr/>
        <w:t>长城信息</w:t>
      </w:r>
      <w:r>
        <w:rPr>
          <w:rFonts w:ascii="Times New Roman" w:hAnsi="Times New Roman" w:cs="Times New Roman" w:eastAsia="Times New Roman" w:hint="default"/>
        </w:rPr>
        <w:t>”</w:t>
      </w:r>
      <w:r>
        <w:rPr/>
        <w:t>，股票代码</w:t>
      </w:r>
      <w:r>
        <w:rPr>
          <w:spacing w:val="-52"/>
        </w:rPr>
        <w:t> </w:t>
      </w:r>
      <w:r>
        <w:rPr>
          <w:rFonts w:ascii="Times New Roman" w:hAnsi="Times New Roman" w:cs="Times New Roman" w:eastAsia="Times New Roman" w:hint="default"/>
        </w:rPr>
        <w:t>000748</w:t>
      </w:r>
      <w:r>
        <w:rPr/>
        <w:t>）的</w:t>
      </w:r>
      <w:r>
        <w:rPr>
          <w:spacing w:val="-3"/>
        </w:rPr>
        <w:t> </w:t>
      </w:r>
      <w:r>
        <w:rPr/>
        <w:t>方式实现，合并后的公司同时承继及承接长城电脑与长城信息的全部资产、负债、权益、业务和人员；</w:t>
      </w:r>
      <w:r>
        <w:rPr>
          <w:rFonts w:ascii="Times New Roman" w:hAnsi="Times New Roman" w:cs="Times New Roman" w:eastAsia="Times New Roman" w:hint="default"/>
        </w:rPr>
        <w:t>2</w:t>
      </w:r>
      <w:r>
        <w:rPr/>
        <w:t>）重大资产置换：</w:t>
      </w:r>
      <w:r>
        <w:rPr>
          <w:spacing w:val="-82"/>
        </w:rPr>
        <w:t> </w:t>
      </w:r>
      <w:r>
        <w:rPr/>
        <w:t>公司以持有的冠捷科技</w:t>
      </w:r>
      <w:r>
        <w:rPr>
          <w:spacing w:val="-33"/>
        </w:rPr>
        <w:t> </w:t>
      </w:r>
      <w:r>
        <w:rPr>
          <w:rFonts w:ascii="Times New Roman" w:hAnsi="Times New Roman" w:cs="Times New Roman" w:eastAsia="Times New Roman" w:hint="default"/>
          <w:spacing w:val="-3"/>
        </w:rPr>
        <w:t>24.32%</w:t>
      </w:r>
      <w:r>
        <w:rPr>
          <w:spacing w:val="-3"/>
        </w:rPr>
        <w:t>股权等值置换中国电子持有的武汉中原电子集团有限公司（简称</w:t>
      </w:r>
      <w:r>
        <w:rPr>
          <w:rFonts w:ascii="Times New Roman" w:hAnsi="Times New Roman" w:cs="Times New Roman" w:eastAsia="Times New Roman" w:hint="default"/>
          <w:spacing w:val="-3"/>
        </w:rPr>
        <w:t>“</w:t>
      </w:r>
      <w:r>
        <w:rPr>
          <w:spacing w:val="-3"/>
        </w:rPr>
        <w:t>中原电子</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64.94%</w:t>
      </w:r>
      <w:r>
        <w:rPr>
          <w:spacing w:val="-3"/>
        </w:rPr>
        <w:t>股权；</w:t>
      </w:r>
      <w:r>
        <w:rPr>
          <w:rFonts w:ascii="Times New Roman" w:hAnsi="Times New Roman" w:cs="Times New Roman" w:eastAsia="Times New Roman" w:hint="default"/>
          <w:spacing w:val="-3"/>
        </w:rPr>
        <w:t>3</w:t>
      </w:r>
      <w:r>
        <w:rPr>
          <w:spacing w:val="-3"/>
        </w:rPr>
        <w:t>）</w:t>
      </w:r>
      <w:r>
        <w:rPr>
          <w:spacing w:val="-87"/>
        </w:rPr>
        <w:t> </w:t>
      </w:r>
      <w:r>
        <w:rPr>
          <w:spacing w:val="-3"/>
        </w:rPr>
        <w:t>发行股份购买资产：公司拟非公开发行股份购买中原电子剩余</w:t>
      </w:r>
      <w:r>
        <w:rPr>
          <w:spacing w:val="-41"/>
        </w:rPr>
        <w:t> </w:t>
      </w:r>
      <w:r>
        <w:rPr>
          <w:rFonts w:ascii="Times New Roman" w:hAnsi="Times New Roman" w:cs="Times New Roman" w:eastAsia="Times New Roman" w:hint="default"/>
          <w:spacing w:val="-5"/>
          <w:w w:val="100"/>
        </w:rPr>
        <w:t>35.06%</w:t>
      </w:r>
      <w:r>
        <w:rPr>
          <w:spacing w:val="-5"/>
          <w:w w:val="100"/>
        </w:rPr>
        <w:t>股权、北京圣非凡电子系统技术开发有限公司（简称</w:t>
      </w:r>
      <w:r>
        <w:rPr>
          <w:rFonts w:ascii="Times New Roman" w:hAnsi="Times New Roman" w:cs="Times New Roman" w:eastAsia="Times New Roman" w:hint="default"/>
          <w:spacing w:val="-5"/>
          <w:w w:val="100"/>
        </w:rPr>
        <w:t>“</w:t>
      </w:r>
      <w:r>
        <w:rPr>
          <w:spacing w:val="-5"/>
          <w:w w:val="100"/>
        </w:rPr>
        <w:t>圣</w:t>
      </w:r>
      <w:r>
        <w:rPr>
          <w:spacing w:val="-84"/>
          <w:w w:val="100"/>
        </w:rPr>
        <w:t> </w:t>
      </w:r>
      <w:r>
        <w:rPr/>
        <w:t>非凡</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股权和中国电子因国有资本金确权对公司形成的</w:t>
      </w:r>
      <w:r>
        <w:rPr>
          <w:spacing w:val="-46"/>
        </w:rPr>
        <w:t> </w:t>
      </w:r>
      <w:r>
        <w:rPr>
          <w:rFonts w:ascii="Times New Roman" w:hAnsi="Times New Roman" w:cs="Times New Roman" w:eastAsia="Times New Roman" w:hint="default"/>
        </w:rPr>
        <w:t>1.65 </w:t>
      </w:r>
      <w:r>
        <w:rPr/>
        <w:t>亿债权；</w:t>
      </w:r>
      <w:r>
        <w:rPr>
          <w:rFonts w:ascii="Times New Roman" w:hAnsi="Times New Roman" w:cs="Times New Roman" w:eastAsia="Times New Roman" w:hint="default"/>
        </w:rPr>
        <w:t>4</w:t>
      </w:r>
      <w:r>
        <w:rPr/>
        <w:t>）配套募集资金：公司拟采用询价方式向不超</w:t>
      </w:r>
    </w:p>
    <w:p>
      <w:pPr>
        <w:pStyle w:val="BodyText"/>
        <w:spacing w:line="300" w:lineRule="auto" w:before="13"/>
        <w:ind w:right="191"/>
        <w:jc w:val="both"/>
      </w:pPr>
      <w:r>
        <w:rPr/>
        <w:t>过十名特定对象定向发行股份的方式募集配套资金，募集配套资金不超过</w:t>
      </w:r>
      <w:r>
        <w:rPr>
          <w:spacing w:val="-43"/>
        </w:rPr>
        <w:t> </w:t>
      </w:r>
      <w:r>
        <w:rPr>
          <w:rFonts w:ascii="Times New Roman" w:hAnsi="Times New Roman" w:cs="Times New Roman" w:eastAsia="Times New Roman" w:hint="default"/>
        </w:rPr>
        <w:t>80</w:t>
      </w:r>
      <w:r>
        <w:rPr>
          <w:rFonts w:ascii="Times New Roman" w:hAnsi="Times New Roman" w:cs="Times New Roman" w:eastAsia="Times New Roman" w:hint="default"/>
          <w:spacing w:val="2"/>
        </w:rPr>
        <w:t> </w:t>
      </w:r>
      <w:r>
        <w:rPr/>
        <w:t>亿元，将用于整合后公司的</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个项目投资和补 充流动资金，支持其主营业务发展。</w:t>
      </w:r>
    </w:p>
    <w:p>
      <w:pPr>
        <w:pStyle w:val="BodyText"/>
        <w:spacing w:line="360" w:lineRule="auto" w:before="70"/>
        <w:ind w:left="513" w:right="89"/>
        <w:jc w:val="left"/>
      </w:pPr>
      <w:r>
        <w:rPr/>
        <w:t>鉴于公司与长城信息以及中原电子、圣非凡的实际控制人均为中国电子，本次重大资产重组构成关联交易。 </w:t>
      </w:r>
      <w:r>
        <w:rPr>
          <w:spacing w:val="-2"/>
        </w:rPr>
        <w:t>本次重大资产重组已获得国家国防科技工业局原则同意和国务院国有资产监督管理委员会的批复，尚需取得中国证券监</w:t>
      </w:r>
    </w:p>
    <w:p>
      <w:pPr>
        <w:pStyle w:val="BodyText"/>
        <w:spacing w:line="236" w:lineRule="exact"/>
        <w:ind w:right="0"/>
        <w:jc w:val="both"/>
      </w:pPr>
      <w:r>
        <w:rPr/>
        <w:t>督管理委员会等政府主管部门的批准</w:t>
      </w:r>
      <w:r>
        <w:rPr>
          <w:rFonts w:ascii="Times New Roman" w:hAnsi="Times New Roman" w:cs="Times New Roman" w:eastAsia="Times New Roman" w:hint="default"/>
        </w:rPr>
        <w:t>/</w:t>
      </w:r>
      <w:r>
        <w:rPr/>
        <w:t>核准。</w:t>
      </w:r>
    </w:p>
    <w:p>
      <w:pPr>
        <w:pStyle w:val="BodyText"/>
        <w:spacing w:line="316" w:lineRule="auto" w:before="103"/>
        <w:ind w:right="89" w:firstLine="360"/>
        <w:jc w:val="left"/>
      </w:pPr>
      <w:r>
        <w:rPr>
          <w:spacing w:val="-2"/>
        </w:rPr>
        <w:t>截至目前，本次重大资产重组项目进展顺利，无重大变化，仍按原计划继续积极推进，敬请广大投资者仔细阅读公司于</w:t>
      </w:r>
      <w:r>
        <w:rPr/>
        <w:t> 巨潮资讯网（</w:t>
      </w:r>
      <w:hyperlink r:id="rId8">
        <w:r>
          <w:rPr>
            <w:rFonts w:ascii="Times New Roman" w:hAnsi="Times New Roman" w:cs="Times New Roman" w:eastAsia="Times New Roman" w:hint="default"/>
          </w:rPr>
          <w:t>www.cninfo.com.cn</w:t>
        </w:r>
      </w:hyperlink>
      <w:r>
        <w:rPr/>
        <w:t>）刊载的相关资料，理性投资，注意风险。</w:t>
      </w:r>
    </w:p>
    <w:p>
      <w:pPr>
        <w:pStyle w:val="BodyText"/>
        <w:spacing w:line="240" w:lineRule="auto" w:before="37"/>
        <w:ind w:left="513" w:right="89"/>
        <w:jc w:val="left"/>
      </w:pPr>
      <w:r>
        <w:rPr>
          <w:rFonts w:ascii="Times New Roman" w:hAnsi="Times New Roman" w:cs="Times New Roman" w:eastAsia="Times New Roman" w:hint="default"/>
        </w:rPr>
        <w:t>8</w:t>
      </w:r>
      <w:r>
        <w:rPr/>
        <w:t>、独立董事关于控股股东及其他关联方占用公司资金、公司对外担保情况的专项说明和独立意见</w:t>
      </w:r>
    </w:p>
    <w:p>
      <w:pPr>
        <w:pStyle w:val="BodyText"/>
        <w:spacing w:line="309" w:lineRule="auto" w:before="104"/>
        <w:ind w:right="193" w:firstLine="360"/>
        <w:jc w:val="both"/>
      </w:pPr>
      <w:r>
        <w:rPr>
          <w:spacing w:val="-4"/>
        </w:rPr>
        <w:t>（</w:t>
      </w:r>
      <w:r>
        <w:rPr>
          <w:rFonts w:ascii="Times New Roman" w:hAnsi="Times New Roman" w:cs="Times New Roman" w:eastAsia="Times New Roman" w:hint="default"/>
          <w:spacing w:val="-4"/>
        </w:rPr>
        <w:t>1</w:t>
      </w:r>
      <w:r>
        <w:rPr>
          <w:spacing w:val="-4"/>
        </w:rPr>
        <w:t>）在防范资金占用方面，公司定有《防范控股股东及关联方资金占用管理办法》，严格防范控股股东及关联方资金占</w:t>
      </w:r>
      <w:r>
        <w:rPr/>
        <w:t> </w:t>
      </w:r>
      <w:r>
        <w:rPr>
          <w:spacing w:val="-2"/>
        </w:rPr>
        <w:t>用的风险，目前不存在因控股股东及其关联方占用或转移公司资金、资产或其他资源而给公司造成损失或可能造成损失的情</w:t>
      </w:r>
      <w:r>
        <w:rPr>
          <w:spacing w:val="-64"/>
        </w:rPr>
        <w:t> </w:t>
      </w:r>
      <w:r>
        <w:rPr>
          <w:spacing w:val="-64"/>
        </w:rPr>
      </w:r>
      <w:r>
        <w:rPr/>
        <w:t>形。</w:t>
      </w:r>
    </w:p>
    <w:p>
      <w:pPr>
        <w:pStyle w:val="BodyText"/>
        <w:spacing w:line="309" w:lineRule="auto" w:before="65"/>
        <w:ind w:right="192" w:firstLine="360"/>
        <w:jc w:val="both"/>
      </w:pPr>
      <w:r>
        <w:rPr>
          <w:spacing w:val="-4"/>
        </w:rPr>
        <w:t>（</w:t>
      </w:r>
      <w:r>
        <w:rPr>
          <w:rFonts w:ascii="Times New Roman" w:hAnsi="Times New Roman" w:cs="Times New Roman" w:eastAsia="Times New Roman" w:hint="default"/>
          <w:spacing w:val="-4"/>
        </w:rPr>
        <w:t>2</w:t>
      </w:r>
      <w:r>
        <w:rPr>
          <w:spacing w:val="-4"/>
        </w:rPr>
        <w:t>）在公司对外担保方面，公司定有《对外担保管理制度》，严格按照有关规定规范公司对外担保行为，控制公司对外</w:t>
      </w:r>
      <w:r>
        <w:rPr/>
        <w:t> </w:t>
      </w:r>
      <w:r>
        <w:rPr>
          <w:spacing w:val="-2"/>
        </w:rPr>
        <w:t>担保风险，没有违反《关于规范上市公司对外担保行为的通知》的事项发生，目前未有明显迹象表明公司可能因被担保方债</w:t>
      </w:r>
      <w:r>
        <w:rPr>
          <w:spacing w:val="-66"/>
        </w:rPr>
        <w:t> </w:t>
      </w:r>
      <w:r>
        <w:rPr>
          <w:spacing w:val="-66"/>
        </w:rPr>
      </w:r>
      <w:r>
        <w:rPr/>
        <w:t>务违约而承担担保责任。</w:t>
      </w:r>
    </w:p>
    <w:p>
      <w:pPr>
        <w:spacing w:after="0" w:line="309"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3" w:right="0"/>
        <w:jc w:val="left"/>
      </w:pPr>
      <w:r>
        <w:rPr/>
        <w:t>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日，公司及控股子公司没有为公司控股股东及其他关联方、任何个人提供担保的情况，公司对外</w:t>
      </w:r>
    </w:p>
    <w:p>
      <w:pPr>
        <w:pStyle w:val="BodyText"/>
        <w:spacing w:line="240" w:lineRule="auto" w:before="63"/>
        <w:ind w:right="0"/>
        <w:jc w:val="left"/>
      </w:pPr>
      <w:r>
        <w:rPr/>
        <w:t>担保余额约为</w:t>
      </w:r>
      <w:r>
        <w:rPr>
          <w:spacing w:val="1"/>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t>万</w:t>
      </w:r>
      <w:r>
        <w:rPr>
          <w:spacing w:val="-3"/>
        </w:rPr>
        <w:t>元</w:t>
      </w:r>
      <w:r>
        <w:rPr/>
        <w:t>（不含下属子公司之间或子</w:t>
      </w:r>
      <w:r>
        <w:rPr>
          <w:spacing w:val="2"/>
        </w:rPr>
        <w:t>公</w:t>
      </w:r>
      <w:r>
        <w:rPr/>
        <w:t>司为其下属公司提供的担保</w:t>
      </w:r>
      <w:r>
        <w:rPr>
          <w:spacing w:val="-89"/>
        </w:rPr>
        <w:t>）</w:t>
      </w:r>
      <w:r>
        <w:rPr>
          <w:spacing w:val="2"/>
        </w:rPr>
        <w:t>，</w:t>
      </w:r>
      <w:r>
        <w:rPr/>
        <w:t>约占公司报告期末净资产的</w:t>
      </w:r>
      <w:r>
        <w:rPr>
          <w:spacing w:val="2"/>
        </w:rPr>
        <w:t>比</w:t>
      </w:r>
      <w:r>
        <w:rPr/>
        <w:t>例</w:t>
      </w:r>
    </w:p>
    <w:p>
      <w:pPr>
        <w:pStyle w:val="BodyText"/>
        <w:spacing w:line="340" w:lineRule="auto" w:before="63"/>
        <w:ind w:left="513" w:right="203" w:hanging="361"/>
        <w:jc w:val="left"/>
      </w:pPr>
      <w:r>
        <w:rPr>
          <w:rFonts w:ascii="Times New Roman" w:hAnsi="Times New Roman" w:cs="Times New Roman" w:eastAsia="Times New Roman" w:hint="default"/>
        </w:rPr>
        <w:t>9.43%</w:t>
      </w:r>
      <w:r>
        <w:rPr/>
        <w:t>；下属子公司之间或子公司为其下属公司提供的担保余额约为</w:t>
      </w:r>
      <w:r>
        <w:rPr>
          <w:spacing w:val="-45"/>
        </w:rPr>
        <w:t> </w:t>
      </w:r>
      <w:r>
        <w:rPr>
          <w:rFonts w:ascii="Times New Roman" w:hAnsi="Times New Roman" w:cs="Times New Roman" w:eastAsia="Times New Roman" w:hint="default"/>
        </w:rPr>
        <w:t>110,851.50</w:t>
      </w:r>
      <w:r>
        <w:rPr>
          <w:rFonts w:ascii="Times New Roman" w:hAnsi="Times New Roman" w:cs="Times New Roman" w:eastAsia="Times New Roman" w:hint="default"/>
          <w:spacing w:val="1"/>
        </w:rPr>
        <w:t> </w:t>
      </w:r>
      <w:r>
        <w:rPr/>
        <w:t>万元。 报告期内，</w:t>
      </w:r>
      <w:r>
        <w:rPr>
          <w:rFonts w:ascii="Times New Roman" w:hAnsi="Times New Roman" w:cs="Times New Roman" w:eastAsia="Times New Roman" w:hint="default"/>
        </w:rPr>
        <w:t>1</w:t>
      </w:r>
      <w:r>
        <w:rPr/>
        <w:t>）为降低融资成本，节约财务费用，提高资金使用效率，满足子公司中国长城计算机（香港）控股有限公</w:t>
      </w:r>
    </w:p>
    <w:p>
      <w:pPr>
        <w:pStyle w:val="BodyText"/>
        <w:spacing w:line="228" w:lineRule="exact"/>
        <w:ind w:right="0"/>
        <w:jc w:val="left"/>
      </w:pPr>
      <w:r>
        <w:rPr/>
        <w:t>司（简称</w:t>
      </w:r>
      <w:r>
        <w:rPr>
          <w:rFonts w:ascii="Times New Roman" w:hAnsi="Times New Roman" w:cs="Times New Roman" w:eastAsia="Times New Roman" w:hint="default"/>
        </w:rPr>
        <w:t>“</w:t>
      </w:r>
      <w:r>
        <w:rPr/>
        <w:t>长城香港</w:t>
      </w:r>
      <w:r>
        <w:rPr>
          <w:rFonts w:ascii="Times New Roman" w:hAnsi="Times New Roman" w:cs="Times New Roman" w:eastAsia="Times New Roman" w:hint="default"/>
        </w:rPr>
        <w:t>”</w:t>
      </w:r>
      <w:r>
        <w:rPr/>
        <w:t>）的未来发展及日常运作的资金需求，经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年度股东大会审批，同意公司通过</w:t>
      </w:r>
      <w:r>
        <w:rPr>
          <w:rFonts w:ascii="Times New Roman" w:hAnsi="Times New Roman" w:cs="Times New Roman" w:eastAsia="Times New Roman" w:hint="default"/>
        </w:rPr>
        <w:t>“</w:t>
      </w:r>
      <w:r>
        <w:rPr/>
        <w:t>内保外贷</w:t>
      </w:r>
      <w:r>
        <w:rPr>
          <w:rFonts w:ascii="Times New Roman" w:hAnsi="Times New Roman" w:cs="Times New Roman" w:eastAsia="Times New Roman" w:hint="default"/>
        </w:rPr>
        <w:t>”</w:t>
      </w:r>
      <w:r>
        <w:rPr/>
        <w:t>的方式为</w:t>
      </w:r>
    </w:p>
    <w:p>
      <w:pPr>
        <w:pStyle w:val="BodyText"/>
        <w:spacing w:line="300" w:lineRule="auto" w:before="63"/>
        <w:ind w:right="134"/>
        <w:jc w:val="left"/>
      </w:pPr>
      <w:r>
        <w:rPr/>
        <w:t>长城香港的银行融资等提供担保，担保额度总额预计为</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亿元人民币，担保期限</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4"/>
        </w:rPr>
        <w:t>个月，担保方式为连带责任保证。</w:t>
      </w:r>
      <w:r>
        <w:rPr>
          <w:rFonts w:ascii="Times New Roman" w:hAnsi="Times New Roman" w:cs="Times New Roman" w:eastAsia="Times New Roman" w:hint="default"/>
          <w:spacing w:val="-4"/>
        </w:rPr>
        <w:t>2</w:t>
      </w:r>
      <w:r>
        <w:rPr>
          <w:spacing w:val="-4"/>
        </w:rPr>
        <w:t>）为</w:t>
      </w:r>
      <w:r>
        <w:rPr>
          <w:spacing w:val="-17"/>
        </w:rPr>
        <w:t> </w:t>
      </w:r>
      <w:r>
        <w:rPr/>
        <w:t>减少资金占用，提高资金使用效率，满足子公司深圳中电长城能源有限公司（简称</w:t>
      </w:r>
      <w:r>
        <w:rPr>
          <w:rFonts w:ascii="Times New Roman" w:hAnsi="Times New Roman" w:cs="Times New Roman" w:eastAsia="Times New Roman" w:hint="default"/>
        </w:rPr>
        <w:t>“</w:t>
      </w:r>
      <w:r>
        <w:rPr/>
        <w:t>长城能源</w:t>
      </w:r>
      <w:r>
        <w:rPr>
          <w:rFonts w:ascii="Times New Roman" w:hAnsi="Times New Roman" w:cs="Times New Roman" w:eastAsia="Times New Roman" w:hint="default"/>
        </w:rPr>
        <w:t>”</w:t>
      </w:r>
      <w:r>
        <w:rPr/>
        <w:t>）生产经营所需的资金需求， 经</w:t>
      </w:r>
      <w:r>
        <w:rPr>
          <w:spacing w:val="-3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年度股东大会审批，同意公司通过信用担保的方式为长城能源向银行申请最高不超过</w:t>
      </w:r>
      <w:r>
        <w:rPr>
          <w:spacing w:val="-33"/>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3"/>
        </w:rPr>
        <w:t> </w:t>
      </w:r>
      <w:r>
        <w:rPr/>
        <w:t>万元人民币的综合授信</w:t>
      </w:r>
    </w:p>
    <w:p>
      <w:pPr>
        <w:pStyle w:val="BodyText"/>
        <w:spacing w:line="240" w:lineRule="auto" w:before="13"/>
        <w:ind w:right="0"/>
        <w:jc w:val="left"/>
      </w:pPr>
      <w:r>
        <w:rPr>
          <w:spacing w:val="-1"/>
        </w:rPr>
        <w:t>额度提供担保，担保期限不超过</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2"/>
        </w:rPr>
        <w:t>年，担保方式为连带责任保证。</w:t>
      </w:r>
      <w:r>
        <w:rPr>
          <w:rFonts w:ascii="Times New Roman" w:hAnsi="Times New Roman" w:cs="Times New Roman" w:eastAsia="Times New Roman" w:hint="default"/>
          <w:spacing w:val="-2"/>
        </w:rPr>
        <w:t>3</w:t>
      </w:r>
      <w:r>
        <w:rPr>
          <w:spacing w:val="-2"/>
        </w:rPr>
        <w:t>）基于下属公司柏怡电子（香港）有限公司（简称</w:t>
      </w:r>
      <w:r>
        <w:rPr>
          <w:rFonts w:ascii="Times New Roman" w:hAnsi="Times New Roman" w:cs="Times New Roman" w:eastAsia="Times New Roman" w:hint="default"/>
          <w:spacing w:val="-2"/>
        </w:rPr>
        <w:t>“</w:t>
      </w:r>
      <w:r>
        <w:rPr>
          <w:spacing w:val="-2"/>
        </w:rPr>
        <w:t>柏怡</w:t>
      </w:r>
    </w:p>
    <w:p>
      <w:pPr>
        <w:pStyle w:val="BodyText"/>
        <w:spacing w:line="240" w:lineRule="auto" w:before="63"/>
        <w:ind w:right="0"/>
        <w:jc w:val="left"/>
      </w:pPr>
      <w:r>
        <w:rPr>
          <w:spacing w:val="-2"/>
        </w:rPr>
        <w:t>香港</w:t>
      </w:r>
      <w:r>
        <w:rPr>
          <w:rFonts w:ascii="Times New Roman" w:hAnsi="Times New Roman" w:cs="Times New Roman" w:eastAsia="Times New Roman" w:hint="default"/>
          <w:spacing w:val="-2"/>
        </w:rPr>
        <w:t>”</w:t>
      </w:r>
      <w:r>
        <w:rPr>
          <w:spacing w:val="-2"/>
        </w:rPr>
        <w:t>）正常经营业务的流动资金需求，经</w:t>
      </w:r>
      <w:r>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9"/>
        </w:rPr>
        <w:t> </w:t>
      </w:r>
      <w:r>
        <w:rPr>
          <w:spacing w:val="-2"/>
        </w:rPr>
        <w:t>年度股东大会审批，同意柏怡香港通过长城香港、柏怡国际控股有限公司提</w:t>
      </w:r>
    </w:p>
    <w:p>
      <w:pPr>
        <w:pStyle w:val="BodyText"/>
        <w:spacing w:line="300" w:lineRule="auto" w:before="63"/>
        <w:ind w:right="114"/>
        <w:jc w:val="left"/>
      </w:pPr>
      <w:r>
        <w:rPr/>
        <w:t>供信用担保及自身债券抵押等复合担保方式向香港汇丰银行申请授信额度</w:t>
      </w:r>
      <w:r>
        <w:rPr>
          <w:spacing w:val="-49"/>
        </w:rPr>
        <w:t> </w:t>
      </w:r>
      <w:r>
        <w:rPr>
          <w:rFonts w:ascii="Times New Roman" w:hAnsi="Times New Roman" w:cs="Times New Roman" w:eastAsia="Times New Roman" w:hint="default"/>
          <w:spacing w:val="-1"/>
        </w:rPr>
        <w:t>10,864</w:t>
      </w:r>
      <w:r>
        <w:rPr>
          <w:rFonts w:ascii="Times New Roman" w:hAnsi="Times New Roman" w:cs="Times New Roman" w:eastAsia="Times New Roman" w:hint="default"/>
          <w:spacing w:val="-4"/>
        </w:rPr>
        <w:t> </w:t>
      </w:r>
      <w:r>
        <w:rPr>
          <w:spacing w:val="-19"/>
        </w:rPr>
        <w:t>万港币（含</w:t>
      </w:r>
      <w:r>
        <w:rPr>
          <w:spacing w:val="-50"/>
        </w:rPr>
        <w:t> </w:t>
      </w:r>
      <w:r>
        <w:rPr>
          <w:rFonts w:ascii="Times New Roman" w:hAnsi="Times New Roman" w:cs="Times New Roman" w:eastAsia="Times New Roman" w:hint="default"/>
          <w:spacing w:val="-1"/>
        </w:rPr>
        <w:t>800</w:t>
      </w:r>
      <w:r>
        <w:rPr>
          <w:rFonts w:ascii="Times New Roman" w:hAnsi="Times New Roman" w:cs="Times New Roman" w:eastAsia="Times New Roman" w:hint="default"/>
          <w:spacing w:val="-4"/>
        </w:rPr>
        <w:t> </w:t>
      </w:r>
      <w:r>
        <w:rPr>
          <w:spacing w:val="-8"/>
        </w:rPr>
        <w:t>万美元应收账款保理额度），</w:t>
      </w:r>
      <w:r>
        <w:rPr/>
        <w:t> 担保期限均为自授信协议签署后为期一年。</w:t>
      </w:r>
    </w:p>
    <w:p>
      <w:pPr>
        <w:pStyle w:val="BodyText"/>
        <w:spacing w:line="240" w:lineRule="auto" w:before="70"/>
        <w:ind w:left="513" w:right="0"/>
        <w:jc w:val="left"/>
      </w:pPr>
      <w:r>
        <w:rPr/>
        <w:t>综上，我们认为公司能够按照有关规定控制对外担保及资金占用的风险，没有损害公司及公司股东尤其是中小股东的利</w:t>
      </w:r>
    </w:p>
    <w:p>
      <w:pPr>
        <w:pStyle w:val="BodyText"/>
        <w:spacing w:line="240" w:lineRule="auto" w:before="77"/>
        <w:ind w:right="0"/>
        <w:jc w:val="left"/>
      </w:pPr>
      <w:r>
        <w:rPr/>
        <w:t>益。</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1"/>
          <w:szCs w:val="21"/>
        </w:rPr>
      </w:pPr>
    </w:p>
    <w:p>
      <w:pPr>
        <w:pStyle w:val="BodyText"/>
        <w:spacing w:line="345" w:lineRule="auto"/>
        <w:ind w:left="513" w:right="5173" w:hanging="361"/>
        <w:jc w:val="left"/>
      </w:pPr>
      <w:r>
        <w:rPr/>
        <w:t>√ 适用 □</w:t>
      </w:r>
      <w:r>
        <w:rPr>
          <w:spacing w:val="3"/>
        </w:rPr>
        <w:t> </w:t>
      </w:r>
      <w:r>
        <w:rPr/>
        <w:t>不适用</w:t>
      </w:r>
      <w:r>
        <w:rPr/>
        <w:t> </w:t>
      </w:r>
      <w:r>
        <w:rPr>
          <w:rFonts w:ascii="Times New Roman" w:hAnsi="Times New Roman" w:cs="Times New Roman" w:eastAsia="Times New Roman" w:hint="default"/>
        </w:rPr>
        <w:t>1</w:t>
      </w:r>
      <w:r>
        <w:rPr/>
        <w:t>、长城能源投资建设光伏电站系列项目 参见第四节</w:t>
      </w:r>
      <w:r>
        <w:rPr>
          <w:rFonts w:ascii="Times New Roman" w:hAnsi="Times New Roman" w:cs="Times New Roman" w:eastAsia="Times New Roman" w:hint="default"/>
        </w:rPr>
        <w:t>“</w:t>
      </w:r>
      <w:r>
        <w:rPr/>
        <w:t>重大非股权投资情况说明</w:t>
      </w:r>
      <w:r>
        <w:rPr>
          <w:rFonts w:ascii="Times New Roman" w:hAnsi="Times New Roman" w:cs="Times New Roman" w:eastAsia="Times New Roman" w:hint="default"/>
        </w:rPr>
        <w:t>”</w:t>
      </w:r>
      <w:r>
        <w:rPr/>
        <w:t>中的相关介绍。 </w:t>
      </w:r>
      <w:r>
        <w:rPr>
          <w:rFonts w:ascii="Times New Roman" w:hAnsi="Times New Roman" w:cs="Times New Roman" w:eastAsia="Times New Roman" w:hint="default"/>
        </w:rPr>
        <w:t>2</w:t>
      </w:r>
      <w:r>
        <w:rPr/>
        <w:t>、长城香港、柏怡国际为柏怡香港提供担保</w:t>
      </w:r>
    </w:p>
    <w:p>
      <w:pPr>
        <w:pStyle w:val="BodyText"/>
        <w:spacing w:line="240" w:lineRule="auto" w:before="16"/>
        <w:ind w:left="513" w:right="0"/>
        <w:jc w:val="left"/>
      </w:pPr>
      <w:r>
        <w:rPr/>
        <w:t>参见本节</w:t>
      </w:r>
      <w:r>
        <w:rPr>
          <w:rFonts w:ascii="Times New Roman" w:hAnsi="Times New Roman" w:cs="Times New Roman" w:eastAsia="Times New Roman" w:hint="default"/>
        </w:rPr>
        <w:t>“</w:t>
      </w:r>
      <w:r>
        <w:rPr/>
        <w:t>采用复合方式担保的具体情况说明</w:t>
      </w:r>
      <w:r>
        <w:rPr>
          <w:rFonts w:ascii="Times New Roman" w:hAnsi="Times New Roman" w:cs="Times New Roman" w:eastAsia="Times New Roman" w:hint="default"/>
        </w:rPr>
        <w:t>”</w:t>
      </w:r>
      <w:r>
        <w:rPr/>
        <w:t>中的相关介绍。</w:t>
      </w:r>
    </w:p>
    <w:p>
      <w:pPr>
        <w:pStyle w:val="BodyText"/>
        <w:spacing w:line="338" w:lineRule="auto" w:before="103"/>
        <w:ind w:left="513" w:right="117"/>
        <w:jc w:val="left"/>
      </w:pPr>
      <w:r>
        <w:rPr>
          <w:rFonts w:ascii="Times New Roman" w:hAnsi="Times New Roman" w:cs="Times New Roman" w:eastAsia="Times New Roman" w:hint="default"/>
        </w:rPr>
        <w:t>3</w:t>
      </w:r>
      <w:r>
        <w:rPr/>
        <w:t>、公司收购长城香港持有的冠捷科技股权 </w:t>
      </w:r>
      <w:r>
        <w:rPr>
          <w:spacing w:val="-3"/>
        </w:rPr>
        <w:t>报告期内，为整合公司资源，公司收购了全资子公司长城香港持有的冠捷科技 </w:t>
      </w:r>
      <w:r>
        <w:rPr>
          <w:rFonts w:ascii="Times New Roman" w:hAnsi="Times New Roman" w:cs="Times New Roman" w:eastAsia="Times New Roman" w:hint="default"/>
        </w:rPr>
        <w:t>370,450,000 </w:t>
      </w:r>
      <w:r>
        <w:rPr>
          <w:spacing w:val="-7"/>
        </w:rPr>
        <w:t>股（占比约为</w:t>
      </w:r>
      <w:r>
        <w:rPr>
          <w:spacing w:val="-46"/>
        </w:rPr>
        <w:t> </w:t>
      </w:r>
      <w:r>
        <w:rPr>
          <w:rFonts w:ascii="Times New Roman" w:hAnsi="Times New Roman" w:cs="Times New Roman" w:eastAsia="Times New Roman" w:hint="default"/>
          <w:spacing w:val="-4"/>
        </w:rPr>
        <w:t>15.79%</w:t>
      </w:r>
      <w:r>
        <w:rPr>
          <w:spacing w:val="-4"/>
        </w:rPr>
        <w:t>）股权。</w:t>
      </w:r>
    </w:p>
    <w:p>
      <w:pPr>
        <w:pStyle w:val="BodyText"/>
        <w:spacing w:line="230" w:lineRule="exact"/>
        <w:ind w:right="0"/>
        <w:jc w:val="left"/>
      </w:pPr>
      <w:r>
        <w:rPr/>
        <w:t>现本公司直接持有冠捷科技</w:t>
      </w:r>
      <w:r>
        <w:rPr>
          <w:spacing w:val="-57"/>
        </w:rPr>
        <w:t> </w:t>
      </w:r>
      <w:r>
        <w:rPr>
          <w:rFonts w:ascii="Times New Roman" w:hAnsi="Times New Roman" w:cs="Times New Roman" w:eastAsia="Times New Roman" w:hint="default"/>
        </w:rPr>
        <w:t>570,450,000</w:t>
      </w:r>
      <w:r>
        <w:rPr>
          <w:rFonts w:ascii="Times New Roman" w:hAnsi="Times New Roman" w:cs="Times New Roman" w:eastAsia="Times New Roman" w:hint="default"/>
          <w:spacing w:val="-11"/>
        </w:rPr>
        <w:t> </w:t>
      </w:r>
      <w:r>
        <w:rPr>
          <w:spacing w:val="-3"/>
        </w:rPr>
        <w:t>股，直接持股比例</w:t>
      </w:r>
      <w:r>
        <w:rPr>
          <w:spacing w:val="-58"/>
        </w:rPr>
        <w:t> </w:t>
      </w:r>
      <w:r>
        <w:rPr>
          <w:rFonts w:ascii="Times New Roman" w:hAnsi="Times New Roman" w:cs="Times New Roman" w:eastAsia="Times New Roman" w:hint="default"/>
        </w:rPr>
        <w:t>24.32%</w:t>
      </w:r>
      <w:r>
        <w:rPr/>
        <w:t>，与此前公司合并范围内的持股比例相同；长城香港不再</w:t>
      </w:r>
    </w:p>
    <w:p>
      <w:pPr>
        <w:pStyle w:val="BodyText"/>
        <w:spacing w:line="340" w:lineRule="auto" w:before="63"/>
        <w:ind w:left="513" w:right="0" w:hanging="361"/>
        <w:jc w:val="left"/>
      </w:pPr>
      <w:r>
        <w:rPr/>
        <w:t>持有冠捷科技股权；冠捷科技仍为本公司合并报表范围内的控股子公司（具体内容详见</w:t>
      </w:r>
      <w:r>
        <w:rPr>
          <w:spacing w:val="-43"/>
        </w:rPr>
        <w:t> </w:t>
      </w:r>
      <w:r>
        <w:rPr>
          <w:rFonts w:ascii="Times New Roman" w:hAnsi="Times New Roman" w:cs="Times New Roman" w:eastAsia="Times New Roman" w:hint="default"/>
          <w:spacing w:val="-1"/>
        </w:rPr>
        <w:t>2015-045</w:t>
      </w:r>
      <w:r>
        <w:rPr>
          <w:rFonts w:ascii="Times New Roman" w:hAnsi="Times New Roman" w:cs="Times New Roman" w:eastAsia="Times New Roman" w:hint="default"/>
          <w:spacing w:val="1"/>
        </w:rPr>
        <w:t> </w:t>
      </w:r>
      <w:r>
        <w:rPr>
          <w:spacing w:val="-19"/>
        </w:rPr>
        <w:t>号公告）。</w:t>
      </w:r>
      <w:r>
        <w:rPr>
          <w:spacing w:val="-83"/>
        </w:rPr>
        <w:t> </w:t>
      </w:r>
      <w:r>
        <w:rPr>
          <w:spacing w:val="-83"/>
        </w:rPr>
      </w:r>
      <w:r>
        <w:rPr>
          <w:spacing w:val="-2"/>
        </w:rPr>
        <w:t>同时基于长城香港业务定位及发展规划的考虑，为优化公司整体资产配置，减少资本过剩及闲置，公司通过对长城香港</w:t>
      </w:r>
    </w:p>
    <w:p>
      <w:pPr>
        <w:pStyle w:val="BodyText"/>
        <w:spacing w:line="240" w:lineRule="auto" w:before="1"/>
        <w:ind w:right="0"/>
        <w:jc w:val="left"/>
      </w:pPr>
      <w:r>
        <w:rPr/>
        <w:t>减资的方式对全额应付转让价款进行抵消冲减，长城香港注册资本由原来的</w:t>
      </w:r>
      <w:r>
        <w:rPr>
          <w:spacing w:val="-45"/>
        </w:rPr>
        <w:t> </w:t>
      </w:r>
      <w:r>
        <w:rPr>
          <w:rFonts w:ascii="Times New Roman" w:hAnsi="Times New Roman" w:cs="Times New Roman" w:eastAsia="Times New Roman" w:hint="default"/>
        </w:rPr>
        <w:t>80,774.95 </w:t>
      </w:r>
      <w:r>
        <w:rPr/>
        <w:t>万港币减少至</w:t>
      </w:r>
      <w:r>
        <w:rPr>
          <w:spacing w:val="-47"/>
        </w:rPr>
        <w:t> </w:t>
      </w:r>
      <w:r>
        <w:rPr>
          <w:rFonts w:ascii="Times New Roman" w:hAnsi="Times New Roman" w:cs="Times New Roman" w:eastAsia="Times New Roman" w:hint="default"/>
        </w:rPr>
        <w:t>2,566.65</w:t>
      </w:r>
      <w:r>
        <w:rPr>
          <w:rFonts w:ascii="Times New Roman" w:hAnsi="Times New Roman" w:cs="Times New Roman" w:eastAsia="Times New Roman" w:hint="default"/>
          <w:spacing w:val="1"/>
        </w:rPr>
        <w:t> </w:t>
      </w:r>
      <w:r>
        <w:rPr/>
        <w:t>万港币（具体</w:t>
      </w:r>
    </w:p>
    <w:p>
      <w:pPr>
        <w:pStyle w:val="BodyText"/>
        <w:spacing w:line="240" w:lineRule="auto" w:before="63"/>
        <w:ind w:right="0"/>
        <w:jc w:val="left"/>
      </w:pPr>
      <w:r>
        <w:rPr/>
        <w:t>内容详见</w:t>
      </w:r>
      <w:r>
        <w:rPr>
          <w:spacing w:val="-3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号公告</w:t>
      </w:r>
      <w:r>
        <w:rPr>
          <w:spacing w:val="-92"/>
        </w:rPr>
        <w:t>）</w:t>
      </w:r>
      <w:r>
        <w:rPr>
          <w:spacing w:val="-3"/>
        </w:rPr>
        <w:t>。</w:t>
      </w:r>
      <w:r>
        <w:rPr/>
        <w:t>前述事项经</w:t>
      </w:r>
      <w:r>
        <w:rPr>
          <w:spacing w:val="-3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3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spacing w:val="-3"/>
        </w:rPr>
        <w:t>日</w:t>
      </w:r>
      <w:r>
        <w:rPr/>
        <w:t>公司第六届董事会审议通过，并于</w:t>
      </w:r>
      <w:r>
        <w:rPr>
          <w:spacing w:val="-3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年</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3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日获得</w:t>
      </w:r>
      <w:r>
        <w:rPr>
          <w:spacing w:val="-3"/>
        </w:rPr>
        <w:t>公</w:t>
      </w:r>
      <w:r>
        <w:rPr/>
        <w:t>司</w:t>
      </w:r>
    </w:p>
    <w:p>
      <w:pPr>
        <w:pStyle w:val="BodyText"/>
        <w:spacing w:line="240" w:lineRule="auto" w:before="63"/>
        <w:ind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年度第一次临时股东大会的同意。</w:t>
      </w:r>
    </w:p>
    <w:p>
      <w:pPr>
        <w:pStyle w:val="BodyText"/>
        <w:spacing w:line="300" w:lineRule="auto" w:before="103"/>
        <w:ind w:right="212" w:firstLine="360"/>
        <w:jc w:val="both"/>
      </w:pPr>
      <w:r>
        <w:rPr>
          <w:rFonts w:ascii="Times New Roman" w:hAnsi="Times New Roman" w:cs="Times New Roman" w:eastAsia="Times New Roman" w:hint="default"/>
        </w:rPr>
        <w:t>4</w:t>
      </w:r>
      <w:r>
        <w:rPr/>
        <w:t>、子公司冠捷科技报告期内重要事项的具体内容详见冠捷科技于</w:t>
      </w:r>
      <w:r>
        <w:rPr>
          <w:spacing w:val="-71"/>
        </w:rPr>
        <w:t> </w:t>
      </w:r>
      <w:hyperlink r:id="rId11">
        <w:r>
          <w:rPr>
            <w:rFonts w:ascii="Times New Roman" w:hAnsi="Times New Roman" w:cs="Times New Roman" w:eastAsia="Times New Roman" w:hint="default"/>
          </w:rPr>
          <w:t>http://www.hkexnews.hk</w:t>
        </w:r>
      </w:hyperlink>
      <w:r>
        <w:rPr>
          <w:rFonts w:ascii="Times New Roman" w:hAnsi="Times New Roman" w:cs="Times New Roman" w:eastAsia="Times New Roman" w:hint="default"/>
          <w:spacing w:val="-26"/>
        </w:rPr>
        <w:t> </w:t>
      </w:r>
      <w:r>
        <w:rPr>
          <w:spacing w:val="-3"/>
        </w:rPr>
        <w:t>中刊登的相关公告，主要事项</w:t>
      </w:r>
      <w:r>
        <w:rPr/>
        <w:t> 包括：</w:t>
      </w:r>
    </w:p>
    <w:p>
      <w:pPr>
        <w:pStyle w:val="BodyText"/>
        <w:spacing w:line="300" w:lineRule="auto" w:before="70"/>
        <w:ind w:right="213"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日，有关订立第二补充合营企业协议的关联交易（即</w:t>
      </w:r>
      <w:r>
        <w:rPr>
          <w:rFonts w:ascii="Times New Roman" w:hAnsi="Times New Roman" w:cs="Times New Roman" w:eastAsia="Times New Roman" w:hint="default"/>
        </w:rPr>
        <w:t>“</w:t>
      </w:r>
      <w:r>
        <w:rPr/>
        <w:t>熊猫平板变更</w:t>
      </w:r>
      <w:r>
        <w:rPr>
          <w:rFonts w:ascii="Times New Roman" w:hAnsi="Times New Roman" w:cs="Times New Roman" w:eastAsia="Times New Roman" w:hint="default"/>
        </w:rPr>
        <w:t>”</w:t>
      </w:r>
      <w:r>
        <w:rPr/>
        <w:t>项目，参见第五节</w:t>
      </w:r>
      <w:r>
        <w:rPr>
          <w:rFonts w:ascii="Times New Roman" w:hAnsi="Times New Roman" w:cs="Times New Roman" w:eastAsia="Times New Roman" w:hint="default"/>
        </w:rPr>
        <w:t>“</w:t>
      </w:r>
      <w:r>
        <w:rPr/>
        <w:t>共同对外 </w:t>
      </w:r>
      <w:r>
        <w:rPr>
          <w:spacing w:val="-7"/>
          <w:w w:val="100"/>
        </w:rPr>
        <w:t>投资的关联交易</w:t>
      </w:r>
      <w:r>
        <w:rPr>
          <w:rFonts w:ascii="Times New Roman" w:hAnsi="Times New Roman" w:cs="Times New Roman" w:eastAsia="Times New Roman" w:hint="default"/>
          <w:spacing w:val="-7"/>
          <w:w w:val="100"/>
        </w:rPr>
        <w:t>”</w:t>
      </w:r>
      <w:r>
        <w:rPr>
          <w:spacing w:val="-7"/>
          <w:w w:val="100"/>
        </w:rPr>
        <w:t>中的介绍）；</w:t>
      </w:r>
    </w:p>
    <w:p>
      <w:pPr>
        <w:pStyle w:val="BodyText"/>
        <w:spacing w:line="300" w:lineRule="auto" w:before="53"/>
        <w:ind w:right="211"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日，重续现有持续关联交易及订立新持续关联交易（参见</w:t>
      </w:r>
      <w:r>
        <w:rPr>
          <w:spacing w:val="-39"/>
        </w:rPr>
        <w:t> </w:t>
      </w:r>
      <w:r>
        <w:rPr>
          <w:rFonts w:ascii="Times New Roman" w:hAnsi="Times New Roman" w:cs="Times New Roman" w:eastAsia="Times New Roman" w:hint="default"/>
        </w:rPr>
        <w:t>2014-089</w:t>
      </w:r>
      <w:r>
        <w:rPr>
          <w:rFonts w:ascii="Times New Roman" w:hAnsi="Times New Roman" w:cs="Times New Roman" w:eastAsia="Times New Roman" w:hint="default"/>
          <w:spacing w:val="42"/>
        </w:rPr>
        <w:t> </w:t>
      </w:r>
      <w:r>
        <w:rPr/>
        <w:t>关于冠捷科技与桑菲通信续 </w:t>
      </w:r>
      <w:r>
        <w:rPr>
          <w:spacing w:val="-3"/>
        </w:rPr>
        <w:t>签供应协议、冠捷投资与熊猫液晶、中电信息续签及订立采购协议暨日常关联交易的公告）；</w:t>
      </w:r>
    </w:p>
    <w:p>
      <w:pPr>
        <w:pStyle w:val="BodyText"/>
        <w:spacing w:line="300" w:lineRule="auto" w:before="73"/>
        <w:ind w:right="213" w:firstLine="360"/>
        <w:jc w:val="both"/>
      </w:pPr>
      <w:r>
        <w:rPr/>
        <w:t>（</w:t>
      </w:r>
      <w:r>
        <w:rPr>
          <w:rFonts w:ascii="Times New Roman" w:hAnsi="Times New Roman" w:cs="Times New Roman" w:eastAsia="Times New Roman" w:hint="default"/>
          <w:spacing w:val="1"/>
        </w:rPr>
        <w:t>3</w:t>
      </w:r>
      <w:r>
        <w:rPr>
          <w:spacing w:val="-5"/>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r>
        <w:rPr>
          <w:spacing w:val="-96"/>
        </w:rPr>
        <w:t>，</w:t>
      </w:r>
      <w:r>
        <w:rPr>
          <w:spacing w:val="-1"/>
        </w:rPr>
        <w:t>（</w:t>
      </w:r>
      <w:r>
        <w:rPr/>
        <w:t>Ⅰ</w:t>
      </w:r>
      <w:r>
        <w:rPr>
          <w:spacing w:val="-5"/>
        </w:rPr>
        <w:t>）</w:t>
      </w:r>
      <w:r>
        <w:rPr/>
        <w:t>有关建议收购深圳桑菲消费通信有限公司的关联交易</w:t>
      </w:r>
      <w:r>
        <w:rPr>
          <w:spacing w:val="-5"/>
        </w:rPr>
        <w:t>；及</w:t>
      </w:r>
      <w:r>
        <w:rPr>
          <w:spacing w:val="3"/>
        </w:rPr>
        <w:t>（</w:t>
      </w:r>
      <w:r>
        <w:rPr/>
        <w:t>Ⅱ</w:t>
      </w:r>
      <w:r>
        <w:rPr>
          <w:spacing w:val="-5"/>
        </w:rPr>
        <w:t>）</w:t>
      </w:r>
      <w:r>
        <w:rPr/>
        <w:t>持续关联交</w:t>
      </w:r>
      <w:r>
        <w:rPr>
          <w:spacing w:val="-5"/>
        </w:rPr>
        <w:t>易</w:t>
      </w:r>
      <w:r>
        <w:rPr/>
        <w:t>（即</w:t>
      </w:r>
      <w:r>
        <w:rPr>
          <w:rFonts w:ascii="Times New Roman" w:hAnsi="Times New Roman" w:cs="Times New Roman" w:eastAsia="Times New Roman" w:hint="default"/>
          <w:spacing w:val="-1"/>
          <w:w w:val="100"/>
        </w:rPr>
        <w:t>“</w:t>
      </w:r>
      <w:r>
        <w:rPr/>
        <w:t>冠捷 科技下属公司收购桑菲通信</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t>股权</w:t>
      </w:r>
      <w:r>
        <w:rPr>
          <w:rFonts w:ascii="Times New Roman" w:hAnsi="Times New Roman" w:cs="Times New Roman" w:eastAsia="Times New Roman" w:hint="default"/>
          <w:spacing w:val="-1"/>
          <w:w w:val="100"/>
        </w:rPr>
        <w:t>”</w:t>
      </w:r>
      <w:r>
        <w:rPr/>
        <w:t>，参见第四节</w:t>
      </w:r>
      <w:r>
        <w:rPr>
          <w:rFonts w:ascii="Times New Roman" w:hAnsi="Times New Roman" w:cs="Times New Roman" w:eastAsia="Times New Roman" w:hint="default"/>
          <w:spacing w:val="-1"/>
          <w:w w:val="100"/>
        </w:rPr>
        <w:t>“</w:t>
      </w:r>
      <w:r>
        <w:rPr/>
        <w:t>重大</w:t>
      </w:r>
      <w:r>
        <w:rPr>
          <w:spacing w:val="2"/>
        </w:rPr>
        <w:t>股</w:t>
      </w:r>
      <w:r>
        <w:rPr/>
        <w:t>权投资情况说明</w:t>
      </w:r>
      <w:r>
        <w:rPr>
          <w:rFonts w:ascii="Times New Roman" w:hAnsi="Times New Roman" w:cs="Times New Roman" w:eastAsia="Times New Roman" w:hint="default"/>
          <w:spacing w:val="-1"/>
          <w:w w:val="100"/>
        </w:rPr>
        <w:t>”</w:t>
      </w:r>
      <w:r>
        <w:rPr/>
        <w:t>中的介绍</w:t>
      </w:r>
      <w:r>
        <w:rPr>
          <w:spacing w:val="-92"/>
        </w:rPr>
        <w:t>）</w:t>
      </w:r>
      <w:r>
        <w:rPr/>
        <w:t>；</w:t>
      </w:r>
    </w:p>
    <w:p>
      <w:pPr>
        <w:pStyle w:val="BodyText"/>
        <w:spacing w:line="300" w:lineRule="auto" w:before="51"/>
        <w:ind w:right="210" w:firstLine="360"/>
        <w:jc w:val="both"/>
      </w:pPr>
      <w:r>
        <w:rPr>
          <w:spacing w:val="-10"/>
        </w:rPr>
        <w:t>（</w:t>
      </w:r>
      <w:r>
        <w:rPr>
          <w:rFonts w:ascii="Times New Roman" w:hAnsi="Times New Roman" w:cs="Times New Roman" w:eastAsia="Times New Roman" w:hint="default"/>
          <w:spacing w:val="-10"/>
        </w:rPr>
        <w:t>4</w:t>
      </w:r>
      <w:r>
        <w:rPr>
          <w:spacing w:val="-10"/>
        </w:rPr>
        <w:t>）</w:t>
      </w:r>
      <w:r>
        <w:rPr>
          <w:rFonts w:ascii="Times New Roman" w:hAnsi="Times New Roman" w:cs="Times New Roman" w:eastAsia="Times New Roman" w:hint="default"/>
          <w:spacing w:val="-10"/>
        </w:rPr>
        <w:t>2015</w:t>
      </w:r>
      <w:r>
        <w:rPr>
          <w:rFonts w:ascii="Times New Roman" w:hAnsi="Times New Roman" w:cs="Times New Roman" w:eastAsia="Times New Roman" w:hint="default"/>
        </w:rPr>
        <w:t> </w:t>
      </w:r>
      <w:r>
        <w:rPr/>
        <w:t>年</w:t>
      </w:r>
      <w:r>
        <w:rPr>
          <w:spacing w:val="-44"/>
        </w:rPr>
        <w:t> </w:t>
      </w:r>
      <w:r>
        <w:rPr>
          <w:rFonts w:ascii="Times New Roman" w:hAnsi="Times New Roman" w:cs="Times New Roman" w:eastAsia="Times New Roman" w:hint="default"/>
        </w:rPr>
        <w:t>9 </w:t>
      </w:r>
      <w:r>
        <w:rPr/>
        <w:t>月</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6"/>
        </w:rPr>
        <w:t>日，视作出售事项及须予披露交易（为避免继续分担英冠达控股有限公司（即</w:t>
      </w:r>
      <w:r>
        <w:rPr>
          <w:spacing w:val="-42"/>
        </w:rPr>
        <w:t> </w:t>
      </w:r>
      <w:r>
        <w:rPr>
          <w:rFonts w:ascii="Times New Roman" w:hAnsi="Times New Roman" w:cs="Times New Roman" w:eastAsia="Times New Roman" w:hint="default"/>
          <w:spacing w:val="-3"/>
        </w:rPr>
        <w:t>TPV-INVENTA</w:t>
      </w:r>
      <w:r>
        <w:rPr>
          <w:rFonts w:ascii="Times New Roman" w:hAnsi="Times New Roman" w:cs="Times New Roman" w:eastAsia="Times New Roman" w:hint="default"/>
          <w:spacing w:val="-12"/>
        </w:rPr>
        <w:t> </w:t>
      </w:r>
      <w:r>
        <w:rPr>
          <w:rFonts w:ascii="Times New Roman" w:hAnsi="Times New Roman" w:cs="Times New Roman" w:eastAsia="Times New Roman" w:hint="default"/>
        </w:rPr>
        <w:t>Holding</w:t>
      </w:r>
      <w:r>
        <w:rPr>
          <w:rFonts w:ascii="Times New Roman" w:hAnsi="Times New Roman" w:cs="Times New Roman" w:eastAsia="Times New Roman" w:hint="default"/>
        </w:rPr>
        <w:t> Limited</w:t>
      </w:r>
      <w:r>
        <w:rPr/>
        <w:t>，简称</w:t>
      </w:r>
      <w:r>
        <w:rPr>
          <w:rFonts w:ascii="Times New Roman" w:hAnsi="Times New Roman" w:cs="Times New Roman" w:eastAsia="Times New Roman" w:hint="default"/>
        </w:rPr>
        <w:t>“</w:t>
      </w:r>
      <w:r>
        <w:rPr/>
        <w:t>英冠达</w:t>
      </w:r>
      <w:r>
        <w:rPr>
          <w:rFonts w:ascii="Times New Roman" w:hAnsi="Times New Roman" w:cs="Times New Roman" w:eastAsia="Times New Roman" w:hint="default"/>
        </w:rPr>
        <w:t>”</w:t>
      </w:r>
      <w:r>
        <w:rPr/>
        <w:t>，冠捷投资持股</w:t>
      </w:r>
      <w:r>
        <w:rPr>
          <w:spacing w:val="-46"/>
        </w:rPr>
        <w:t> </w:t>
      </w:r>
      <w:r>
        <w:rPr>
          <w:rFonts w:ascii="Times New Roman" w:hAnsi="Times New Roman" w:cs="Times New Roman" w:eastAsia="Times New Roman" w:hint="default"/>
          <w:spacing w:val="-3"/>
        </w:rPr>
        <w:t>51%</w:t>
      </w:r>
      <w:r>
        <w:rPr>
          <w:spacing w:val="-3"/>
        </w:rPr>
        <w:t>）后续运营所产生的任何亏损或负债，冠捷投资与英业达（开曼）有限公司（即</w:t>
      </w:r>
      <w:r>
        <w:rPr/>
        <w:t> </w:t>
      </w:r>
      <w:r>
        <w:rPr>
          <w:rFonts w:ascii="Times New Roman" w:hAnsi="Times New Roman" w:cs="Times New Roman" w:eastAsia="Times New Roman" w:hint="default"/>
        </w:rPr>
        <w:t>Inventec</w:t>
      </w:r>
      <w:r>
        <w:rPr>
          <w:rFonts w:ascii="Times New Roman" w:hAnsi="Times New Roman" w:cs="Times New Roman" w:eastAsia="Times New Roman" w:hint="default"/>
          <w:spacing w:val="-20"/>
        </w:rPr>
        <w:t> </w:t>
      </w:r>
      <w:r>
        <w:rPr>
          <w:rFonts w:ascii="Times New Roman" w:hAnsi="Times New Roman" w:cs="Times New Roman" w:eastAsia="Times New Roman" w:hint="default"/>
        </w:rPr>
        <w:t>(Cayman)</w:t>
      </w:r>
      <w:r>
        <w:rPr>
          <w:rFonts w:ascii="Times New Roman" w:hAnsi="Times New Roman" w:cs="Times New Roman" w:eastAsia="Times New Roman" w:hint="default"/>
          <w:spacing w:val="-20"/>
        </w:rPr>
        <w:t> </w:t>
      </w:r>
      <w:r>
        <w:rPr>
          <w:rFonts w:ascii="Times New Roman" w:hAnsi="Times New Roman" w:cs="Times New Roman" w:eastAsia="Times New Roman" w:hint="default"/>
        </w:rPr>
        <w:t>Corporation</w:t>
      </w:r>
      <w:r>
        <w:rPr/>
        <w:t>，持有英冠达</w:t>
      </w:r>
      <w:r>
        <w:rPr>
          <w:spacing w:val="-65"/>
        </w:rPr>
        <w:t> </w:t>
      </w:r>
      <w:r>
        <w:rPr>
          <w:rFonts w:ascii="Times New Roman" w:hAnsi="Times New Roman" w:cs="Times New Roman" w:eastAsia="Times New Roman" w:hint="default"/>
        </w:rPr>
        <w:t>49%</w:t>
      </w:r>
      <w:r>
        <w:rPr/>
        <w:t>股权）经友好协商，同意对英冠达进行股权重组，英冠达将不再被视为冠捷 </w:t>
      </w:r>
      <w:r>
        <w:rPr>
          <w:spacing w:val="-16"/>
        </w:rPr>
        <w:t>科技集团的附属公司。）；</w:t>
      </w:r>
    </w:p>
    <w:p>
      <w:pPr>
        <w:pStyle w:val="BodyText"/>
        <w:spacing w:line="240" w:lineRule="auto" w:before="72"/>
        <w:ind w:left="51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日，持续关联交易：该等采购协议（参见</w:t>
      </w:r>
      <w:r>
        <w:rPr>
          <w:spacing w:val="-54"/>
        </w:rPr>
        <w:t> </w:t>
      </w:r>
      <w:r>
        <w:rPr>
          <w:rFonts w:ascii="Times New Roman" w:hAnsi="Times New Roman" w:cs="Times New Roman" w:eastAsia="Times New Roman" w:hint="default"/>
        </w:rPr>
        <w:t>2015-060</w:t>
      </w:r>
      <w:r>
        <w:rPr>
          <w:rFonts w:ascii="Times New Roman" w:hAnsi="Times New Roman" w:cs="Times New Roman" w:eastAsia="Times New Roman" w:hint="default"/>
          <w:spacing w:val="30"/>
        </w:rPr>
        <w:t> </w:t>
      </w:r>
      <w:r>
        <w:rPr/>
        <w:t>关于冠捷投资与惠州开发、华睿川电子订立采</w:t>
      </w:r>
    </w:p>
    <w:p>
      <w:pPr>
        <w:spacing w:after="0" w:line="240" w:lineRule="auto"/>
        <w:jc w:val="left"/>
        <w:sectPr>
          <w:pgSz w:w="11910" w:h="16840"/>
          <w:pgMar w:header="877" w:footer="980" w:top="1100" w:bottom="1160" w:left="980" w:right="920"/>
        </w:sectPr>
      </w:pPr>
    </w:p>
    <w:p>
      <w:pPr>
        <w:spacing w:line="240" w:lineRule="auto" w:before="11"/>
        <w:rPr>
          <w:rFonts w:ascii="宋体" w:hAnsi="宋体" w:cs="宋体" w:eastAsia="宋体" w:hint="default"/>
          <w:sz w:val="21"/>
          <w:szCs w:val="21"/>
        </w:rPr>
      </w:pPr>
    </w:p>
    <w:p>
      <w:pPr>
        <w:pStyle w:val="BodyText"/>
        <w:spacing w:line="240" w:lineRule="auto" w:before="44"/>
        <w:ind w:right="89"/>
        <w:jc w:val="left"/>
      </w:pPr>
      <w:r>
        <w:rPr/>
        <w:t>购协议暨日常关联交易的公告</w:t>
      </w:r>
      <w:r>
        <w:rPr>
          <w:spacing w:val="-89"/>
        </w:rPr>
        <w:t>）</w:t>
      </w:r>
      <w:r>
        <w:rPr/>
        <w:t>；</w:t>
      </w:r>
    </w:p>
    <w:p>
      <w:pPr>
        <w:pStyle w:val="BodyText"/>
        <w:spacing w:line="300" w:lineRule="auto" w:before="117"/>
        <w:ind w:right="186" w:firstLine="36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日，建议采纳新购股权计划（参见本节</w:t>
      </w:r>
      <w:r>
        <w:rPr>
          <w:rFonts w:ascii="Times New Roman" w:hAnsi="Times New Roman" w:cs="Times New Roman" w:eastAsia="Times New Roman" w:hint="default"/>
        </w:rPr>
        <w:t>“</w:t>
      </w:r>
      <w:r>
        <w:rPr/>
        <w:t>公司股权激励计划、员工持股计划或其他员工激励措施的 </w:t>
      </w:r>
      <w:r>
        <w:rPr>
          <w:spacing w:val="-9"/>
          <w:w w:val="100"/>
        </w:rPr>
        <w:t>实施情况</w:t>
      </w:r>
      <w:r>
        <w:rPr>
          <w:rFonts w:ascii="Times New Roman" w:hAnsi="Times New Roman" w:cs="Times New Roman" w:eastAsia="Times New Roman" w:hint="default"/>
          <w:spacing w:val="-9"/>
          <w:w w:val="100"/>
        </w:rPr>
        <w:t>”</w:t>
      </w:r>
      <w:r>
        <w:rPr>
          <w:spacing w:val="-9"/>
          <w:w w:val="100"/>
        </w:rPr>
        <w:t>中的介绍）；</w:t>
      </w:r>
    </w:p>
    <w:p>
      <w:pPr>
        <w:pStyle w:val="BodyText"/>
        <w:spacing w:line="300" w:lineRule="auto" w:before="51"/>
        <w:ind w:right="183" w:firstLine="36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日，订立新持续关联交易及重续现有持续关联交易（参见</w:t>
      </w:r>
      <w:r>
        <w:rPr>
          <w:spacing w:val="-39"/>
        </w:rPr>
        <w:t> </w:t>
      </w:r>
      <w:r>
        <w:rPr>
          <w:rFonts w:ascii="Times New Roman" w:hAnsi="Times New Roman" w:cs="Times New Roman" w:eastAsia="Times New Roman" w:hint="default"/>
        </w:rPr>
        <w:t>2015-096</w:t>
      </w:r>
      <w:r>
        <w:rPr>
          <w:rFonts w:ascii="Times New Roman" w:hAnsi="Times New Roman" w:cs="Times New Roman" w:eastAsia="Times New Roman" w:hint="default"/>
          <w:spacing w:val="42"/>
        </w:rPr>
        <w:t> </w:t>
      </w:r>
      <w:r>
        <w:rPr/>
        <w:t>关于武汉艾德蒙与中国电子 </w:t>
      </w:r>
      <w:r>
        <w:rPr>
          <w:spacing w:val="-4"/>
        </w:rPr>
        <w:t>续签《商标授权与销售代理合同》、桑菲通信与桑达汇通订立《分销协议》暨日常关联交易的公告）。</w:t>
      </w:r>
    </w:p>
    <w:p>
      <w:pPr>
        <w:pStyle w:val="Heading5"/>
        <w:spacing w:line="240" w:lineRule="auto" w:before="143"/>
        <w:ind w:right="89"/>
        <w:jc w:val="left"/>
        <w:rPr>
          <w:b w:val="0"/>
          <w:bCs w:val="0"/>
        </w:rPr>
      </w:pPr>
      <w:r>
        <w:rPr/>
        <w:t>二十、社会责任情况</w:t>
      </w:r>
      <w:r>
        <w:rPr>
          <w:b w:val="0"/>
          <w:bCs w:val="0"/>
        </w:rPr>
      </w:r>
    </w:p>
    <w:p>
      <w:pPr>
        <w:pStyle w:val="BodyText"/>
        <w:spacing w:line="357" w:lineRule="auto" w:before="207"/>
        <w:ind w:left="513" w:right="93" w:hanging="361"/>
        <w:jc w:val="left"/>
      </w:pPr>
      <w:r>
        <w:rPr/>
        <w:t>√ 适用 □</w:t>
      </w:r>
      <w:r>
        <w:rPr>
          <w:spacing w:val="3"/>
        </w:rPr>
        <w:t> </w:t>
      </w:r>
      <w:r>
        <w:rPr/>
        <w:t>不适用</w:t>
      </w:r>
      <w:r>
        <w:rPr/>
        <w:t> 报告期内，公司在股东权益保护、客户服务、公益事业、员工权益保护、环境环保等方面积极履行和承担了社会责任，</w:t>
      </w:r>
    </w:p>
    <w:p>
      <w:pPr>
        <w:pStyle w:val="BodyText"/>
        <w:spacing w:line="224" w:lineRule="exact"/>
        <w:ind w:right="0"/>
        <w:jc w:val="left"/>
      </w:pPr>
      <w:r>
        <w:rPr/>
        <w:t>未来公司将一如既往地把履行社会责任视作一项应尽的义务和职责，接受社会各界的监督，不断完善公司社会责任管理体系</w:t>
      </w:r>
    </w:p>
    <w:p>
      <w:pPr>
        <w:pStyle w:val="BodyText"/>
        <w:spacing w:line="240" w:lineRule="auto" w:before="76"/>
        <w:ind w:right="89"/>
        <w:jc w:val="left"/>
      </w:pPr>
      <w:r>
        <w:rPr/>
        <w:t>建设，加强与各利益相关方的沟通与交流，促进公司与社会的协调和谐发展。</w:t>
      </w:r>
    </w:p>
    <w:p>
      <w:pPr>
        <w:pStyle w:val="BodyText"/>
        <w:spacing w:line="240" w:lineRule="auto" w:before="117"/>
        <w:ind w:left="513" w:right="89"/>
        <w:jc w:val="left"/>
      </w:pPr>
      <w:r>
        <w:rPr/>
        <w:t>社会责任报告全文具体详见公司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 </w:t>
      </w:r>
      <w:r>
        <w:rPr/>
        <w:t>月</w:t>
      </w:r>
      <w:r>
        <w:rPr>
          <w:spacing w:val="-49"/>
        </w:rPr>
        <w:t> </w:t>
      </w:r>
      <w:r>
        <w:rPr>
          <w:rFonts w:ascii="Times New Roman" w:hAnsi="Times New Roman" w:cs="Times New Roman" w:eastAsia="Times New Roman" w:hint="default"/>
        </w:rPr>
        <w:t>29 </w:t>
      </w:r>
      <w:r>
        <w:rPr/>
        <w:t>日在巨潮资讯网（</w:t>
      </w:r>
      <w:hyperlink r:id="rId8">
        <w:r>
          <w:rPr>
            <w:rFonts w:ascii="Times New Roman" w:hAnsi="Times New Roman" w:cs="Times New Roman" w:eastAsia="Times New Roman" w:hint="default"/>
          </w:rPr>
          <w:t>http://www.cninfo.com.cn</w:t>
        </w:r>
      </w:hyperlink>
      <w:r>
        <w:rPr/>
        <w:t>）披露的《中国长城计算机</w:t>
      </w:r>
    </w:p>
    <w:p>
      <w:pPr>
        <w:pStyle w:val="BodyText"/>
        <w:spacing w:line="340" w:lineRule="auto" w:before="63"/>
        <w:ind w:right="4594"/>
        <w:jc w:val="left"/>
      </w:pPr>
      <w:r>
        <w:rPr/>
        <w:t>深圳股份有限公司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10"/>
        </w:rPr>
        <w:t>年度社会责任报告》。</w:t>
      </w:r>
      <w:r>
        <w:rPr>
          <w:spacing w:val="-86"/>
        </w:rPr>
        <w:t> </w:t>
      </w:r>
      <w:r>
        <w:rPr>
          <w:spacing w:val="-86"/>
        </w:rPr>
      </w:r>
      <w:r>
        <w:rPr/>
        <w:t>上市公司及其子公司是否属于国家环境保护部门规定的重污染行业</w:t>
      </w:r>
    </w:p>
    <w:p>
      <w:pPr>
        <w:pStyle w:val="BodyText"/>
        <w:spacing w:line="240" w:lineRule="auto" w:before="39"/>
        <w:ind w:right="89"/>
        <w:jc w:val="left"/>
      </w:pPr>
      <w:r>
        <w:rPr/>
        <w:t>□ 是 √ 否 □</w:t>
      </w:r>
      <w:r>
        <w:rPr>
          <w:spacing w:val="2"/>
        </w:rPr>
        <w:t> </w:t>
      </w:r>
      <w:r>
        <w:rPr/>
        <w:t>不适用</w:t>
      </w:r>
    </w:p>
    <w:p>
      <w:pPr>
        <w:spacing w:line="240" w:lineRule="auto" w:before="6"/>
        <w:rPr>
          <w:rFonts w:ascii="宋体" w:hAnsi="宋体" w:cs="宋体" w:eastAsia="宋体" w:hint="default"/>
          <w:sz w:val="14"/>
          <w:szCs w:val="14"/>
        </w:rPr>
      </w:pPr>
    </w:p>
    <w:p>
      <w:pPr>
        <w:pStyle w:val="Heading5"/>
        <w:spacing w:line="240" w:lineRule="auto"/>
        <w:ind w:right="89"/>
        <w:jc w:val="left"/>
        <w:rPr>
          <w:b w:val="0"/>
          <w:bCs w:val="0"/>
        </w:rPr>
      </w:pPr>
      <w:r>
        <w:rPr/>
        <w:t>二十一、公司债券相关情况</w:t>
      </w:r>
      <w:r>
        <w:rPr>
          <w:b w:val="0"/>
          <w:bCs w:val="0"/>
        </w:rPr>
      </w:r>
    </w:p>
    <w:p>
      <w:pPr>
        <w:pStyle w:val="BodyText"/>
        <w:spacing w:line="240" w:lineRule="auto" w:before="207"/>
        <w:ind w:left="513" w:right="89"/>
        <w:jc w:val="left"/>
      </w:pPr>
      <w:r>
        <w:rPr/>
        <w:t>公司不存在公开发行并在证券交易所上市且在年度报告批准报出日未到期或到期未能全额兑付的公司债券</w:t>
      </w:r>
    </w:p>
    <w:p>
      <w:pPr>
        <w:spacing w:after="0" w:line="240" w:lineRule="auto"/>
        <w:jc w:val="left"/>
        <w:sectPr>
          <w:pgSz w:w="11910" w:h="16840"/>
          <w:pgMar w:header="877" w:footer="980"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84" w:right="954"/>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5"/>
        <w:spacing w:line="240" w:lineRule="auto" w:before="26"/>
        <w:ind w:left="672" w:right="954"/>
        <w:jc w:val="left"/>
        <w:rPr>
          <w:b w:val="0"/>
          <w:bCs w:val="0"/>
        </w:rPr>
      </w:pPr>
      <w:r>
        <w:rPr/>
        <w:t>一、股份变动情况</w:t>
      </w:r>
      <w:r>
        <w:rPr>
          <w:b w:val="0"/>
          <w:bCs w:val="0"/>
        </w:rPr>
      </w:r>
    </w:p>
    <w:p>
      <w:pPr>
        <w:pStyle w:val="Heading8"/>
        <w:spacing w:line="240" w:lineRule="auto" w:before="184"/>
        <w:ind w:left="672" w:right="95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12"/>
          <w:szCs w:val="12"/>
        </w:rPr>
      </w:pPr>
    </w:p>
    <w:p>
      <w:pPr>
        <w:pStyle w:val="BodyText"/>
        <w:spacing w:line="240" w:lineRule="auto" w:before="44"/>
        <w:ind w:left="0" w:right="691"/>
        <w:jc w:val="right"/>
      </w:pPr>
      <w:r>
        <w:rPr/>
        <w:t>单位：股</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8"/>
        <w:gridCol w:w="1145"/>
        <w:gridCol w:w="867"/>
        <w:gridCol w:w="845"/>
        <w:gridCol w:w="842"/>
        <w:gridCol w:w="1107"/>
        <w:gridCol w:w="1116"/>
        <w:gridCol w:w="1081"/>
        <w:gridCol w:w="1272"/>
        <w:gridCol w:w="895"/>
      </w:tblGrid>
      <w:tr>
        <w:trPr>
          <w:trHeight w:val="204"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9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2012" w:type="dxa"/>
            <w:gridSpan w:val="2"/>
            <w:vMerge/>
            <w:tcBorders>
              <w:left w:val="single" w:sz="4" w:space="0" w:color="000000"/>
              <w:bottom w:val="single" w:sz="4" w:space="0" w:color="000000"/>
              <w:right w:val="single" w:sz="4" w:space="0" w:color="000000"/>
            </w:tcBorders>
            <w:shd w:val="clear" w:color="auto" w:fill="D2D2D2"/>
          </w:tcPr>
          <w:p>
            <w:pPr/>
          </w:p>
        </w:tc>
        <w:tc>
          <w:tcPr>
            <w:tcW w:w="4991" w:type="dxa"/>
            <w:gridSpan w:val="5"/>
            <w:vMerge/>
            <w:tcBorders>
              <w:left w:val="single" w:sz="4" w:space="0" w:color="000000"/>
              <w:bottom w:val="single" w:sz="4" w:space="0" w:color="000000"/>
              <w:right w:val="single" w:sz="4" w:space="0" w:color="000000"/>
            </w:tcBorders>
            <w:shd w:val="clear" w:color="auto" w:fill="D2D2D2"/>
          </w:tcPr>
          <w:p>
            <w:pPr/>
          </w:p>
        </w:tc>
        <w:tc>
          <w:tcPr>
            <w:tcW w:w="216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867"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7"/>
                <w:sz w:val="18"/>
                <w:szCs w:val="18"/>
              </w:rPr>
              <w:t>一、有限售条件股份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23,760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0.002%</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0.002%</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23,760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0.002%</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0.002%</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23,760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0.002%</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0.002%</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7"/>
                <w:sz w:val="18"/>
                <w:szCs w:val="18"/>
              </w:rPr>
              <w:t>二、无限售条件股份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1,323,570,126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99.998%</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1,323,570,126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99.998%</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1,323,570,126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99.998%</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1,323,570,126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99.998%</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1,323,593,886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1,323,593,886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left="672" w:right="954"/>
        <w:jc w:val="left"/>
      </w:pPr>
      <w:r>
        <w:rPr/>
        <w:t>股份变动的原因</w:t>
      </w:r>
    </w:p>
    <w:p>
      <w:pPr>
        <w:pStyle w:val="BodyText"/>
        <w:spacing w:line="360" w:lineRule="auto" w:before="115"/>
        <w:ind w:left="672" w:right="8694"/>
        <w:jc w:val="left"/>
      </w:pPr>
      <w:r>
        <w:rPr/>
        <w:t>□ 适用 √</w:t>
      </w:r>
      <w:r>
        <w:rPr>
          <w:spacing w:val="3"/>
        </w:rPr>
        <w:t> </w:t>
      </w:r>
      <w:r>
        <w:rPr/>
        <w:t>不适用</w:t>
      </w:r>
      <w:r>
        <w:rPr/>
        <w:t> 股份变动的批准情况</w:t>
      </w:r>
    </w:p>
    <w:p>
      <w:pPr>
        <w:pStyle w:val="BodyText"/>
        <w:spacing w:line="360" w:lineRule="auto" w:before="25"/>
        <w:ind w:left="672" w:right="8694"/>
        <w:jc w:val="left"/>
      </w:pPr>
      <w:r>
        <w:rPr/>
        <w:t>□ 适用 √</w:t>
      </w:r>
      <w:r>
        <w:rPr>
          <w:spacing w:val="3"/>
        </w:rPr>
        <w:t> </w:t>
      </w:r>
      <w:r>
        <w:rPr/>
        <w:t>不适用</w:t>
      </w:r>
      <w:r>
        <w:rPr/>
        <w:t> 股份变动的过户情况</w:t>
      </w:r>
    </w:p>
    <w:p>
      <w:pPr>
        <w:pStyle w:val="BodyText"/>
        <w:spacing w:line="357" w:lineRule="auto" w:before="27"/>
        <w:ind w:left="672" w:right="95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60" w:lineRule="auto" w:before="29"/>
        <w:ind w:left="672" w:right="6354"/>
        <w:jc w:val="left"/>
      </w:pPr>
      <w:r>
        <w:rPr/>
        <w:t>□ 适用 √</w:t>
      </w:r>
      <w:r>
        <w:rPr>
          <w:spacing w:val="3"/>
        </w:rPr>
        <w:t> </w:t>
      </w:r>
      <w:r>
        <w:rPr/>
        <w:t>不适用</w:t>
      </w:r>
      <w:r>
        <w:rPr/>
        <w:t> 公司认为必要或证券监管机构要求披露的其他内容</w:t>
      </w:r>
    </w:p>
    <w:p>
      <w:pPr>
        <w:pStyle w:val="BodyText"/>
        <w:spacing w:line="240" w:lineRule="auto" w:before="25"/>
        <w:ind w:left="672" w:right="954"/>
        <w:jc w:val="left"/>
      </w:pPr>
      <w:r>
        <w:rPr/>
        <w:t>□ 适用 √</w:t>
      </w:r>
      <w:r>
        <w:rPr>
          <w:spacing w:val="3"/>
        </w:rPr>
        <w:t> </w:t>
      </w:r>
      <w:r>
        <w:rPr/>
        <w:t>不适用</w:t>
      </w:r>
    </w:p>
    <w:p>
      <w:pPr>
        <w:spacing w:line="240" w:lineRule="auto" w:before="7"/>
        <w:rPr>
          <w:rFonts w:ascii="宋体" w:hAnsi="宋体" w:cs="宋体" w:eastAsia="宋体" w:hint="default"/>
          <w:sz w:val="16"/>
          <w:szCs w:val="16"/>
        </w:rPr>
      </w:pPr>
    </w:p>
    <w:p>
      <w:pPr>
        <w:pStyle w:val="Heading8"/>
        <w:spacing w:line="240" w:lineRule="auto"/>
        <w:ind w:left="672" w:right="95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672" w:right="954"/>
        <w:jc w:val="left"/>
      </w:pPr>
      <w:r>
        <w:rPr/>
        <w:t>□ 适用 √</w:t>
      </w:r>
      <w:r>
        <w:rPr>
          <w:spacing w:val="3"/>
        </w:rPr>
        <w:t> </w:t>
      </w:r>
      <w:r>
        <w:rPr/>
        <w:t>不适用</w:t>
      </w:r>
    </w:p>
    <w:p>
      <w:pPr>
        <w:spacing w:line="240" w:lineRule="auto" w:before="3"/>
        <w:rPr>
          <w:rFonts w:ascii="宋体" w:hAnsi="宋体" w:cs="宋体" w:eastAsia="宋体" w:hint="default"/>
          <w:sz w:val="14"/>
          <w:szCs w:val="14"/>
        </w:rPr>
      </w:pPr>
    </w:p>
    <w:p>
      <w:pPr>
        <w:pStyle w:val="Heading5"/>
        <w:spacing w:line="240" w:lineRule="auto"/>
        <w:ind w:left="672" w:right="954"/>
        <w:jc w:val="left"/>
        <w:rPr>
          <w:b w:val="0"/>
          <w:bCs w:val="0"/>
        </w:rPr>
      </w:pPr>
      <w:r>
        <w:rPr/>
        <w:t>二、证券发行与上市情况</w:t>
      </w:r>
      <w:r>
        <w:rPr>
          <w:b w:val="0"/>
          <w:bCs w:val="0"/>
        </w:rPr>
      </w:r>
    </w:p>
    <w:p>
      <w:pPr>
        <w:pStyle w:val="Heading8"/>
        <w:spacing w:line="240" w:lineRule="auto" w:before="186"/>
        <w:ind w:left="672" w:right="95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672" w:right="954"/>
        <w:jc w:val="left"/>
      </w:pPr>
      <w:r>
        <w:rPr/>
        <w:t>□ 适用 √</w:t>
      </w:r>
      <w:r>
        <w:rPr>
          <w:spacing w:val="3"/>
        </w:rPr>
        <w:t> </w:t>
      </w:r>
      <w:r>
        <w:rPr/>
        <w:t>不适用</w:t>
      </w:r>
    </w:p>
    <w:p>
      <w:pPr>
        <w:spacing w:line="240" w:lineRule="auto" w:before="5"/>
        <w:rPr>
          <w:rFonts w:ascii="宋体" w:hAnsi="宋体" w:cs="宋体" w:eastAsia="宋体" w:hint="default"/>
          <w:sz w:val="16"/>
          <w:szCs w:val="16"/>
        </w:rPr>
      </w:pPr>
    </w:p>
    <w:p>
      <w:pPr>
        <w:pStyle w:val="Heading8"/>
        <w:spacing w:line="240" w:lineRule="auto"/>
        <w:ind w:left="672" w:right="95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672" w:right="954"/>
        <w:jc w:val="left"/>
      </w:pPr>
      <w:r>
        <w:rPr/>
        <w:t>□ 适用 √</w:t>
      </w:r>
      <w:r>
        <w:rPr>
          <w:spacing w:val="3"/>
        </w:rPr>
        <w:t> </w:t>
      </w:r>
      <w:r>
        <w:rPr/>
        <w:t>不适用</w:t>
      </w:r>
    </w:p>
    <w:p>
      <w:pPr>
        <w:spacing w:line="240" w:lineRule="auto" w:before="7"/>
        <w:rPr>
          <w:rFonts w:ascii="宋体" w:hAnsi="宋体" w:cs="宋体" w:eastAsia="宋体" w:hint="default"/>
          <w:sz w:val="16"/>
          <w:szCs w:val="16"/>
        </w:rPr>
      </w:pPr>
    </w:p>
    <w:p>
      <w:pPr>
        <w:pStyle w:val="Heading8"/>
        <w:spacing w:line="240" w:lineRule="auto"/>
        <w:ind w:left="672" w:right="95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left="672" w:right="954"/>
        <w:jc w:val="left"/>
      </w:pPr>
      <w:r>
        <w:rPr/>
        <w:t>□ 适用 √</w:t>
      </w:r>
      <w:r>
        <w:rPr>
          <w:spacing w:val="3"/>
        </w:rPr>
        <w:t> </w:t>
      </w:r>
      <w:r>
        <w:rPr/>
        <w:t>不适用</w:t>
      </w:r>
    </w:p>
    <w:p>
      <w:pPr>
        <w:spacing w:after="0" w:line="240" w:lineRule="auto"/>
        <w:jc w:val="left"/>
        <w:sectPr>
          <w:pgSz w:w="11910" w:h="16840"/>
          <w:pgMar w:header="877" w:footer="980" w:top="1100" w:bottom="1160" w:left="460" w:right="440"/>
        </w:sectPr>
      </w:pPr>
    </w:p>
    <w:p>
      <w:pPr>
        <w:spacing w:line="240" w:lineRule="auto" w:before="7"/>
        <w:rPr>
          <w:rFonts w:ascii="宋体" w:hAnsi="宋体" w:cs="宋体" w:eastAsia="宋体" w:hint="default"/>
          <w:sz w:val="19"/>
          <w:szCs w:val="19"/>
        </w:rPr>
      </w:pPr>
    </w:p>
    <w:p>
      <w:pPr>
        <w:pStyle w:val="Heading5"/>
        <w:spacing w:line="240" w:lineRule="auto" w:before="26"/>
        <w:ind w:left="452" w:right="0"/>
        <w:jc w:val="left"/>
        <w:rPr>
          <w:b w:val="0"/>
          <w:bCs w:val="0"/>
        </w:rPr>
      </w:pPr>
      <w:r>
        <w:rPr/>
        <w:t>三、股东和实际控制人情况</w:t>
      </w:r>
      <w:r>
        <w:rPr>
          <w:b w:val="0"/>
          <w:bCs w:val="0"/>
        </w:rPr>
      </w:r>
    </w:p>
    <w:p>
      <w:pPr>
        <w:pStyle w:val="Heading8"/>
        <w:spacing w:line="240" w:lineRule="auto" w:before="187"/>
        <w:ind w:left="45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11"/>
          <w:szCs w:val="11"/>
        </w:rPr>
      </w:pPr>
    </w:p>
    <w:p>
      <w:pPr>
        <w:pStyle w:val="BodyText"/>
        <w:spacing w:line="240" w:lineRule="auto" w:before="44"/>
        <w:ind w:left="0" w:right="451"/>
        <w:jc w:val="right"/>
      </w:pPr>
      <w:r>
        <w:rPr/>
        <w:t>单位：股</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88"/>
        <w:gridCol w:w="1278"/>
        <w:gridCol w:w="1286"/>
        <w:gridCol w:w="1058"/>
        <w:gridCol w:w="742"/>
        <w:gridCol w:w="326"/>
        <w:gridCol w:w="540"/>
        <w:gridCol w:w="530"/>
        <w:gridCol w:w="603"/>
        <w:gridCol w:w="720"/>
        <w:gridCol w:w="1150"/>
      </w:tblGrid>
      <w:tr>
        <w:trPr>
          <w:trHeight w:val="1303"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49"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81,674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 w:right="-3"/>
              <w:jc w:val="both"/>
              <w:rPr>
                <w:rFonts w:ascii="宋体" w:hAnsi="宋体" w:cs="宋体" w:eastAsia="宋体" w:hint="default"/>
                <w:sz w:val="18"/>
                <w:szCs w:val="18"/>
              </w:rPr>
            </w:pPr>
            <w:r>
              <w:rPr>
                <w:rFonts w:ascii="宋体" w:hAnsi="宋体" w:cs="宋体" w:eastAsia="宋体" w:hint="default"/>
                <w:sz w:val="18"/>
                <w:szCs w:val="18"/>
              </w:rPr>
              <w:t>年度报告披露日</w:t>
            </w:r>
            <w:r>
              <w:rPr>
                <w:rFonts w:ascii="宋体" w:hAnsi="宋体" w:cs="宋体" w:eastAsia="宋体" w:hint="default"/>
                <w:spacing w:val="-77"/>
                <w:sz w:val="18"/>
                <w:szCs w:val="18"/>
              </w:rPr>
              <w:t> </w:t>
            </w:r>
            <w:r>
              <w:rPr>
                <w:rFonts w:ascii="宋体" w:hAnsi="宋体" w:cs="宋体" w:eastAsia="宋体" w:hint="default"/>
                <w:sz w:val="18"/>
                <w:szCs w:val="18"/>
              </w:rPr>
              <w:t>前一个月末普通</w:t>
            </w:r>
            <w:r>
              <w:rPr>
                <w:rFonts w:ascii="宋体" w:hAnsi="宋体" w:cs="宋体" w:eastAsia="宋体" w:hint="default"/>
                <w:spacing w:val="-77"/>
                <w:sz w:val="18"/>
                <w:szCs w:val="18"/>
              </w:rPr>
              <w:t> </w:t>
            </w:r>
            <w:r>
              <w:rPr>
                <w:rFonts w:ascii="宋体" w:hAnsi="宋体" w:cs="宋体" w:eastAsia="宋体" w:hint="default"/>
                <w:sz w:val="18"/>
                <w:szCs w:val="18"/>
              </w:rPr>
              <w:t>股股东总数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119,289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户</w:t>
            </w:r>
          </w:p>
        </w:tc>
        <w:tc>
          <w:tcPr>
            <w:tcW w:w="1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2" w:right="-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9"/>
              <w:ind w:left="-1" w:right="51"/>
              <w:jc w:val="both"/>
              <w:rPr>
                <w:rFonts w:ascii="宋体" w:hAnsi="宋体" w:cs="宋体" w:eastAsia="宋体" w:hint="default"/>
                <w:sz w:val="18"/>
                <w:szCs w:val="18"/>
              </w:rPr>
            </w:pPr>
            <w:r>
              <w:rPr>
                <w:rFonts w:ascii="宋体" w:hAnsi="宋体" w:cs="宋体" w:eastAsia="宋体" w:hint="default"/>
                <w:sz w:val="18"/>
                <w:szCs w:val="18"/>
              </w:rPr>
              <w:t>年度报告披露日 前一个月末表决 权恢复的优先股 股东总数</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103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361" w:hRule="exact"/>
        </w:trPr>
        <w:tc>
          <w:tcPr>
            <w:tcW w:w="2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64" w:right="6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9"/>
              <w:ind w:left="106" w:right="84"/>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0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5" w:hRule="exact"/>
        </w:trPr>
        <w:tc>
          <w:tcPr>
            <w:tcW w:w="2088" w:type="dxa"/>
            <w:vMerge/>
            <w:tcBorders>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42" w:type="dxa"/>
            <w:vMerge/>
            <w:tcBorders>
              <w:left w:val="single" w:sz="4" w:space="0" w:color="000000"/>
              <w:bottom w:val="single" w:sz="4" w:space="0" w:color="000000"/>
              <w:right w:val="single" w:sz="4" w:space="0" w:color="000000"/>
            </w:tcBorders>
            <w:shd w:val="clear" w:color="auto" w:fill="D2D2D2"/>
          </w:tcPr>
          <w:p>
            <w:pPr/>
          </w:p>
        </w:tc>
        <w:tc>
          <w:tcPr>
            <w:tcW w:w="866"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0"/>
              <w:ind w:left="266" w:right="83"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7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53.92%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713,647,921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0</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713,647,921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2"/>
              <w:ind w:left="86" w:right="83"/>
              <w:jc w:val="left"/>
              <w:rPr>
                <w:rFonts w:ascii="宋体" w:hAnsi="宋体" w:cs="宋体" w:eastAsia="宋体" w:hint="default"/>
                <w:sz w:val="18"/>
                <w:szCs w:val="18"/>
              </w:rPr>
            </w:pPr>
            <w:r>
              <w:rPr>
                <w:rFonts w:ascii="宋体" w:hAnsi="宋体" w:cs="宋体" w:eastAsia="宋体" w:hint="default"/>
                <w:sz w:val="18"/>
                <w:szCs w:val="18"/>
              </w:rPr>
              <w:t>无质押 或冻结</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55"/>
              <w:ind w:right="123"/>
              <w:jc w:val="both"/>
              <w:rPr>
                <w:rFonts w:ascii="宋体" w:hAnsi="宋体" w:cs="宋体" w:eastAsia="宋体" w:hint="default"/>
                <w:sz w:val="15"/>
                <w:szCs w:val="15"/>
              </w:rPr>
            </w:pPr>
            <w:r>
              <w:rPr>
                <w:rFonts w:ascii="宋体" w:hAnsi="宋体" w:cs="宋体" w:eastAsia="宋体" w:hint="default"/>
                <w:spacing w:val="-2"/>
                <w:sz w:val="15"/>
                <w:szCs w:val="15"/>
              </w:rPr>
              <w:t>中国建设银行股份有限公司－</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博时互联网主题灵活配置混合</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型证券投资基金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0.43%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5,699,882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03" w:right="0"/>
              <w:jc w:val="left"/>
              <w:rPr>
                <w:rFonts w:ascii="Times New Roman" w:hAnsi="Times New Roman" w:cs="Times New Roman" w:eastAsia="Times New Roman" w:hint="default"/>
                <w:sz w:val="18"/>
                <w:szCs w:val="18"/>
              </w:rPr>
            </w:pPr>
            <w:r>
              <w:rPr>
                <w:rFonts w:ascii="Times New Roman"/>
                <w:sz w:val="18"/>
              </w:rPr>
              <w:t>5,699,882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0.39%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5,213,733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03" w:right="0"/>
              <w:jc w:val="left"/>
              <w:rPr>
                <w:rFonts w:ascii="Times New Roman" w:hAnsi="Times New Roman" w:cs="Times New Roman" w:eastAsia="Times New Roman" w:hint="default"/>
                <w:sz w:val="18"/>
                <w:szCs w:val="18"/>
              </w:rPr>
            </w:pPr>
            <w:r>
              <w:rPr>
                <w:rFonts w:ascii="Times New Roman"/>
                <w:sz w:val="18"/>
              </w:rPr>
              <w:t>5,213,733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曹芳</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0.31%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4,086,680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03" w:right="0"/>
              <w:jc w:val="left"/>
              <w:rPr>
                <w:rFonts w:ascii="Times New Roman" w:hAnsi="Times New Roman" w:cs="Times New Roman" w:eastAsia="Times New Roman" w:hint="default"/>
                <w:sz w:val="18"/>
                <w:szCs w:val="18"/>
              </w:rPr>
            </w:pPr>
            <w:r>
              <w:rPr>
                <w:rFonts w:ascii="Times New Roman"/>
                <w:sz w:val="18"/>
              </w:rPr>
              <w:t>4,086,680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钱小鹏</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0.30%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3,928,576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03" w:right="0"/>
              <w:jc w:val="left"/>
              <w:rPr>
                <w:rFonts w:ascii="Times New Roman" w:hAnsi="Times New Roman" w:cs="Times New Roman" w:eastAsia="Times New Roman" w:hint="default"/>
                <w:sz w:val="18"/>
                <w:szCs w:val="18"/>
              </w:rPr>
            </w:pPr>
            <w:r>
              <w:rPr>
                <w:rFonts w:ascii="Times New Roman"/>
                <w:sz w:val="18"/>
              </w:rPr>
              <w:t>3,928,576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67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55"/>
              <w:ind w:right="123"/>
              <w:jc w:val="left"/>
              <w:rPr>
                <w:rFonts w:ascii="宋体" w:hAnsi="宋体" w:cs="宋体" w:eastAsia="宋体" w:hint="default"/>
                <w:sz w:val="15"/>
                <w:szCs w:val="15"/>
              </w:rPr>
            </w:pPr>
            <w:r>
              <w:rPr>
                <w:rFonts w:ascii="宋体" w:hAnsi="宋体" w:cs="宋体" w:eastAsia="宋体" w:hint="default"/>
                <w:spacing w:val="-2"/>
                <w:sz w:val="15"/>
                <w:szCs w:val="15"/>
              </w:rPr>
              <w:t>云南国际信托有限公司－融资</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宝集合资金信托计划</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3,730,000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3,730,000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0.28%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3,720,162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3" w:right="0"/>
              <w:jc w:val="left"/>
              <w:rPr>
                <w:rFonts w:ascii="Times New Roman" w:hAnsi="Times New Roman" w:cs="Times New Roman" w:eastAsia="Times New Roman" w:hint="default"/>
                <w:sz w:val="18"/>
                <w:szCs w:val="18"/>
              </w:rPr>
            </w:pPr>
            <w:r>
              <w:rPr>
                <w:rFonts w:ascii="Times New Roman"/>
                <w:sz w:val="18"/>
              </w:rPr>
              <w:t>3,720,162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67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9"/>
              <w:ind w:right="96"/>
              <w:jc w:val="left"/>
              <w:rPr>
                <w:rFonts w:ascii="宋体" w:hAnsi="宋体" w:cs="宋体" w:eastAsia="宋体" w:hint="default"/>
                <w:sz w:val="18"/>
                <w:szCs w:val="18"/>
              </w:rPr>
            </w:pPr>
            <w:r>
              <w:rPr>
                <w:rFonts w:ascii="宋体" w:hAnsi="宋体" w:cs="宋体" w:eastAsia="宋体" w:hint="default"/>
                <w:sz w:val="18"/>
                <w:szCs w:val="18"/>
              </w:rPr>
              <w:t>深圳市华泰信投资管理有 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3,481,558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3,481,558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马瑛</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0.26%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3,422,651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03" w:right="0"/>
              <w:jc w:val="left"/>
              <w:rPr>
                <w:rFonts w:ascii="Times New Roman" w:hAnsi="Times New Roman" w:cs="Times New Roman" w:eastAsia="Times New Roman" w:hint="default"/>
                <w:sz w:val="18"/>
                <w:szCs w:val="18"/>
              </w:rPr>
            </w:pPr>
            <w:r>
              <w:rPr>
                <w:rFonts w:ascii="Times New Roman"/>
                <w:sz w:val="18"/>
              </w:rPr>
              <w:t>3,422,651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李世柳</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0.25%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3,346,297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03" w:right="0"/>
              <w:jc w:val="left"/>
              <w:rPr>
                <w:rFonts w:ascii="Times New Roman" w:hAnsi="Times New Roman" w:cs="Times New Roman" w:eastAsia="Times New Roman" w:hint="default"/>
                <w:sz w:val="18"/>
                <w:szCs w:val="18"/>
              </w:rPr>
            </w:pPr>
            <w:r>
              <w:rPr>
                <w:rFonts w:ascii="Times New Roman"/>
                <w:sz w:val="18"/>
              </w:rPr>
              <w:t>3,346,297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674"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名股东的情况（如有）</w:t>
            </w:r>
          </w:p>
        </w:tc>
        <w:tc>
          <w:tcPr>
            <w:tcW w:w="695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3"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56"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1" w:right="1" w:firstLine="360"/>
              <w:jc w:val="left"/>
              <w:rPr>
                <w:rFonts w:ascii="宋体" w:hAnsi="宋体" w:cs="宋体" w:eastAsia="宋体" w:hint="default"/>
                <w:sz w:val="18"/>
                <w:szCs w:val="18"/>
              </w:rPr>
            </w:pPr>
            <w:r>
              <w:rPr>
                <w:rFonts w:ascii="宋体" w:hAnsi="宋体" w:cs="宋体" w:eastAsia="宋体" w:hint="default"/>
                <w:spacing w:val="-3"/>
                <w:sz w:val="18"/>
                <w:szCs w:val="18"/>
              </w:rPr>
              <w:t>公司第一大股东长城科技与其它股东不存在关联关系和一致行动人；公司未知其它股</w:t>
            </w:r>
            <w:r>
              <w:rPr>
                <w:rFonts w:ascii="宋体" w:hAnsi="宋体" w:cs="宋体" w:eastAsia="宋体" w:hint="default"/>
                <w:sz w:val="18"/>
                <w:szCs w:val="18"/>
              </w:rPr>
              <w:t> 东之间是否存在关联关系，也未知其是否属于一致行动人。</w:t>
            </w:r>
          </w:p>
        </w:tc>
      </w:tr>
      <w:tr>
        <w:trPr>
          <w:trHeight w:val="361" w:hRule="exact"/>
        </w:trPr>
        <w:tc>
          <w:tcPr>
            <w:tcW w:w="103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62" w:hRule="exact"/>
        </w:trPr>
        <w:tc>
          <w:tcPr>
            <w:tcW w:w="33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5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63" w:hRule="exact"/>
        </w:trPr>
        <w:tc>
          <w:tcPr>
            <w:tcW w:w="3366" w:type="dxa"/>
            <w:gridSpan w:val="2"/>
            <w:vMerge/>
            <w:tcBorders>
              <w:left w:val="single" w:sz="4" w:space="0" w:color="000000"/>
              <w:bottom w:val="single" w:sz="4" w:space="0" w:color="000000"/>
              <w:right w:val="single" w:sz="4" w:space="0" w:color="000000"/>
            </w:tcBorders>
            <w:shd w:val="clear" w:color="auto" w:fill="D2D2D2"/>
          </w:tcPr>
          <w:p>
            <w:pPr/>
          </w:p>
        </w:tc>
        <w:tc>
          <w:tcPr>
            <w:tcW w:w="3953" w:type="dxa"/>
            <w:gridSpan w:val="5"/>
            <w:vMerge/>
            <w:tcBorders>
              <w:left w:val="single" w:sz="4" w:space="0" w:color="000000"/>
              <w:bottom w:val="single" w:sz="4" w:space="0" w:color="000000"/>
              <w:right w:val="single" w:sz="4" w:space="0" w:color="000000"/>
            </w:tcBorders>
            <w:shd w:val="clear" w:color="auto" w:fill="D2D2D2"/>
          </w:tcPr>
          <w:p>
            <w:pPr/>
          </w:p>
        </w:tc>
        <w:tc>
          <w:tcPr>
            <w:tcW w:w="1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6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62"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3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713,647,921</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713,647,921</w:t>
            </w:r>
          </w:p>
        </w:tc>
      </w:tr>
      <w:tr>
        <w:trPr>
          <w:trHeight w:val="674"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right="114"/>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中国建设银行股份有限公司－博时互联网 主题灵活配置混合型证券投资基金</w:t>
            </w:r>
          </w:p>
        </w:tc>
        <w:tc>
          <w:tcPr>
            <w:tcW w:w="3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5,699,882</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5,699,882</w:t>
            </w:r>
          </w:p>
        </w:tc>
      </w:tr>
      <w:tr>
        <w:trPr>
          <w:trHeight w:val="360"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3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5,213,733</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5,213,733</w:t>
            </w:r>
          </w:p>
        </w:tc>
      </w:tr>
      <w:tr>
        <w:trPr>
          <w:trHeight w:val="362" w:hRule="exact"/>
        </w:trPr>
        <w:tc>
          <w:tcPr>
            <w:tcW w:w="3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曹芳</w:t>
            </w:r>
          </w:p>
        </w:tc>
        <w:tc>
          <w:tcPr>
            <w:tcW w:w="39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4,086,680</w:t>
            </w:r>
          </w:p>
        </w:tc>
        <w:tc>
          <w:tcPr>
            <w:tcW w:w="1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8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pacing w:val="-1"/>
                <w:sz w:val="18"/>
              </w:rPr>
              <w:t>4,086,680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680" w:right="680"/>
        </w:sectPr>
      </w:pPr>
    </w:p>
    <w:p>
      <w:pPr>
        <w:spacing w:line="240" w:lineRule="auto" w:before="8"/>
        <w:rPr>
          <w:rFonts w:ascii="宋体" w:hAnsi="宋体" w:cs="宋体" w:eastAsia="宋体" w:hint="default"/>
          <w:sz w:val="24"/>
          <w:szCs w:val="24"/>
        </w:rPr>
      </w:pPr>
    </w:p>
    <w:tbl>
      <w:tblPr>
        <w:tblW w:w="0" w:type="auto"/>
        <w:jc w:val="left"/>
        <w:tblInd w:w="307" w:type="dxa"/>
        <w:tblLayout w:type="fixed"/>
        <w:tblCellMar>
          <w:top w:w="0" w:type="dxa"/>
          <w:left w:w="0" w:type="dxa"/>
          <w:bottom w:w="0" w:type="dxa"/>
          <w:right w:w="0" w:type="dxa"/>
        </w:tblCellMar>
        <w:tblLook w:val="01E0"/>
      </w:tblPr>
      <w:tblGrid>
        <w:gridCol w:w="3366"/>
        <w:gridCol w:w="3953"/>
        <w:gridCol w:w="1853"/>
        <w:gridCol w:w="1150"/>
      </w:tblGrid>
      <w:tr>
        <w:trPr>
          <w:trHeight w:val="36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钱小鹏</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3,928,576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3,928,576</w:t>
            </w:r>
          </w:p>
        </w:tc>
      </w:tr>
      <w:tr>
        <w:trPr>
          <w:trHeight w:val="675"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0"/>
              <w:ind w:right="114"/>
              <w:jc w:val="left"/>
              <w:rPr>
                <w:rFonts w:ascii="宋体" w:hAnsi="宋体" w:cs="宋体" w:eastAsia="宋体" w:hint="default"/>
                <w:sz w:val="18"/>
                <w:szCs w:val="18"/>
              </w:rPr>
            </w:pPr>
            <w:r>
              <w:rPr>
                <w:rFonts w:ascii="宋体" w:hAnsi="宋体" w:cs="宋体" w:eastAsia="宋体" w:hint="default"/>
                <w:sz w:val="18"/>
                <w:szCs w:val="18"/>
              </w:rPr>
              <w:t>云南国际信托有限公司－融资宝集合资金 信托计划</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3,730,000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3,730,000</w:t>
            </w:r>
          </w:p>
        </w:tc>
      </w:tr>
      <w:tr>
        <w:trPr>
          <w:trHeight w:val="36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3,720,162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3,720,162</w:t>
            </w:r>
          </w:p>
        </w:tc>
      </w:tr>
      <w:tr>
        <w:trPr>
          <w:trHeight w:val="36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深圳市华泰信投资管理有限公司</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3,481,558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pacing w:val="-1"/>
                <w:sz w:val="18"/>
              </w:rPr>
              <w:t>3,481,558</w:t>
            </w:r>
          </w:p>
        </w:tc>
      </w:tr>
      <w:tr>
        <w:trPr>
          <w:trHeight w:val="36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马瑛</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3,422,651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3,422,651</w:t>
            </w:r>
          </w:p>
        </w:tc>
      </w:tr>
      <w:tr>
        <w:trPr>
          <w:trHeight w:val="36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李世柳</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3,346,297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8"/>
                <w:szCs w:val="18"/>
              </w:rPr>
            </w:pPr>
            <w:r>
              <w:rPr>
                <w:rFonts w:ascii="Times New Roman"/>
                <w:spacing w:val="-1"/>
                <w:sz w:val="18"/>
              </w:rPr>
              <w:t>3,346,297</w:t>
            </w:r>
          </w:p>
        </w:tc>
      </w:tr>
      <w:tr>
        <w:trPr>
          <w:trHeight w:val="986"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302" w:lineRule="auto" w:before="60"/>
              <w:ind w:right="22"/>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 w:right="1" w:firstLine="360"/>
              <w:jc w:val="left"/>
              <w:rPr>
                <w:rFonts w:ascii="宋体" w:hAnsi="宋体" w:cs="宋体" w:eastAsia="宋体" w:hint="default"/>
                <w:sz w:val="18"/>
                <w:szCs w:val="18"/>
              </w:rPr>
            </w:pPr>
            <w:r>
              <w:rPr>
                <w:rFonts w:ascii="宋体" w:hAnsi="宋体" w:cs="宋体" w:eastAsia="宋体" w:hint="default"/>
                <w:spacing w:val="-3"/>
                <w:sz w:val="18"/>
                <w:szCs w:val="18"/>
              </w:rPr>
              <w:t>公司第一大股东长城科技与其它股东不存在关联关系和一致行动人；公司未知其它股</w:t>
            </w:r>
            <w:r>
              <w:rPr>
                <w:rFonts w:ascii="宋体" w:hAnsi="宋体" w:cs="宋体" w:eastAsia="宋体" w:hint="default"/>
                <w:sz w:val="18"/>
                <w:szCs w:val="18"/>
              </w:rPr>
              <w:t> 东之间是否存在关联关系，也未知其是否属于一致行动人。</w:t>
            </w:r>
          </w:p>
        </w:tc>
      </w:tr>
      <w:tr>
        <w:trPr>
          <w:trHeight w:val="3754"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62"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 </w:t>
            </w:r>
            <w:r>
              <w:rPr>
                <w:rFonts w:ascii="宋体" w:hAnsi="宋体" w:cs="宋体" w:eastAsia="宋体" w:hint="default"/>
                <w:spacing w:val="2"/>
                <w:sz w:val="18"/>
                <w:szCs w:val="18"/>
              </w:rPr>
              <w:t>曹芳通过中原证券股份有限公司客户信用交易担保证券账户持有公司股票</w:t>
            </w:r>
            <w:r>
              <w:rPr>
                <w:rFonts w:ascii="Times New Roman" w:hAnsi="Times New Roman" w:cs="Times New Roman" w:eastAsia="Times New Roman" w:hint="default"/>
                <w:spacing w:val="2"/>
                <w:sz w:val="18"/>
                <w:szCs w:val="18"/>
              </w:rPr>
              <w:t>4,073,580</w:t>
            </w:r>
          </w:p>
          <w:p>
            <w:pPr>
              <w:pStyle w:val="TableParagraph"/>
              <w:spacing w:line="300" w:lineRule="auto"/>
              <w:ind w:left="362" w:right="3" w:hanging="360"/>
              <w:jc w:val="left"/>
              <w:rPr>
                <w:rFonts w:ascii="宋体" w:hAnsi="宋体" w:cs="宋体" w:eastAsia="宋体" w:hint="default"/>
                <w:sz w:val="18"/>
                <w:szCs w:val="18"/>
              </w:rPr>
            </w:pP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13,100</w:t>
            </w:r>
            <w:r>
              <w:rPr>
                <w:rFonts w:ascii="宋体" w:hAnsi="宋体" w:cs="宋体" w:eastAsia="宋体" w:hint="default"/>
                <w:sz w:val="18"/>
                <w:szCs w:val="18"/>
              </w:rPr>
              <w:t>股，实际合计持有</w:t>
            </w:r>
            <w:r>
              <w:rPr>
                <w:rFonts w:ascii="Times New Roman" w:hAnsi="Times New Roman" w:cs="Times New Roman" w:eastAsia="Times New Roman" w:hint="default"/>
                <w:sz w:val="18"/>
                <w:szCs w:val="18"/>
              </w:rPr>
              <w:t>4,086,680</w:t>
            </w:r>
            <w:r>
              <w:rPr>
                <w:rFonts w:ascii="宋体" w:hAnsi="宋体" w:cs="宋体" w:eastAsia="宋体" w:hint="default"/>
                <w:sz w:val="18"/>
                <w:szCs w:val="18"/>
              </w:rPr>
              <w:t>股。 </w:t>
            </w:r>
            <w:r>
              <w:rPr>
                <w:rFonts w:ascii="宋体" w:hAnsi="宋体" w:cs="宋体" w:eastAsia="宋体" w:hint="default"/>
                <w:spacing w:val="19"/>
                <w:sz w:val="18"/>
                <w:szCs w:val="18"/>
              </w:rPr>
              <w:t>钱小鹏通过首创证券有限责任公司客户信用交易担保证券账户持有公司股票</w:t>
            </w:r>
          </w:p>
          <w:p>
            <w:pPr>
              <w:pStyle w:val="TableParagraph"/>
              <w:spacing w:line="300" w:lineRule="auto" w:before="31"/>
              <w:ind w:left="362" w:right="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3,925,376</w:t>
            </w: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3,200</w:t>
            </w:r>
            <w:r>
              <w:rPr>
                <w:rFonts w:ascii="宋体" w:hAnsi="宋体" w:cs="宋体" w:eastAsia="宋体" w:hint="default"/>
                <w:sz w:val="18"/>
                <w:szCs w:val="18"/>
              </w:rPr>
              <w:t>股，实际合计持有</w:t>
            </w:r>
            <w:r>
              <w:rPr>
                <w:rFonts w:ascii="Times New Roman" w:hAnsi="Times New Roman" w:cs="Times New Roman" w:eastAsia="Times New Roman" w:hint="default"/>
                <w:sz w:val="18"/>
                <w:szCs w:val="18"/>
              </w:rPr>
              <w:t>3,928,576</w:t>
            </w:r>
            <w:r>
              <w:rPr>
                <w:rFonts w:ascii="宋体" w:hAnsi="宋体" w:cs="宋体" w:eastAsia="宋体" w:hint="default"/>
                <w:sz w:val="18"/>
                <w:szCs w:val="18"/>
              </w:rPr>
              <w:t>股。 </w:t>
            </w:r>
            <w:r>
              <w:rPr>
                <w:rFonts w:ascii="宋体" w:hAnsi="宋体" w:cs="宋体" w:eastAsia="宋体" w:hint="default"/>
                <w:spacing w:val="2"/>
                <w:sz w:val="18"/>
                <w:szCs w:val="18"/>
              </w:rPr>
              <w:t>深圳市华泰信投资管理有限公司通过中信证券股份有限公司客户信用交易担保证券</w:t>
            </w:r>
          </w:p>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账户持有公司股票</w:t>
            </w:r>
            <w:r>
              <w:rPr>
                <w:rFonts w:ascii="Times New Roman" w:hAnsi="Times New Roman" w:cs="Times New Roman" w:eastAsia="Times New Roman" w:hint="default"/>
                <w:sz w:val="18"/>
                <w:szCs w:val="18"/>
              </w:rPr>
              <w:t>2,253,385</w:t>
            </w: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1,228,173</w:t>
            </w:r>
            <w:r>
              <w:rPr>
                <w:rFonts w:ascii="宋体" w:hAnsi="宋体" w:cs="宋体" w:eastAsia="宋体" w:hint="default"/>
                <w:sz w:val="18"/>
                <w:szCs w:val="18"/>
              </w:rPr>
              <w:t>股，实际合计持有</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3,481,558</w:t>
            </w:r>
            <w:r>
              <w:rPr>
                <w:rFonts w:ascii="宋体" w:hAnsi="宋体" w:cs="宋体" w:eastAsia="宋体" w:hint="default"/>
                <w:sz w:val="18"/>
                <w:szCs w:val="18"/>
              </w:rPr>
              <w:t>股。</w:t>
            </w:r>
          </w:p>
          <w:p>
            <w:pPr>
              <w:pStyle w:val="TableParagraph"/>
              <w:spacing w:line="240" w:lineRule="auto" w:before="63"/>
              <w:ind w:left="362" w:right="0"/>
              <w:jc w:val="left"/>
              <w:rPr>
                <w:rFonts w:ascii="宋体" w:hAnsi="宋体" w:cs="宋体" w:eastAsia="宋体" w:hint="default"/>
                <w:sz w:val="18"/>
                <w:szCs w:val="18"/>
              </w:rPr>
            </w:pPr>
            <w:r>
              <w:rPr>
                <w:rFonts w:ascii="宋体" w:hAnsi="宋体" w:cs="宋体" w:eastAsia="宋体" w:hint="default"/>
                <w:spacing w:val="13"/>
                <w:sz w:val="18"/>
                <w:szCs w:val="18"/>
              </w:rPr>
              <w:t>马瑛通过国泰君安证券股份有限公司客户信用交易担保证券账户持有公司股票</w:t>
            </w:r>
          </w:p>
          <w:p>
            <w:pPr>
              <w:pStyle w:val="TableParagraph"/>
              <w:spacing w:line="300" w:lineRule="auto" w:before="76"/>
              <w:ind w:left="362" w:right="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3,407,651</w:t>
            </w: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15,000</w:t>
            </w:r>
            <w:r>
              <w:rPr>
                <w:rFonts w:ascii="宋体" w:hAnsi="宋体" w:cs="宋体" w:eastAsia="宋体" w:hint="default"/>
                <w:sz w:val="18"/>
                <w:szCs w:val="18"/>
              </w:rPr>
              <w:t>股，实际合计持有</w:t>
            </w:r>
            <w:r>
              <w:rPr>
                <w:rFonts w:ascii="Times New Roman" w:hAnsi="Times New Roman" w:cs="Times New Roman" w:eastAsia="Times New Roman" w:hint="default"/>
                <w:sz w:val="18"/>
                <w:szCs w:val="18"/>
              </w:rPr>
              <w:t>3,422,651</w:t>
            </w:r>
            <w:r>
              <w:rPr>
                <w:rFonts w:ascii="宋体" w:hAnsi="宋体" w:cs="宋体" w:eastAsia="宋体" w:hint="default"/>
                <w:sz w:val="18"/>
                <w:szCs w:val="18"/>
              </w:rPr>
              <w:t>股。 </w:t>
            </w:r>
            <w:r>
              <w:rPr>
                <w:rFonts w:ascii="宋体" w:hAnsi="宋体" w:cs="宋体" w:eastAsia="宋体" w:hint="default"/>
                <w:spacing w:val="19"/>
                <w:sz w:val="18"/>
                <w:szCs w:val="18"/>
              </w:rPr>
              <w:t>李世柳通过国信证券股份有限公司客户信用交易担保证券账户持有公司股票</w:t>
            </w:r>
          </w:p>
          <w:p>
            <w:pPr>
              <w:pStyle w:val="TableParagraph"/>
              <w:spacing w:line="240" w:lineRule="auto" w:before="3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3,099,197</w:t>
            </w: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2,47,100</w:t>
            </w:r>
            <w:r>
              <w:rPr>
                <w:rFonts w:ascii="宋体" w:hAnsi="宋体" w:cs="宋体" w:eastAsia="宋体" w:hint="default"/>
                <w:sz w:val="18"/>
                <w:szCs w:val="18"/>
              </w:rPr>
              <w:t>股，实际合计持有</w:t>
            </w:r>
            <w:r>
              <w:rPr>
                <w:rFonts w:ascii="Times New Roman" w:hAnsi="Times New Roman" w:cs="Times New Roman" w:eastAsia="Times New Roman" w:hint="default"/>
                <w:sz w:val="18"/>
                <w:szCs w:val="18"/>
              </w:rPr>
              <w:t>3,346,297</w:t>
            </w:r>
            <w:r>
              <w:rPr>
                <w:rFonts w:ascii="宋体" w:hAnsi="宋体" w:cs="宋体" w:eastAsia="宋体" w:hint="default"/>
                <w:sz w:val="18"/>
                <w:szCs w:val="18"/>
              </w:rPr>
              <w:t>股。</w:t>
            </w:r>
          </w:p>
        </w:tc>
      </w:tr>
    </w:tbl>
    <w:p>
      <w:pPr>
        <w:pStyle w:val="BodyText"/>
        <w:spacing w:line="240" w:lineRule="auto" w:before="49"/>
        <w:ind w:left="652" w:right="95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652" w:right="954"/>
        <w:jc w:val="left"/>
      </w:pPr>
      <w:r>
        <w:rPr/>
        <w:t>□ 是 √</w:t>
      </w:r>
      <w:r>
        <w:rPr>
          <w:spacing w:val="3"/>
        </w:rPr>
        <w:t> </w:t>
      </w:r>
      <w:r>
        <w:rPr/>
        <w:t>否</w:t>
      </w:r>
    </w:p>
    <w:p>
      <w:pPr>
        <w:pStyle w:val="BodyText"/>
        <w:spacing w:line="240" w:lineRule="auto" w:before="117"/>
        <w:ind w:left="1013" w:right="954"/>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7"/>
        <w:rPr>
          <w:rFonts w:ascii="宋体" w:hAnsi="宋体" w:cs="宋体" w:eastAsia="宋体" w:hint="default"/>
          <w:sz w:val="15"/>
          <w:szCs w:val="15"/>
        </w:rPr>
      </w:pPr>
    </w:p>
    <w:p>
      <w:pPr>
        <w:spacing w:line="381" w:lineRule="auto" w:before="0"/>
        <w:ind w:left="652" w:right="799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18"/>
          <w:szCs w:val="18"/>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104"/>
        <w:jc w:val="right"/>
      </w:pPr>
      <w:r>
        <w:rPr/>
        <w:pict>
          <v:shape style="position:absolute;margin-left:29.280001pt;margin-top:-61.56826pt;width:537pt;height:157.9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2"/>
                    <w:gridCol w:w="1069"/>
                    <w:gridCol w:w="1478"/>
                    <w:gridCol w:w="1925"/>
                    <w:gridCol w:w="3641"/>
                  </w:tblGrid>
                  <w:tr>
                    <w:trPr>
                      <w:trHeight w:val="634"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58"/>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79" w:right="53"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570"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777"/>
                          <w:jc w:val="righ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59"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9144030027953640XB</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17"/>
                          <w:jc w:val="left"/>
                          <w:rPr>
                            <w:rFonts w:ascii="宋体" w:hAnsi="宋体" w:cs="宋体" w:eastAsia="宋体" w:hint="default"/>
                            <w:sz w:val="18"/>
                            <w:szCs w:val="18"/>
                          </w:rPr>
                        </w:pPr>
                        <w:r>
                          <w:rPr>
                            <w:rFonts w:ascii="宋体" w:hAnsi="宋体" w:cs="宋体" w:eastAsia="宋体" w:hint="default"/>
                            <w:spacing w:val="8"/>
                            <w:sz w:val="18"/>
                            <w:szCs w:val="18"/>
                          </w:rPr>
                          <w:t>主要经营业务范围包括开发生产经营计算机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硬件、软件系统及其外部设备、通讯设备、电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子设备、仪表类电子产品机器零部件、元器件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0"/>
                            <w:w w:val="99"/>
                            <w:sz w:val="18"/>
                            <w:szCs w:val="18"/>
                          </w:rPr>
                          <w:t>接插件和原材料、网络系统开发；</w:t>
                        </w:r>
                        <w:r>
                          <w:rPr>
                            <w:rFonts w:ascii="Times New Roman" w:hAnsi="Times New Roman" w:cs="Times New Roman" w:eastAsia="Times New Roman" w:hint="default"/>
                            <w:spacing w:val="-10"/>
                            <w:w w:val="99"/>
                            <w:sz w:val="18"/>
                            <w:szCs w:val="18"/>
                          </w:rPr>
                          <w:t>GSM</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0"/>
                            <w:w w:val="99"/>
                            <w:sz w:val="18"/>
                            <w:szCs w:val="18"/>
                          </w:rPr>
                          <w:t>CDMA</w:t>
                        </w:r>
                        <w:r>
                          <w:rPr>
                            <w:rFonts w:ascii="Times New Roman" w:hAnsi="Times New Roman" w:cs="Times New Roman" w:eastAsia="Times New Roman" w:hint="default"/>
                            <w:spacing w:val="-42"/>
                            <w:w w:val="99"/>
                            <w:sz w:val="18"/>
                            <w:szCs w:val="18"/>
                          </w:rPr>
                          <w:t> </w:t>
                        </w:r>
                        <w:r>
                          <w:rPr>
                            <w:rFonts w:ascii="宋体" w:hAnsi="宋体" w:cs="宋体" w:eastAsia="宋体" w:hint="default"/>
                            <w:sz w:val="18"/>
                            <w:szCs w:val="18"/>
                          </w:rPr>
                          <w:t>手机生产；房屋租赁等。</w:t>
                        </w:r>
                      </w:p>
                    </w:tc>
                  </w:tr>
                  <w:tr>
                    <w:trPr>
                      <w:trHeight w:val="946"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57"/>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8114"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383" w:right="462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持有深科技</w:t>
                        </w:r>
                        <w:r>
                          <w:rPr>
                            <w:rFonts w:ascii="Times New Roman" w:hAnsi="Times New Roman" w:cs="Times New Roman" w:eastAsia="Times New Roman" w:hint="default"/>
                            <w:sz w:val="18"/>
                            <w:szCs w:val="18"/>
                          </w:rPr>
                          <w:t>(000021)44.51%</w:t>
                        </w:r>
                        <w:r>
                          <w:rPr>
                            <w:rFonts w:ascii="宋体" w:hAnsi="宋体" w:cs="宋体" w:eastAsia="宋体" w:hint="default"/>
                            <w:sz w:val="18"/>
                            <w:szCs w:val="18"/>
                          </w:rPr>
                          <w:t>股权</w:t>
                        </w:r>
                        <w:r>
                          <w:rPr>
                            <w:rFonts w:ascii="宋体" w:hAnsi="宋体" w:cs="宋体" w:eastAsia="宋体" w:hint="default"/>
                            <w:spacing w:val="-3"/>
                            <w:sz w:val="18"/>
                            <w:szCs w:val="18"/>
                          </w:rPr>
                          <w:t> </w:t>
                        </w:r>
                        <w:r>
                          <w:rPr>
                            <w:rFonts w:ascii="宋体" w:hAnsi="宋体" w:cs="宋体" w:eastAsia="宋体" w:hint="default"/>
                            <w:sz w:val="18"/>
                            <w:szCs w:val="18"/>
                          </w:rPr>
                          <w:t>持有昂纳科技集团</w:t>
                        </w:r>
                        <w:r>
                          <w:rPr>
                            <w:rFonts w:ascii="Times New Roman" w:hAnsi="Times New Roman" w:cs="Times New Roman" w:eastAsia="Times New Roman" w:hint="default"/>
                            <w:sz w:val="18"/>
                            <w:szCs w:val="18"/>
                          </w:rPr>
                          <w:t>(0877HK)27.00%</w:t>
                        </w:r>
                        <w:r>
                          <w:rPr>
                            <w:rFonts w:ascii="宋体" w:hAnsi="宋体" w:cs="宋体" w:eastAsia="宋体" w:hint="default"/>
                            <w:sz w:val="18"/>
                            <w:szCs w:val="18"/>
                          </w:rPr>
                          <w:t>股权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44"/>
        <w:ind w:left="652" w:right="954"/>
        <w:jc w:val="left"/>
      </w:pPr>
      <w:r>
        <w:rPr/>
        <w:t>控股股东报告期内变更</w:t>
      </w:r>
    </w:p>
    <w:p>
      <w:pPr>
        <w:pStyle w:val="BodyText"/>
        <w:spacing w:line="357" w:lineRule="auto" w:before="117"/>
        <w:ind w:left="1013" w:right="7273" w:hanging="361"/>
        <w:jc w:val="left"/>
      </w:pPr>
      <w:r>
        <w:rPr/>
        <w:t>□ 适用 √</w:t>
      </w:r>
      <w:r>
        <w:rPr>
          <w:spacing w:val="3"/>
        </w:rPr>
        <w:t> </w:t>
      </w:r>
      <w:r>
        <w:rPr/>
        <w:t>不适用</w:t>
      </w:r>
      <w:r>
        <w:rPr/>
        <w:t> 公司报告期控股股东未发生变更。</w:t>
      </w:r>
    </w:p>
    <w:p>
      <w:pPr>
        <w:spacing w:after="0" w:line="357" w:lineRule="auto"/>
        <w:jc w:val="left"/>
        <w:sectPr>
          <w:pgSz w:w="11910" w:h="16840"/>
          <w:pgMar w:header="877" w:footer="980" w:top="1100" w:bottom="1160" w:left="480" w:right="420"/>
        </w:sectPr>
      </w:pPr>
    </w:p>
    <w:p>
      <w:pPr>
        <w:spacing w:line="240" w:lineRule="auto" w:before="11"/>
        <w:rPr>
          <w:rFonts w:ascii="宋体" w:hAnsi="宋体" w:cs="宋体" w:eastAsia="宋体" w:hint="default"/>
          <w:sz w:val="20"/>
          <w:szCs w:val="20"/>
        </w:rPr>
      </w:pPr>
    </w:p>
    <w:p>
      <w:pPr>
        <w:pStyle w:val="Heading8"/>
        <w:spacing w:line="240" w:lineRule="auto" w:before="36"/>
        <w:ind w:left="652"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15"/>
          <w:szCs w:val="15"/>
        </w:rPr>
      </w:pPr>
    </w:p>
    <w:p>
      <w:pPr>
        <w:pStyle w:val="BodyText"/>
        <w:spacing w:line="357" w:lineRule="auto"/>
        <w:ind w:left="652" w:right="7474"/>
        <w:jc w:val="left"/>
      </w:pPr>
      <w:r>
        <w:rPr/>
        <w:t>实际控制人性质：中央国资管理机构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0" w:right="110"/>
        <w:jc w:val="right"/>
      </w:pPr>
      <w:r>
        <w:rPr/>
        <w:pict>
          <v:shape style="position:absolute;margin-left:29.52pt;margin-top:-83.168312pt;width:536.5pt;height:478.8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02"/>
                    <w:gridCol w:w="1066"/>
                    <w:gridCol w:w="1478"/>
                    <w:gridCol w:w="1928"/>
                    <w:gridCol w:w="3641"/>
                  </w:tblGrid>
                  <w:tr>
                    <w:trPr>
                      <w:trHeight w:val="713"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51"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10001024-9</w:t>
                        </w:r>
                      </w:p>
                    </w:tc>
                    <w:tc>
                      <w:tcPr>
                        <w:tcW w:w="3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电子原材料、电子元器件、电子仪器仪表、电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子整机产品、电子应用产品及应用系统、电子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专用设备、配套产品、软件的科研、开发、设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计、制造、产品配套销售；电子应用系统工程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建筑工程、通讯工程、水处理工程的总承包与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组织管理；环保和节能技术的开发、推广、应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用；房地产开发、经营；汽车、汽车零配件、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五金交电、照像器材、建筑材料、装饰材料、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服装的销售；承办展览；房屋修缮业务；咨询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服务、技术服务及转让；家用电器的维修与销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售。</w:t>
                        </w:r>
                      </w:p>
                    </w:tc>
                  </w:tr>
                  <w:tr>
                    <w:trPr>
                      <w:trHeight w:val="5331" w:hRule="exact"/>
                    </w:trPr>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right="70"/>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 境内外上市公司的股权情况</w:t>
                        </w:r>
                      </w:p>
                    </w:tc>
                    <w:tc>
                      <w:tcPr>
                        <w:tcW w:w="8114" w:type="dxa"/>
                        <w:gridSpan w:val="4"/>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359" w:right="4916"/>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持有上海贝岭</w:t>
                        </w:r>
                        <w:r>
                          <w:rPr>
                            <w:rFonts w:ascii="Times New Roman" w:hAnsi="Times New Roman" w:cs="Times New Roman" w:eastAsia="Times New Roman" w:hint="default"/>
                            <w:sz w:val="18"/>
                            <w:szCs w:val="18"/>
                          </w:rPr>
                          <w:t>(600171)26.45%</w:t>
                        </w:r>
                        <w:r>
                          <w:rPr>
                            <w:rFonts w:ascii="宋体" w:hAnsi="宋体" w:cs="宋体" w:eastAsia="宋体" w:hint="default"/>
                            <w:sz w:val="18"/>
                            <w:szCs w:val="18"/>
                          </w:rPr>
                          <w:t>股权 持有深桑达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A(000032)58.27%</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持有中电广通</w:t>
                        </w:r>
                        <w:r>
                          <w:rPr>
                            <w:rFonts w:ascii="Times New Roman" w:hAnsi="Times New Roman" w:cs="Times New Roman" w:eastAsia="Times New Roman" w:hint="default"/>
                            <w:sz w:val="18"/>
                            <w:szCs w:val="18"/>
                          </w:rPr>
                          <w:t>(600764)53.47%</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持有深科技</w:t>
                        </w:r>
                        <w:r>
                          <w:rPr>
                            <w:rFonts w:ascii="Times New Roman" w:hAnsi="Times New Roman" w:cs="Times New Roman" w:eastAsia="Times New Roman" w:hint="default"/>
                            <w:sz w:val="18"/>
                            <w:szCs w:val="18"/>
                          </w:rPr>
                          <w:t>(000021)44.51%</w:t>
                        </w:r>
                        <w:r>
                          <w:rPr>
                            <w:rFonts w:ascii="宋体" w:hAnsi="宋体" w:cs="宋体" w:eastAsia="宋体" w:hint="default"/>
                            <w:sz w:val="18"/>
                            <w:szCs w:val="18"/>
                          </w:rPr>
                          <w:t>股权</w:t>
                        </w:r>
                        <w:r>
                          <w:rPr>
                            <w:rFonts w:ascii="宋体" w:hAnsi="宋体" w:cs="宋体" w:eastAsia="宋体" w:hint="default"/>
                            <w:spacing w:val="-3"/>
                            <w:w w:val="99"/>
                            <w:sz w:val="18"/>
                            <w:szCs w:val="18"/>
                          </w:rPr>
                          <w:t> </w:t>
                        </w:r>
                        <w:r>
                          <w:rPr>
                            <w:rFonts w:ascii="宋体" w:hAnsi="宋体" w:cs="宋体" w:eastAsia="宋体" w:hint="default"/>
                            <w:sz w:val="18"/>
                            <w:szCs w:val="18"/>
                          </w:rPr>
                          <w:t>持有中国软件</w:t>
                        </w:r>
                        <w:r>
                          <w:rPr>
                            <w:rFonts w:ascii="Times New Roman" w:hAnsi="Times New Roman" w:cs="Times New Roman" w:eastAsia="Times New Roman" w:hint="default"/>
                            <w:sz w:val="18"/>
                            <w:szCs w:val="18"/>
                          </w:rPr>
                          <w:t>(600536)45.13%</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持有长城信息</w:t>
                        </w:r>
                        <w:r>
                          <w:rPr>
                            <w:rFonts w:ascii="Times New Roman" w:hAnsi="Times New Roman" w:cs="Times New Roman" w:eastAsia="Times New Roman" w:hint="default"/>
                            <w:sz w:val="18"/>
                            <w:szCs w:val="18"/>
                          </w:rPr>
                          <w:t>(000748)20.58%</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持有华东科技</w:t>
                        </w:r>
                        <w:r>
                          <w:rPr>
                            <w:rFonts w:ascii="Times New Roman" w:hAnsi="Times New Roman" w:cs="Times New Roman" w:eastAsia="Times New Roman" w:hint="default"/>
                            <w:sz w:val="18"/>
                            <w:szCs w:val="18"/>
                          </w:rPr>
                          <w:t>(000727)28.11%</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持有南京熊猫</w:t>
                        </w:r>
                        <w:r>
                          <w:rPr>
                            <w:rFonts w:ascii="Times New Roman" w:hAnsi="Times New Roman" w:cs="Times New Roman" w:eastAsia="Times New Roman" w:hint="default"/>
                            <w:sz w:val="18"/>
                            <w:szCs w:val="18"/>
                          </w:rPr>
                          <w:t>(600775)28.10%</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持有振华科技</w:t>
                        </w:r>
                        <w:r>
                          <w:rPr>
                            <w:rFonts w:ascii="Times New Roman" w:hAnsi="Times New Roman" w:cs="Times New Roman" w:eastAsia="Times New Roman" w:hint="default"/>
                            <w:sz w:val="18"/>
                            <w:szCs w:val="18"/>
                          </w:rPr>
                          <w:t>(000733)36.13%</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持有彩虹股份</w:t>
                        </w:r>
                        <w:r>
                          <w:rPr>
                            <w:rFonts w:ascii="Times New Roman" w:hAnsi="Times New Roman" w:cs="Times New Roman" w:eastAsia="Times New Roman" w:hint="default"/>
                            <w:sz w:val="18"/>
                            <w:szCs w:val="18"/>
                          </w:rPr>
                          <w:t>(600707)29.40%</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持有中电控股</w:t>
                        </w:r>
                        <w:r>
                          <w:rPr>
                            <w:rFonts w:ascii="Times New Roman" w:hAnsi="Times New Roman" w:cs="Times New Roman" w:eastAsia="Times New Roman" w:hint="default"/>
                            <w:sz w:val="18"/>
                            <w:szCs w:val="18"/>
                          </w:rPr>
                          <w:t>(00085HK)59.42%</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持有冠捷科技</w:t>
                        </w:r>
                        <w:r>
                          <w:rPr>
                            <w:rFonts w:ascii="Times New Roman" w:hAnsi="Times New Roman" w:cs="Times New Roman" w:eastAsia="Times New Roman" w:hint="default"/>
                            <w:sz w:val="18"/>
                            <w:szCs w:val="18"/>
                          </w:rPr>
                          <w:t>(00903HK)37.05%</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持有晶门科技</w:t>
                        </w:r>
                        <w:r>
                          <w:rPr>
                            <w:rFonts w:ascii="Times New Roman" w:hAnsi="Times New Roman" w:cs="Times New Roman" w:eastAsia="Times New Roman" w:hint="default"/>
                            <w:sz w:val="18"/>
                            <w:szCs w:val="18"/>
                          </w:rPr>
                          <w:t>(02878HK)28.50%</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持有彩虹电子</w:t>
                        </w:r>
                        <w:r>
                          <w:rPr>
                            <w:rFonts w:ascii="Times New Roman" w:hAnsi="Times New Roman" w:cs="Times New Roman" w:eastAsia="Times New Roman" w:hint="default"/>
                            <w:sz w:val="18"/>
                            <w:szCs w:val="18"/>
                          </w:rPr>
                          <w:t>(00438HK)71.74%</w:t>
                        </w:r>
                        <w:r>
                          <w:rPr>
                            <w:rFonts w:ascii="宋体" w:hAnsi="宋体" w:cs="宋体" w:eastAsia="宋体" w:hint="default"/>
                            <w:sz w:val="18"/>
                            <w:szCs w:val="18"/>
                          </w:rPr>
                          <w:t>股权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4"/>
        <w:ind w:left="652" w:right="0"/>
        <w:jc w:val="left"/>
      </w:pPr>
      <w:r>
        <w:rPr/>
        <w:t>实际控制人报告期内变更</w:t>
      </w:r>
    </w:p>
    <w:p>
      <w:pPr>
        <w:pStyle w:val="BodyText"/>
        <w:spacing w:line="360" w:lineRule="auto" w:before="115"/>
        <w:ind w:left="1013" w:right="7113" w:hanging="361"/>
        <w:jc w:val="left"/>
      </w:pPr>
      <w:r>
        <w:rPr/>
        <w:t>□ 适用 √</w:t>
      </w:r>
      <w:r>
        <w:rPr>
          <w:spacing w:val="3"/>
        </w:rPr>
        <w:t> </w:t>
      </w:r>
      <w:r>
        <w:rPr/>
        <w:t>不适用</w:t>
      </w:r>
      <w:r>
        <w:rPr/>
        <w:t> 公司报告期实际控制人未发生变更。</w:t>
      </w:r>
    </w:p>
    <w:p>
      <w:pPr>
        <w:spacing w:after="0" w:line="360" w:lineRule="auto"/>
        <w:jc w:val="left"/>
        <w:sectPr>
          <w:pgSz w:w="11910" w:h="16840"/>
          <w:pgMar w:header="877" w:footer="980" w:top="1100" w:bottom="1160" w:left="480" w:right="400"/>
        </w:sectPr>
      </w:pPr>
    </w:p>
    <w:p>
      <w:pPr>
        <w:spacing w:line="240" w:lineRule="auto" w:before="11"/>
        <w:rPr>
          <w:rFonts w:ascii="宋体" w:hAnsi="宋体" w:cs="宋体" w:eastAsia="宋体" w:hint="default"/>
          <w:sz w:val="21"/>
          <w:szCs w:val="21"/>
        </w:rPr>
      </w:pPr>
    </w:p>
    <w:p>
      <w:pPr>
        <w:pStyle w:val="BodyText"/>
        <w:spacing w:line="240" w:lineRule="auto" w:before="44"/>
        <w:ind w:right="153"/>
        <w:jc w:val="left"/>
      </w:pPr>
      <w:r>
        <w:rPr/>
        <w:t>公司与实际控制人之间的产权及控制关系的方框图（截止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spacing w:line="240" w:lineRule="auto" w:before="3"/>
        <w:rPr>
          <w:rFonts w:ascii="宋体" w:hAnsi="宋体" w:cs="宋体" w:eastAsia="宋体" w:hint="default"/>
          <w:sz w:val="21"/>
          <w:szCs w:val="21"/>
        </w:rPr>
      </w:pPr>
    </w:p>
    <w:p>
      <w:pPr>
        <w:spacing w:line="4320" w:lineRule="exact"/>
        <w:ind w:left="1355"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90402" cy="27432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4590402" cy="2743200"/>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3"/>
        <w:rPr>
          <w:rFonts w:ascii="宋体" w:hAnsi="宋体" w:cs="宋体" w:eastAsia="宋体" w:hint="default"/>
          <w:sz w:val="17"/>
          <w:szCs w:val="17"/>
        </w:rPr>
      </w:pPr>
    </w:p>
    <w:p>
      <w:pPr>
        <w:pStyle w:val="BodyText"/>
        <w:spacing w:line="240" w:lineRule="auto"/>
        <w:ind w:right="153"/>
        <w:jc w:val="left"/>
      </w:pPr>
      <w:r>
        <w:rPr/>
        <w:t>实际控制人通过信托或其他资产管理方式控制公司</w:t>
      </w:r>
    </w:p>
    <w:p>
      <w:pPr>
        <w:pStyle w:val="BodyText"/>
        <w:spacing w:line="240" w:lineRule="auto" w:before="115"/>
        <w:ind w:right="153"/>
        <w:jc w:val="left"/>
      </w:pPr>
      <w:r>
        <w:rPr/>
        <w:t>□ 适用 √</w:t>
      </w:r>
      <w:r>
        <w:rPr>
          <w:spacing w:val="3"/>
        </w:rPr>
        <w:t> </w:t>
      </w:r>
      <w:r>
        <w:rPr/>
        <w:t>不适用</w:t>
      </w:r>
    </w:p>
    <w:p>
      <w:pPr>
        <w:spacing w:line="240" w:lineRule="auto" w:before="7"/>
        <w:rPr>
          <w:rFonts w:ascii="宋体" w:hAnsi="宋体" w:cs="宋体" w:eastAsia="宋体" w:hint="default"/>
          <w:sz w:val="16"/>
          <w:szCs w:val="16"/>
        </w:rPr>
      </w:pPr>
    </w:p>
    <w:p>
      <w:pPr>
        <w:pStyle w:val="Heading8"/>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153"/>
        <w:jc w:val="left"/>
      </w:pPr>
      <w:r>
        <w:rPr/>
        <w:t>□ 适用 √</w:t>
      </w:r>
      <w:r>
        <w:rPr>
          <w:spacing w:val="3"/>
        </w:rPr>
        <w:t> </w:t>
      </w:r>
      <w:r>
        <w:rPr/>
        <w:t>不适用</w:t>
      </w:r>
    </w:p>
    <w:p>
      <w:pPr>
        <w:spacing w:line="240" w:lineRule="auto" w:before="5"/>
        <w:rPr>
          <w:rFonts w:ascii="宋体" w:hAnsi="宋体" w:cs="宋体" w:eastAsia="宋体" w:hint="default"/>
          <w:sz w:val="16"/>
          <w:szCs w:val="16"/>
        </w:rPr>
      </w:pPr>
    </w:p>
    <w:p>
      <w:pPr>
        <w:pStyle w:val="Heading8"/>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Heading1"/>
        <w:spacing w:line="240" w:lineRule="auto"/>
        <w:ind w:left="3285" w:right="15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left="513" w:right="7253" w:hanging="361"/>
        <w:jc w:val="left"/>
      </w:pPr>
      <w:r>
        <w:rPr/>
        <w:t>□ 适用 √</w:t>
      </w:r>
      <w:r>
        <w:rPr>
          <w:spacing w:val="3"/>
        </w:rPr>
        <w:t> </w:t>
      </w:r>
      <w:r>
        <w:rPr/>
        <w:t>不适用</w:t>
      </w:r>
      <w:r>
        <w:rPr/>
        <w:t> 报告期公司不存在优先股。</w:t>
      </w:r>
    </w:p>
    <w:p>
      <w:pPr>
        <w:spacing w:after="0" w:line="360" w:lineRule="auto"/>
        <w:jc w:val="left"/>
        <w:sectPr>
          <w:pgSz w:w="11910" w:h="16840"/>
          <w:pgMar w:header="877" w:footer="980"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51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5"/>
        <w:spacing w:line="240" w:lineRule="auto"/>
        <w:ind w:left="992" w:right="0"/>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15"/>
          <w:szCs w:val="15"/>
        </w:rPr>
      </w:pPr>
    </w:p>
    <w:tbl>
      <w:tblPr>
        <w:tblW w:w="0" w:type="auto"/>
        <w:jc w:val="left"/>
        <w:tblInd w:w="111" w:type="dxa"/>
        <w:tblLayout w:type="fixed"/>
        <w:tblCellMar>
          <w:top w:w="0" w:type="dxa"/>
          <w:left w:w="0" w:type="dxa"/>
          <w:bottom w:w="0" w:type="dxa"/>
          <w:right w:w="0" w:type="dxa"/>
        </w:tblCellMar>
        <w:tblLook w:val="01E0"/>
      </w:tblPr>
      <w:tblGrid>
        <w:gridCol w:w="720"/>
        <w:gridCol w:w="1260"/>
        <w:gridCol w:w="540"/>
        <w:gridCol w:w="540"/>
        <w:gridCol w:w="540"/>
        <w:gridCol w:w="1441"/>
        <w:gridCol w:w="1491"/>
        <w:gridCol w:w="900"/>
        <w:gridCol w:w="1080"/>
        <w:gridCol w:w="1081"/>
        <w:gridCol w:w="900"/>
        <w:gridCol w:w="900"/>
      </w:tblGrid>
      <w:tr>
        <w:trPr>
          <w:trHeight w:val="715"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 w:right="-13" w:firstLine="84"/>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 w:right="-12" w:firstLine="84"/>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 w:right="-13" w:firstLine="84"/>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靳宏荣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31,680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吴列平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董事兼副总裁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蓝庆新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韩宗远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彭海朝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31,680</w:t>
            </w:r>
          </w:p>
        </w:tc>
      </w:tr>
    </w:tbl>
    <w:p>
      <w:pPr>
        <w:spacing w:line="240" w:lineRule="auto" w:before="3"/>
        <w:rPr>
          <w:rFonts w:ascii="宋体" w:hAnsi="宋体" w:cs="宋体" w:eastAsia="宋体" w:hint="default"/>
          <w:b/>
          <w:bCs/>
          <w:sz w:val="7"/>
          <w:szCs w:val="7"/>
        </w:rPr>
      </w:pPr>
    </w:p>
    <w:p>
      <w:pPr>
        <w:pStyle w:val="Heading5"/>
        <w:spacing w:line="240" w:lineRule="auto" w:before="26"/>
        <w:ind w:left="992" w:right="0"/>
        <w:jc w:val="left"/>
        <w:rPr>
          <w:b w:val="0"/>
          <w:bCs w:val="0"/>
        </w:rPr>
      </w:pPr>
      <w:r>
        <w:rPr/>
        <w:t>二、公司董事、监事、高级管理人员变动情况</w:t>
      </w:r>
      <w:r>
        <w:rPr>
          <w:b w:val="0"/>
          <w:bCs w:val="0"/>
        </w:rPr>
      </w:r>
    </w:p>
    <w:p>
      <w:pPr>
        <w:spacing w:line="240" w:lineRule="auto" w:before="3"/>
        <w:rPr>
          <w:rFonts w:ascii="宋体" w:hAnsi="宋体" w:cs="宋体" w:eastAsia="宋体" w:hint="default"/>
          <w:b/>
          <w:bCs/>
          <w:sz w:val="15"/>
          <w:szCs w:val="15"/>
        </w:rPr>
      </w:pPr>
    </w:p>
    <w:tbl>
      <w:tblPr>
        <w:tblW w:w="0" w:type="auto"/>
        <w:jc w:val="left"/>
        <w:tblInd w:w="1024" w:type="dxa"/>
        <w:tblLayout w:type="fixed"/>
        <w:tblCellMar>
          <w:top w:w="0" w:type="dxa"/>
          <w:left w:w="0" w:type="dxa"/>
          <w:bottom w:w="0" w:type="dxa"/>
          <w:right w:w="0" w:type="dxa"/>
        </w:tblCellMar>
        <w:tblLook w:val="01E0"/>
      </w:tblPr>
      <w:tblGrid>
        <w:gridCol w:w="1260"/>
        <w:gridCol w:w="1260"/>
        <w:gridCol w:w="1261"/>
        <w:gridCol w:w="1539"/>
        <w:gridCol w:w="4249"/>
      </w:tblGrid>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因退休原因辞职</w:t>
            </w: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辞任</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bl>
    <w:p>
      <w:pPr>
        <w:spacing w:line="240" w:lineRule="auto" w:before="3"/>
        <w:rPr>
          <w:rFonts w:ascii="宋体" w:hAnsi="宋体" w:cs="宋体" w:eastAsia="宋体" w:hint="default"/>
          <w:b/>
          <w:bCs/>
          <w:sz w:val="7"/>
          <w:szCs w:val="7"/>
        </w:rPr>
      </w:pPr>
    </w:p>
    <w:p>
      <w:pPr>
        <w:pStyle w:val="Heading5"/>
        <w:spacing w:line="240" w:lineRule="auto" w:before="26"/>
        <w:ind w:left="992" w:right="0"/>
        <w:jc w:val="left"/>
        <w:rPr>
          <w:b w:val="0"/>
          <w:bCs w:val="0"/>
        </w:rPr>
      </w:pPr>
      <w:r>
        <w:rPr/>
        <w:t>三、任职情况</w:t>
      </w:r>
      <w:r>
        <w:rPr>
          <w:b w:val="0"/>
          <w:bCs w:val="0"/>
        </w:rPr>
      </w:r>
    </w:p>
    <w:p>
      <w:pPr>
        <w:pStyle w:val="BodyText"/>
        <w:spacing w:line="240" w:lineRule="auto" w:before="208"/>
        <w:ind w:left="992" w:right="0"/>
        <w:jc w:val="left"/>
      </w:pPr>
      <w:r>
        <w:rPr/>
        <w:t>公司现任董事、监事、高级管理人员专业背景、主要工作经历以及目前在公司的主要职责</w:t>
      </w:r>
    </w:p>
    <w:p>
      <w:pPr>
        <w:pStyle w:val="BodyText"/>
        <w:spacing w:line="240" w:lineRule="auto" w:before="115"/>
        <w:ind w:left="1353" w:right="0"/>
        <w:jc w:val="left"/>
      </w:pPr>
      <w:r>
        <w:rPr>
          <w:rFonts w:ascii="Times New Roman" w:hAnsi="Times New Roman" w:cs="Times New Roman" w:eastAsia="Times New Roman" w:hint="default"/>
        </w:rPr>
        <w:t>1</w:t>
      </w:r>
      <w:r>
        <w:rPr/>
        <w:t>、董事主要工作经历</w:t>
      </w:r>
    </w:p>
    <w:p>
      <w:pPr>
        <w:pStyle w:val="BodyText"/>
        <w:spacing w:line="312" w:lineRule="auto" w:before="103"/>
        <w:ind w:left="992" w:right="0" w:firstLine="360"/>
        <w:jc w:val="left"/>
      </w:pPr>
      <w:r>
        <w:rPr/>
        <w:t>（</w:t>
      </w:r>
      <w:r>
        <w:rPr>
          <w:rFonts w:ascii="Times New Roman" w:hAnsi="Times New Roman" w:cs="Times New Roman" w:eastAsia="Times New Roman" w:hint="default"/>
        </w:rPr>
        <w:t>1</w:t>
      </w:r>
      <w:r>
        <w:rPr/>
        <w:t>）杨军先生，本公司董事长，中国国籍，硕士研究生，毕业于西北电讯工程学院研究生院计算机系统结构专业，教 </w:t>
      </w:r>
      <w:r>
        <w:rPr>
          <w:spacing w:val="-4"/>
        </w:rPr>
        <w:t>授级高级工程师。现任中国电子信息产业集团有限公司党组成员、副总经理，兼任中国软件与技术服务股份有限公司董事长。</w:t>
      </w:r>
      <w:r>
        <w:rPr>
          <w:spacing w:val="-44"/>
        </w:rPr>
        <w:t> </w:t>
      </w:r>
      <w:r>
        <w:rPr>
          <w:spacing w:val="-44"/>
        </w:rPr>
      </w:r>
      <w:r>
        <w:rPr>
          <w:spacing w:val="-2"/>
        </w:rPr>
        <w:t>历任中国计算机软件与技术服务总公司副总经理，中国民航计算机信息中心总经理、党委副书记，中国民航信息网络股份有</w:t>
      </w:r>
      <w:r>
        <w:rPr>
          <w:spacing w:val="-63"/>
        </w:rPr>
        <w:t> </w:t>
      </w:r>
      <w:r>
        <w:rPr>
          <w:spacing w:val="-63"/>
        </w:rPr>
      </w:r>
      <w:r>
        <w:rPr>
          <w:spacing w:val="-2"/>
        </w:rPr>
        <w:t>限公司董事长、总经理，中国民航计算机信息中心总裁、党委书记，中国民航信息集团公司副总经理，中国长城计算机集团</w:t>
      </w:r>
    </w:p>
    <w:p>
      <w:pPr>
        <w:spacing w:after="0" w:line="312" w:lineRule="auto"/>
        <w:jc w:val="left"/>
        <w:sectPr>
          <w:pgSz w:w="11910" w:h="16840"/>
          <w:pgMar w:header="877" w:footer="980" w:top="1100" w:bottom="1160" w:left="140" w:right="140"/>
        </w:sectPr>
      </w:pPr>
    </w:p>
    <w:p>
      <w:pPr>
        <w:spacing w:line="240" w:lineRule="auto" w:before="11"/>
        <w:rPr>
          <w:rFonts w:ascii="宋体" w:hAnsi="宋体" w:cs="宋体" w:eastAsia="宋体" w:hint="default"/>
          <w:sz w:val="21"/>
          <w:szCs w:val="21"/>
        </w:rPr>
      </w:pPr>
    </w:p>
    <w:p>
      <w:pPr>
        <w:pStyle w:val="BodyText"/>
        <w:spacing w:line="300" w:lineRule="auto" w:before="44"/>
        <w:ind w:right="182"/>
        <w:jc w:val="left"/>
      </w:pPr>
      <w:r>
        <w:rPr>
          <w:spacing w:val="-4"/>
        </w:rPr>
        <w:t>公司董事、副总经理。</w:t>
      </w:r>
      <w:r>
        <w:rPr>
          <w:rFonts w:ascii="Times New Roman" w:hAnsi="Times New Roman" w:cs="Times New Roman" w:eastAsia="Times New Roman" w:hint="default"/>
          <w:spacing w:val="-4"/>
        </w:rPr>
        <w:t>2012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月首次担任本公司董事及董事长，</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月换届选举时再次连任本公司第六届董事会董 事及董事长。</w:t>
      </w:r>
    </w:p>
    <w:p>
      <w:pPr>
        <w:pStyle w:val="BodyText"/>
        <w:spacing w:line="309" w:lineRule="auto" w:before="72"/>
        <w:ind w:right="188" w:firstLine="360"/>
        <w:jc w:val="both"/>
      </w:pPr>
      <w:r>
        <w:rPr/>
        <w:t>（</w:t>
      </w:r>
      <w:r>
        <w:rPr>
          <w:rFonts w:ascii="Times New Roman" w:hAnsi="Times New Roman" w:cs="Times New Roman" w:eastAsia="Times New Roman" w:hint="default"/>
        </w:rPr>
        <w:t>2</w:t>
      </w:r>
      <w:r>
        <w:rPr/>
        <w:t>）靳宏荣先生，本公司董事，中国国籍，工程硕士，毕业于西安电子科技大学电子与信息工程专业，工程师。现任 </w:t>
      </w:r>
      <w:r>
        <w:rPr>
          <w:spacing w:val="-2"/>
        </w:rPr>
        <w:t>中国电子信息产业集团有限公司副总经理，兼任中国振华电子集团有限公司董事长、中国振华（集团）科技股份有限公司董</w:t>
      </w:r>
      <w:r>
        <w:rPr>
          <w:spacing w:val="-63"/>
        </w:rPr>
        <w:t> </w:t>
      </w:r>
      <w:r>
        <w:rPr>
          <w:spacing w:val="-63"/>
        </w:rPr>
      </w:r>
      <w:r>
        <w:rPr>
          <w:spacing w:val="-2"/>
        </w:rPr>
        <w:t>事长；曾任贵州中电振华信息产业有限公司董事长、中国软件与技术服务股份有限公司董事、中国电子信息产业集团有限公</w:t>
      </w:r>
      <w:r>
        <w:rPr>
          <w:spacing w:val="-63"/>
        </w:rPr>
        <w:t> </w:t>
      </w:r>
      <w:r>
        <w:rPr>
          <w:spacing w:val="-63"/>
        </w:rPr>
      </w:r>
      <w:r>
        <w:rPr/>
        <w:t>司系统装备部主任、科工局系统三司副司长、信息产业部装备局副局长等职。</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月首次担任本公司董事，</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月换届选举时再次连任本公司第六届董事会董事。</w:t>
      </w:r>
    </w:p>
    <w:p>
      <w:pPr>
        <w:pStyle w:val="BodyText"/>
        <w:spacing w:line="309" w:lineRule="auto" w:before="62"/>
        <w:ind w:right="190" w:firstLine="360"/>
        <w:jc w:val="both"/>
      </w:pPr>
      <w:r>
        <w:rPr/>
        <w:t>（</w:t>
      </w:r>
      <w:r>
        <w:rPr>
          <w:rFonts w:ascii="Times New Roman" w:hAnsi="Times New Roman" w:cs="Times New Roman" w:eastAsia="Times New Roman" w:hint="default"/>
        </w:rPr>
        <w:t>3</w:t>
      </w:r>
      <w:r>
        <w:rPr/>
        <w:t>）杨林先生，本公司董事，中国国籍，毕业于中国科学院，获理学硕士学位。现任中国电子信息产业集团有限公司 </w:t>
      </w:r>
      <w:r>
        <w:rPr>
          <w:spacing w:val="-2"/>
        </w:rPr>
        <w:t>生产运营部主任、彩虹集团公司董事、咸阳中电彩虹集团控股有限公司董事、中国振华电子集团有限公司董事、深圳长城开</w:t>
      </w:r>
      <w:r>
        <w:rPr>
          <w:spacing w:val="-65"/>
        </w:rPr>
        <w:t> </w:t>
      </w:r>
      <w:r>
        <w:rPr>
          <w:spacing w:val="-65"/>
        </w:rPr>
      </w:r>
      <w:r>
        <w:rPr>
          <w:spacing w:val="-2"/>
        </w:rPr>
        <w:t>发科技股份有限公司董事。曾任中国电子信息产业集团有限公司资产经营部副主任、长城信息产业股份有限公司副总裁、湖</w:t>
      </w:r>
      <w:r>
        <w:rPr>
          <w:spacing w:val="-63"/>
        </w:rPr>
        <w:t> </w:t>
      </w:r>
      <w:r>
        <w:rPr>
          <w:spacing w:val="-63"/>
        </w:rPr>
      </w:r>
      <w:r>
        <w:rPr>
          <w:spacing w:val="-3"/>
        </w:rPr>
        <w:t>南计算机股份有限公司董事会秘书、湖南计算机厂研究所办公室（企管办）主任等。</w:t>
      </w:r>
      <w:r>
        <w:rPr>
          <w:rFonts w:ascii="Times New Roman" w:hAnsi="Times New Roman" w:cs="Times New Roman" w:eastAsia="Times New Roman" w:hint="default"/>
          <w:spacing w:val="-3"/>
        </w:rPr>
        <w:t>2010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月首次担任本公司董事，</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 </w:t>
      </w:r>
      <w:r>
        <w:rPr/>
        <w:t>月换届选举时再次连任本公司第六届董事会董事。</w:t>
      </w:r>
    </w:p>
    <w:p>
      <w:pPr>
        <w:pStyle w:val="BodyText"/>
        <w:spacing w:line="300" w:lineRule="auto" w:before="46"/>
        <w:ind w:right="187" w:firstLine="360"/>
        <w:jc w:val="both"/>
      </w:pPr>
      <w:r>
        <w:rPr/>
        <w:t>（</w:t>
      </w:r>
      <w:r>
        <w:rPr>
          <w:rFonts w:ascii="Times New Roman" w:hAnsi="Times New Roman" w:cs="Times New Roman" w:eastAsia="Times New Roman" w:hint="default"/>
        </w:rPr>
        <w:t>4</w:t>
      </w:r>
      <w:r>
        <w:rPr/>
        <w:t>）周庚申先生，本公司董事兼总裁，中国国籍，毕业于清华大学精密仪器系、清华大学经济管理学院，获工学学士 </w:t>
      </w:r>
      <w:r>
        <w:rPr>
          <w:spacing w:val="-5"/>
        </w:rPr>
        <w:t>和工商管理硕士学位，教授级高级工程师。兼任工业和信息化部电子科学技术委员会委员、中国计算机行业协会副会长。</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月当选</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spacing w:val="-3"/>
        </w:rPr>
        <w:t>品牌中国年度人物</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2008 </w:t>
      </w:r>
      <w:r>
        <w:rPr>
          <w:spacing w:val="-6"/>
        </w:rPr>
        <w:t>年、</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
        </w:rPr>
        <w:t> </w:t>
      </w:r>
      <w:r>
        <w:rPr/>
        <w:t>年两次当选</w:t>
      </w:r>
      <w:r>
        <w:rPr>
          <w:rFonts w:ascii="Times New Roman" w:hAnsi="Times New Roman" w:cs="Times New Roman" w:eastAsia="Times New Roman" w:hint="default"/>
        </w:rPr>
        <w:t>“</w:t>
      </w:r>
      <w:r>
        <w:rPr/>
        <w:t>中国信息产业年度经济人物</w:t>
      </w:r>
      <w:r>
        <w:rPr>
          <w:rFonts w:ascii="Times New Roman" w:hAnsi="Times New Roman" w:cs="Times New Roman" w:eastAsia="Times New Roman" w:hint="default"/>
        </w:rPr>
        <w:t>”</w:t>
      </w:r>
      <w:r>
        <w:rPr/>
        <w:t>。曾任本公司打印机事业部 总经理，显示器事业部副总经理、总经理，本公司副总裁，</w:t>
      </w:r>
      <w:r>
        <w:rPr>
          <w:rFonts w:ascii="Times New Roman" w:hAnsi="Times New Roman" w:cs="Times New Roman" w:eastAsia="Times New Roman" w:hint="default"/>
        </w:rPr>
        <w:t>2005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月起任本公司总裁，</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月起首次担任本公司董 事，历任本公司第四届、第五届董事会董事，</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月换届选举时再次连任本公司第六届董事会董事。</w:t>
      </w:r>
    </w:p>
    <w:p>
      <w:pPr>
        <w:pStyle w:val="BodyText"/>
        <w:spacing w:line="312" w:lineRule="auto" w:before="53"/>
        <w:ind w:right="188" w:firstLine="360"/>
        <w:jc w:val="both"/>
      </w:pPr>
      <w:r>
        <w:rPr/>
        <w:t>（</w:t>
      </w:r>
      <w:r>
        <w:rPr>
          <w:rFonts w:ascii="Times New Roman" w:hAnsi="Times New Roman" w:cs="Times New Roman" w:eastAsia="Times New Roman" w:hint="default"/>
        </w:rPr>
        <w:t>5</w:t>
      </w:r>
      <w:r>
        <w:rPr/>
        <w:t>）吴列平先生，本公司董事兼副总裁，中国国籍，硕士研究生，毕业于北京理工大学电子工程系，研究员级高级工 </w:t>
      </w:r>
      <w:r>
        <w:rPr>
          <w:spacing w:val="-2"/>
        </w:rPr>
        <w:t>程师，中国电子学会高级会员。曾任中国电子信息产业集团公司战略规划部副总经理、规划发展部副总经理（主持工作），</w:t>
      </w:r>
      <w:r>
        <w:rPr>
          <w:spacing w:val="-65"/>
        </w:rPr>
        <w:t> </w:t>
      </w:r>
      <w:r>
        <w:rPr>
          <w:spacing w:val="-65"/>
        </w:rPr>
      </w:r>
      <w:r>
        <w:rPr>
          <w:spacing w:val="-2"/>
        </w:rPr>
        <w:t>云南省人民政府信息产业办公室主任助理、副主任，中国计算机软件与技术服务总公司应用开发部副总经理、金融电子化事</w:t>
      </w:r>
      <w:r>
        <w:rPr>
          <w:spacing w:val="-66"/>
        </w:rPr>
        <w:t> </w:t>
      </w:r>
      <w:r>
        <w:rPr>
          <w:spacing w:val="-66"/>
        </w:rPr>
      </w:r>
      <w:r>
        <w:rPr>
          <w:spacing w:val="-2"/>
        </w:rPr>
        <w:t>业部总经理、工程总体部主任、副总工程师；曾获国家机械电子工业部优秀科技青年荣誉证书、国家信息产业部部级科技进</w:t>
      </w:r>
      <w:r>
        <w:rPr>
          <w:spacing w:val="-64"/>
        </w:rPr>
        <w:t> </w:t>
      </w:r>
      <w:r>
        <w:rPr>
          <w:spacing w:val="-64"/>
        </w:rPr>
      </w:r>
      <w:r>
        <w:rPr>
          <w:spacing w:val="-3"/>
        </w:rPr>
        <w:t>步三等奖。</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8"/>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月首次担任本公司董事兼副总裁，历任本公司第四届、第五届董事会董事，</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月换届选举时再 次连任本公司第六届董事会董事。</w:t>
      </w:r>
    </w:p>
    <w:p>
      <w:pPr>
        <w:pStyle w:val="BodyText"/>
        <w:spacing w:line="312" w:lineRule="auto" w:before="61"/>
        <w:ind w:right="189" w:firstLine="360"/>
        <w:jc w:val="both"/>
      </w:pPr>
      <w:r>
        <w:rPr/>
        <w:t>（</w:t>
      </w:r>
      <w:r>
        <w:rPr>
          <w:rFonts w:ascii="Times New Roman" w:hAnsi="Times New Roman" w:cs="Times New Roman" w:eastAsia="Times New Roman" w:hint="default"/>
        </w:rPr>
        <w:t>6</w:t>
      </w:r>
      <w:r>
        <w:rPr/>
        <w:t>）虞世全先生，本公司独立董事，中国国籍，毕业于澳门城市大学，工商管理硕士，注册会计师、注册税务师、高 </w:t>
      </w:r>
      <w:r>
        <w:rPr>
          <w:spacing w:val="-2"/>
        </w:rPr>
        <w:t>级会计师。曾在四川省华蓥市税务局、华蓥市国家税务局、四川华蓥会计师事务所、四川兴广会计师事务所等单位任职，曾</w:t>
      </w:r>
      <w:r>
        <w:rPr>
          <w:spacing w:val="-67"/>
        </w:rPr>
        <w:t> </w:t>
      </w:r>
      <w:r>
        <w:rPr>
          <w:spacing w:val="-67"/>
        </w:rPr>
      </w:r>
      <w:r>
        <w:rPr>
          <w:spacing w:val="-2"/>
        </w:rPr>
        <w:t>被国有企业监事会工作办公室聘为国务院派出国有企业监事会工作人员，曾任华纺股份有限公司独立董事、经纬纺织机械股</w:t>
      </w:r>
      <w:r>
        <w:rPr>
          <w:spacing w:val="-64"/>
        </w:rPr>
        <w:t> </w:t>
      </w:r>
      <w:r>
        <w:rPr>
          <w:spacing w:val="-64"/>
        </w:rPr>
      </w:r>
      <w:r>
        <w:rPr>
          <w:spacing w:val="-2"/>
        </w:rPr>
        <w:t>份有限公司独立董事和中国服装股份有限公司独立董事。现任四川国财税务师事务所有限公司董事长、四川新广资产评估事</w:t>
      </w:r>
      <w:r>
        <w:rPr>
          <w:spacing w:val="-64"/>
        </w:rPr>
        <w:t> </w:t>
      </w:r>
      <w:r>
        <w:rPr>
          <w:spacing w:val="-64"/>
        </w:rPr>
      </w:r>
      <w:r>
        <w:rPr>
          <w:spacing w:val="-2"/>
        </w:rPr>
        <w:t>务所有限公司副总经理、成都中财国政会计师事务所副主任会计师，兼任广安巨丰司法鉴定所司法会计鉴定人、四川华蓥农</w:t>
      </w:r>
      <w:r>
        <w:rPr>
          <w:spacing w:val="-62"/>
        </w:rPr>
        <w:t> </w:t>
      </w:r>
      <w:r>
        <w:rPr>
          <w:spacing w:val="-62"/>
        </w:rPr>
      </w:r>
      <w:r>
        <w:rPr/>
        <w:t>村商业银行股份有限公司外部监事、四川邻水农村商业银行股份有限公司外部监事。</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月换届选举时担任本公司第 六届董事会独立董事。</w:t>
      </w:r>
    </w:p>
    <w:p>
      <w:pPr>
        <w:pStyle w:val="BodyText"/>
        <w:spacing w:line="312" w:lineRule="auto" w:before="63"/>
        <w:ind w:right="94" w:firstLine="360"/>
        <w:jc w:val="left"/>
      </w:pPr>
      <w:r>
        <w:rPr>
          <w:spacing w:val="-2"/>
        </w:rPr>
        <w:t>（</w:t>
      </w:r>
      <w:r>
        <w:rPr>
          <w:rFonts w:ascii="Times New Roman" w:hAnsi="Times New Roman" w:cs="Times New Roman" w:eastAsia="Times New Roman" w:hint="default"/>
          <w:spacing w:val="-2"/>
        </w:rPr>
        <w:t>7</w:t>
      </w:r>
      <w:r>
        <w:rPr>
          <w:spacing w:val="-2"/>
        </w:rPr>
        <w:t>）冯科先生，本公司独立董事，中国国籍，毕业于北京大学，经济学博士。曾任金鹰基金管理有限公司总经理助理、</w:t>
      </w:r>
      <w:r>
        <w:rPr/>
        <w:t> </w:t>
      </w:r>
      <w:r>
        <w:rPr>
          <w:spacing w:val="-2"/>
        </w:rPr>
        <w:t>北京大学经济研究所主任、北京大学软件与微电子学院副教授、天津广宇发展股份有限公司独立董事、四川广安爱众股份有</w:t>
      </w:r>
      <w:r>
        <w:rPr>
          <w:spacing w:val="-62"/>
        </w:rPr>
        <w:t> </w:t>
      </w:r>
      <w:r>
        <w:rPr>
          <w:spacing w:val="-62"/>
        </w:rPr>
      </w:r>
      <w:r>
        <w:rPr>
          <w:spacing w:val="-2"/>
        </w:rPr>
        <w:t>限公司独立董事、北京赛迪传媒投资股份有限公司独立董事、天地源股份有限公司独立董事等职。现任北京大学经济学院副</w:t>
      </w:r>
      <w:r>
        <w:rPr>
          <w:spacing w:val="-63"/>
        </w:rPr>
        <w:t> </w:t>
      </w:r>
      <w:r>
        <w:rPr>
          <w:spacing w:val="-63"/>
        </w:rPr>
      </w:r>
      <w:r>
        <w:rPr/>
        <w:t>教授、深圳市宇顺电子股份有限公司独立董事和广东省高速公路发展股份有限公司独立董事，兼任北京理工大学兼职教授、 </w:t>
      </w:r>
      <w:r>
        <w:rPr>
          <w:spacing w:val="-3"/>
        </w:rPr>
        <w:t>广东省社会科学院硕士生导师、《新经济》杂志副总编辑。</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月首次担任本公司独立董事，</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月换届选举时</w:t>
      </w:r>
      <w:r>
        <w:rPr/>
        <w:t> 再次连任本公司第六届董事会独立董事。</w:t>
      </w:r>
    </w:p>
    <w:p>
      <w:pPr>
        <w:pStyle w:val="BodyText"/>
        <w:spacing w:line="307" w:lineRule="auto" w:before="63"/>
        <w:ind w:right="191" w:firstLine="360"/>
        <w:jc w:val="both"/>
      </w:pPr>
      <w:r>
        <w:rPr/>
        <w:t>（</w:t>
      </w:r>
      <w:r>
        <w:rPr>
          <w:rFonts w:ascii="Times New Roman" w:hAnsi="Times New Roman" w:cs="Times New Roman" w:eastAsia="Times New Roman" w:hint="default"/>
        </w:rPr>
        <w:t>8</w:t>
      </w:r>
      <w:r>
        <w:rPr/>
        <w:t>）蓝庆新先生，本公司独立董事，中国国籍，毕业于南开大学，经济学博士。曾任天津市政工程局职员，现任对外 </w:t>
      </w:r>
      <w:r>
        <w:rPr>
          <w:spacing w:val="-2"/>
        </w:rPr>
        <w:t>经济贸易大学教授、博士生导师，中弘控股股份有限公司独立董事，兼任中国城乡发展国际交流协会理事、北京市产业经济</w:t>
      </w:r>
      <w:r>
        <w:rPr>
          <w:spacing w:val="-65"/>
        </w:rPr>
        <w:t> </w:t>
      </w:r>
      <w:r>
        <w:rPr>
          <w:spacing w:val="-65"/>
        </w:rPr>
      </w:r>
      <w:r>
        <w:rPr/>
        <w:t>学会常务理事、日本中央大学经济研究所客座研究员、北京师范大学人本发展与管理研究中心客座研究员。</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月首 次担任本公司独立董事。</w:t>
      </w:r>
    </w:p>
    <w:p>
      <w:pPr>
        <w:pStyle w:val="BodyText"/>
        <w:spacing w:line="240" w:lineRule="auto" w:before="64"/>
        <w:ind w:left="513" w:right="89"/>
        <w:jc w:val="left"/>
      </w:pPr>
      <w:r>
        <w:rPr>
          <w:rFonts w:ascii="Times New Roman" w:hAnsi="Times New Roman" w:cs="Times New Roman" w:eastAsia="Times New Roman" w:hint="default"/>
        </w:rPr>
        <w:t>2</w:t>
      </w:r>
      <w:r>
        <w:rPr/>
        <w:t>、监事主要工作经历</w:t>
      </w:r>
    </w:p>
    <w:p>
      <w:pPr>
        <w:pStyle w:val="BodyText"/>
        <w:spacing w:line="300" w:lineRule="auto" w:before="103"/>
        <w:ind w:right="101" w:firstLine="360"/>
        <w:jc w:val="both"/>
      </w:pPr>
      <w:r>
        <w:rPr/>
        <w:t>（</w:t>
      </w:r>
      <w:r>
        <w:rPr>
          <w:rFonts w:ascii="Times New Roman" w:hAnsi="Times New Roman" w:cs="Times New Roman" w:eastAsia="Times New Roman" w:hint="default"/>
        </w:rPr>
        <w:t>1</w:t>
      </w:r>
      <w:r>
        <w:rPr/>
        <w:t>）马跃先生，本公司监事会主席，中国国籍，毕业于武汉大学，大学本科学历，学士学位，高级经济师。现任本公 </w:t>
      </w:r>
      <w:r>
        <w:rPr>
          <w:spacing w:val="-7"/>
        </w:rPr>
        <w:t>司监事会主席、党委副书记（主持工作）、纪委书记、工会主席。曾任国营二七二厂总厂团委书记（正处级）、劳资处副处长、</w:t>
      </w:r>
    </w:p>
    <w:p>
      <w:pPr>
        <w:spacing w:after="0" w:line="300" w:lineRule="auto"/>
        <w:jc w:val="both"/>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191"/>
        <w:jc w:val="both"/>
      </w:pPr>
      <w:r>
        <w:rPr/>
        <w:t>干部处副处长、劳动人事教育处副处长，本公司人事部经理、人力资源部经理、党办主任。</w:t>
      </w:r>
      <w:r>
        <w:rPr>
          <w:rFonts w:ascii="Times New Roman" w:hAnsi="Times New Roman" w:cs="Times New Roman" w:eastAsia="Times New Roman" w:hint="default"/>
        </w:rPr>
        <w:t>1998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月任本公司党委副书 </w:t>
      </w:r>
      <w:r>
        <w:rPr>
          <w:spacing w:val="-2"/>
        </w:rPr>
        <w:t>记、纪委书记，</w:t>
      </w:r>
      <w:r>
        <w:rPr>
          <w:rFonts w:ascii="Times New Roman" w:hAnsi="Times New Roman" w:cs="Times New Roman" w:eastAsia="Times New Roman" w:hint="default"/>
          <w:spacing w:val="-2"/>
        </w:rPr>
        <w:t>2001</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月首次担任本公司监事会召集人（监事会主席），历任本公司第二届、第三届、第四届、第五届监</w:t>
      </w:r>
      <w:r>
        <w:rPr/>
        <w:t> 事会主席，</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月换届选举时连任第六届监事会主席。</w:t>
      </w:r>
    </w:p>
    <w:p>
      <w:pPr>
        <w:pStyle w:val="BodyText"/>
        <w:spacing w:line="300" w:lineRule="auto" w:before="53"/>
        <w:ind w:right="191" w:firstLine="360"/>
        <w:jc w:val="both"/>
      </w:pPr>
      <w:r>
        <w:rPr/>
        <w:t>（</w:t>
      </w:r>
      <w:r>
        <w:rPr>
          <w:rFonts w:ascii="Times New Roman" w:hAnsi="Times New Roman" w:cs="Times New Roman" w:eastAsia="Times New Roman" w:hint="default"/>
        </w:rPr>
        <w:t>2</w:t>
      </w:r>
      <w:r>
        <w:rPr/>
        <w:t>）韩宗远先生，本公司监事，中国国籍，吉首大学中文系毕业，文学学士学位。湖南大学工商管理学院在职研究生 </w:t>
      </w:r>
      <w:r>
        <w:rPr>
          <w:spacing w:val="-2"/>
        </w:rPr>
        <w:t>毕业，</w:t>
      </w:r>
      <w:r>
        <w:rPr>
          <w:rFonts w:ascii="Times New Roman" w:hAnsi="Times New Roman" w:cs="Times New Roman" w:eastAsia="Times New Roman" w:hint="default"/>
          <w:spacing w:val="-2"/>
        </w:rPr>
        <w:t>EMBA</w:t>
      </w:r>
      <w:r>
        <w:rPr>
          <w:spacing w:val="-2"/>
        </w:rPr>
        <w:t>。高级经济师，高级政工师。现任中国电子信息产业集团有限公司纪检监察部主任、中电广通股份有限公司监</w:t>
      </w:r>
      <w:r>
        <w:rPr>
          <w:spacing w:val="-45"/>
        </w:rPr>
        <w:t> </w:t>
      </w:r>
      <w:r>
        <w:rPr>
          <w:spacing w:val="-45"/>
        </w:rPr>
      </w:r>
      <w:r>
        <w:rPr/>
        <w:t>事会主席、中国电子东莞产业园有限公司监事会主席。曾任深圳市爱华电子有限公司党委书记、纪委书记。</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3"/>
        </w:rPr>
        <w:t>月首 </w:t>
      </w:r>
      <w:r>
        <w:rPr/>
        <w:t>次担任本公司监事，</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月换届选举时再次连任本公司第六届监事会监事。</w:t>
      </w:r>
    </w:p>
    <w:p>
      <w:pPr>
        <w:pStyle w:val="BodyText"/>
        <w:spacing w:line="309" w:lineRule="auto" w:before="51"/>
        <w:ind w:right="94" w:firstLine="360"/>
        <w:jc w:val="left"/>
      </w:pPr>
      <w:r>
        <w:rPr>
          <w:spacing w:val="-5"/>
        </w:rPr>
        <w:t>（</w:t>
      </w:r>
      <w:r>
        <w:rPr>
          <w:rFonts w:ascii="Times New Roman" w:hAnsi="Times New Roman" w:cs="Times New Roman" w:eastAsia="Times New Roman" w:hint="default"/>
          <w:spacing w:val="-5"/>
        </w:rPr>
        <w:t>3</w:t>
      </w:r>
      <w:r>
        <w:rPr>
          <w:spacing w:val="-5"/>
        </w:rPr>
        <w:t>）李斌先生，本公司监事，中国国籍，毕业于大连工学院（现大连理工大学），研究生学历，硕士学位，高级工程师。</w:t>
      </w:r>
      <w:r>
        <w:rPr/>
        <w:t> </w:t>
      </w:r>
      <w:r>
        <w:rPr>
          <w:spacing w:val="-2"/>
        </w:rPr>
        <w:t>曾任本公司软件工程师、软件开发部副主任、生产办主任、计划发展部经理、信息中心总经理。现任本公司纪委副书记、工</w:t>
      </w:r>
      <w:r>
        <w:rPr>
          <w:spacing w:val="-70"/>
        </w:rPr>
        <w:t> </w:t>
      </w:r>
      <w:r>
        <w:rPr>
          <w:spacing w:val="-70"/>
        </w:rPr>
      </w:r>
      <w:r>
        <w:rPr/>
        <w:t>会副主席、审计监察室（纪委办）主任。</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月首次担任本公司监事。</w:t>
      </w:r>
    </w:p>
    <w:p>
      <w:pPr>
        <w:pStyle w:val="BodyText"/>
        <w:spacing w:line="240" w:lineRule="auto" w:before="46"/>
        <w:ind w:left="513" w:right="89"/>
        <w:jc w:val="left"/>
      </w:pPr>
      <w:r>
        <w:rPr>
          <w:rFonts w:ascii="Times New Roman" w:hAnsi="Times New Roman" w:cs="Times New Roman" w:eastAsia="Times New Roman" w:hint="default"/>
        </w:rPr>
        <w:t>3</w:t>
      </w:r>
      <w:r>
        <w:rPr/>
        <w:t>、高级管理人员主要工作经历</w:t>
      </w:r>
    </w:p>
    <w:p>
      <w:pPr>
        <w:pStyle w:val="BodyText"/>
        <w:spacing w:line="300" w:lineRule="auto" w:before="103"/>
        <w:ind w:right="184" w:firstLine="360"/>
        <w:jc w:val="left"/>
      </w:pPr>
      <w:r>
        <w:rPr/>
        <w:t>（</w:t>
      </w:r>
      <w:r>
        <w:rPr>
          <w:rFonts w:ascii="Times New Roman" w:hAnsi="Times New Roman" w:cs="Times New Roman" w:eastAsia="Times New Roman" w:hint="default"/>
        </w:rPr>
        <w:t>1</w:t>
      </w:r>
      <w:r>
        <w:rPr/>
        <w:t>）于吉永先生，本公司副总裁，中国国籍，毕业于清华大学，大学本科学历，高级工程师。曾任本公司电源事业部 开发室主任、副总经理、总经理。曾获得电子工业部科学技术进步二等奖。</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月起任本公司副总裁。</w:t>
      </w:r>
    </w:p>
    <w:p>
      <w:pPr>
        <w:pStyle w:val="BodyText"/>
        <w:spacing w:line="304" w:lineRule="auto" w:before="52"/>
        <w:ind w:right="188" w:firstLine="360"/>
        <w:jc w:val="both"/>
      </w:pPr>
      <w:r>
        <w:rPr/>
        <w:t>（</w:t>
      </w:r>
      <w:r>
        <w:rPr>
          <w:rFonts w:ascii="Times New Roman" w:hAnsi="Times New Roman" w:cs="Times New Roman" w:eastAsia="Times New Roman" w:hint="default"/>
        </w:rPr>
        <w:t>2</w:t>
      </w:r>
      <w:r>
        <w:rPr/>
        <w:t>）彭海朝先生，本公司副总裁，中国国籍，硕士研究生，毕业于西安电子科技大学通信与电子系统专业，研究员级 高级工程师。曾任国营</w:t>
      </w:r>
      <w:r>
        <w:rPr>
          <w:spacing w:val="-44"/>
        </w:rPr>
        <w:t> </w:t>
      </w:r>
      <w:r>
        <w:rPr>
          <w:rFonts w:ascii="Times New Roman" w:hAnsi="Times New Roman" w:cs="Times New Roman" w:eastAsia="Times New Roman" w:hint="default"/>
        </w:rPr>
        <w:t>710</w:t>
      </w:r>
      <w:r>
        <w:rPr>
          <w:rFonts w:ascii="Times New Roman" w:hAnsi="Times New Roman" w:cs="Times New Roman" w:eastAsia="Times New Roman" w:hint="default"/>
          <w:spacing w:val="2"/>
        </w:rPr>
        <w:t> </w:t>
      </w:r>
      <w:r>
        <w:rPr/>
        <w:t>厂副厂长，武汉中原电子信息公司总经理，武汉</w:t>
      </w:r>
      <w:r>
        <w:rPr>
          <w:spacing w:val="-44"/>
        </w:rPr>
        <w:t> </w:t>
      </w:r>
      <w:r>
        <w:rPr>
          <w:rFonts w:ascii="Times New Roman" w:hAnsi="Times New Roman" w:cs="Times New Roman" w:eastAsia="Times New Roman" w:hint="default"/>
        </w:rPr>
        <w:t>NEC</w:t>
      </w:r>
      <w:r>
        <w:rPr>
          <w:rFonts w:ascii="Times New Roman" w:hAnsi="Times New Roman" w:cs="Times New Roman" w:eastAsia="Times New Roman" w:hint="default"/>
          <w:spacing w:val="1"/>
        </w:rPr>
        <w:t> </w:t>
      </w:r>
      <w:r>
        <w:rPr/>
        <w:t>中原移动通信有限公司董事，武汉中原电 </w:t>
      </w:r>
      <w:r>
        <w:rPr>
          <w:spacing w:val="-2"/>
        </w:rPr>
        <w:t>子集团有限公司副总经理，武汉长江通信产业集团股份有限公司总裁，武汉日电光通信工业有限公司董事，深圳桑菲消费通</w:t>
      </w:r>
      <w:r>
        <w:rPr>
          <w:spacing w:val="-61"/>
        </w:rPr>
        <w:t> </w:t>
      </w:r>
      <w:r>
        <w:rPr>
          <w:spacing w:val="-61"/>
        </w:rPr>
      </w:r>
      <w:r>
        <w:rPr>
          <w:spacing w:val="-2"/>
        </w:rPr>
        <w:t>信有限公司执行董事、董事长、</w:t>
      </w:r>
      <w:r>
        <w:rPr>
          <w:rFonts w:ascii="Times New Roman" w:hAnsi="Times New Roman" w:cs="Times New Roman" w:eastAsia="Times New Roman" w:hint="default"/>
          <w:spacing w:val="-2"/>
        </w:rPr>
        <w:t>CEO</w:t>
      </w:r>
      <w:r>
        <w:rPr>
          <w:spacing w:val="-2"/>
        </w:rPr>
        <w:t>；曾获得电子部优秀科技青年奖，湖北省科技进步二等奖，武汉市科技进步二等奖、优</w:t>
      </w:r>
      <w:r>
        <w:rPr>
          <w:spacing w:val="-67"/>
        </w:rPr>
        <w:t> </w:t>
      </w:r>
      <w:r>
        <w:rPr>
          <w:spacing w:val="-67"/>
        </w:rPr>
      </w:r>
      <w:r>
        <w:rPr/>
        <w:t>秀青年科技奖和优秀青年创业奖；</w:t>
      </w:r>
      <w:r>
        <w:rPr>
          <w:rFonts w:ascii="Times New Roman" w:hAnsi="Times New Roman" w:cs="Times New Roman" w:eastAsia="Times New Roman" w:hint="default"/>
        </w:rPr>
        <w:t>2010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月起任本公司副总裁。</w:t>
      </w:r>
    </w:p>
    <w:p>
      <w:pPr>
        <w:pStyle w:val="BodyText"/>
        <w:spacing w:line="312" w:lineRule="auto" w:before="50"/>
        <w:ind w:right="115" w:firstLine="360"/>
        <w:jc w:val="left"/>
      </w:pPr>
      <w:r>
        <w:rPr/>
        <w:t>（</w:t>
      </w:r>
      <w:r>
        <w:rPr>
          <w:rFonts w:ascii="Times New Roman" w:hAnsi="Times New Roman" w:cs="Times New Roman" w:eastAsia="Times New Roman" w:hint="default"/>
        </w:rPr>
        <w:t>3</w:t>
      </w:r>
      <w:r>
        <w:rPr/>
        <w:t>）郭镇先生，本公司董事会秘书，中国国籍，毕业于深圳大学，大学本科学历，东北财经大学在读</w:t>
      </w:r>
      <w:r>
        <w:rPr>
          <w:spacing w:val="-43"/>
        </w:rPr>
        <w:t> </w:t>
      </w:r>
      <w:r>
        <w:rPr>
          <w:rFonts w:ascii="Times New Roman" w:hAnsi="Times New Roman" w:cs="Times New Roman" w:eastAsia="Times New Roman" w:hint="default"/>
        </w:rPr>
        <w:t>EMBA</w:t>
      </w:r>
      <w:r>
        <w:rPr>
          <w:rFonts w:ascii="Times New Roman" w:hAnsi="Times New Roman" w:cs="Times New Roman" w:eastAsia="Times New Roman" w:hint="default"/>
          <w:spacing w:val="-3"/>
        </w:rPr>
        <w:t> </w:t>
      </w:r>
      <w:r>
        <w:rPr/>
        <w:t>研究生。 </w:t>
      </w:r>
      <w:r>
        <w:rPr>
          <w:spacing w:val="-2"/>
        </w:rPr>
        <w:t>曾任深圳鲁发实业有限公司财务主管、采购主管，长城科技股份有限公司及下属公司采购部采购工程师，长城科技股份有限</w:t>
      </w:r>
      <w:r>
        <w:rPr>
          <w:spacing w:val="-65"/>
        </w:rPr>
        <w:t> </w:t>
      </w:r>
      <w:r>
        <w:rPr>
          <w:spacing w:val="-65"/>
        </w:rPr>
      </w:r>
      <w:r>
        <w:rPr>
          <w:spacing w:val="-2"/>
        </w:rPr>
        <w:t>公司董事会办公室工作人员，深圳长城开发科技股份有限公司董事会办公室业务主办，长城科技股份有限公司董事长秘书及</w:t>
      </w:r>
      <w:r>
        <w:rPr>
          <w:spacing w:val="-64"/>
        </w:rPr>
        <w:t> </w:t>
      </w:r>
      <w:r>
        <w:rPr>
          <w:spacing w:val="-64"/>
        </w:rPr>
      </w:r>
      <w:r>
        <w:rPr/>
        <w:t>本公司办公室主任。</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月起任本公司董事会秘书。</w:t>
      </w:r>
    </w:p>
    <w:p>
      <w:pPr>
        <w:pStyle w:val="BodyText"/>
        <w:spacing w:line="240" w:lineRule="auto" w:before="44"/>
        <w:ind w:right="0"/>
        <w:jc w:val="both"/>
      </w:pPr>
      <w:r>
        <w:rPr/>
        <w:t>在股东单位任职情况</w:t>
      </w:r>
    </w:p>
    <w:p>
      <w:pPr>
        <w:pStyle w:val="BodyText"/>
        <w:spacing w:line="360" w:lineRule="auto" w:before="115"/>
        <w:ind w:right="8194"/>
        <w:jc w:val="left"/>
      </w:pPr>
      <w:r>
        <w:rPr/>
        <w:t>□ 适用 √</w:t>
      </w:r>
      <w:r>
        <w:rPr>
          <w:spacing w:val="3"/>
        </w:rPr>
        <w:t> </w:t>
      </w:r>
      <w:r>
        <w:rPr/>
        <w:t>不适用</w:t>
      </w:r>
      <w:r>
        <w:rPr/>
        <w:t> 在其他单位任职情况</w:t>
      </w:r>
    </w:p>
    <w:p>
      <w:pPr>
        <w:pStyle w:val="BodyText"/>
        <w:spacing w:line="240" w:lineRule="auto" w:before="27"/>
        <w:ind w:right="0"/>
        <w:jc w:val="both"/>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303" w:type="dxa"/>
        <w:tblLayout w:type="fixed"/>
        <w:tblCellMar>
          <w:top w:w="0" w:type="dxa"/>
          <w:left w:w="0" w:type="dxa"/>
          <w:bottom w:w="0" w:type="dxa"/>
          <w:right w:w="0" w:type="dxa"/>
        </w:tblCellMar>
        <w:tblLook w:val="01E0"/>
      </w:tblPr>
      <w:tblGrid>
        <w:gridCol w:w="1200"/>
        <w:gridCol w:w="3193"/>
        <w:gridCol w:w="1064"/>
        <w:gridCol w:w="1195"/>
        <w:gridCol w:w="1234"/>
        <w:gridCol w:w="1440"/>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7" w:right="79"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党组成员、副</w:t>
            </w:r>
            <w:r>
              <w:rPr>
                <w:rFonts w:ascii="宋体" w:hAnsi="宋体" w:cs="宋体" w:eastAsia="宋体" w:hint="default"/>
                <w:sz w:val="18"/>
                <w:szCs w:val="18"/>
              </w:rPr>
              <w:t>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靳宏荣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靳宏荣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中国振华电子集团有限公司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靳宏荣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中国振华（集团）科技股份有限公司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生产运营部 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彩虹集团公司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咸阳中电彩虹集团控股有限公司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中国振华电子集团有限公司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303" w:type="dxa"/>
        <w:tblLayout w:type="fixed"/>
        <w:tblCellMar>
          <w:top w:w="0" w:type="dxa"/>
          <w:left w:w="0" w:type="dxa"/>
          <w:bottom w:w="0" w:type="dxa"/>
          <w:right w:w="0" w:type="dxa"/>
        </w:tblCellMar>
        <w:tblLook w:val="01E0"/>
      </w:tblPr>
      <w:tblGrid>
        <w:gridCol w:w="1200"/>
        <w:gridCol w:w="3193"/>
        <w:gridCol w:w="1064"/>
        <w:gridCol w:w="1195"/>
        <w:gridCol w:w="1234"/>
        <w:gridCol w:w="1440"/>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广州鼎甲计算机科技有限公司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工业和信息化部电子科学技术委员会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中国计算机行业协会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吴列平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吴列平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吴列平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中电新视界技术有限公司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吴列平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中国医药信息学会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四川国财税务师事务所有限公司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成都中财国政会计师事务所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董事兼副主 任会计师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四川新广资产评估事务所有限公司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广安巨丰司法鉴定所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司法会计鉴 定人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四川华蓥农村商业银行股份有限公司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四川邻水农村商业银行股份有限公司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北京大学经济学院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深圳市宇顺电子股份有限公司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广东省高速公路发展股份有限公司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天地源股份有限公司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蓝庆新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蓝庆新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中弘控股股份有限公司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湖南长城计算机系统有限公司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韩宗远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纪检监察部 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韩宗远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中电广通股份有限公司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韩宗远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303" w:type="dxa"/>
        <w:tblLayout w:type="fixed"/>
        <w:tblCellMar>
          <w:top w:w="0" w:type="dxa"/>
          <w:left w:w="0" w:type="dxa"/>
          <w:bottom w:w="0" w:type="dxa"/>
          <w:right w:w="0" w:type="dxa"/>
        </w:tblCellMar>
        <w:tblLook w:val="01E0"/>
      </w:tblPr>
      <w:tblGrid>
        <w:gridCol w:w="1200"/>
        <w:gridCol w:w="3193"/>
        <w:gridCol w:w="1064"/>
        <w:gridCol w:w="1195"/>
        <w:gridCol w:w="1234"/>
        <w:gridCol w:w="1440"/>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中国电源工业协会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中国电源学会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彭海朝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彭海朝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both"/>
      </w:pPr>
      <w:r>
        <w:rPr/>
        <w:t>公司现任及报告期内离任董事、监事和高级管理人员近三年证券监管机构处罚的情况</w:t>
      </w:r>
    </w:p>
    <w:p>
      <w:pPr>
        <w:pStyle w:val="BodyText"/>
        <w:spacing w:line="240" w:lineRule="auto" w:before="115"/>
        <w:ind w:right="0"/>
        <w:jc w:val="both"/>
      </w:pPr>
      <w:r>
        <w:rPr/>
        <w:t>□ 适用 √</w:t>
      </w:r>
      <w:r>
        <w:rPr>
          <w:spacing w:val="3"/>
        </w:rPr>
        <w:t> </w:t>
      </w:r>
      <w:r>
        <w:rPr/>
        <w:t>不适用</w:t>
      </w:r>
    </w:p>
    <w:p>
      <w:pPr>
        <w:spacing w:line="240" w:lineRule="auto" w:before="6"/>
        <w:rPr>
          <w:rFonts w:ascii="宋体" w:hAnsi="宋体" w:cs="宋体" w:eastAsia="宋体" w:hint="default"/>
          <w:sz w:val="14"/>
          <w:szCs w:val="14"/>
        </w:rPr>
      </w:pPr>
    </w:p>
    <w:p>
      <w:pPr>
        <w:pStyle w:val="Heading5"/>
        <w:spacing w:line="240" w:lineRule="auto"/>
        <w:ind w:right="0"/>
        <w:jc w:val="both"/>
        <w:rPr>
          <w:b w:val="0"/>
          <w:bCs w:val="0"/>
        </w:rPr>
      </w:pPr>
      <w:r>
        <w:rPr/>
        <w:t>四、董事、监事、高级管理人员报酬情况</w:t>
      </w:r>
      <w:r>
        <w:rPr>
          <w:b w:val="0"/>
          <w:bCs w:val="0"/>
        </w:rPr>
      </w:r>
    </w:p>
    <w:p>
      <w:pPr>
        <w:pStyle w:val="BodyText"/>
        <w:spacing w:line="360" w:lineRule="auto" w:before="205"/>
        <w:ind w:left="513" w:right="1493" w:hanging="361"/>
        <w:jc w:val="left"/>
      </w:pPr>
      <w:r>
        <w:rPr/>
        <w:t>董事、监事、高级管理人员报酬的决策程序、确定依据、实际支付情况 根据《公司章程》的规定，董事、监事的报酬由股东大会决定，高级管理人员的报酬由董事会决定。</w:t>
      </w:r>
    </w:p>
    <w:p>
      <w:pPr>
        <w:pStyle w:val="BodyText"/>
        <w:spacing w:line="240" w:lineRule="auto" w:before="27"/>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日召开的</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年度第五次临时股东大会审议通过了公司第六届董事会董事津贴标准的议案及第六届监</w:t>
      </w:r>
    </w:p>
    <w:p>
      <w:pPr>
        <w:pStyle w:val="BodyText"/>
        <w:spacing w:line="309" w:lineRule="auto" w:before="63"/>
        <w:ind w:right="150"/>
        <w:jc w:val="both"/>
      </w:pPr>
      <w:r>
        <w:rPr/>
        <w:t>事会监事津贴标准的议案。任期内，公司支付每人每年董事津贴人民币 </w:t>
      </w:r>
      <w:r>
        <w:rPr>
          <w:rFonts w:ascii="Times New Roman" w:hAnsi="Times New Roman" w:cs="Times New Roman" w:eastAsia="Times New Roman" w:hint="default"/>
        </w:rPr>
        <w:t>8 </w:t>
      </w:r>
      <w:r>
        <w:rPr>
          <w:spacing w:val="-5"/>
        </w:rPr>
        <w:t>万元（含税），支付每人每年监事津贴人民币</w:t>
      </w:r>
      <w:r>
        <w:rPr>
          <w:spacing w:val="-27"/>
        </w:rPr>
        <w:t> </w:t>
      </w:r>
      <w:r>
        <w:rPr>
          <w:rFonts w:ascii="Times New Roman" w:hAnsi="Times New Roman" w:cs="Times New Roman" w:eastAsia="Times New Roman" w:hint="default"/>
        </w:rPr>
        <w:t>6.4 </w:t>
      </w:r>
      <w:r>
        <w:rPr>
          <w:spacing w:val="-2"/>
        </w:rPr>
        <w:t>万元（含税），出席公司董事会、监事会、股东大会会议的差旅费及根据《公司章程》和相关法律、法规行使职权所需费用</w:t>
      </w:r>
      <w:r>
        <w:rPr>
          <w:spacing w:val="-65"/>
        </w:rPr>
        <w:t> </w:t>
      </w:r>
      <w:r>
        <w:rPr>
          <w:spacing w:val="-65"/>
        </w:rPr>
      </w:r>
      <w:r>
        <w:rPr/>
        <w:t>由公司承担，除此之外，非公司员工的董事，公司在其任期内不支付其他报酬。</w:t>
      </w:r>
    </w:p>
    <w:p>
      <w:pPr>
        <w:pStyle w:val="BodyText"/>
        <w:spacing w:line="316" w:lineRule="auto" w:before="62"/>
        <w:ind w:right="0" w:firstLine="360"/>
        <w:jc w:val="left"/>
      </w:pPr>
      <w:r>
        <w:rPr>
          <w:spacing w:val="-2"/>
        </w:rPr>
        <w:t>公司高级管理人员实行岗位工资制，其报酬根据公司工资管理制度，以及参照同行业标准，根据公司经营情况及个人工</w:t>
      </w:r>
      <w:r>
        <w:rPr/>
        <w:t> 作业绩来综合确定。</w:t>
      </w:r>
    </w:p>
    <w:p>
      <w:pPr>
        <w:pStyle w:val="BodyText"/>
        <w:spacing w:line="316" w:lineRule="auto" w:before="59"/>
        <w:ind w:right="0" w:firstLine="360"/>
        <w:jc w:val="left"/>
      </w:pPr>
      <w:r>
        <w:rPr>
          <w:spacing w:val="-2"/>
        </w:rPr>
        <w:t>按照薪酬管理制度支付基本工资，根据年度业绩考核支付绩效工资。报告期内，公司董事、监事及高级管理人员应付报</w:t>
      </w:r>
      <w:r>
        <w:rPr/>
        <w:t> 酬总额为</w:t>
      </w:r>
      <w:r>
        <w:rPr>
          <w:spacing w:val="-40"/>
        </w:rPr>
        <w:t> </w:t>
      </w:r>
      <w:r>
        <w:rPr>
          <w:rFonts w:ascii="Times New Roman" w:hAnsi="Times New Roman" w:cs="Times New Roman" w:eastAsia="Times New Roman" w:hint="default"/>
          <w:spacing w:val="-1"/>
        </w:rPr>
        <w:t>695.99</w:t>
      </w:r>
      <w:r>
        <w:rPr>
          <w:rFonts w:ascii="Times New Roman" w:hAnsi="Times New Roman" w:cs="Times New Roman" w:eastAsia="Times New Roman" w:hint="default"/>
          <w:spacing w:val="6"/>
        </w:rPr>
        <w:t> </w:t>
      </w:r>
      <w:r>
        <w:rPr>
          <w:spacing w:val="-14"/>
        </w:rPr>
        <w:t>万元（含税）。</w:t>
      </w:r>
    </w:p>
    <w:p>
      <w:pPr>
        <w:pStyle w:val="BodyText"/>
        <w:spacing w:line="240" w:lineRule="auto" w:before="40"/>
        <w:ind w:right="0"/>
        <w:jc w:val="both"/>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靳宏荣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2"/>
                <w:sz w:val="18"/>
              </w:rPr>
              <w:t>117.66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吴列平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董事兼副总裁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虞世全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蓝庆新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韩宗远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于吉永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121.70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彭海朝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695.99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53"/>
        <w:jc w:val="left"/>
      </w:pPr>
      <w:r>
        <w:rPr/>
        <w:t>公司董事、监事、高级管理人员报告期内被授予的股权激励情况</w:t>
      </w:r>
    </w:p>
    <w:p>
      <w:pPr>
        <w:pStyle w:val="BodyText"/>
        <w:spacing w:line="240" w:lineRule="auto" w:before="115"/>
        <w:ind w:right="153"/>
        <w:jc w:val="left"/>
      </w:pPr>
      <w:r>
        <w:rPr/>
        <w:t>□ 适用 √</w:t>
      </w:r>
      <w:r>
        <w:rPr>
          <w:spacing w:val="3"/>
        </w:rPr>
        <w:t> </w:t>
      </w:r>
      <w:r>
        <w:rPr/>
        <w:t>不适用</w:t>
      </w:r>
    </w:p>
    <w:p>
      <w:pPr>
        <w:spacing w:line="240" w:lineRule="auto" w:before="6"/>
        <w:rPr>
          <w:rFonts w:ascii="宋体" w:hAnsi="宋体" w:cs="宋体" w:eastAsia="宋体" w:hint="default"/>
          <w:sz w:val="14"/>
          <w:szCs w:val="14"/>
        </w:rPr>
      </w:pPr>
    </w:p>
    <w:p>
      <w:pPr>
        <w:pStyle w:val="Heading5"/>
        <w:spacing w:line="240" w:lineRule="auto"/>
        <w:ind w:right="153"/>
        <w:jc w:val="left"/>
        <w:rPr>
          <w:b w:val="0"/>
          <w:bCs w:val="0"/>
        </w:rPr>
      </w:pPr>
      <w:r>
        <w:rPr/>
        <w:t>五、公司员工情况</w:t>
      </w:r>
      <w:r>
        <w:rPr>
          <w:b w:val="0"/>
          <w:bCs w:val="0"/>
        </w:rPr>
      </w:r>
    </w:p>
    <w:p>
      <w:pPr>
        <w:pStyle w:val="Heading8"/>
        <w:spacing w:line="240" w:lineRule="auto" w:before="184"/>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14"/>
          <w:szCs w:val="14"/>
        </w:rPr>
      </w:pPr>
    </w:p>
    <w:tbl>
      <w:tblPr>
        <w:tblW w:w="0" w:type="auto"/>
        <w:jc w:val="left"/>
        <w:tblInd w:w="196" w:type="dxa"/>
        <w:tblLayout w:type="fixed"/>
        <w:tblCellMar>
          <w:top w:w="0" w:type="dxa"/>
          <w:left w:w="0" w:type="dxa"/>
          <w:bottom w:w="0" w:type="dxa"/>
          <w:right w:w="0" w:type="dxa"/>
        </w:tblCellMar>
        <w:tblLook w:val="01E0"/>
      </w:tblPr>
      <w:tblGrid>
        <w:gridCol w:w="4765"/>
        <w:gridCol w:w="4791"/>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36,104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38,711</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38,711</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26,510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2,179</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6,914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729</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2,379</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38,711</w:t>
            </w:r>
          </w:p>
        </w:tc>
      </w:tr>
      <w:tr>
        <w:trPr>
          <w:trHeight w:val="39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1,722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5,906</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3,820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7,578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19,685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38,711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980"/>
        </w:sectPr>
      </w:pPr>
    </w:p>
    <w:p>
      <w:pPr>
        <w:spacing w:line="240" w:lineRule="auto" w:before="11"/>
        <w:rPr>
          <w:rFonts w:ascii="宋体" w:hAnsi="宋体" w:cs="宋体" w:eastAsia="宋体" w:hint="default"/>
          <w:b/>
          <w:bCs/>
          <w:sz w:val="20"/>
          <w:szCs w:val="20"/>
        </w:rPr>
      </w:pPr>
    </w:p>
    <w:p>
      <w:pPr>
        <w:pStyle w:val="Heading8"/>
        <w:spacing w:line="240" w:lineRule="auto" w:before="36"/>
        <w:ind w:right="89"/>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15"/>
          <w:szCs w:val="15"/>
        </w:rPr>
      </w:pPr>
    </w:p>
    <w:p>
      <w:pPr>
        <w:pStyle w:val="BodyText"/>
        <w:spacing w:line="316" w:lineRule="auto"/>
        <w:ind w:right="89" w:firstLine="360"/>
        <w:jc w:val="left"/>
      </w:pPr>
      <w:r>
        <w:rPr>
          <w:spacing w:val="-2"/>
        </w:rPr>
        <w:t>公司薪酬策略是以战略导向、市场导向、业绩导向、岗位价值导向为原则，围绕公司战略目标设立具有外部竞争力与内</w:t>
      </w:r>
      <w:r>
        <w:rPr/>
        <w:t> 部公平性的薪酬福利体系，确保公司能最大限度地吸引人才，留住人才，激励人才，提高公司核心竞争力。</w:t>
      </w:r>
    </w:p>
    <w:p>
      <w:pPr>
        <w:pStyle w:val="Heading8"/>
        <w:spacing w:line="240" w:lineRule="auto" w:before="156"/>
        <w:ind w:right="89"/>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15"/>
          <w:szCs w:val="15"/>
        </w:rPr>
      </w:pPr>
    </w:p>
    <w:p>
      <w:pPr>
        <w:pStyle w:val="BodyText"/>
        <w:spacing w:line="312" w:lineRule="auto"/>
        <w:ind w:right="89" w:firstLine="360"/>
        <w:jc w:val="left"/>
      </w:pPr>
      <w:r>
        <w:rPr>
          <w:spacing w:val="-4"/>
        </w:rPr>
        <w:t>为满足公司发展战略、配合人才工程建设和企业人力资源提升的需要，公司在员工培训方面每年会制定详尽的培训计划，</w:t>
      </w:r>
      <w:r>
        <w:rPr/>
        <w:t> </w:t>
      </w:r>
      <w:r>
        <w:rPr>
          <w:spacing w:val="-2"/>
        </w:rPr>
        <w:t>通过系统和多样化的培训不断提高员工素质与技能。具体包括内部讲座、交流会、内部封闭式集训、分享会、外派培训等培</w:t>
      </w:r>
      <w:r>
        <w:rPr>
          <w:spacing w:val="-66"/>
        </w:rPr>
        <w:t> </w:t>
      </w:r>
      <w:r>
        <w:rPr>
          <w:spacing w:val="-66"/>
        </w:rPr>
      </w:r>
      <w:r>
        <w:rPr>
          <w:spacing w:val="-5"/>
        </w:rPr>
        <w:t>训形式，从员工基本职业素质提升、企业文化、专业技能以及心态建设等方面支持员工的成长，与此同时公司还有</w:t>
      </w:r>
      <w:r>
        <w:rPr>
          <w:spacing w:val="-37"/>
        </w:rPr>
        <w:t> </w:t>
      </w:r>
      <w:r>
        <w:rPr>
          <w:rFonts w:ascii="Times New Roman" w:hAnsi="Times New Roman" w:cs="Times New Roman" w:eastAsia="Times New Roman" w:hint="default"/>
        </w:rPr>
        <w:t>E-Learning</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学习系统，对驻外员工提供学习支持。</w:t>
      </w:r>
    </w:p>
    <w:p>
      <w:pPr>
        <w:spacing w:line="240" w:lineRule="auto" w:before="6"/>
        <w:rPr>
          <w:rFonts w:ascii="宋体" w:hAnsi="宋体" w:cs="宋体" w:eastAsia="宋体" w:hint="default"/>
          <w:sz w:val="12"/>
          <w:szCs w:val="12"/>
        </w:rPr>
      </w:pPr>
    </w:p>
    <w:p>
      <w:pPr>
        <w:pStyle w:val="Heading8"/>
        <w:spacing w:line="240" w:lineRule="auto"/>
        <w:ind w:right="89"/>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89"/>
        <w:jc w:val="left"/>
      </w:pPr>
      <w:r>
        <w:rPr/>
        <w:t>□ 适用 √</w:t>
      </w:r>
      <w:r>
        <w:rPr>
          <w:spacing w:val="3"/>
        </w:rPr>
        <w:t> </w:t>
      </w:r>
      <w:r>
        <w:rPr/>
        <w:t>不适用</w:t>
      </w:r>
    </w:p>
    <w:p>
      <w:pPr>
        <w:spacing w:after="0" w:line="240" w:lineRule="auto"/>
        <w:jc w:val="left"/>
        <w:sectPr>
          <w:pgSz w:w="11910" w:h="16840"/>
          <w:pgMar w:header="877" w:footer="980"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49" w:right="148"/>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5"/>
        <w:spacing w:line="240" w:lineRule="auto" w:before="26"/>
        <w:ind w:right="15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12"/>
        </w:rPr>
        <w:t>公司始终坚持按照《公司法》、《证券法》、《上市公司治理准则》、《深圳证券交易所股票上市规则》和其它有关上市公司</w:t>
      </w:r>
      <w:r>
        <w:rPr/>
        <w:t> </w:t>
      </w:r>
      <w:r>
        <w:rPr>
          <w:spacing w:val="-2"/>
        </w:rPr>
        <w:t>治理的法律法规及规范性文件的要求，持续完善法人治理结构，结合公司实际情况建立健全内部控制体系，努力推进法人治</w:t>
      </w:r>
      <w:r>
        <w:rPr>
          <w:spacing w:val="-63"/>
        </w:rPr>
        <w:t> </w:t>
      </w:r>
      <w:r>
        <w:rPr>
          <w:spacing w:val="-63"/>
        </w:rPr>
      </w:r>
      <w:r>
        <w:rPr>
          <w:spacing w:val="-5"/>
        </w:rPr>
        <w:t>理进程和提升公司规范运作水平。截止报告期末，公司内部治理结构完整、健全、清晰，符合《公司法》、《公司章程》等法</w:t>
      </w:r>
      <w:r>
        <w:rPr>
          <w:spacing w:val="-81"/>
        </w:rPr>
        <w:t> </w:t>
      </w:r>
      <w:r>
        <w:rPr>
          <w:spacing w:val="-81"/>
        </w:rPr>
      </w:r>
      <w:r>
        <w:rPr/>
        <w:t>律法规及规范性文件的要求，公司治理与《公司法》和中国证监会相关规定的要求基本一致。</w:t>
      </w:r>
    </w:p>
    <w:p>
      <w:pPr>
        <w:pStyle w:val="BodyText"/>
        <w:spacing w:line="316" w:lineRule="auto" w:before="59"/>
        <w:ind w:right="154" w:firstLine="360"/>
        <w:jc w:val="both"/>
      </w:pPr>
      <w:r>
        <w:rPr>
          <w:spacing w:val="-2"/>
        </w:rPr>
        <w:t>报告期内，公司股东大会、董事会、监事会均能严格按照相关规章制度规范运行，全体董事、监事均能认真履行自己的</w:t>
      </w:r>
      <w:r>
        <w:rPr/>
        <w:t> 职责，勤勉尽责。</w:t>
      </w:r>
    </w:p>
    <w:p>
      <w:pPr>
        <w:pStyle w:val="BodyText"/>
        <w:spacing w:line="240" w:lineRule="auto" w:before="57"/>
        <w:ind w:right="153"/>
        <w:jc w:val="left"/>
      </w:pPr>
      <w:r>
        <w:rPr/>
        <w:t>公司治理的实际状况与中国证监会发布的有关上市公司治理的规范性文件是否存在重大差异</w:t>
      </w:r>
    </w:p>
    <w:p>
      <w:pPr>
        <w:pStyle w:val="BodyText"/>
        <w:spacing w:line="240" w:lineRule="auto" w:before="118"/>
        <w:ind w:right="153"/>
        <w:jc w:val="left"/>
      </w:pPr>
      <w:r>
        <w:rPr/>
        <w:t>□ 是 √</w:t>
      </w:r>
      <w:r>
        <w:rPr>
          <w:spacing w:val="3"/>
        </w:rPr>
        <w:t> </w:t>
      </w:r>
      <w:r>
        <w:rPr/>
        <w:t>否</w:t>
      </w:r>
    </w:p>
    <w:p>
      <w:pPr>
        <w:pStyle w:val="BodyText"/>
        <w:spacing w:line="240" w:lineRule="auto" w:before="117"/>
        <w:ind w:left="513" w:right="153"/>
        <w:jc w:val="left"/>
      </w:pPr>
      <w:r>
        <w:rPr/>
        <w:t>公司治理的实际状况与中国证监会发布的有关上市公司治理的规范性文件不存在重大差异。</w:t>
      </w:r>
    </w:p>
    <w:p>
      <w:pPr>
        <w:spacing w:line="240" w:lineRule="auto" w:before="1"/>
        <w:rPr>
          <w:rFonts w:ascii="宋体" w:hAnsi="宋体" w:cs="宋体" w:eastAsia="宋体" w:hint="default"/>
          <w:sz w:val="25"/>
          <w:szCs w:val="25"/>
        </w:rPr>
      </w:pPr>
    </w:p>
    <w:p>
      <w:pPr>
        <w:pStyle w:val="Heading5"/>
        <w:spacing w:line="240" w:lineRule="auto"/>
        <w:ind w:right="153"/>
        <w:jc w:val="left"/>
        <w:rPr>
          <w:b w:val="0"/>
          <w:bCs w:val="0"/>
        </w:rPr>
      </w:pPr>
      <w:r>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13" w:right="0"/>
        <w:jc w:val="left"/>
      </w:pPr>
      <w:r>
        <w:rPr/>
        <w:t>公司与控股股东长城科技股份有限公司在业务、人员、资产、机构、财务等方面完全分开，具有独立完整的自主经营能</w:t>
      </w:r>
    </w:p>
    <w:p>
      <w:pPr>
        <w:pStyle w:val="BodyText"/>
        <w:spacing w:line="240" w:lineRule="auto" w:before="76"/>
        <w:ind w:right="153"/>
        <w:jc w:val="left"/>
      </w:pPr>
      <w:r>
        <w:rPr/>
        <w:t>力。</w:t>
      </w:r>
    </w:p>
    <w:p>
      <w:pPr>
        <w:pStyle w:val="BodyText"/>
        <w:spacing w:line="240" w:lineRule="auto" w:before="117"/>
        <w:ind w:left="513" w:right="0"/>
        <w:jc w:val="left"/>
      </w:pPr>
      <w:r>
        <w:rPr>
          <w:rFonts w:ascii="Times New Roman" w:hAnsi="Times New Roman" w:cs="Times New Roman" w:eastAsia="Times New Roman" w:hint="default"/>
        </w:rPr>
        <w:t>1</w:t>
      </w:r>
      <w:r>
        <w:rPr/>
        <w:t>、在业务方面，公司独立于控股股东，拥有独立完整的生产、销售、售后服务系统，依照法定经营范围独立从事经营</w:t>
      </w:r>
    </w:p>
    <w:p>
      <w:pPr>
        <w:pStyle w:val="BodyText"/>
        <w:spacing w:line="240" w:lineRule="auto" w:before="63"/>
        <w:ind w:right="153"/>
        <w:jc w:val="left"/>
      </w:pPr>
      <w:r>
        <w:rPr/>
        <w:t>管理活动。控股股东未与公司进行同业竞争或发生日常经营业务方面的重大关联交易。</w:t>
      </w:r>
    </w:p>
    <w:p>
      <w:pPr>
        <w:pStyle w:val="BodyText"/>
        <w:spacing w:line="300" w:lineRule="auto" w:before="117"/>
        <w:ind w:right="144" w:firstLine="360"/>
        <w:jc w:val="left"/>
      </w:pPr>
      <w:r>
        <w:rPr>
          <w:rFonts w:ascii="Times New Roman" w:hAnsi="Times New Roman" w:cs="Times New Roman" w:eastAsia="Times New Roman" w:hint="default"/>
        </w:rPr>
        <w:t>2</w:t>
      </w:r>
      <w:r>
        <w:rPr/>
        <w:t>、在人员方面，公司在劳动、人事及工资管理等方面独立运作，管理体系完整。公司总裁、副总裁、财务负责人、董 事会秘书等高级管理人员未在控股股东单位兼任高级管理人员职务。</w:t>
      </w:r>
    </w:p>
    <w:p>
      <w:pPr>
        <w:pStyle w:val="BodyText"/>
        <w:spacing w:line="300" w:lineRule="auto" w:before="70"/>
        <w:ind w:right="144" w:firstLine="360"/>
        <w:jc w:val="left"/>
      </w:pPr>
      <w:r>
        <w:rPr>
          <w:rFonts w:ascii="Times New Roman" w:hAnsi="Times New Roman" w:cs="Times New Roman" w:eastAsia="Times New Roman" w:hint="default"/>
        </w:rPr>
        <w:t>3</w:t>
      </w:r>
      <w:r>
        <w:rPr/>
        <w:t>、在资产方面，公司与控股股东产权关系明晰，拥有独立的生产系统、辅助生产系统和配套设施、工业产权、非专利 技术等资产及产、供、销体系。</w:t>
      </w:r>
    </w:p>
    <w:p>
      <w:pPr>
        <w:pStyle w:val="BodyText"/>
        <w:spacing w:line="300" w:lineRule="auto" w:before="72"/>
        <w:ind w:right="144" w:firstLine="360"/>
        <w:jc w:val="left"/>
      </w:pPr>
      <w:r>
        <w:rPr>
          <w:rFonts w:ascii="Times New Roman" w:hAnsi="Times New Roman" w:cs="Times New Roman" w:eastAsia="Times New Roman" w:hint="default"/>
        </w:rPr>
        <w:t>4</w:t>
      </w:r>
      <w:r>
        <w:rPr/>
        <w:t>、在机构设置方面，公司依照《公司法》等有关法律法规，设立了包括股东大会、董事会、监事会等组织机构在内的 完整独立的法人治理结构，生产经营和办公机构与控股股东分开，不存在混合经营、合署办公的情况。</w:t>
      </w:r>
    </w:p>
    <w:p>
      <w:pPr>
        <w:pStyle w:val="BodyText"/>
        <w:spacing w:line="300" w:lineRule="auto" w:before="72"/>
        <w:ind w:right="144" w:firstLine="360"/>
        <w:jc w:val="left"/>
      </w:pPr>
      <w:r>
        <w:rPr>
          <w:rFonts w:ascii="Times New Roman" w:hAnsi="Times New Roman" w:cs="Times New Roman" w:eastAsia="Times New Roman" w:hint="default"/>
        </w:rPr>
        <w:t>5</w:t>
      </w:r>
      <w:r>
        <w:rPr/>
        <w:t>、在财务方面，公司设有独立的财务部门，建立了独立的财务核算体系和财务管理制度，开立独立的银行账户，依法 独立纳税。</w:t>
      </w:r>
    </w:p>
    <w:p>
      <w:pPr>
        <w:spacing w:line="240" w:lineRule="auto" w:before="8"/>
        <w:rPr>
          <w:rFonts w:ascii="宋体" w:hAnsi="宋体" w:cs="宋体" w:eastAsia="宋体" w:hint="default"/>
          <w:sz w:val="21"/>
          <w:szCs w:val="21"/>
        </w:rPr>
      </w:pPr>
    </w:p>
    <w:p>
      <w:pPr>
        <w:pStyle w:val="Heading5"/>
        <w:spacing w:line="240" w:lineRule="auto"/>
        <w:ind w:right="15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0" w:hanging="361"/>
        <w:jc w:val="left"/>
      </w:pPr>
      <w:r>
        <w:rPr/>
        <w:t>□ 适用 √</w:t>
      </w:r>
      <w:r>
        <w:rPr>
          <w:spacing w:val="3"/>
        </w:rPr>
        <w:t> </w:t>
      </w:r>
      <w:r>
        <w:rPr/>
        <w:t>不适用</w:t>
      </w:r>
      <w:r>
        <w:rPr/>
        <w:t> </w:t>
      </w:r>
      <w:r>
        <w:rPr>
          <w:spacing w:val="-2"/>
        </w:rPr>
        <w:t>为确认同业竞争现状及避免潜在的同业竞争情形，公司实际控制人中国电子已作出相关承诺并认真遵守，具体内容详见</w:t>
      </w:r>
    </w:p>
    <w:p>
      <w:pPr>
        <w:pStyle w:val="BodyText"/>
        <w:spacing w:line="236" w:lineRule="exact"/>
        <w:ind w:right="0"/>
        <w:jc w:val="left"/>
      </w:pPr>
      <w:r>
        <w:rPr/>
        <w:t>本报告第五节中</w:t>
      </w:r>
      <w:r>
        <w:rPr>
          <w:rFonts w:ascii="Times New Roman" w:hAnsi="Times New Roman" w:cs="Times New Roman" w:eastAsia="Times New Roman" w:hint="default"/>
        </w:rPr>
        <w:t>“</w:t>
      </w:r>
      <w:r>
        <w:rPr/>
        <w:t>承诺事项履行情况</w:t>
      </w:r>
      <w:r>
        <w:rPr>
          <w:rFonts w:ascii="Times New Roman" w:hAnsi="Times New Roman" w:cs="Times New Roman" w:eastAsia="Times New Roman" w:hint="default"/>
        </w:rPr>
        <w:t>”</w:t>
      </w:r>
      <w:r>
        <w:rPr/>
        <w:t>的相关介绍。目前，公司与控股股东、实际控制人及其下属其他企业不存在同业竞争情</w:t>
      </w:r>
    </w:p>
    <w:p>
      <w:pPr>
        <w:pStyle w:val="BodyText"/>
        <w:spacing w:line="240" w:lineRule="auto" w:before="63"/>
        <w:ind w:right="153"/>
        <w:jc w:val="left"/>
      </w:pPr>
      <w:r>
        <w:rPr/>
        <w:t>况。</w:t>
      </w:r>
    </w:p>
    <w:p>
      <w:pPr>
        <w:spacing w:after="0" w:line="240" w:lineRule="auto"/>
        <w:jc w:val="left"/>
        <w:sectPr>
          <w:pgSz w:w="11910" w:h="16840"/>
          <w:pgMar w:header="877" w:footer="980" w:top="1100" w:bottom="1160" w:left="980" w:right="980"/>
        </w:sectPr>
      </w:pPr>
    </w:p>
    <w:p>
      <w:pPr>
        <w:spacing w:line="240" w:lineRule="auto" w:before="9"/>
        <w:rPr>
          <w:rFonts w:ascii="宋体" w:hAnsi="宋体" w:cs="宋体" w:eastAsia="宋体" w:hint="default"/>
          <w:sz w:val="28"/>
          <w:szCs w:val="28"/>
        </w:rPr>
      </w:pPr>
    </w:p>
    <w:p>
      <w:pPr>
        <w:pStyle w:val="Heading5"/>
        <w:spacing w:line="240" w:lineRule="auto" w:before="26"/>
        <w:ind w:left="392" w:right="0"/>
        <w:jc w:val="left"/>
        <w:rPr>
          <w:b w:val="0"/>
          <w:bCs w:val="0"/>
        </w:rPr>
      </w:pPr>
      <w:r>
        <w:rPr/>
        <w:t>四、报告期内召开的年度股东大会和临时股东大会的有关情况</w:t>
      </w:r>
      <w:r>
        <w:rPr>
          <w:b w:val="0"/>
          <w:bCs w:val="0"/>
        </w:rPr>
      </w:r>
    </w:p>
    <w:p>
      <w:pPr>
        <w:pStyle w:val="Heading8"/>
        <w:spacing w:line="240" w:lineRule="auto" w:before="187"/>
        <w:ind w:left="392"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2590"/>
        <w:gridCol w:w="1261"/>
        <w:gridCol w:w="1440"/>
        <w:gridCol w:w="1599"/>
        <w:gridCol w:w="1621"/>
        <w:gridCol w:w="1690"/>
      </w:tblGrid>
      <w:tr>
        <w:trPr>
          <w:trHeight w:val="322" w:hRule="exact"/>
        </w:trPr>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8"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2015-009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35"/>
              <w:jc w:val="left"/>
              <w:rPr>
                <w:rFonts w:ascii="宋体" w:hAnsi="宋体" w:cs="宋体" w:eastAsia="宋体" w:hint="default"/>
                <w:sz w:val="18"/>
                <w:szCs w:val="18"/>
              </w:rPr>
            </w:pPr>
            <w:r>
              <w:rPr>
                <w:rFonts w:ascii="宋体" w:hAnsi="宋体" w:cs="宋体" w:eastAsia="宋体" w:hint="default"/>
                <w:sz w:val="18"/>
                <w:szCs w:val="18"/>
              </w:rPr>
              <w:t>度第一次临时股东大 会决议公告</w:t>
            </w:r>
          </w:p>
        </w:tc>
      </w:tr>
      <w:tr>
        <w:trPr>
          <w:trHeight w:val="634"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2015-029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度股东大会决议公告</w:t>
            </w:r>
          </w:p>
        </w:tc>
      </w:tr>
      <w:tr>
        <w:trPr>
          <w:trHeight w:val="946"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2015-066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35"/>
              <w:jc w:val="left"/>
              <w:rPr>
                <w:rFonts w:ascii="宋体" w:hAnsi="宋体" w:cs="宋体" w:eastAsia="宋体" w:hint="default"/>
                <w:sz w:val="18"/>
                <w:szCs w:val="18"/>
              </w:rPr>
            </w:pPr>
            <w:r>
              <w:rPr>
                <w:rFonts w:ascii="宋体" w:hAnsi="宋体" w:cs="宋体" w:eastAsia="宋体" w:hint="default"/>
                <w:sz w:val="18"/>
                <w:szCs w:val="18"/>
              </w:rPr>
              <w:t>度第二次临时股东大 会决议公告</w:t>
            </w:r>
          </w:p>
        </w:tc>
      </w:tr>
      <w:tr>
        <w:trPr>
          <w:trHeight w:val="946"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2015-084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35"/>
              <w:jc w:val="left"/>
              <w:rPr>
                <w:rFonts w:ascii="宋体" w:hAnsi="宋体" w:cs="宋体" w:eastAsia="宋体" w:hint="default"/>
                <w:sz w:val="18"/>
                <w:szCs w:val="18"/>
              </w:rPr>
            </w:pPr>
            <w:r>
              <w:rPr>
                <w:rFonts w:ascii="宋体" w:hAnsi="宋体" w:cs="宋体" w:eastAsia="宋体" w:hint="default"/>
                <w:sz w:val="18"/>
                <w:szCs w:val="18"/>
              </w:rPr>
              <w:t>度第三次临时股东大 会决议公告</w:t>
            </w:r>
          </w:p>
        </w:tc>
      </w:tr>
      <w:tr>
        <w:trPr>
          <w:trHeight w:val="946" w:hRule="exact"/>
        </w:trPr>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2015-093 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p>
            <w:pPr>
              <w:pStyle w:val="TableParagraph"/>
              <w:spacing w:line="316" w:lineRule="auto" w:before="63"/>
              <w:ind w:left="24" w:right="35"/>
              <w:jc w:val="left"/>
              <w:rPr>
                <w:rFonts w:ascii="宋体" w:hAnsi="宋体" w:cs="宋体" w:eastAsia="宋体" w:hint="default"/>
                <w:sz w:val="18"/>
                <w:szCs w:val="18"/>
              </w:rPr>
            </w:pPr>
            <w:r>
              <w:rPr>
                <w:rFonts w:ascii="宋体" w:hAnsi="宋体" w:cs="宋体" w:eastAsia="宋体" w:hint="default"/>
                <w:sz w:val="18"/>
                <w:szCs w:val="18"/>
              </w:rPr>
              <w:t>第四次临时股东大会 决议公告</w:t>
            </w:r>
          </w:p>
        </w:tc>
      </w:tr>
    </w:tbl>
    <w:p>
      <w:pPr>
        <w:pStyle w:val="BodyText"/>
        <w:spacing w:line="240" w:lineRule="auto" w:before="49"/>
        <w:ind w:left="392" w:right="0"/>
        <w:jc w:val="left"/>
      </w:pPr>
      <w:r>
        <w:rPr/>
        <w:t>提交股东大会临时提案的情况</w:t>
      </w:r>
    </w:p>
    <w:p>
      <w:pPr>
        <w:pStyle w:val="BodyText"/>
        <w:spacing w:line="300" w:lineRule="auto" w:before="117"/>
        <w:ind w:left="392" w:right="388" w:firstLine="360"/>
        <w:jc w:val="both"/>
      </w:pPr>
      <w:r>
        <w:rPr/>
        <w:t>公司</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年度股东大会存在提交股东大会临时提案的情况。公司于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6"/>
        </w:rPr>
        <w:t>日发布《关于召开</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年度股东大 </w:t>
      </w:r>
      <w:r>
        <w:rPr>
          <w:spacing w:val="-8"/>
        </w:rPr>
        <w:t>会的通知》（</w:t>
      </w:r>
      <w:r>
        <w:rPr>
          <w:rFonts w:ascii="Times New Roman" w:hAnsi="Times New Roman" w:cs="Times New Roman" w:eastAsia="Times New Roman" w:hint="default"/>
          <w:spacing w:val="-8"/>
        </w:rPr>
        <w:t>2015-022</w:t>
      </w:r>
      <w:r>
        <w:rPr>
          <w:rFonts w:ascii="Times New Roman" w:hAnsi="Times New Roman" w:cs="Times New Roman" w:eastAsia="Times New Roman" w:hint="default"/>
          <w:spacing w:val="4"/>
        </w:rPr>
        <w:t> </w:t>
      </w:r>
      <w:r>
        <w:rPr>
          <w:spacing w:val="-17"/>
        </w:rPr>
        <w:t>号），</w:t>
      </w:r>
      <w:r>
        <w:rPr>
          <w:rFonts w:ascii="Times New Roman" w:hAnsi="Times New Roman" w:cs="Times New Roman" w:eastAsia="Times New Roman" w:hint="default"/>
          <w:spacing w:val="-17"/>
        </w:rPr>
        <w:t>2015</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4"/>
        </w:rPr>
        <w:t> </w:t>
      </w:r>
      <w:r>
        <w:rPr>
          <w:spacing w:val="-1"/>
        </w:rPr>
        <w:t>日公司董事会收到控股股东长城科技股份有限公司以书面形式提交的《关于中国</w:t>
      </w:r>
      <w:r>
        <w:rPr/>
        <w:t> 长城计算机深圳股份有限公司</w:t>
      </w:r>
      <w:r>
        <w:rPr>
          <w:spacing w:val="-3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spacing w:val="-6"/>
        </w:rPr>
        <w:t>年度股东大会临时提案的函》，提请公司</w:t>
      </w:r>
      <w:r>
        <w:rPr>
          <w:spacing w:val="-3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spacing w:val="-1"/>
        </w:rPr>
        <w:t>年度股东大会增加审议关于《前次募集资</w:t>
      </w:r>
    </w:p>
    <w:p>
      <w:pPr>
        <w:pStyle w:val="BodyText"/>
        <w:spacing w:line="240" w:lineRule="auto" w:before="13"/>
        <w:ind w:left="392" w:right="0"/>
        <w:jc w:val="left"/>
      </w:pPr>
      <w:r>
        <w:rPr/>
        <w:t>金使用情况报告</w:t>
      </w:r>
      <w:r>
        <w:rPr>
          <w:spacing w:val="-92"/>
        </w:rPr>
        <w:t>》</w:t>
      </w:r>
      <w:r>
        <w:rPr/>
        <w:t>（截止</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日）的议案。</w:t>
      </w:r>
    </w:p>
    <w:p>
      <w:pPr>
        <w:spacing w:line="240" w:lineRule="auto" w:before="5"/>
        <w:rPr>
          <w:rFonts w:ascii="宋体" w:hAnsi="宋体" w:cs="宋体" w:eastAsia="宋体" w:hint="default"/>
          <w:sz w:val="12"/>
          <w:szCs w:val="12"/>
        </w:rPr>
      </w:pPr>
    </w:p>
    <w:p>
      <w:pPr>
        <w:pStyle w:val="Heading8"/>
        <w:spacing w:line="240" w:lineRule="auto"/>
        <w:ind w:left="392"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pStyle w:val="BodyText"/>
        <w:spacing w:line="240" w:lineRule="auto" w:before="162"/>
        <w:ind w:left="392" w:right="0"/>
        <w:jc w:val="left"/>
      </w:pPr>
      <w:r>
        <w:rPr/>
        <w:t>□ 适用 √</w:t>
      </w:r>
      <w:r>
        <w:rPr>
          <w:spacing w:val="3"/>
        </w:rPr>
        <w:t> </w:t>
      </w:r>
      <w:r>
        <w:rPr/>
        <w:t>不适用</w:t>
      </w:r>
    </w:p>
    <w:p>
      <w:pPr>
        <w:spacing w:line="240" w:lineRule="auto" w:before="3"/>
        <w:rPr>
          <w:rFonts w:ascii="宋体" w:hAnsi="宋体" w:cs="宋体" w:eastAsia="宋体" w:hint="default"/>
          <w:sz w:val="14"/>
          <w:szCs w:val="14"/>
        </w:rPr>
      </w:pPr>
    </w:p>
    <w:p>
      <w:pPr>
        <w:pStyle w:val="Heading5"/>
        <w:spacing w:line="240" w:lineRule="auto"/>
        <w:ind w:left="392" w:right="0"/>
        <w:jc w:val="left"/>
        <w:rPr>
          <w:b w:val="0"/>
          <w:bCs w:val="0"/>
        </w:rPr>
      </w:pPr>
      <w:r>
        <w:rPr/>
        <w:t>五、董事会工作情况</w:t>
      </w:r>
      <w:r>
        <w:rPr>
          <w:b w:val="0"/>
          <w:bCs w:val="0"/>
        </w:rPr>
      </w:r>
    </w:p>
    <w:p>
      <w:pPr>
        <w:pStyle w:val="BodyText"/>
        <w:spacing w:line="316" w:lineRule="auto" w:before="207"/>
        <w:ind w:left="392" w:right="391" w:firstLine="360"/>
        <w:jc w:val="both"/>
      </w:pPr>
      <w:r>
        <w:rPr>
          <w:spacing w:val="-6"/>
        </w:rPr>
        <w:t>报告期内，公司董事会认真履行《公司法》、《公司章程》等法律、法规赋予的职责，充分发挥董事会决策和战略管理职</w:t>
      </w:r>
      <w:r>
        <w:rPr/>
        <w:t> </w:t>
      </w:r>
      <w:r>
        <w:rPr>
          <w:spacing w:val="-2"/>
        </w:rPr>
        <w:t>能，严格执行股东大会决议，积极推进董事会决议的实施，在决策过程中，公司董事会能够充分发挥各专门委员会及独立董</w:t>
      </w:r>
      <w:r>
        <w:rPr>
          <w:spacing w:val="-64"/>
        </w:rPr>
        <w:t> </w:t>
      </w:r>
      <w:r>
        <w:rPr>
          <w:spacing w:val="-64"/>
        </w:rPr>
      </w:r>
      <w:r>
        <w:rPr/>
        <w:t>事在公司发展中的履职作用，为董事会的科学决策提供了有力的保障。</w:t>
      </w:r>
    </w:p>
    <w:p>
      <w:pPr>
        <w:pStyle w:val="BodyText"/>
        <w:spacing w:line="316" w:lineRule="auto" w:before="59"/>
        <w:ind w:left="392" w:right="394" w:firstLine="360"/>
        <w:jc w:val="both"/>
      </w:pPr>
      <w:r>
        <w:rPr>
          <w:spacing w:val="-2"/>
        </w:rPr>
        <w:t>报告期内，公司董事勤勉尽责，认真审议各项议案，明确表达自己的意见。在董事会闭会期间，各位董事能够认真阅读</w:t>
      </w:r>
      <w:r>
        <w:rPr/>
        <w:t> 公司提供的各类文件、报告，及时了解公司的经营管理状况。</w:t>
      </w:r>
    </w:p>
    <w:p>
      <w:pPr>
        <w:pStyle w:val="BodyText"/>
        <w:spacing w:line="240" w:lineRule="auto" w:before="57"/>
        <w:ind w:left="753" w:right="0"/>
        <w:jc w:val="left"/>
      </w:pPr>
      <w:r>
        <w:rPr/>
        <w:t>（一）报告期内董事会主要会议情况</w:t>
      </w:r>
    </w:p>
    <w:p>
      <w:pPr>
        <w:pStyle w:val="BodyText"/>
        <w:spacing w:line="240" w:lineRule="auto" w:before="117"/>
        <w:ind w:left="753" w:right="0"/>
        <w:jc w:val="left"/>
      </w:pPr>
      <w:r>
        <w:rPr>
          <w:rFonts w:ascii="Times New Roman" w:hAnsi="Times New Roman" w:cs="Times New Roman" w:eastAsia="Times New Roman" w:hint="default"/>
        </w:rPr>
        <w:t>1</w:t>
      </w:r>
      <w:r>
        <w:rPr/>
        <w:t>、第六届董事会第二次会议</w:t>
      </w:r>
    </w:p>
    <w:p>
      <w:pPr>
        <w:pStyle w:val="BodyText"/>
        <w:spacing w:line="300" w:lineRule="auto" w:before="103"/>
        <w:ind w:left="392" w:right="388"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日，公司以现场方式召开第六届董事会第二次会议，相关决议公告刊登在</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3"/>
        </w:rPr>
        <w:t>日的《中国证</w:t>
      </w:r>
      <w:r>
        <w:rPr/>
        <w:t> </w:t>
      </w:r>
      <w:r>
        <w:rPr>
          <w:spacing w:val="-1"/>
        </w:rPr>
        <w:t>券报》</w:t>
      </w:r>
      <w:r>
        <w:rPr>
          <w:rFonts w:ascii="Times New Roman" w:hAnsi="Times New Roman" w:cs="Times New Roman" w:eastAsia="Times New Roman" w:hint="default"/>
          <w:spacing w:val="-1"/>
        </w:rPr>
        <w:t>B065</w:t>
      </w:r>
      <w:r>
        <w:rPr>
          <w:rFonts w:ascii="Times New Roman" w:hAnsi="Times New Roman" w:cs="Times New Roman" w:eastAsia="Times New Roman" w:hint="default"/>
        </w:rPr>
        <w:t> </w:t>
      </w:r>
      <w:r>
        <w:rPr>
          <w:spacing w:val="-9"/>
        </w:rPr>
        <w:t>版、《证券时报》</w:t>
      </w:r>
      <w:r>
        <w:rPr>
          <w:rFonts w:ascii="Times New Roman" w:hAnsi="Times New Roman" w:cs="Times New Roman" w:eastAsia="Times New Roman" w:hint="default"/>
          <w:spacing w:val="-9"/>
        </w:rPr>
        <w:t>B24</w:t>
      </w:r>
      <w:r>
        <w:rPr>
          <w:rFonts w:ascii="Times New Roman" w:hAnsi="Times New Roman" w:cs="Times New Roman" w:eastAsia="Times New Roman" w:hint="default"/>
        </w:rPr>
        <w:t> </w:t>
      </w:r>
      <w:r>
        <w:rPr>
          <w:spacing w:val="-6"/>
        </w:rPr>
        <w:t>版、《上海证券报》</w:t>
      </w:r>
      <w:r>
        <w:rPr>
          <w:rFonts w:ascii="Times New Roman" w:hAnsi="Times New Roman" w:cs="Times New Roman" w:eastAsia="Times New Roman" w:hint="default"/>
          <w:spacing w:val="-6"/>
        </w:rPr>
        <w:t>B130/B131</w:t>
      </w:r>
      <w:r>
        <w:rPr>
          <w:rFonts w:ascii="Times New Roman" w:hAnsi="Times New Roman" w:cs="Times New Roman" w:eastAsia="Times New Roman" w:hint="default"/>
          <w:spacing w:val="30"/>
        </w:rPr>
        <w:t> </w:t>
      </w:r>
      <w:r>
        <w:rPr/>
        <w:t>版。</w:t>
      </w:r>
    </w:p>
    <w:p>
      <w:pPr>
        <w:pStyle w:val="BodyText"/>
        <w:spacing w:line="240" w:lineRule="auto" w:before="51"/>
        <w:ind w:left="753" w:right="0"/>
        <w:jc w:val="left"/>
      </w:pPr>
      <w:r>
        <w:rPr>
          <w:rFonts w:ascii="Times New Roman" w:hAnsi="Times New Roman" w:cs="Times New Roman" w:eastAsia="Times New Roman" w:hint="default"/>
        </w:rPr>
        <w:t>2</w:t>
      </w:r>
      <w:r>
        <w:rPr/>
        <w:t>、第六届董事会第三次会议</w:t>
      </w:r>
    </w:p>
    <w:p>
      <w:pPr>
        <w:pStyle w:val="BodyText"/>
        <w:spacing w:line="300" w:lineRule="auto" w:before="103"/>
        <w:ind w:left="392" w:right="388"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日，公司以通讯方式召开第六届董事会第三次会议，相关决议公告刊登在</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日的《中国证</w:t>
      </w:r>
      <w:r>
        <w:rPr/>
        <w:t> </w:t>
      </w:r>
      <w:r>
        <w:rPr>
          <w:spacing w:val="-1"/>
        </w:rPr>
        <w:t>券报》</w:t>
      </w:r>
      <w:r>
        <w:rPr>
          <w:rFonts w:ascii="Times New Roman" w:hAnsi="Times New Roman" w:cs="Times New Roman" w:eastAsia="Times New Roman" w:hint="default"/>
          <w:spacing w:val="-1"/>
        </w:rPr>
        <w:t>B022</w:t>
      </w:r>
      <w:r>
        <w:rPr>
          <w:rFonts w:ascii="Times New Roman" w:hAnsi="Times New Roman" w:cs="Times New Roman" w:eastAsia="Times New Roman" w:hint="default"/>
        </w:rPr>
        <w:t> </w:t>
      </w:r>
      <w:r>
        <w:rPr>
          <w:spacing w:val="-8"/>
        </w:rPr>
        <w:t>版、《证券时报》</w:t>
      </w:r>
      <w:r>
        <w:rPr>
          <w:rFonts w:ascii="Times New Roman" w:hAnsi="Times New Roman" w:cs="Times New Roman" w:eastAsia="Times New Roman" w:hint="default"/>
          <w:spacing w:val="-8"/>
        </w:rPr>
        <w:t>B105</w:t>
      </w:r>
      <w:r>
        <w:rPr>
          <w:rFonts w:ascii="Times New Roman" w:hAnsi="Times New Roman" w:cs="Times New Roman" w:eastAsia="Times New Roman" w:hint="default"/>
        </w:rPr>
        <w:t> </w:t>
      </w:r>
      <w:r>
        <w:rPr>
          <w:spacing w:val="-8"/>
        </w:rPr>
        <w:t>版、《上海证券报》</w:t>
      </w:r>
      <w:r>
        <w:rPr>
          <w:rFonts w:ascii="Times New Roman" w:hAnsi="Times New Roman" w:cs="Times New Roman" w:eastAsia="Times New Roman" w:hint="default"/>
          <w:spacing w:val="-8"/>
        </w:rPr>
        <w:t>154</w:t>
      </w:r>
      <w:r>
        <w:rPr>
          <w:rFonts w:ascii="Times New Roman" w:hAnsi="Times New Roman" w:cs="Times New Roman" w:eastAsia="Times New Roman" w:hint="default"/>
          <w:spacing w:val="15"/>
        </w:rPr>
        <w:t> </w:t>
      </w:r>
      <w:r>
        <w:rPr>
          <w:spacing w:val="-3"/>
        </w:rPr>
        <w:t>版。</w:t>
      </w:r>
      <w:r>
        <w:rPr/>
      </w:r>
    </w:p>
    <w:p>
      <w:pPr>
        <w:pStyle w:val="BodyText"/>
        <w:spacing w:line="240" w:lineRule="auto" w:before="53"/>
        <w:ind w:left="753" w:right="0"/>
        <w:jc w:val="left"/>
      </w:pPr>
      <w:r>
        <w:rPr>
          <w:rFonts w:ascii="Times New Roman" w:hAnsi="Times New Roman" w:cs="Times New Roman" w:eastAsia="Times New Roman" w:hint="default"/>
        </w:rPr>
        <w:t>3</w:t>
      </w:r>
      <w:r>
        <w:rPr/>
        <w:t>、第六届董事会第四次会议</w:t>
      </w:r>
    </w:p>
    <w:p>
      <w:pPr>
        <w:pStyle w:val="BodyText"/>
        <w:spacing w:line="300" w:lineRule="auto" w:before="101"/>
        <w:ind w:left="392" w:right="388"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日，公司以通讯方式召开第六届董事会第四次会议，相关决议公告刊登在</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3"/>
        </w:rPr>
        <w:t>日的《中国证</w:t>
      </w:r>
      <w:r>
        <w:rPr/>
        <w:t> </w:t>
      </w:r>
      <w:r>
        <w:rPr>
          <w:spacing w:val="-1"/>
        </w:rPr>
        <w:t>券报》</w:t>
      </w:r>
      <w:r>
        <w:rPr>
          <w:rFonts w:ascii="Times New Roman" w:hAnsi="Times New Roman" w:cs="Times New Roman" w:eastAsia="Times New Roman" w:hint="default"/>
          <w:spacing w:val="-1"/>
        </w:rPr>
        <w:t>B059</w:t>
      </w:r>
      <w:r>
        <w:rPr>
          <w:rFonts w:ascii="Times New Roman" w:hAnsi="Times New Roman" w:cs="Times New Roman" w:eastAsia="Times New Roman" w:hint="default"/>
        </w:rPr>
        <w:t> </w:t>
      </w:r>
      <w:r>
        <w:rPr>
          <w:spacing w:val="-8"/>
        </w:rPr>
        <w:t>版、《证券时报》</w:t>
      </w:r>
      <w:r>
        <w:rPr>
          <w:rFonts w:ascii="Times New Roman" w:hAnsi="Times New Roman" w:cs="Times New Roman" w:eastAsia="Times New Roman" w:hint="default"/>
          <w:spacing w:val="-8"/>
        </w:rPr>
        <w:t>B184</w:t>
      </w:r>
      <w:r>
        <w:rPr>
          <w:rFonts w:ascii="Times New Roman" w:hAnsi="Times New Roman" w:cs="Times New Roman" w:eastAsia="Times New Roman" w:hint="default"/>
        </w:rPr>
        <w:t> </w:t>
      </w:r>
      <w:r>
        <w:rPr>
          <w:spacing w:val="-8"/>
        </w:rPr>
        <w:t>版、《上海证券报》</w:t>
      </w:r>
      <w:r>
        <w:rPr>
          <w:rFonts w:ascii="Times New Roman" w:hAnsi="Times New Roman" w:cs="Times New Roman" w:eastAsia="Times New Roman" w:hint="default"/>
          <w:spacing w:val="-8"/>
        </w:rPr>
        <w:t>543</w:t>
      </w:r>
      <w:r>
        <w:rPr>
          <w:rFonts w:ascii="Times New Roman" w:hAnsi="Times New Roman" w:cs="Times New Roman" w:eastAsia="Times New Roman" w:hint="default"/>
          <w:spacing w:val="15"/>
        </w:rPr>
        <w:t> </w:t>
      </w:r>
      <w:r>
        <w:rPr>
          <w:spacing w:val="-3"/>
        </w:rPr>
        <w:t>版。</w:t>
      </w:r>
      <w:r>
        <w:rPr/>
      </w:r>
    </w:p>
    <w:p>
      <w:pPr>
        <w:spacing w:after="0" w:line="300" w:lineRule="auto"/>
        <w:jc w:val="both"/>
        <w:sectPr>
          <w:pgSz w:w="11910" w:h="16840"/>
          <w:pgMar w:header="877" w:footer="980" w:top="1100" w:bottom="1160" w:left="740" w:right="740"/>
        </w:sectPr>
      </w:pPr>
    </w:p>
    <w:p>
      <w:pPr>
        <w:spacing w:line="240" w:lineRule="auto" w:before="11"/>
        <w:rPr>
          <w:rFonts w:ascii="宋体" w:hAnsi="宋体" w:cs="宋体" w:eastAsia="宋体" w:hint="default"/>
          <w:sz w:val="21"/>
          <w:szCs w:val="21"/>
        </w:rPr>
      </w:pPr>
    </w:p>
    <w:p>
      <w:pPr>
        <w:pStyle w:val="BodyText"/>
        <w:spacing w:line="240" w:lineRule="auto" w:before="44"/>
        <w:ind w:left="513" w:right="89"/>
        <w:jc w:val="left"/>
      </w:pPr>
      <w:r>
        <w:rPr>
          <w:rFonts w:ascii="Times New Roman" w:hAnsi="Times New Roman" w:cs="Times New Roman" w:eastAsia="Times New Roman" w:hint="default"/>
        </w:rPr>
        <w:t>4</w:t>
      </w:r>
      <w:r>
        <w:rPr/>
        <w:t>、第六届董事会第五次会议</w:t>
      </w:r>
    </w:p>
    <w:p>
      <w:pPr>
        <w:pStyle w:val="BodyText"/>
        <w:spacing w:line="300" w:lineRule="auto" w:before="104"/>
        <w:ind w:right="89"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日，公司以现场方式召开第六届董事会第五次会议，相关决议公告刊登在</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日的《中国</w:t>
      </w:r>
      <w:r>
        <w:rPr/>
        <w:t> </w:t>
      </w:r>
      <w:r>
        <w:rPr>
          <w:spacing w:val="-1"/>
        </w:rPr>
        <w:t>证券报》</w:t>
      </w:r>
      <w:r>
        <w:rPr>
          <w:rFonts w:ascii="Times New Roman" w:hAnsi="Times New Roman" w:cs="Times New Roman" w:eastAsia="Times New Roman" w:hint="default"/>
          <w:spacing w:val="-1"/>
        </w:rPr>
        <w:t>B048</w:t>
      </w:r>
      <w:r>
        <w:rPr>
          <w:rFonts w:ascii="Times New Roman" w:hAnsi="Times New Roman" w:cs="Times New Roman" w:eastAsia="Times New Roman" w:hint="default"/>
        </w:rPr>
        <w:t> </w:t>
      </w:r>
      <w:r>
        <w:rPr>
          <w:spacing w:val="-9"/>
        </w:rPr>
        <w:t>版、《证券时报》</w:t>
      </w:r>
      <w:r>
        <w:rPr>
          <w:rFonts w:ascii="Times New Roman" w:hAnsi="Times New Roman" w:cs="Times New Roman" w:eastAsia="Times New Roman" w:hint="default"/>
          <w:spacing w:val="-9"/>
        </w:rPr>
        <w:t>B49</w:t>
      </w:r>
      <w:r>
        <w:rPr>
          <w:rFonts w:ascii="Times New Roman" w:hAnsi="Times New Roman" w:cs="Times New Roman" w:eastAsia="Times New Roman" w:hint="default"/>
        </w:rPr>
        <w:t> </w:t>
      </w:r>
      <w:r>
        <w:rPr>
          <w:spacing w:val="-9"/>
        </w:rPr>
        <w:t>版、《上海证券报》</w:t>
      </w:r>
      <w:r>
        <w:rPr>
          <w:rFonts w:ascii="Times New Roman" w:hAnsi="Times New Roman" w:cs="Times New Roman" w:eastAsia="Times New Roman" w:hint="default"/>
          <w:spacing w:val="-9"/>
        </w:rPr>
        <w:t>62</w:t>
      </w:r>
      <w:r>
        <w:rPr>
          <w:rFonts w:ascii="Times New Roman" w:hAnsi="Times New Roman" w:cs="Times New Roman" w:eastAsia="Times New Roman" w:hint="default"/>
          <w:spacing w:val="21"/>
        </w:rPr>
        <w:t> </w:t>
      </w:r>
      <w:r>
        <w:rPr/>
        <w:t>版。</w:t>
      </w:r>
    </w:p>
    <w:p>
      <w:pPr>
        <w:pStyle w:val="BodyText"/>
        <w:spacing w:line="240" w:lineRule="auto" w:before="51"/>
        <w:ind w:left="513" w:right="89"/>
        <w:jc w:val="left"/>
      </w:pPr>
      <w:r>
        <w:rPr/>
        <w:t>（二）董事会对股东大会决议的执行情况</w:t>
      </w:r>
    </w:p>
    <w:p>
      <w:pPr>
        <w:pStyle w:val="BodyText"/>
        <w:spacing w:line="300" w:lineRule="auto" w:before="117"/>
        <w:ind w:right="184" w:firstLine="360"/>
        <w:jc w:val="left"/>
      </w:pPr>
      <w:r>
        <w:rPr>
          <w:rFonts w:ascii="Times New Roman" w:hAnsi="Times New Roman" w:cs="Times New Roman" w:eastAsia="Times New Roman" w:hint="default"/>
        </w:rPr>
        <w:t>1</w:t>
      </w:r>
      <w:r>
        <w:rPr/>
        <w:t>、报告期内，董事会根据法律法规及公司章程的规定，认真履行股东大会召集人职责，并严格按照股东大会的决议和 授权，认真执行股东大会各项决议。</w:t>
      </w:r>
    </w:p>
    <w:p>
      <w:pPr>
        <w:pStyle w:val="BodyText"/>
        <w:spacing w:line="240" w:lineRule="auto" w:before="72"/>
        <w:ind w:left="513" w:right="8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年度，公司董事会召集召开股东大会</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次，相关各项决议已在报告期内全面落实。</w:t>
      </w:r>
    </w:p>
    <w:p>
      <w:pPr>
        <w:pStyle w:val="BodyText"/>
        <w:spacing w:line="340" w:lineRule="auto" w:before="101"/>
        <w:ind w:left="513" w:right="89"/>
        <w:jc w:val="left"/>
      </w:pPr>
      <w:r>
        <w:rPr>
          <w:rFonts w:ascii="Times New Roman" w:hAnsi="Times New Roman" w:cs="Times New Roman" w:eastAsia="Times New Roman" w:hint="default"/>
        </w:rPr>
        <w:t>2</w:t>
      </w:r>
      <w:r>
        <w:rPr/>
        <w:t>、报告期内公司利润分配方案执行情况 </w:t>
      </w:r>
      <w:r>
        <w:rPr>
          <w:spacing w:val="-4"/>
        </w:rPr>
        <w:t>公司实行持续、稳健的利润分配政策，在综合考虑公司经营状况和发展目标等因素的同时重视对投资者的合理投资回报。</w:t>
      </w:r>
    </w:p>
    <w:p>
      <w:pPr>
        <w:pStyle w:val="BodyText"/>
        <w:spacing w:line="240" w:lineRule="auto" w:before="1"/>
        <w:ind w:right="89"/>
        <w:jc w:val="left"/>
      </w:pPr>
      <w:r>
        <w:rPr/>
        <w:t>报告期内，公司根据战略发展需要制定了《股东回报规划</w:t>
      </w:r>
      <w:r>
        <w:rPr>
          <w:spacing w:val="1"/>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92"/>
        </w:rPr>
        <w:t>）》。</w:t>
      </w:r>
      <w:r>
        <w:rPr/>
      </w:r>
    </w:p>
    <w:p>
      <w:pPr>
        <w:pStyle w:val="BodyText"/>
        <w:spacing w:line="240" w:lineRule="auto" w:before="103"/>
        <w:ind w:left="513" w:right="89"/>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r>
        <w:rPr>
          <w:spacing w:val="-8"/>
        </w:rPr>
        <w:t>，</w:t>
      </w:r>
      <w:r>
        <w:rPr/>
        <w:t>公司</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年度股东大会审议通过了</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年度利润分配方案</w:t>
      </w:r>
      <w:r>
        <w:rPr>
          <w:spacing w:val="-8"/>
        </w:rPr>
        <w:t>，</w:t>
      </w:r>
      <w:r>
        <w:rPr/>
        <w:t>根</w:t>
      </w:r>
      <w:r>
        <w:rPr>
          <w:spacing w:val="-7"/>
        </w:rPr>
        <w:t>据</w:t>
      </w:r>
      <w:r>
        <w:rPr/>
        <w:t>《公司法</w:t>
      </w:r>
      <w:r>
        <w:rPr>
          <w:spacing w:val="-92"/>
        </w:rPr>
        <w:t>》</w:t>
      </w:r>
      <w:r>
        <w:rPr>
          <w:spacing w:val="-99"/>
        </w:rPr>
        <w:t>、</w:t>
      </w:r>
      <w:r>
        <w:rPr/>
        <w:t>《公司章程</w:t>
      </w:r>
      <w:r>
        <w:rPr>
          <w:spacing w:val="-8"/>
        </w:rPr>
        <w:t>》</w:t>
      </w:r>
      <w:r>
        <w:rPr/>
        <w:t>之有关</w:t>
      </w:r>
    </w:p>
    <w:p>
      <w:pPr>
        <w:pStyle w:val="BodyText"/>
        <w:spacing w:line="300" w:lineRule="auto" w:before="63"/>
        <w:ind w:right="178"/>
        <w:jc w:val="left"/>
      </w:pPr>
      <w:r>
        <w:rPr/>
        <w:t>规定及本公司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年度的经营情况，且</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年度母公司可供分配利润为负数，基于公司长远发展考虑，公司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年度不 进行利润分配。</w:t>
      </w:r>
    </w:p>
    <w:p>
      <w:pPr>
        <w:pStyle w:val="BodyText"/>
        <w:spacing w:line="240" w:lineRule="auto" w:before="70"/>
        <w:ind w:left="513" w:right="89"/>
        <w:jc w:val="left"/>
      </w:pPr>
      <w:r>
        <w:rPr>
          <w:spacing w:val="13"/>
        </w:rPr>
        <w:t>报告期内，</w:t>
      </w:r>
      <w:r>
        <w:rPr>
          <w:spacing w:val="-61"/>
        </w:rPr>
        <w:t> </w:t>
      </w:r>
      <w:r>
        <w:rPr>
          <w:spacing w:val="16"/>
        </w:rPr>
        <w:t>下属子公司冠捷科技按照其上市地规则向其普通股股东进行利润分配，</w:t>
      </w:r>
      <w:r>
        <w:rPr>
          <w:spacing w:val="-56"/>
        </w:rPr>
        <w:t> </w:t>
      </w:r>
      <w:r>
        <w:rPr>
          <w:spacing w:val="15"/>
        </w:rPr>
        <w:t>具体内容详见冠捷科技于</w:t>
      </w:r>
    </w:p>
    <w:p>
      <w:pPr>
        <w:pStyle w:val="BodyText"/>
        <w:spacing w:line="240" w:lineRule="auto" w:before="76"/>
        <w:ind w:right="89"/>
        <w:jc w:val="left"/>
      </w:pPr>
      <w:hyperlink r:id="rId11">
        <w:r>
          <w:rPr>
            <w:rFonts w:ascii="Times New Roman" w:hAnsi="Times New Roman" w:cs="Times New Roman" w:eastAsia="Times New Roman" w:hint="default"/>
          </w:rPr>
          <w:t>http://www.hkexnews.hk</w:t>
        </w:r>
      </w:hyperlink>
      <w:r>
        <w:rPr>
          <w:rFonts w:ascii="Times New Roman" w:hAnsi="Times New Roman" w:cs="Times New Roman" w:eastAsia="Times New Roman" w:hint="default"/>
          <w:spacing w:val="-18"/>
        </w:rPr>
        <w:t> </w:t>
      </w:r>
      <w:r>
        <w:rPr/>
        <w:t>中刊登的相关公告。</w:t>
      </w:r>
    </w:p>
    <w:p>
      <w:pPr>
        <w:spacing w:line="240" w:lineRule="auto" w:before="5"/>
        <w:rPr>
          <w:rFonts w:ascii="宋体" w:hAnsi="宋体" w:cs="宋体" w:eastAsia="宋体" w:hint="default"/>
          <w:sz w:val="13"/>
          <w:szCs w:val="13"/>
        </w:rPr>
      </w:pPr>
    </w:p>
    <w:p>
      <w:pPr>
        <w:pStyle w:val="Heading5"/>
        <w:spacing w:line="240" w:lineRule="auto"/>
        <w:ind w:right="89"/>
        <w:jc w:val="left"/>
        <w:rPr>
          <w:b w:val="0"/>
          <w:bCs w:val="0"/>
        </w:rPr>
      </w:pPr>
      <w:r>
        <w:rPr/>
        <w:t>六、报告期内独立董事履行职责的情况</w:t>
      </w:r>
      <w:r>
        <w:rPr>
          <w:b w:val="0"/>
          <w:bCs w:val="0"/>
        </w:rPr>
      </w:r>
    </w:p>
    <w:p>
      <w:pPr>
        <w:pStyle w:val="Heading8"/>
        <w:spacing w:line="240" w:lineRule="auto" w:before="186"/>
        <w:ind w:right="8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14"/>
          <w:szCs w:val="14"/>
        </w:rPr>
      </w:pPr>
    </w:p>
    <w:tbl>
      <w:tblPr>
        <w:tblW w:w="0" w:type="auto"/>
        <w:jc w:val="left"/>
        <w:tblInd w:w="183" w:type="dxa"/>
        <w:tblLayout w:type="fixed"/>
        <w:tblCellMar>
          <w:top w:w="0" w:type="dxa"/>
          <w:left w:w="0" w:type="dxa"/>
          <w:bottom w:w="0" w:type="dxa"/>
          <w:right w:w="0" w:type="dxa"/>
        </w:tblCellMar>
        <w:tblLook w:val="01E0"/>
      </w:tblPr>
      <w:tblGrid>
        <w:gridCol w:w="1623"/>
        <w:gridCol w:w="1325"/>
        <w:gridCol w:w="1325"/>
        <w:gridCol w:w="1323"/>
        <w:gridCol w:w="1325"/>
        <w:gridCol w:w="1325"/>
        <w:gridCol w:w="1322"/>
      </w:tblGrid>
      <w:tr>
        <w:trPr>
          <w:trHeight w:val="32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63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206" w:right="27"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477" w:right="24"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17" w:right="24"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22"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虞世全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1"/>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1"/>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蓝庆新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1"/>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49"/>
        <w:ind w:left="513" w:right="7114" w:hanging="361"/>
        <w:jc w:val="left"/>
      </w:pPr>
      <w:r>
        <w:rPr/>
        <w:t>连续两次未亲自出席董事会的说明 不适用。</w:t>
      </w:r>
    </w:p>
    <w:p>
      <w:pPr>
        <w:pStyle w:val="Heading8"/>
        <w:spacing w:line="240" w:lineRule="auto" w:before="124"/>
        <w:ind w:right="8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89"/>
        <w:jc w:val="left"/>
      </w:pPr>
      <w:r>
        <w:rPr/>
        <w:t>独立董事对公司有关事项是否提出异议</w:t>
      </w:r>
    </w:p>
    <w:p>
      <w:pPr>
        <w:pStyle w:val="BodyText"/>
        <w:spacing w:line="240" w:lineRule="auto" w:before="117"/>
        <w:ind w:right="89"/>
        <w:jc w:val="left"/>
      </w:pPr>
      <w:r>
        <w:rPr/>
        <w:t>□ 是 √</w:t>
      </w:r>
      <w:r>
        <w:rPr>
          <w:spacing w:val="3"/>
        </w:rPr>
        <w:t> </w:t>
      </w:r>
      <w:r>
        <w:rPr/>
        <w:t>否</w:t>
      </w:r>
    </w:p>
    <w:p>
      <w:pPr>
        <w:pStyle w:val="BodyText"/>
        <w:spacing w:line="240" w:lineRule="auto" w:before="115"/>
        <w:ind w:left="513" w:right="89"/>
        <w:jc w:val="left"/>
      </w:pPr>
      <w:r>
        <w:rPr/>
        <w:t>报告期内独立董事对公司有关事项未提出异议。</w:t>
      </w:r>
    </w:p>
    <w:p>
      <w:pPr>
        <w:spacing w:line="240" w:lineRule="auto" w:before="7"/>
        <w:rPr>
          <w:rFonts w:ascii="宋体" w:hAnsi="宋体" w:cs="宋体" w:eastAsia="宋体" w:hint="default"/>
          <w:sz w:val="16"/>
          <w:szCs w:val="16"/>
        </w:rPr>
      </w:pPr>
    </w:p>
    <w:p>
      <w:pPr>
        <w:pStyle w:val="Heading8"/>
        <w:spacing w:line="240" w:lineRule="auto"/>
        <w:ind w:right="8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89"/>
        <w:jc w:val="left"/>
      </w:pPr>
      <w:r>
        <w:rPr/>
        <w:t>独立董事对公司有关建议是否被采纳</w:t>
      </w:r>
    </w:p>
    <w:p>
      <w:pPr>
        <w:pStyle w:val="BodyText"/>
        <w:spacing w:line="360" w:lineRule="auto" w:before="115"/>
        <w:ind w:right="5854"/>
        <w:jc w:val="left"/>
      </w:pPr>
      <w:r>
        <w:rPr/>
        <w:t>√ 是 □</w:t>
      </w:r>
      <w:r>
        <w:rPr>
          <w:spacing w:val="3"/>
        </w:rPr>
        <w:t> </w:t>
      </w:r>
      <w:r>
        <w:rPr/>
        <w:t>否</w:t>
      </w:r>
      <w:r>
        <w:rPr/>
        <w:t> 独立董事对公司有关建议被采纳或未被采纳的说明</w:t>
      </w:r>
    </w:p>
    <w:p>
      <w:pPr>
        <w:pStyle w:val="BodyText"/>
        <w:spacing w:line="316" w:lineRule="auto" w:before="27"/>
        <w:ind w:right="89" w:firstLine="360"/>
        <w:jc w:val="left"/>
      </w:pPr>
      <w:r>
        <w:rPr>
          <w:spacing w:val="-2"/>
        </w:rPr>
        <w:t>报告期内，独立董事认真参加董事会和列席股东大会，积极了解公司的运作情况，为公司管理层出谋划策，就公司关联</w:t>
      </w:r>
      <w:r>
        <w:rPr/>
        <w:t> 交易、项目投资等方面发表了独立的专业意见，为促进公司董事会科学决策、维护社会公众股东权益发挥了积极作用。</w:t>
      </w:r>
    </w:p>
    <w:p>
      <w:pPr>
        <w:pStyle w:val="BodyText"/>
        <w:spacing w:line="240" w:lineRule="auto" w:before="57"/>
        <w:ind w:left="513" w:right="89"/>
        <w:jc w:val="left"/>
      </w:pPr>
      <w:r>
        <w:rPr/>
        <w:t>公司对独立董事关于经营发展及公司治理等各方面意见均积极听取，并予以采纳。</w:t>
      </w:r>
    </w:p>
    <w:p>
      <w:pPr>
        <w:spacing w:after="0" w:line="240" w:lineRule="auto"/>
        <w:jc w:val="left"/>
        <w:sectPr>
          <w:pgSz w:w="11910" w:h="16840"/>
          <w:pgMar w:header="877" w:footer="980" w:top="1100" w:bottom="1160" w:left="980" w:right="940"/>
        </w:sectPr>
      </w:pPr>
    </w:p>
    <w:p>
      <w:pPr>
        <w:spacing w:line="240" w:lineRule="auto" w:before="7"/>
        <w:rPr>
          <w:rFonts w:ascii="宋体" w:hAnsi="宋体" w:cs="宋体" w:eastAsia="宋体" w:hint="default"/>
          <w:sz w:val="19"/>
          <w:szCs w:val="19"/>
        </w:rPr>
      </w:pPr>
    </w:p>
    <w:p>
      <w:pPr>
        <w:pStyle w:val="Heading5"/>
        <w:spacing w:line="240" w:lineRule="auto" w:before="26"/>
        <w:ind w:right="89"/>
        <w:jc w:val="left"/>
        <w:rPr>
          <w:b w:val="0"/>
          <w:bCs w:val="0"/>
        </w:rPr>
      </w:pPr>
      <w:r>
        <w:rPr/>
        <w:t>七、董事会下设专门委员会在报告期内履行职责情况</w:t>
      </w:r>
      <w:r>
        <w:rPr>
          <w:b w:val="0"/>
          <w:bCs w:val="0"/>
        </w:rPr>
      </w:r>
    </w:p>
    <w:p>
      <w:pPr>
        <w:pStyle w:val="BodyText"/>
        <w:spacing w:line="312" w:lineRule="auto" w:before="207"/>
        <w:ind w:right="190" w:firstLine="360"/>
        <w:jc w:val="both"/>
      </w:pPr>
      <w:r>
        <w:rPr>
          <w:spacing w:val="-2"/>
        </w:rPr>
        <w:t>董事会各专门委员会充分发挥其专业职能，在董事会闭会或会议前对相关事项积极进行研究和讨论，为董事会科学高效</w:t>
      </w:r>
      <w:r>
        <w:rPr/>
        <w:t> 地决策提供了有力保障。</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年度，公司持续加强董事会专门委员会与董事会之间、董事会专门委员会与经营班子之间、 </w:t>
      </w:r>
      <w:r>
        <w:rPr>
          <w:spacing w:val="-2"/>
        </w:rPr>
        <w:t>各专门委员会成员之间的沟通和交流，董事会专门委员会在公司章程和相关议事规则规定的职权范围内，发挥专业所长，协</w:t>
      </w:r>
      <w:r>
        <w:rPr>
          <w:spacing w:val="-63"/>
        </w:rPr>
        <w:t> </w:t>
      </w:r>
      <w:r>
        <w:rPr>
          <w:spacing w:val="-63"/>
        </w:rPr>
      </w:r>
      <w:r>
        <w:rPr/>
        <w:t>助董事会开展工作，积极建言献策。</w:t>
      </w:r>
    </w:p>
    <w:p>
      <w:pPr>
        <w:pStyle w:val="BodyText"/>
        <w:spacing w:line="240" w:lineRule="auto" w:before="61"/>
        <w:ind w:left="513" w:right="89"/>
        <w:jc w:val="left"/>
      </w:pPr>
      <w:r>
        <w:rPr/>
        <w:t>（一）董事会审计委员会履职情况</w:t>
      </w:r>
    </w:p>
    <w:p>
      <w:pPr>
        <w:pStyle w:val="BodyText"/>
        <w:spacing w:line="300" w:lineRule="auto" w:before="117"/>
        <w:ind w:right="180" w:firstLine="360"/>
        <w:jc w:val="left"/>
      </w:pPr>
      <w:r>
        <w:rPr/>
        <w:t>董事会审计委员会成立于</w:t>
      </w:r>
      <w:r>
        <w:rPr>
          <w:spacing w:val="-45"/>
        </w:rPr>
        <w:t> </w:t>
      </w:r>
      <w:r>
        <w:rPr>
          <w:rFonts w:ascii="Times New Roman" w:hAnsi="Times New Roman" w:cs="Times New Roman" w:eastAsia="Times New Roman" w:hint="default"/>
        </w:rPr>
        <w:t>2008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月，由</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名董事组成，其中</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名为独立董事，主任委员由专业会计人士担任。报告 </w:t>
      </w:r>
      <w:r>
        <w:rPr>
          <w:spacing w:val="-3"/>
        </w:rPr>
        <w:t>期内，公司董事会审计委员会的成员为虞世全先生（主任委员）、钟际民先生和冯科先生。</w:t>
      </w:r>
    </w:p>
    <w:p>
      <w:pPr>
        <w:pStyle w:val="BodyText"/>
        <w:spacing w:line="316" w:lineRule="auto" w:before="72"/>
        <w:ind w:right="89" w:firstLine="360"/>
        <w:jc w:val="left"/>
      </w:pPr>
      <w:r>
        <w:rPr>
          <w:spacing w:val="-4"/>
        </w:rPr>
        <w:t>报告期内，审计委员会根据中国证监会、深交所有关规定及公司《董事会审计委员会工作条例》等相关法律法规和规定，</w:t>
      </w:r>
      <w:r>
        <w:rPr/>
        <w:t> 本着勤勉尽责的原则，认真履职和开展工作，履行了以下工作职责：</w:t>
      </w:r>
    </w:p>
    <w:p>
      <w:pPr>
        <w:pStyle w:val="BodyText"/>
        <w:spacing w:line="240" w:lineRule="auto" w:before="57"/>
        <w:ind w:left="513" w:right="89"/>
        <w:jc w:val="left"/>
      </w:pPr>
      <w:r>
        <w:rPr>
          <w:rFonts w:ascii="Times New Roman" w:hAnsi="Times New Roman" w:cs="Times New Roman" w:eastAsia="Times New Roman" w:hint="default"/>
        </w:rPr>
        <w:t>1</w:t>
      </w:r>
      <w:r>
        <w:rPr/>
        <w:t>、在财务报告方面</w:t>
      </w:r>
    </w:p>
    <w:p>
      <w:pPr>
        <w:pStyle w:val="BodyText"/>
        <w:spacing w:line="240" w:lineRule="auto" w:before="103"/>
        <w:ind w:left="513" w:right="89"/>
        <w:jc w:val="left"/>
      </w:pPr>
      <w:r>
        <w:rPr>
          <w:spacing w:val="-4"/>
        </w:rPr>
        <w:t>（</w:t>
      </w:r>
      <w:r>
        <w:rPr>
          <w:rFonts w:ascii="Times New Roman" w:hAnsi="Times New Roman" w:cs="Times New Roman" w:eastAsia="Times New Roman" w:hint="default"/>
          <w:spacing w:val="-4"/>
        </w:rPr>
        <w:t>1</w:t>
      </w:r>
      <w:r>
        <w:rPr>
          <w:spacing w:val="-4"/>
        </w:rPr>
        <w:t>）认真审阅了公司</w:t>
      </w:r>
      <w:r>
        <w:rPr>
          <w:spacing w:val="-6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年度审计工作计划及相关资料，与负责公司年度审计工作的信永中和会计师事务所有限责任</w:t>
      </w:r>
    </w:p>
    <w:p>
      <w:pPr>
        <w:pStyle w:val="BodyText"/>
        <w:spacing w:line="240" w:lineRule="auto" w:before="63"/>
        <w:ind w:right="89"/>
        <w:jc w:val="left"/>
      </w:pPr>
      <w:r>
        <w:rPr/>
        <w:t>公司商定了公司</w:t>
      </w:r>
      <w:r>
        <w:rPr>
          <w:spacing w:val="-46"/>
        </w:rPr>
        <w:t> </w:t>
      </w:r>
      <w:r>
        <w:rPr>
          <w:rFonts w:ascii="Times New Roman" w:hAnsi="Times New Roman" w:cs="Times New Roman" w:eastAsia="Times New Roman" w:hint="default"/>
        </w:rPr>
        <w:t>2014 </w:t>
      </w:r>
      <w:r>
        <w:rPr/>
        <w:t>年度财务报告审计工作的时间安排；</w:t>
      </w:r>
    </w:p>
    <w:p>
      <w:pPr>
        <w:pStyle w:val="BodyText"/>
        <w:spacing w:line="240" w:lineRule="auto" w:before="103"/>
        <w:ind w:left="513" w:right="89"/>
        <w:jc w:val="left"/>
      </w:pPr>
      <w:r>
        <w:rPr/>
        <w:t>（</w:t>
      </w:r>
      <w:r>
        <w:rPr>
          <w:rFonts w:ascii="Times New Roman" w:hAnsi="Times New Roman" w:cs="Times New Roman" w:eastAsia="Times New Roman" w:hint="default"/>
        </w:rPr>
        <w:t>2</w:t>
      </w:r>
      <w:r>
        <w:rPr/>
        <w:t>）审阅了公司编制的未经审计的财务会计报告，并出具了书面意见；</w:t>
      </w:r>
    </w:p>
    <w:p>
      <w:pPr>
        <w:pStyle w:val="BodyText"/>
        <w:spacing w:line="240" w:lineRule="auto" w:before="101"/>
        <w:ind w:left="513" w:right="89"/>
        <w:jc w:val="left"/>
      </w:pPr>
      <w:r>
        <w:rPr/>
        <w:t>（</w:t>
      </w:r>
      <w:r>
        <w:rPr>
          <w:rFonts w:ascii="Times New Roman" w:hAnsi="Times New Roman" w:cs="Times New Roman" w:eastAsia="Times New Roman" w:hint="default"/>
        </w:rPr>
        <w:t>3</w:t>
      </w:r>
      <w:r>
        <w:rPr/>
        <w:t>）不断加强与年审会计师的沟通，曾两次发函督促其在约定时限内提交审计报告；</w:t>
      </w:r>
    </w:p>
    <w:p>
      <w:pPr>
        <w:pStyle w:val="BodyText"/>
        <w:spacing w:line="240" w:lineRule="auto" w:before="103"/>
        <w:ind w:left="513" w:right="89"/>
        <w:jc w:val="left"/>
      </w:pPr>
      <w:r>
        <w:rPr/>
        <w:t>（</w:t>
      </w:r>
      <w:r>
        <w:rPr>
          <w:rFonts w:ascii="Times New Roman" w:hAnsi="Times New Roman" w:cs="Times New Roman" w:eastAsia="Times New Roman" w:hint="default"/>
        </w:rPr>
        <w:t>4</w:t>
      </w:r>
      <w:r>
        <w:rPr/>
        <w:t>）听取了公司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年度财务工作总结并作了相关评价；</w:t>
      </w:r>
    </w:p>
    <w:p>
      <w:pPr>
        <w:pStyle w:val="BodyText"/>
        <w:spacing w:line="300" w:lineRule="auto" w:before="103"/>
        <w:ind w:right="173" w:firstLine="360"/>
        <w:jc w:val="left"/>
      </w:pPr>
      <w:r>
        <w:rPr/>
        <w:t>（</w:t>
      </w:r>
      <w:r>
        <w:rPr>
          <w:rFonts w:ascii="Times New Roman" w:hAnsi="Times New Roman" w:cs="Times New Roman" w:eastAsia="Times New Roman" w:hint="default"/>
        </w:rPr>
        <w:t>5</w:t>
      </w:r>
      <w:r>
        <w:rPr/>
        <w:t>）公司年审注册会计师出具初步审计意见后，董事会审计委员会再一次审阅了公司</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spacing w:val="-3"/>
        </w:rPr>
        <w:t>年度财务会计报告，并形成</w:t>
      </w:r>
      <w:r>
        <w:rPr/>
        <w:t> 了书面意见；</w:t>
      </w:r>
    </w:p>
    <w:p>
      <w:pPr>
        <w:pStyle w:val="BodyText"/>
        <w:spacing w:line="240" w:lineRule="auto" w:before="70"/>
        <w:ind w:left="513" w:right="89"/>
        <w:jc w:val="left"/>
      </w:pPr>
      <w:r>
        <w:rPr/>
        <w:t>（</w:t>
      </w:r>
      <w:r>
        <w:rPr>
          <w:rFonts w:ascii="Times New Roman" w:hAnsi="Times New Roman" w:cs="Times New Roman" w:eastAsia="Times New Roman" w:hint="default"/>
        </w:rPr>
        <w:t>6</w:t>
      </w:r>
      <w:r>
        <w:rPr/>
        <w:t>）在信永中和会计师事务所有限责任公司出具</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3"/>
        </w:rPr>
        <w:t>年度审计报告后，董事会审计委员会召开会议，对信永中和会计</w:t>
      </w:r>
    </w:p>
    <w:p>
      <w:pPr>
        <w:pStyle w:val="BodyText"/>
        <w:spacing w:line="240" w:lineRule="auto" w:before="63"/>
        <w:ind w:right="89"/>
        <w:jc w:val="left"/>
      </w:pPr>
      <w:r>
        <w:rPr/>
        <w:t>师事务所有限责任公司从事</w:t>
      </w:r>
      <w:r>
        <w:rPr>
          <w:spacing w:val="-46"/>
        </w:rPr>
        <w:t> </w:t>
      </w:r>
      <w:r>
        <w:rPr>
          <w:rFonts w:ascii="Times New Roman" w:hAnsi="Times New Roman" w:cs="Times New Roman" w:eastAsia="Times New Roman" w:hint="default"/>
        </w:rPr>
        <w:t>2014 </w:t>
      </w:r>
      <w:r>
        <w:rPr/>
        <w:t>年度公司的审计工作进行了总结，并就公司年度财务会计报表进行表决并形成决议；</w:t>
      </w:r>
    </w:p>
    <w:p>
      <w:pPr>
        <w:pStyle w:val="BodyText"/>
        <w:spacing w:line="240" w:lineRule="auto" w:before="103"/>
        <w:ind w:left="513" w:right="89"/>
        <w:jc w:val="left"/>
      </w:pPr>
      <w:r>
        <w:rPr/>
        <w:t>（</w:t>
      </w:r>
      <w:r>
        <w:rPr>
          <w:rFonts w:ascii="Times New Roman" w:hAnsi="Times New Roman" w:cs="Times New Roman" w:eastAsia="Times New Roman" w:hint="default"/>
        </w:rPr>
        <w:t>7</w:t>
      </w:r>
      <w:r>
        <w:rPr/>
        <w:t>）对公司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年一季报、半年报、三季报进行审阅并发表意见；</w:t>
      </w:r>
    </w:p>
    <w:p>
      <w:pPr>
        <w:pStyle w:val="BodyText"/>
        <w:spacing w:line="300" w:lineRule="auto" w:before="103"/>
        <w:ind w:right="187" w:firstLine="360"/>
        <w:jc w:val="left"/>
      </w:pPr>
      <w:r>
        <w:rPr/>
        <w:t>（</w:t>
      </w:r>
      <w:r>
        <w:rPr>
          <w:rFonts w:ascii="Times New Roman" w:hAnsi="Times New Roman" w:cs="Times New Roman" w:eastAsia="Times New Roman" w:hint="default"/>
        </w:rPr>
        <w:t>8</w:t>
      </w:r>
      <w:r>
        <w:rPr/>
        <w:t>）对公司 </w:t>
      </w:r>
      <w:r>
        <w:rPr>
          <w:rFonts w:ascii="Times New Roman" w:hAnsi="Times New Roman" w:cs="Times New Roman" w:eastAsia="Times New Roman" w:hint="default"/>
        </w:rPr>
        <w:t>2014 </w:t>
      </w:r>
      <w:r>
        <w:rPr>
          <w:spacing w:val="-1"/>
        </w:rPr>
        <w:t>年度财务决算报告、</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spacing w:val="-1"/>
        </w:rPr>
        <w:t>年度财务预算报告、续聘</w:t>
      </w:r>
      <w:r>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spacing w:val="-5"/>
        </w:rPr>
        <w:t>年度审计单位（含相关审计费用）、计提资</w:t>
      </w:r>
      <w:r>
        <w:rPr/>
        <w:t> 产减值准备及核销部分资产、合并范围变化及相关数据追溯调整等事项分别形成了书面决议。</w:t>
      </w:r>
    </w:p>
    <w:p>
      <w:pPr>
        <w:pStyle w:val="BodyText"/>
        <w:spacing w:line="240" w:lineRule="auto" w:before="70"/>
        <w:ind w:left="513" w:right="89"/>
        <w:jc w:val="left"/>
      </w:pPr>
      <w:r>
        <w:rPr>
          <w:rFonts w:ascii="Times New Roman" w:hAnsi="Times New Roman" w:cs="Times New Roman" w:eastAsia="Times New Roman" w:hint="default"/>
        </w:rPr>
        <w:t>2</w:t>
      </w:r>
      <w:r>
        <w:rPr/>
        <w:t>、在内部控制方面</w:t>
      </w:r>
    </w:p>
    <w:p>
      <w:pPr>
        <w:pStyle w:val="BodyText"/>
        <w:spacing w:line="240" w:lineRule="auto" w:before="103"/>
        <w:ind w:left="513" w:right="89"/>
        <w:jc w:val="left"/>
      </w:pPr>
      <w:r>
        <w:rPr/>
        <w:t>（</w:t>
      </w:r>
      <w:r>
        <w:rPr>
          <w:rFonts w:ascii="Times New Roman" w:hAnsi="Times New Roman" w:cs="Times New Roman" w:eastAsia="Times New Roman" w:hint="default"/>
        </w:rPr>
        <w:t>1</w:t>
      </w:r>
      <w:r>
        <w:rPr/>
        <w:t>）听取了公司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年度内部审计工作总结并作了相关评价，审定了公司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年度内部审计工作计划；</w:t>
      </w:r>
    </w:p>
    <w:p>
      <w:pPr>
        <w:pStyle w:val="BodyText"/>
        <w:spacing w:line="300" w:lineRule="auto" w:before="103"/>
        <w:ind w:right="184" w:firstLine="360"/>
        <w:jc w:val="left"/>
      </w:pPr>
      <w:r>
        <w:rPr/>
        <w:t>（</w:t>
      </w:r>
      <w:r>
        <w:rPr>
          <w:rFonts w:ascii="Times New Roman" w:hAnsi="Times New Roman" w:cs="Times New Roman" w:eastAsia="Times New Roman" w:hint="default"/>
        </w:rPr>
        <w:t>2</w:t>
      </w:r>
      <w:r>
        <w:rPr/>
        <w:t>）保持与内部控制建设部门和评价部门的沟通，通过电话、见面会的方式了解公司内部控制体系建设的进展、自查 和整改情况，审议了公司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年度内部控制评价报告；</w:t>
      </w:r>
    </w:p>
    <w:p>
      <w:pPr>
        <w:pStyle w:val="BodyText"/>
        <w:spacing w:line="240" w:lineRule="auto" w:before="51"/>
        <w:ind w:left="513" w:right="89"/>
        <w:jc w:val="left"/>
      </w:pPr>
      <w:r>
        <w:rPr/>
        <w:t>（</w:t>
      </w:r>
      <w:r>
        <w:rPr>
          <w:rFonts w:ascii="Times New Roman" w:hAnsi="Times New Roman" w:cs="Times New Roman" w:eastAsia="Times New Roman" w:hint="default"/>
        </w:rPr>
        <w:t>3</w:t>
      </w:r>
      <w:r>
        <w:rPr/>
        <w:t>）对聘请公司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年度内部控制审计单位（含相关审计费用）形成了书面决议。</w:t>
      </w:r>
    </w:p>
    <w:p>
      <w:pPr>
        <w:pStyle w:val="BodyText"/>
        <w:spacing w:line="240" w:lineRule="auto" w:before="103"/>
        <w:ind w:left="513" w:right="89"/>
        <w:jc w:val="left"/>
      </w:pPr>
      <w:r>
        <w:rPr/>
        <w:t>（二）董事会战略委员会履职情况</w:t>
      </w:r>
    </w:p>
    <w:p>
      <w:pPr>
        <w:pStyle w:val="BodyText"/>
        <w:spacing w:line="300" w:lineRule="auto" w:before="117"/>
        <w:ind w:right="180" w:firstLine="360"/>
        <w:jc w:val="left"/>
      </w:pPr>
      <w:r>
        <w:rPr/>
        <w:t>董事会战略委员会成立于</w:t>
      </w:r>
      <w:r>
        <w:rPr>
          <w:spacing w:val="-45"/>
        </w:rPr>
        <w:t> </w:t>
      </w:r>
      <w:r>
        <w:rPr>
          <w:rFonts w:ascii="Times New Roman" w:hAnsi="Times New Roman" w:cs="Times New Roman" w:eastAsia="Times New Roman" w:hint="default"/>
        </w:rPr>
        <w:t>2008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月，由</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名董事组成，其中</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名为独立董事，主任委员由董事长担任。报告期内， </w:t>
      </w:r>
      <w:r>
        <w:rPr>
          <w:spacing w:val="-3"/>
        </w:rPr>
        <w:t>公司董事会战略委员会的成员为杨军先生（主任委员）、杨林先生和冯科先生。</w:t>
      </w:r>
    </w:p>
    <w:p>
      <w:pPr>
        <w:pStyle w:val="BodyText"/>
        <w:spacing w:line="316" w:lineRule="auto" w:before="70"/>
        <w:ind w:right="89" w:firstLine="360"/>
        <w:jc w:val="left"/>
      </w:pPr>
      <w:r>
        <w:rPr>
          <w:spacing w:val="-4"/>
        </w:rPr>
        <w:t>报告期内，战略委员会根据中国证监会、深交所有关规定及公司《董事会战略委员会工作条例》等相关法律法规和规定，</w:t>
      </w:r>
      <w:r>
        <w:rPr/>
        <w:t> 本着勤勉尽责的原则，认真履职和开展工作，履行了以下工作职责：</w:t>
      </w:r>
    </w:p>
    <w:p>
      <w:pPr>
        <w:pStyle w:val="BodyText"/>
        <w:spacing w:line="240" w:lineRule="auto" w:before="59"/>
        <w:ind w:left="513" w:right="89"/>
        <w:jc w:val="left"/>
      </w:pPr>
      <w:r>
        <w:rPr>
          <w:rFonts w:ascii="Times New Roman" w:hAnsi="Times New Roman" w:cs="Times New Roman" w:eastAsia="Times New Roman" w:hint="default"/>
        </w:rPr>
        <w:t>1</w:t>
      </w:r>
      <w:r>
        <w:rPr/>
        <w:t>、根据公司经营班子的报告，对</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年度技改项目等事宜进行了分析研究和审议；</w:t>
      </w:r>
    </w:p>
    <w:p>
      <w:pPr>
        <w:pStyle w:val="BodyText"/>
        <w:spacing w:line="240" w:lineRule="auto" w:before="104"/>
        <w:ind w:left="513" w:right="89"/>
        <w:jc w:val="left"/>
      </w:pPr>
      <w:r>
        <w:rPr>
          <w:rFonts w:ascii="Times New Roman" w:hAnsi="Times New Roman" w:cs="Times New Roman" w:eastAsia="Times New Roman" w:hint="default"/>
        </w:rPr>
        <w:t>2</w:t>
      </w:r>
      <w:r>
        <w:rPr/>
        <w:t>、为完善公司治理结构，整合公司资源，审议通过了收购长城香港持有的冠捷科技</w:t>
      </w:r>
      <w:r>
        <w:rPr>
          <w:spacing w:val="-45"/>
        </w:rPr>
        <w:t> </w:t>
      </w:r>
      <w:r>
        <w:rPr>
          <w:rFonts w:ascii="Times New Roman" w:hAnsi="Times New Roman" w:cs="Times New Roman" w:eastAsia="Times New Roman" w:hint="default"/>
        </w:rPr>
        <w:t>15.79%</w:t>
      </w:r>
      <w:r>
        <w:rPr/>
        <w:t>股权事宜；</w:t>
      </w:r>
    </w:p>
    <w:p>
      <w:pPr>
        <w:pStyle w:val="BodyText"/>
        <w:spacing w:line="300" w:lineRule="auto" w:before="101"/>
        <w:ind w:right="184" w:firstLine="360"/>
        <w:jc w:val="left"/>
      </w:pPr>
      <w:r>
        <w:rPr>
          <w:rFonts w:ascii="Times New Roman" w:hAnsi="Times New Roman" w:cs="Times New Roman" w:eastAsia="Times New Roman" w:hint="default"/>
        </w:rPr>
        <w:t>3</w:t>
      </w:r>
      <w:r>
        <w:rPr/>
        <w:t>、为推进公司自主可控计算机产业化，审议通过了在株洲对外投资建设基地项目并设立配套项目公司以及后续的相关 变更事项；</w:t>
      </w:r>
    </w:p>
    <w:p>
      <w:pPr>
        <w:pStyle w:val="BodyText"/>
        <w:spacing w:line="240" w:lineRule="auto" w:before="72"/>
        <w:ind w:left="513" w:right="89"/>
        <w:jc w:val="left"/>
      </w:pPr>
      <w:r>
        <w:rPr>
          <w:rFonts w:ascii="Times New Roman" w:hAnsi="Times New Roman" w:cs="Times New Roman" w:eastAsia="Times New Roman" w:hint="default"/>
        </w:rPr>
        <w:t>4</w:t>
      </w:r>
      <w:r>
        <w:rPr/>
        <w:t>、根据中电长城大厦建设项目的实际推进情况，审议通过了该项目追加投资事宜；</w:t>
      </w:r>
    </w:p>
    <w:p>
      <w:pPr>
        <w:pStyle w:val="BodyText"/>
        <w:spacing w:line="300" w:lineRule="auto" w:before="103"/>
        <w:ind w:right="184" w:firstLine="360"/>
        <w:jc w:val="left"/>
      </w:pPr>
      <w:r>
        <w:rPr>
          <w:rFonts w:ascii="Times New Roman" w:hAnsi="Times New Roman" w:cs="Times New Roman" w:eastAsia="Times New Roman" w:hint="default"/>
        </w:rPr>
        <w:t>5</w:t>
      </w:r>
      <w:r>
        <w:rPr/>
        <w:t>、根据子公司的实际情况和需要，对子公司收购股权、股权重组等事宜进行了审议，通过了子公司冠捷科技有限公司 收购桑菲通信</w:t>
      </w:r>
      <w:r>
        <w:rPr>
          <w:spacing w:val="-45"/>
        </w:rPr>
        <w:t> </w:t>
      </w:r>
      <w:r>
        <w:rPr>
          <w:rFonts w:ascii="Times New Roman" w:hAnsi="Times New Roman" w:cs="Times New Roman" w:eastAsia="Times New Roman" w:hint="default"/>
        </w:rPr>
        <w:t>100%</w:t>
      </w:r>
      <w:r>
        <w:rPr/>
        <w:t>股权、冠捷科技下属控股公司英冠达股权重组等事宜；</w:t>
      </w:r>
    </w:p>
    <w:p>
      <w:pPr>
        <w:pStyle w:val="BodyText"/>
        <w:spacing w:line="240" w:lineRule="auto" w:before="51"/>
        <w:ind w:left="513" w:right="89"/>
        <w:jc w:val="left"/>
      </w:pPr>
      <w:r>
        <w:rPr>
          <w:rFonts w:ascii="Times New Roman" w:hAnsi="Times New Roman" w:cs="Times New Roman" w:eastAsia="Times New Roman" w:hint="default"/>
        </w:rPr>
        <w:t>6</w:t>
      </w:r>
      <w:r>
        <w:rPr/>
        <w:t>、根据参股公司的的实际情况和需要，审议通过了广州鼎甲部分股权转让、闪联公司通过增资扩股引入广东盛城投资</w:t>
      </w:r>
    </w:p>
    <w:p>
      <w:pPr>
        <w:spacing w:after="0" w:line="240"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89"/>
        <w:jc w:val="left"/>
      </w:pPr>
      <w:r>
        <w:rPr/>
        <w:t>有限公司作为战略投资者以及长信数码解散清算等事项。</w:t>
      </w:r>
    </w:p>
    <w:p>
      <w:pPr>
        <w:pStyle w:val="BodyText"/>
        <w:spacing w:line="240" w:lineRule="auto" w:before="117"/>
        <w:ind w:left="513" w:right="89"/>
        <w:jc w:val="left"/>
      </w:pPr>
      <w:r>
        <w:rPr/>
        <w:t>（三）董事会薪酬与考核委员会履职情况</w:t>
      </w:r>
    </w:p>
    <w:p>
      <w:pPr>
        <w:pStyle w:val="BodyText"/>
        <w:spacing w:line="240" w:lineRule="auto" w:before="115"/>
        <w:ind w:left="513" w:right="89"/>
        <w:jc w:val="left"/>
      </w:pPr>
      <w:r>
        <w:rPr/>
        <w:t>董事会薪酬与考核委员会成立于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月，主要负责制定公司董事及经理人员的考核标准，制定、审查公司董事及</w:t>
      </w:r>
    </w:p>
    <w:p>
      <w:pPr>
        <w:pStyle w:val="BodyText"/>
        <w:spacing w:line="300" w:lineRule="auto" w:before="63"/>
        <w:ind w:right="175"/>
        <w:jc w:val="left"/>
      </w:pPr>
      <w:r>
        <w:rPr/>
        <w:t>经理人员的薪酬政策与方案。董事会薪酬与考核委员会成员由</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4"/>
        </w:rPr>
        <w:t>名董事组成，其中</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名为独立董事，主任委员由独立董事担 </w:t>
      </w:r>
      <w:r>
        <w:rPr>
          <w:spacing w:val="-2"/>
        </w:rPr>
        <w:t>任。报告期内，公司董事会薪酬与考核委员会的成员为冯科先生（主任委员）、蓝庆新先生、靳宏荣先生。</w:t>
      </w:r>
    </w:p>
    <w:p>
      <w:pPr>
        <w:pStyle w:val="BodyText"/>
        <w:spacing w:line="316" w:lineRule="auto" w:before="72"/>
        <w:ind w:right="89" w:firstLine="360"/>
        <w:jc w:val="left"/>
      </w:pPr>
      <w:r>
        <w:rPr>
          <w:spacing w:val="-2"/>
        </w:rPr>
        <w:t>报告期内，董事会薪酬与考核委员会勤勉尽责，切实履行了薪酬委的职责，根据《薪酬与考核委员会工作条例》开展了</w:t>
      </w:r>
      <w:r>
        <w:rPr/>
        <w:t> 系列工作：</w:t>
      </w:r>
    </w:p>
    <w:p>
      <w:pPr>
        <w:pStyle w:val="BodyText"/>
        <w:spacing w:line="240" w:lineRule="auto" w:before="59"/>
        <w:ind w:left="513" w:right="89"/>
        <w:jc w:val="left"/>
      </w:pPr>
      <w:r>
        <w:rPr>
          <w:rFonts w:ascii="Times New Roman" w:hAnsi="Times New Roman" w:cs="Times New Roman" w:eastAsia="Times New Roman" w:hint="default"/>
        </w:rPr>
        <w:t>1</w:t>
      </w:r>
      <w:r>
        <w:rPr/>
        <w:t>、仔细核查了年度报告所披露的公司董事及经理人员的薪酬情况并发表意见；</w:t>
      </w:r>
    </w:p>
    <w:p>
      <w:pPr>
        <w:pStyle w:val="BodyText"/>
        <w:spacing w:line="300" w:lineRule="auto" w:before="101"/>
        <w:ind w:right="174" w:firstLine="360"/>
        <w:jc w:val="left"/>
      </w:pPr>
      <w:r>
        <w:rPr>
          <w:rFonts w:ascii="Times New Roman" w:hAnsi="Times New Roman" w:cs="Times New Roman" w:eastAsia="Times New Roman" w:hint="default"/>
          <w:spacing w:val="-7"/>
        </w:rPr>
        <w:t>2</w:t>
      </w:r>
      <w:r>
        <w:rPr>
          <w:spacing w:val="-7"/>
        </w:rPr>
        <w:t>、结合</w:t>
      </w:r>
      <w:r>
        <w:rPr>
          <w:spacing w:val="-7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年度公司经营情况和公司经营者的工作态度及工作表现，根据《中国长城计算机深圳股份有限公司经营者 </w:t>
      </w:r>
      <w:r>
        <w:rPr>
          <w:spacing w:val="-5"/>
        </w:rPr>
        <w:t>年度经营业绩考核暂行办法》（</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spacing w:val="-1"/>
        </w:rPr>
        <w:t>年修订）测算，谨慎提出了</w:t>
      </w:r>
      <w:r>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spacing w:val="-1"/>
        </w:rPr>
        <w:t>年度经营班子奖金建议。</w:t>
      </w:r>
    </w:p>
    <w:p>
      <w:pPr>
        <w:pStyle w:val="BodyText"/>
        <w:spacing w:line="240" w:lineRule="auto" w:before="53"/>
        <w:ind w:left="513" w:right="89"/>
        <w:jc w:val="left"/>
      </w:pPr>
      <w:r>
        <w:rPr/>
        <w:t>（四）董事会提名委员会履职情况</w:t>
      </w:r>
    </w:p>
    <w:p>
      <w:pPr>
        <w:pStyle w:val="BodyText"/>
        <w:spacing w:line="300" w:lineRule="auto" w:before="117"/>
        <w:ind w:right="90" w:firstLine="360"/>
        <w:jc w:val="left"/>
      </w:pPr>
      <w:r>
        <w:rPr/>
        <w:t>董事会提名委员会成立于</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8"/>
        </w:rPr>
        <w:t>月，由</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名董事组成，其中</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名为独立董事，主任委员由独立董事担任。报告期内， </w:t>
      </w:r>
      <w:r>
        <w:rPr>
          <w:spacing w:val="-3"/>
        </w:rPr>
        <w:t>公司董事会提名委员会的成员为蓝庆新先生（主任委员）、钟际民先生及虞世全先生。</w:t>
      </w:r>
    </w:p>
    <w:p>
      <w:pPr>
        <w:pStyle w:val="BodyText"/>
        <w:spacing w:line="240" w:lineRule="auto" w:before="70"/>
        <w:ind w:left="513" w:right="89"/>
        <w:jc w:val="left"/>
      </w:pPr>
      <w:r>
        <w:rPr/>
        <w:t>报告期内，依据公司《董事会提名委员会工作条例》规定，未发生需董事会提名委员会审议的事项。</w:t>
      </w:r>
    </w:p>
    <w:p>
      <w:pPr>
        <w:spacing w:line="240" w:lineRule="auto" w:before="6"/>
        <w:rPr>
          <w:rFonts w:ascii="宋体" w:hAnsi="宋体" w:cs="宋体" w:eastAsia="宋体" w:hint="default"/>
          <w:sz w:val="14"/>
          <w:szCs w:val="14"/>
        </w:rPr>
      </w:pPr>
    </w:p>
    <w:p>
      <w:pPr>
        <w:pStyle w:val="Heading5"/>
        <w:spacing w:line="240" w:lineRule="auto"/>
        <w:ind w:right="89"/>
        <w:jc w:val="left"/>
        <w:rPr>
          <w:b w:val="0"/>
          <w:bCs w:val="0"/>
        </w:rPr>
      </w:pPr>
      <w:r>
        <w:rPr/>
        <w:t>八、监事会工作情况</w:t>
      </w:r>
      <w:r>
        <w:rPr>
          <w:b w:val="0"/>
          <w:bCs w:val="0"/>
        </w:rPr>
      </w:r>
    </w:p>
    <w:p>
      <w:pPr>
        <w:pStyle w:val="BodyText"/>
        <w:spacing w:line="240" w:lineRule="auto" w:before="207"/>
        <w:ind w:right="89"/>
        <w:jc w:val="left"/>
      </w:pPr>
      <w:r>
        <w:rPr/>
        <w:t>监事会在报告期内的监督活动中发现公司是否存在风险</w:t>
      </w:r>
    </w:p>
    <w:p>
      <w:pPr>
        <w:pStyle w:val="BodyText"/>
        <w:spacing w:line="240" w:lineRule="auto" w:before="115"/>
        <w:ind w:right="89"/>
        <w:jc w:val="left"/>
      </w:pPr>
      <w:r>
        <w:rPr/>
        <w:t>□ 是 √</w:t>
      </w:r>
      <w:r>
        <w:rPr>
          <w:spacing w:val="3"/>
        </w:rPr>
        <w:t> </w:t>
      </w:r>
      <w:r>
        <w:rPr/>
        <w:t>否</w:t>
      </w:r>
    </w:p>
    <w:p>
      <w:pPr>
        <w:pStyle w:val="BodyText"/>
        <w:spacing w:line="240" w:lineRule="auto" w:before="117"/>
        <w:ind w:left="513" w:right="89"/>
        <w:jc w:val="left"/>
      </w:pPr>
      <w:r>
        <w:rPr/>
        <w:t>监事会对报告期内的监督事项无异议。</w:t>
      </w:r>
    </w:p>
    <w:p>
      <w:pPr>
        <w:pStyle w:val="BodyText"/>
        <w:spacing w:line="300" w:lineRule="auto" w:before="117"/>
        <w:ind w:right="89" w:firstLine="360"/>
        <w:jc w:val="left"/>
      </w:pPr>
      <w:r>
        <w:rPr>
          <w:rFonts w:ascii="Times New Roman" w:hAnsi="Times New Roman" w:cs="Times New Roman" w:eastAsia="Times New Roman" w:hint="default"/>
        </w:rPr>
        <w:t>2015 </w:t>
      </w:r>
      <w:r>
        <w:rPr>
          <w:spacing w:val="-8"/>
        </w:rPr>
        <w:t>年度，公司监事会根据《公司法》、《公司章程》、《监事会议事规则》及有关法律、法规规定，依法认真履行了监</w:t>
      </w:r>
      <w:r>
        <w:rPr/>
        <w:t> 督及其他各项职能，在维护公司整体利益、股东合法权益、建立健全法人治理结构等方面发挥了应有的作用。</w:t>
      </w:r>
    </w:p>
    <w:p>
      <w:pPr>
        <w:pStyle w:val="BodyText"/>
        <w:spacing w:line="360" w:lineRule="auto" w:before="70"/>
        <w:ind w:left="513" w:right="5673"/>
        <w:jc w:val="left"/>
      </w:pPr>
      <w:r>
        <w:rPr/>
        <w:t>（一）报告期内监事会会议情况 本报告期内监事会共召开了六次会议，分别是：</w:t>
      </w:r>
    </w:p>
    <w:p>
      <w:pPr>
        <w:pStyle w:val="BodyText"/>
        <w:spacing w:line="300" w:lineRule="auto" w:before="27"/>
        <w:ind w:right="18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日，公司第六届监事会第二次会议在公司会议室召开，会议由监事会主席马跃先生主持，全体监事 出席了会议，审议通过了以下议案：</w:t>
      </w:r>
    </w:p>
    <w:p>
      <w:pPr>
        <w:pStyle w:val="BodyText"/>
        <w:spacing w:line="240" w:lineRule="auto" w:before="70"/>
        <w:ind w:left="513" w:right="8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年度监事会工作报告</w:t>
      </w:r>
    </w:p>
    <w:p>
      <w:pPr>
        <w:pStyle w:val="BodyText"/>
        <w:spacing w:line="240" w:lineRule="auto" w:before="103"/>
        <w:ind w:left="513" w:right="8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年度报告全文及报告摘要审核意见</w:t>
      </w:r>
    </w:p>
    <w:p>
      <w:pPr>
        <w:pStyle w:val="BodyText"/>
        <w:spacing w:line="240" w:lineRule="auto" w:before="103"/>
        <w:ind w:left="513" w:right="89"/>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年度计提资产减值准备及核销部分资产</w:t>
      </w:r>
    </w:p>
    <w:p>
      <w:pPr>
        <w:pStyle w:val="BodyText"/>
        <w:spacing w:line="240" w:lineRule="auto" w:before="101"/>
        <w:ind w:left="513" w:right="89"/>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年度内部控制评价报告</w:t>
      </w:r>
    </w:p>
    <w:p>
      <w:pPr>
        <w:pStyle w:val="BodyText"/>
        <w:spacing w:line="240" w:lineRule="auto" w:before="103"/>
        <w:ind w:left="513" w:right="89"/>
        <w:jc w:val="left"/>
      </w:pPr>
      <w:r>
        <w:rPr/>
        <w:t>相关决议公告刊登在</w:t>
      </w:r>
      <w:r>
        <w:rPr>
          <w:spacing w:val="-3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日的《中国证券报》</w:t>
      </w:r>
      <w:r>
        <w:rPr>
          <w:rFonts w:ascii="Times New Roman" w:hAnsi="Times New Roman" w:cs="Times New Roman" w:eastAsia="Times New Roman" w:hint="default"/>
        </w:rPr>
        <w:t>B</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6</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版</w:t>
      </w:r>
      <w:r>
        <w:rPr>
          <w:spacing w:val="-92"/>
        </w:rPr>
        <w:t>、</w:t>
      </w:r>
      <w:r>
        <w:rPr/>
        <w:t>《证券时报》</w:t>
      </w:r>
      <w:r>
        <w:rPr>
          <w:rFonts w:ascii="Times New Roman" w:hAnsi="Times New Roman" w:cs="Times New Roman" w:eastAsia="Times New Roman" w:hint="default"/>
        </w:rPr>
        <w:t>B</w:t>
      </w:r>
      <w:r>
        <w:rPr>
          <w:rFonts w:ascii="Times New Roman" w:hAnsi="Times New Roman" w:cs="Times New Roman" w:eastAsia="Times New Roman" w:hint="default"/>
          <w:spacing w:val="-2"/>
        </w:rPr>
        <w:t>2</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版</w:t>
      </w:r>
      <w:r>
        <w:rPr>
          <w:spacing w:val="-92"/>
        </w:rPr>
        <w:t>、</w:t>
      </w:r>
      <w:r>
        <w:rPr>
          <w:spacing w:val="-3"/>
        </w:rPr>
        <w:t>《</w:t>
      </w:r>
      <w:r>
        <w:rPr/>
        <w:t>上海证券报》</w:t>
      </w:r>
      <w:r>
        <w:rPr>
          <w:rFonts w:ascii="Times New Roman" w:hAnsi="Times New Roman" w:cs="Times New Roman" w:eastAsia="Times New Roman" w:hint="default"/>
        </w:rPr>
        <w:t>B1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rPr>
        <w:t>/B</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版</w:t>
      </w:r>
    </w:p>
    <w:p>
      <w:pPr>
        <w:pStyle w:val="BodyText"/>
        <w:spacing w:line="240" w:lineRule="auto" w:before="63"/>
        <w:ind w:right="89"/>
        <w:jc w:val="left"/>
      </w:pPr>
      <w:r>
        <w:rPr/>
        <w:t>上。</w:t>
      </w:r>
    </w:p>
    <w:p>
      <w:pPr>
        <w:pStyle w:val="BodyText"/>
        <w:spacing w:line="240" w:lineRule="auto" w:before="117"/>
        <w:ind w:left="513" w:right="89"/>
        <w:jc w:val="left"/>
        <w:rPr>
          <w:rFonts w:ascii="Times New Roman" w:hAnsi="Times New Roman" w:cs="Times New Roman" w:eastAsia="Times New Roman" w:hint="default"/>
        </w:rPr>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4"/>
        </w:rPr>
        <w:t>日，公司第六届监事会第三次会议以传真</w:t>
      </w:r>
      <w:r>
        <w:rPr>
          <w:rFonts w:ascii="Times New Roman" w:hAnsi="Times New Roman" w:cs="Times New Roman" w:eastAsia="Times New Roman" w:hint="default"/>
          <w:spacing w:val="-4"/>
        </w:rPr>
        <w:t>/</w:t>
      </w:r>
      <w:r>
        <w:rPr>
          <w:spacing w:val="-4"/>
        </w:rPr>
        <w:t>专人送达方式召开，全体监事参与了表决，审议通过了</w:t>
      </w:r>
      <w:r>
        <w:rPr>
          <w:spacing w:val="-44"/>
        </w:rPr>
        <w:t> </w:t>
      </w:r>
      <w:r>
        <w:rPr>
          <w:rFonts w:ascii="Times New Roman" w:hAnsi="Times New Roman" w:cs="Times New Roman" w:eastAsia="Times New Roman" w:hint="default"/>
        </w:rPr>
        <w:t>2015</w:t>
      </w:r>
    </w:p>
    <w:p>
      <w:pPr>
        <w:pStyle w:val="BodyText"/>
        <w:spacing w:line="240" w:lineRule="auto" w:before="63"/>
        <w:ind w:right="89"/>
        <w:jc w:val="left"/>
      </w:pPr>
      <w:r>
        <w:rPr/>
        <w:t>年一季度报告全文及正文。</w:t>
      </w:r>
    </w:p>
    <w:p>
      <w:pPr>
        <w:pStyle w:val="BodyText"/>
        <w:spacing w:line="300" w:lineRule="auto" w:before="115"/>
        <w:ind w:right="182"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17 </w:t>
      </w:r>
      <w:r>
        <w:rPr/>
        <w:t>日，公司第六届监事会临时会议以传真</w:t>
      </w:r>
      <w:r>
        <w:rPr>
          <w:rFonts w:ascii="Times New Roman" w:hAnsi="Times New Roman" w:cs="Times New Roman" w:eastAsia="Times New Roman" w:hint="default"/>
        </w:rPr>
        <w:t>/</w:t>
      </w:r>
      <w:r>
        <w:rPr/>
        <w:t>专人送达方式召开，全体监事参与了表决，审议通过了关于 制定《中国长城计算机深圳股份有限公司领导人员履职待遇、业务支出管理暂行办法》的议案。</w:t>
      </w:r>
    </w:p>
    <w:p>
      <w:pPr>
        <w:pStyle w:val="BodyText"/>
        <w:spacing w:line="300" w:lineRule="auto" w:before="73"/>
        <w:ind w:right="182"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27 </w:t>
      </w:r>
      <w:r>
        <w:rPr/>
        <w:t>日，公司第六届监事会第四次会议以传真</w:t>
      </w:r>
      <w:r>
        <w:rPr>
          <w:rFonts w:ascii="Times New Roman" w:hAnsi="Times New Roman" w:cs="Times New Roman" w:eastAsia="Times New Roman" w:hint="default"/>
        </w:rPr>
        <w:t>/</w:t>
      </w:r>
      <w:r>
        <w:rPr/>
        <w:t>专人送达方式召开，全体监事参与了表决，审议通过了以 下议案：</w:t>
      </w:r>
    </w:p>
    <w:p>
      <w:pPr>
        <w:pStyle w:val="BodyText"/>
        <w:spacing w:line="240" w:lineRule="auto" w:before="72"/>
        <w:ind w:left="513" w:right="8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年半年度报告全文及报告摘要</w:t>
      </w:r>
    </w:p>
    <w:p>
      <w:pPr>
        <w:pStyle w:val="BodyText"/>
        <w:spacing w:line="240" w:lineRule="auto" w:before="101"/>
        <w:ind w:left="513" w:right="8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年半年度核销部分应收账款</w:t>
      </w:r>
    </w:p>
    <w:p>
      <w:pPr>
        <w:pStyle w:val="BodyText"/>
        <w:spacing w:line="240" w:lineRule="auto" w:before="103"/>
        <w:ind w:left="513" w:right="89"/>
        <w:jc w:val="left"/>
      </w:pPr>
      <w:r>
        <w:rPr/>
        <w:t>相关公告刊登在</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日的《中国证券报》</w:t>
      </w:r>
      <w:r>
        <w:rPr>
          <w:rFonts w:ascii="Times New Roman" w:hAnsi="Times New Roman" w:cs="Times New Roman" w:eastAsia="Times New Roman" w:hint="default"/>
        </w:rPr>
        <w:t>B</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版</w:t>
      </w:r>
      <w:r>
        <w:rPr>
          <w:spacing w:val="-92"/>
        </w:rPr>
        <w:t>、</w:t>
      </w:r>
      <w:r>
        <w:rPr/>
        <w:t>《证券时报》</w:t>
      </w:r>
      <w:r>
        <w:rPr>
          <w:rFonts w:ascii="Times New Roman" w:hAnsi="Times New Roman" w:cs="Times New Roman" w:eastAsia="Times New Roman" w:hint="default"/>
        </w:rPr>
        <w:t>B1</w:t>
      </w:r>
      <w:r>
        <w:rPr>
          <w:rFonts w:ascii="Times New Roman" w:hAnsi="Times New Roman" w:cs="Times New Roman" w:eastAsia="Times New Roman" w:hint="default"/>
          <w:spacing w:val="1"/>
        </w:rPr>
        <w:t>8</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版</w:t>
      </w:r>
      <w:r>
        <w:rPr>
          <w:spacing w:val="-92"/>
        </w:rPr>
        <w:t>、</w:t>
      </w:r>
      <w:r>
        <w:rPr/>
        <w:t>《上</w:t>
      </w:r>
      <w:r>
        <w:rPr>
          <w:spacing w:val="-3"/>
        </w:rPr>
        <w:t>海</w:t>
      </w:r>
      <w:r>
        <w:rPr/>
        <w:t>证券报》</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版上。</w:t>
      </w:r>
    </w:p>
    <w:p>
      <w:pPr>
        <w:pStyle w:val="BodyText"/>
        <w:spacing w:line="240" w:lineRule="auto" w:before="103"/>
        <w:ind w:left="513" w:right="89"/>
        <w:jc w:val="left"/>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日，公司第六届监事会第五次会议在公司会议室召开，会议由监事会主席马跃先生主持，全体监事</w:t>
      </w:r>
    </w:p>
    <w:p>
      <w:pPr>
        <w:spacing w:after="0" w:line="240" w:lineRule="auto"/>
        <w:jc w:val="left"/>
        <w:sectPr>
          <w:footerReference w:type="default" r:id="rId14"/>
          <w:pgSz w:w="11910" w:h="16840"/>
          <w:pgMar w:footer="980" w:header="877" w:top="1100" w:bottom="1160" w:left="980" w:right="940"/>
          <w:pgNumType w:start="61"/>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出席了会议，审议通过了以下议案：</w:t>
      </w:r>
    </w:p>
    <w:p>
      <w:pPr>
        <w:pStyle w:val="BodyText"/>
        <w:spacing w:line="240" w:lineRule="auto" w:before="117"/>
        <w:ind w:left="513" w:right="15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年第三季度报告全文及正文</w:t>
      </w:r>
    </w:p>
    <w:p>
      <w:pPr>
        <w:pStyle w:val="BodyText"/>
        <w:spacing w:line="240" w:lineRule="auto" w:before="101"/>
        <w:ind w:left="513" w:right="153"/>
        <w:jc w:val="left"/>
      </w:pPr>
      <w:r>
        <w:rPr/>
        <w:t>（</w:t>
      </w:r>
      <w:r>
        <w:rPr>
          <w:rFonts w:ascii="Times New Roman" w:hAnsi="Times New Roman" w:cs="Times New Roman" w:eastAsia="Times New Roman" w:hint="default"/>
        </w:rPr>
        <w:t>2</w:t>
      </w:r>
      <w:r>
        <w:rPr/>
        <w:t>）公司财务报表合并范围变化及相关数据追溯调整</w:t>
      </w:r>
    </w:p>
    <w:p>
      <w:pPr>
        <w:pStyle w:val="BodyText"/>
        <w:spacing w:line="240" w:lineRule="auto" w:before="103"/>
        <w:ind w:left="513" w:right="153"/>
        <w:jc w:val="left"/>
      </w:pPr>
      <w:r>
        <w:rPr/>
        <w:t>相关公告刊登在</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日的《中国证券报》</w:t>
      </w:r>
      <w:r>
        <w:rPr>
          <w:rFonts w:ascii="Times New Roman" w:hAnsi="Times New Roman" w:cs="Times New Roman" w:eastAsia="Times New Roman" w:hint="default"/>
          <w:spacing w:val="-3"/>
        </w:rPr>
        <w:t>B</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4</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版</w:t>
      </w:r>
      <w:r>
        <w:rPr>
          <w:spacing w:val="-92"/>
        </w:rPr>
        <w:t>、</w:t>
      </w:r>
      <w:r>
        <w:rPr/>
        <w:t>《证券时报》</w:t>
      </w:r>
      <w:r>
        <w:rPr>
          <w:rFonts w:ascii="Times New Roman" w:hAnsi="Times New Roman" w:cs="Times New Roman" w:eastAsia="Times New Roman" w:hint="default"/>
        </w:rPr>
        <w:t>B49</w:t>
      </w:r>
      <w:r>
        <w:rPr>
          <w:rFonts w:ascii="Times New Roman" w:hAnsi="Times New Roman" w:cs="Times New Roman" w:eastAsia="Times New Roman" w:hint="default"/>
          <w:spacing w:val="2"/>
        </w:rPr>
        <w:t> </w:t>
      </w:r>
      <w:r>
        <w:rPr/>
        <w:t>版</w:t>
      </w:r>
      <w:r>
        <w:rPr>
          <w:spacing w:val="-92"/>
        </w:rPr>
        <w:t>、</w:t>
      </w:r>
      <w:r>
        <w:rPr/>
        <w:t>《上海证券报》</w:t>
      </w:r>
      <w:r>
        <w:rPr>
          <w:rFonts w:ascii="Times New Roman" w:hAnsi="Times New Roman" w:cs="Times New Roman" w:eastAsia="Times New Roman" w:hint="default"/>
          <w:spacing w:val="1"/>
        </w:rPr>
        <w:t>6</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版上。</w:t>
      </w:r>
    </w:p>
    <w:p>
      <w:pPr>
        <w:pStyle w:val="BodyText"/>
        <w:spacing w:line="300" w:lineRule="auto" w:before="103"/>
        <w:ind w:right="142" w:firstLine="360"/>
        <w:jc w:val="left"/>
      </w:pPr>
      <w:r>
        <w:rPr>
          <w:rFonts w:ascii="Times New Roman" w:hAnsi="Times New Roman" w:cs="Times New Roman" w:eastAsia="Times New Roman" w:hint="default"/>
          <w:spacing w:val="-4"/>
        </w:rPr>
        <w:t>6</w:t>
      </w:r>
      <w:r>
        <w:rPr>
          <w:spacing w:val="-4"/>
        </w:rPr>
        <w:t>、</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3"/>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日，公司第六届监事会临时会议以传真</w:t>
      </w:r>
      <w:r>
        <w:rPr>
          <w:rFonts w:ascii="Times New Roman" w:hAnsi="Times New Roman" w:cs="Times New Roman" w:eastAsia="Times New Roman" w:hint="default"/>
        </w:rPr>
        <w:t>/</w:t>
      </w:r>
      <w:r>
        <w:rPr/>
        <w:t>专人送达方式召开，全体监事参与了表决，审议通过了关于 核销部分关联方长期应收账款的议案。</w:t>
      </w:r>
    </w:p>
    <w:p>
      <w:pPr>
        <w:pStyle w:val="BodyText"/>
        <w:spacing w:line="240" w:lineRule="auto" w:before="70"/>
        <w:ind w:left="513" w:right="153"/>
        <w:jc w:val="left"/>
      </w:pPr>
      <w:r>
        <w:rPr/>
        <w:t>（二）监事会对公司有关经营运作情况的意见</w:t>
      </w:r>
    </w:p>
    <w:p>
      <w:pPr>
        <w:pStyle w:val="BodyText"/>
        <w:spacing w:line="340" w:lineRule="auto" w:before="117"/>
        <w:ind w:left="513" w:right="153"/>
        <w:jc w:val="left"/>
      </w:pPr>
      <w:r>
        <w:rPr>
          <w:rFonts w:ascii="Times New Roman" w:hAnsi="Times New Roman" w:cs="Times New Roman" w:eastAsia="Times New Roman" w:hint="default"/>
        </w:rPr>
        <w:t>1</w:t>
      </w:r>
      <w:r>
        <w:rPr/>
        <w:t>、公司依法运作情况 </w:t>
      </w:r>
      <w:r>
        <w:rPr>
          <w:spacing w:val="-2"/>
        </w:rPr>
        <w:t>报告期内，公司监事会根据国家有关法律、法规，认真履行职责，对公司股东大会和董事会的召开程序及决议事项、董</w:t>
      </w:r>
    </w:p>
    <w:p>
      <w:pPr>
        <w:pStyle w:val="BodyText"/>
        <w:spacing w:line="319" w:lineRule="auto" w:before="1"/>
        <w:ind w:right="149"/>
        <w:jc w:val="both"/>
      </w:pPr>
      <w:r>
        <w:rPr>
          <w:spacing w:val="-2"/>
        </w:rPr>
        <w:t>事会对股东大会决议执行情况、公司董事和高级管理人员的执行职务情况及公司管理制度执行情况等进行了监督。监事会认</w:t>
      </w:r>
      <w:r>
        <w:rPr>
          <w:spacing w:val="-64"/>
        </w:rPr>
        <w:t> </w:t>
      </w:r>
      <w:r>
        <w:rPr>
          <w:spacing w:val="-64"/>
        </w:rPr>
      </w:r>
      <w:r>
        <w:rPr>
          <w:spacing w:val="-14"/>
        </w:rPr>
        <w:t>为，公司董事会在报告期内能按照《公司法》、《证券法》、《公司章程》、《上市公司治理准则》、《深圳证券交易所股票上市规</w:t>
      </w:r>
      <w:r>
        <w:rPr/>
        <w:t> </w:t>
      </w:r>
      <w:r>
        <w:rPr>
          <w:spacing w:val="-2"/>
        </w:rPr>
        <w:t>则》等相关法律、法规进行规范运作，能够严格执行股东大会的各项决议和授权，决策程序科学、合法，公司各项管理制度</w:t>
      </w:r>
      <w:r>
        <w:rPr>
          <w:spacing w:val="-68"/>
        </w:rPr>
        <w:t> </w:t>
      </w:r>
      <w:r>
        <w:rPr>
          <w:spacing w:val="-68"/>
        </w:rPr>
      </w:r>
      <w:r>
        <w:rPr>
          <w:spacing w:val="-2"/>
        </w:rPr>
        <w:t>较为健全并得到了执行。公司董事会成员、经营班子成员及其它高级管理人员在执行职务时没有发现违反国家法律法规、公</w:t>
      </w:r>
      <w:r>
        <w:rPr>
          <w:spacing w:val="-62"/>
        </w:rPr>
        <w:t> </w:t>
      </w:r>
      <w:r>
        <w:rPr>
          <w:spacing w:val="-62"/>
        </w:rPr>
      </w:r>
      <w:r>
        <w:rPr/>
        <w:t>司章程和损害公司利益、股东权益的情况。</w:t>
      </w:r>
    </w:p>
    <w:p>
      <w:pPr>
        <w:pStyle w:val="BodyText"/>
        <w:spacing w:line="340" w:lineRule="auto" w:before="55"/>
        <w:ind w:left="513" w:right="153"/>
        <w:jc w:val="left"/>
      </w:pPr>
      <w:r>
        <w:rPr>
          <w:rFonts w:ascii="Times New Roman" w:hAnsi="Times New Roman" w:cs="Times New Roman" w:eastAsia="Times New Roman" w:hint="default"/>
        </w:rPr>
        <w:t>2</w:t>
      </w:r>
      <w:r>
        <w:rPr/>
        <w:t>、检查公司财务情况 </w:t>
      </w:r>
      <w:r>
        <w:rPr>
          <w:spacing w:val="-2"/>
        </w:rPr>
        <w:t>报告期内，公司监事会及时了解公司经营和财务状况，认真核查了公司季度、半年度、年度财务报告及有关文件，并对</w:t>
      </w:r>
    </w:p>
    <w:p>
      <w:pPr>
        <w:pStyle w:val="BodyText"/>
        <w:spacing w:line="300" w:lineRule="auto" w:before="1"/>
        <w:ind w:right="136"/>
        <w:jc w:val="left"/>
      </w:pPr>
      <w:r>
        <w:rPr/>
        <w:t>各定期报告出具了审核意见；公司</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年三季度财务报表合并范围变化及追溯调整可比期间的合并报表数据的事项符合企 业会计准则的规定，没有损害公司和全体股东的利益。</w:t>
      </w:r>
    </w:p>
    <w:p>
      <w:pPr>
        <w:pStyle w:val="BodyText"/>
        <w:spacing w:line="316" w:lineRule="auto" w:before="72"/>
        <w:ind w:right="0" w:firstLine="360"/>
        <w:jc w:val="left"/>
      </w:pPr>
      <w:r>
        <w:rPr>
          <w:spacing w:val="-2"/>
        </w:rPr>
        <w:t>总体来说，公司财务运作规范，财务报告真实地反映了公司的财务状况和经营成果。监事会认为，信永中和会计师事务</w:t>
      </w:r>
      <w:r>
        <w:rPr/>
        <w:t> 所有限责任公司审计后出具的标准无保留意见年度财务审计报告真实、客观反映了公司的财务状况和经营成果。</w:t>
      </w:r>
    </w:p>
    <w:p>
      <w:pPr>
        <w:pStyle w:val="BodyText"/>
        <w:spacing w:line="340" w:lineRule="auto" w:before="57"/>
        <w:ind w:left="513" w:right="0"/>
        <w:jc w:val="left"/>
      </w:pPr>
      <w:r>
        <w:rPr>
          <w:rFonts w:ascii="Times New Roman" w:hAnsi="Times New Roman" w:cs="Times New Roman" w:eastAsia="Times New Roman" w:hint="default"/>
        </w:rPr>
        <w:t>3</w:t>
      </w:r>
      <w:r>
        <w:rPr/>
        <w:t>、对募集资金使用情况的意见 </w:t>
      </w:r>
      <w:r>
        <w:rPr>
          <w:spacing w:val="-2"/>
        </w:rPr>
        <w:t>公司以前年度募集的资金均用于招股和配股说明书上所承诺的投资项目，个别项目节余的资金已履行相应法律程序转入</w:t>
      </w:r>
    </w:p>
    <w:p>
      <w:pPr>
        <w:pStyle w:val="BodyText"/>
        <w:spacing w:line="316" w:lineRule="auto" w:before="1"/>
        <w:ind w:right="0"/>
        <w:jc w:val="left"/>
      </w:pPr>
      <w:r>
        <w:rPr>
          <w:spacing w:val="-2"/>
        </w:rPr>
        <w:t>其他项目（已使用完毕或永久补充流动资金）。募集资金使用合法合规，不存在改变或变相改变募集资金投向和损害股东利</w:t>
      </w:r>
      <w:r>
        <w:rPr>
          <w:spacing w:val="-65"/>
        </w:rPr>
        <w:t> </w:t>
      </w:r>
      <w:r>
        <w:rPr>
          <w:spacing w:val="-65"/>
        </w:rPr>
      </w:r>
      <w:r>
        <w:rPr/>
        <w:t>益的情况，也不存在募集资金存放和使用违规的情形。</w:t>
      </w:r>
    </w:p>
    <w:p>
      <w:pPr>
        <w:pStyle w:val="BodyText"/>
        <w:spacing w:line="338" w:lineRule="auto" w:before="60"/>
        <w:ind w:left="513" w:right="6353"/>
        <w:jc w:val="left"/>
      </w:pPr>
      <w:r>
        <w:rPr>
          <w:rFonts w:ascii="Times New Roman" w:hAnsi="Times New Roman" w:cs="Times New Roman" w:eastAsia="Times New Roman" w:hint="default"/>
        </w:rPr>
        <w:t>4</w:t>
      </w:r>
      <w:r>
        <w:rPr/>
        <w:t>、对收购、出售资产的意见 公司年内无重大资产收购及出售事项。</w:t>
      </w:r>
    </w:p>
    <w:p>
      <w:pPr>
        <w:pStyle w:val="BodyText"/>
        <w:spacing w:line="316" w:lineRule="auto" w:before="43"/>
        <w:ind w:right="0" w:firstLine="360"/>
        <w:jc w:val="left"/>
      </w:pPr>
      <w:r>
        <w:rPr>
          <w:spacing w:val="-2"/>
        </w:rPr>
        <w:t>公司在审议收购、出售相关股权等有关事项时，表决程序合法合规，交易公平合理，不存在内幕交易损害部分股东权益</w:t>
      </w:r>
      <w:r>
        <w:rPr/>
        <w:t> 或造成公司资产流失的情况，符合公司业务发展的需要。</w:t>
      </w:r>
    </w:p>
    <w:p>
      <w:pPr>
        <w:pStyle w:val="BodyText"/>
        <w:spacing w:line="338" w:lineRule="auto" w:before="59"/>
        <w:ind w:left="513" w:right="0"/>
        <w:jc w:val="left"/>
      </w:pPr>
      <w:r>
        <w:rPr>
          <w:rFonts w:ascii="Times New Roman" w:hAnsi="Times New Roman" w:cs="Times New Roman" w:eastAsia="Times New Roman" w:hint="default"/>
        </w:rPr>
        <w:t>5</w:t>
      </w:r>
      <w:r>
        <w:rPr/>
        <w:t>、对公司关联交易的意见 </w:t>
      </w:r>
      <w:r>
        <w:rPr>
          <w:spacing w:val="-2"/>
        </w:rPr>
        <w:t>报告期内，公司在进行日常关联交易、关联方房屋租赁等关联交易事项时，均能够遵守有关关联交易的操作程序，交易</w:t>
      </w:r>
    </w:p>
    <w:p>
      <w:pPr>
        <w:pStyle w:val="BodyText"/>
        <w:spacing w:line="240" w:lineRule="auto" w:before="2"/>
        <w:ind w:right="0"/>
        <w:jc w:val="both"/>
      </w:pPr>
      <w:r>
        <w:rPr/>
        <w:t>过程遵循公平、合理的原则，未发现有损害公司利益的情况。</w:t>
      </w:r>
    </w:p>
    <w:p>
      <w:pPr>
        <w:pStyle w:val="BodyText"/>
        <w:spacing w:line="360" w:lineRule="auto" w:before="117"/>
        <w:ind w:left="513" w:right="0"/>
        <w:jc w:val="left"/>
      </w:pPr>
      <w:r>
        <w:rPr/>
        <w:t>（三）监事会对公司内部控制评价报告的意见 </w:t>
      </w:r>
      <w:r>
        <w:rPr>
          <w:spacing w:val="-2"/>
        </w:rPr>
        <w:t>公司监事会认为：公司已建立了较为健全的内部控制体系，制订了较为完善、合理的内部控制制度，公司的内控制度符</w:t>
      </w:r>
    </w:p>
    <w:p>
      <w:pPr>
        <w:pStyle w:val="BodyText"/>
        <w:spacing w:line="222" w:lineRule="exact"/>
        <w:ind w:right="0"/>
        <w:jc w:val="both"/>
      </w:pPr>
      <w:r>
        <w:rPr/>
        <w:t>合国家有关法规和证券监管部门的要求，并在公司运营的各个环节中予以执行和落实，不存在重大缺陷。董事会出具的公司</w:t>
      </w:r>
    </w:p>
    <w:p>
      <w:pPr>
        <w:pStyle w:val="BodyText"/>
        <w:spacing w:line="240" w:lineRule="auto" w:before="76"/>
        <w:ind w:right="0"/>
        <w:jc w:val="both"/>
      </w:pP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年度内部控制评价报告》评价客观真实，同意公司董事会按此披露</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年度公司内部控制情况及相关评价。</w:t>
      </w:r>
    </w:p>
    <w:p>
      <w:pPr>
        <w:spacing w:line="240" w:lineRule="auto" w:before="3"/>
        <w:rPr>
          <w:rFonts w:ascii="宋体" w:hAnsi="宋体" w:cs="宋体" w:eastAsia="宋体" w:hint="default"/>
          <w:sz w:val="13"/>
          <w:szCs w:val="13"/>
        </w:rPr>
      </w:pPr>
    </w:p>
    <w:p>
      <w:pPr>
        <w:pStyle w:val="Heading5"/>
        <w:spacing w:line="240" w:lineRule="auto"/>
        <w:ind w:right="0"/>
        <w:jc w:val="both"/>
        <w:rPr>
          <w:b w:val="0"/>
          <w:bCs w:val="0"/>
        </w:rPr>
      </w:pPr>
      <w:r>
        <w:rPr/>
        <w:t>九、高级管理人员的考评及激励情况</w:t>
      </w:r>
      <w:r>
        <w:rPr>
          <w:b w:val="0"/>
          <w:bCs w:val="0"/>
        </w:rPr>
      </w:r>
    </w:p>
    <w:p>
      <w:pPr>
        <w:pStyle w:val="BodyText"/>
        <w:spacing w:line="309" w:lineRule="auto" w:before="207"/>
        <w:ind w:right="148" w:firstLine="360"/>
        <w:jc w:val="both"/>
      </w:pPr>
      <w:r>
        <w:rPr>
          <w:spacing w:val="-2"/>
        </w:rPr>
        <w:t>公司董事会依据《中国长城计算机深圳股份有限公司经营者年度经营业绩考核暂行办法》（</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5"/>
        </w:rPr>
        <w:t> </w:t>
      </w:r>
      <w:r>
        <w:rPr>
          <w:spacing w:val="-10"/>
        </w:rPr>
        <w:t>年修订），按照经营指</w:t>
      </w:r>
      <w:r>
        <w:rPr/>
        <w:t> </w:t>
      </w:r>
      <w:r>
        <w:rPr>
          <w:spacing w:val="-2"/>
        </w:rPr>
        <w:t>标、企业发展及重点工作任务指标、约束指标和加分类指标等方面的完成情况对高级管理人员进行考评，按照考评结果决定</w:t>
      </w:r>
      <w:r>
        <w:rPr>
          <w:spacing w:val="-63"/>
        </w:rPr>
        <w:t> </w:t>
      </w:r>
      <w:r>
        <w:rPr>
          <w:spacing w:val="-63"/>
        </w:rPr>
      </w:r>
      <w:r>
        <w:rPr/>
        <w:t>其报酬、留用与否、晋升或降级。</w:t>
      </w:r>
    </w:p>
    <w:p>
      <w:pPr>
        <w:pStyle w:val="BodyText"/>
        <w:spacing w:line="316" w:lineRule="auto" w:before="65"/>
        <w:ind w:right="0" w:firstLine="360"/>
        <w:jc w:val="left"/>
      </w:pPr>
      <w:r>
        <w:rPr>
          <w:spacing w:val="-2"/>
        </w:rPr>
        <w:t>公司将按照市场化原则不断完善考评及激励机制，对高级管理人员实行薪酬收入与管理水平、经营业绩挂钩，充分调动</w:t>
      </w:r>
      <w:r>
        <w:rPr/>
        <w:t> 高级管理人员的积极性和创新能力，切实推动公司效益提升。</w:t>
      </w:r>
    </w:p>
    <w:p>
      <w:pPr>
        <w:spacing w:after="0" w:line="316" w:lineRule="auto"/>
        <w:jc w:val="left"/>
        <w:sectPr>
          <w:pgSz w:w="11910" w:h="16840"/>
          <w:pgMar w:header="877" w:footer="980" w:top="1100" w:bottom="1160" w:left="980" w:right="980"/>
        </w:sectPr>
      </w:pPr>
    </w:p>
    <w:p>
      <w:pPr>
        <w:spacing w:line="240" w:lineRule="auto" w:before="7"/>
        <w:rPr>
          <w:rFonts w:ascii="宋体" w:hAnsi="宋体" w:cs="宋体" w:eastAsia="宋体" w:hint="default"/>
          <w:sz w:val="19"/>
          <w:szCs w:val="19"/>
        </w:rPr>
      </w:pPr>
    </w:p>
    <w:p>
      <w:pPr>
        <w:pStyle w:val="Heading5"/>
        <w:spacing w:line="240" w:lineRule="auto" w:before="26"/>
        <w:ind w:right="153"/>
        <w:jc w:val="left"/>
        <w:rPr>
          <w:b w:val="0"/>
          <w:bCs w:val="0"/>
        </w:rPr>
      </w:pPr>
      <w:r>
        <w:rPr/>
        <w:t>十、内部控制情况</w:t>
      </w:r>
      <w:r>
        <w:rPr>
          <w:b w:val="0"/>
          <w:bCs w:val="0"/>
        </w:rPr>
      </w:r>
    </w:p>
    <w:p>
      <w:pPr>
        <w:pStyle w:val="Heading8"/>
        <w:spacing w:line="240" w:lineRule="auto" w:before="187"/>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right="153"/>
        <w:jc w:val="left"/>
      </w:pPr>
      <w:r>
        <w:rPr/>
        <w:t>□ 是 √</w:t>
      </w:r>
      <w:r>
        <w:rPr>
          <w:spacing w:val="3"/>
        </w:rPr>
        <w:t> </w:t>
      </w:r>
      <w:r>
        <w:rPr/>
        <w:t>否</w:t>
      </w:r>
    </w:p>
    <w:p>
      <w:pPr>
        <w:spacing w:line="240" w:lineRule="auto" w:before="7"/>
        <w:rPr>
          <w:rFonts w:ascii="宋体" w:hAnsi="宋体" w:cs="宋体" w:eastAsia="宋体" w:hint="default"/>
          <w:sz w:val="16"/>
          <w:szCs w:val="16"/>
        </w:rPr>
      </w:pPr>
    </w:p>
    <w:p>
      <w:pPr>
        <w:pStyle w:val="Heading8"/>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BodyText"/>
        <w:spacing w:line="240" w:lineRule="auto" w:before="44"/>
        <w:ind w:left="0" w:right="139"/>
        <w:jc w:val="right"/>
      </w:pPr>
      <w:r>
        <w:rPr/>
        <w:pict>
          <v:shape style="position:absolute;margin-left:58.799999pt;margin-top:-20.768301pt;width:478.55pt;height:288.5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6"/>
                    <w:gridCol w:w="3330"/>
                    <w:gridCol w:w="305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161"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1" w:type="dxa"/>
                        <w:gridSpan w:val="2"/>
                        <w:vMerge w:val="restart"/>
                        <w:tcBorders>
                          <w:top w:val="single" w:sz="4" w:space="0" w:color="000000"/>
                          <w:left w:val="single" w:sz="10" w:space="0" w:color="D2D2D2"/>
                          <w:right w:val="single" w:sz="4" w:space="0" w:color="000000"/>
                        </w:tcBorders>
                      </w:tcPr>
                      <w:p>
                        <w:pPr>
                          <w:pStyle w:val="TableParagraph"/>
                          <w:spacing w:line="300" w:lineRule="auto" w:before="49"/>
                          <w:ind w:left="24" w:right="125"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公告名称：中国长城计算机深圳股份有限公司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年度内部控制评价报告 披露网址：</w:t>
                        </w:r>
                        <w:hyperlink r:id="rId8">
                          <w:r>
                            <w:rPr>
                              <w:rFonts w:ascii="Times New Roman" w:hAnsi="Times New Roman" w:cs="Times New Roman" w:eastAsia="Times New Roman" w:hint="default"/>
                              <w:sz w:val="18"/>
                              <w:szCs w:val="18"/>
                            </w:rPr>
                            <w:t>www.cninfo.com.cn</w:t>
                          </w:r>
                        </w:hyperlink>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vMerge/>
                        <w:tcBorders>
                          <w:left w:val="single" w:sz="10" w:space="0" w:color="D2D2D2"/>
                          <w:right w:val="single" w:sz="4" w:space="0" w:color="000000"/>
                        </w:tcBorders>
                      </w:tcPr>
                      <w:p>
                        <w:pPr/>
                      </w:p>
                    </w:tc>
                  </w:tr>
                  <w:tr>
                    <w:trPr>
                      <w:trHeight w:val="161"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1" w:type="dxa"/>
                        <w:gridSpan w:val="2"/>
                        <w:vMerge/>
                        <w:tcBorders>
                          <w:left w:val="single" w:sz="10" w:space="0" w:color="D2D2D2"/>
                          <w:bottom w:val="single" w:sz="4" w:space="0" w:color="000000"/>
                          <w:right w:val="single" w:sz="4" w:space="0" w:color="000000"/>
                        </w:tcBorders>
                      </w:tcPr>
                      <w:p>
                        <w:pPr/>
                      </w:p>
                    </w:tc>
                  </w:tr>
                  <w:tr>
                    <w:trPr>
                      <w:trHeight w:val="71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99.70%</w:t>
                        </w:r>
                      </w:p>
                    </w:tc>
                  </w:tr>
                  <w:tr>
                    <w:trPr>
                      <w:trHeight w:val="716"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99.97%</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8"/>
        <w:spacing w:line="240" w:lineRule="auto" w:before="36"/>
        <w:ind w:right="153"/>
        <w:jc w:val="left"/>
        <w:rPr>
          <w:b w:val="0"/>
          <w:bCs w:val="0"/>
        </w:rPr>
      </w:pPr>
      <w:r>
        <w:rPr>
          <w:rFonts w:ascii="Times New Roman" w:hAnsi="Times New Roman" w:cs="Times New Roman" w:eastAsia="Times New Roman" w:hint="default"/>
        </w:rPr>
        <w:t>3</w:t>
      </w:r>
      <w:r>
        <w:rPr/>
        <w:t>、缺陷认定标准说明</w:t>
      </w:r>
      <w:r>
        <w:rPr>
          <w:b w:val="0"/>
          <w:bCs w:val="0"/>
        </w:rPr>
      </w:r>
    </w:p>
    <w:p>
      <w:pPr>
        <w:spacing w:line="240" w:lineRule="auto" w:before="4"/>
        <w:rPr>
          <w:rFonts w:ascii="宋体" w:hAnsi="宋体" w:cs="宋体" w:eastAsia="宋体" w:hint="default"/>
          <w:b/>
          <w:bCs/>
          <w:sz w:val="15"/>
          <w:szCs w:val="15"/>
        </w:rPr>
      </w:pPr>
    </w:p>
    <w:p>
      <w:pPr>
        <w:pStyle w:val="BodyText"/>
        <w:spacing w:line="316" w:lineRule="auto"/>
        <w:ind w:right="0" w:firstLine="360"/>
        <w:jc w:val="left"/>
      </w:pPr>
      <w:r>
        <w:rPr>
          <w:spacing w:val="-2"/>
        </w:rPr>
        <w:t>说明：公司按照风险导向原则确定纳入评价范围的主要单位、业务和事项以及高风险领域，纳入评价范围的主要单位未</w:t>
      </w:r>
      <w:r>
        <w:rPr/>
        <w:t> 包括湖南长城。</w:t>
      </w:r>
    </w:p>
    <w:p>
      <w:pPr>
        <w:pStyle w:val="BodyText"/>
        <w:spacing w:line="240" w:lineRule="auto" w:before="59"/>
        <w:ind w:left="513" w:right="153"/>
        <w:jc w:val="left"/>
      </w:pPr>
      <w:r>
        <w:rPr/>
        <w:t>公司确定的内部控制缺陷认定标准如下：</w:t>
      </w:r>
    </w:p>
    <w:p>
      <w:pPr>
        <w:pStyle w:val="BodyText"/>
        <w:spacing w:line="340" w:lineRule="auto" w:before="115"/>
        <w:ind w:left="513" w:right="953"/>
        <w:jc w:val="left"/>
      </w:pPr>
      <w:r>
        <w:rPr/>
        <w:t>（</w:t>
      </w:r>
      <w:r>
        <w:rPr>
          <w:rFonts w:ascii="Times New Roman" w:hAnsi="Times New Roman" w:cs="Times New Roman" w:eastAsia="Times New Roman" w:hint="default"/>
        </w:rPr>
        <w:t>1</w:t>
      </w:r>
      <w:r>
        <w:rPr/>
        <w:t>）财务报告内部控制缺陷认定标准 以资产总额和利润总额为定量指标，分别针对资产负债表层面错报和损益表层面错报对缺陷等级进行划分。</w:t>
      </w:r>
    </w:p>
    <w:p>
      <w:pPr>
        <w:spacing w:line="240" w:lineRule="auto" w:before="4"/>
        <w:rPr>
          <w:rFonts w:ascii="宋体" w:hAnsi="宋体" w:cs="宋体" w:eastAsia="宋体" w:hint="default"/>
          <w:sz w:val="8"/>
          <w:szCs w:val="8"/>
        </w:rPr>
      </w:pPr>
    </w:p>
    <w:p>
      <w:pPr>
        <w:spacing w:line="2655" w:lineRule="exact"/>
        <w:ind w:left="2901"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2628900" cy="16859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2628900" cy="1685925"/>
                    </a:xfrm>
                    <a:prstGeom prst="rect">
                      <a:avLst/>
                    </a:prstGeom>
                  </pic:spPr>
                </pic:pic>
              </a:graphicData>
            </a:graphic>
          </wp:inline>
        </w:drawing>
      </w:r>
      <w:r>
        <w:rPr>
          <w:rFonts w:ascii="宋体" w:hAnsi="宋体" w:cs="宋体" w:eastAsia="宋体" w:hint="default"/>
          <w:position w:val="-52"/>
          <w:sz w:val="20"/>
          <w:szCs w:val="20"/>
        </w:rPr>
      </w:r>
    </w:p>
    <w:p>
      <w:pPr>
        <w:pStyle w:val="BodyText"/>
        <w:spacing w:line="240" w:lineRule="auto" w:before="127"/>
        <w:ind w:left="513" w:right="153"/>
        <w:jc w:val="left"/>
      </w:pPr>
      <w:r>
        <w:rPr/>
        <w:t>（</w:t>
      </w:r>
      <w:r>
        <w:rPr>
          <w:rFonts w:ascii="Times New Roman" w:hAnsi="Times New Roman" w:cs="Times New Roman" w:eastAsia="Times New Roman" w:hint="default"/>
        </w:rPr>
        <w:t>2</w:t>
      </w:r>
      <w:r>
        <w:rPr/>
        <w:t>）非财务报告内部控制缺陷认定标准</w:t>
      </w:r>
    </w:p>
    <w:p>
      <w:pPr>
        <w:pStyle w:val="BodyText"/>
        <w:spacing w:line="316" w:lineRule="auto" w:before="101"/>
        <w:ind w:right="0" w:firstLine="360"/>
        <w:jc w:val="left"/>
      </w:pPr>
      <w:r>
        <w:rPr>
          <w:spacing w:val="-2"/>
        </w:rPr>
        <w:t>①结合《企业内部控制基本规范》及国家相关法律法规要求，同时考虑公司现状，通过直接财产净损失和负面影响两方</w:t>
      </w:r>
      <w:r>
        <w:rPr/>
        <w:t> 面，制定非财务报告内控缺陷定量标准。</w:t>
      </w:r>
    </w:p>
    <w:p>
      <w:pPr>
        <w:spacing w:after="0" w:line="316" w:lineRule="auto"/>
        <w:jc w:val="left"/>
        <w:sectPr>
          <w:pgSz w:w="11910" w:h="16840"/>
          <w:pgMar w:header="877" w:footer="980" w:top="1100" w:bottom="1160" w:left="980" w:right="980"/>
        </w:sectPr>
      </w:pPr>
    </w:p>
    <w:p>
      <w:pPr>
        <w:spacing w:line="240" w:lineRule="auto" w:before="11"/>
        <w:rPr>
          <w:rFonts w:ascii="宋体" w:hAnsi="宋体" w:cs="宋体" w:eastAsia="宋体" w:hint="default"/>
          <w:sz w:val="27"/>
          <w:szCs w:val="27"/>
        </w:rPr>
      </w:pPr>
    </w:p>
    <w:p>
      <w:pPr>
        <w:spacing w:line="4905" w:lineRule="exact"/>
        <w:ind w:left="1859"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3952704" cy="311467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3952704" cy="3114675"/>
                    </a:xfrm>
                    <a:prstGeom prst="rect">
                      <a:avLst/>
                    </a:prstGeom>
                  </pic:spPr>
                </pic:pic>
              </a:graphicData>
            </a:graphic>
          </wp:inline>
        </w:drawing>
      </w:r>
      <w:r>
        <w:rPr>
          <w:rFonts w:ascii="宋体" w:hAnsi="宋体" w:cs="宋体" w:eastAsia="宋体" w:hint="default"/>
          <w:position w:val="-97"/>
          <w:sz w:val="20"/>
          <w:szCs w:val="20"/>
        </w:rPr>
      </w:r>
    </w:p>
    <w:p>
      <w:pPr>
        <w:pStyle w:val="BodyText"/>
        <w:spacing w:line="316" w:lineRule="auto" w:before="94"/>
        <w:ind w:right="191" w:firstLine="360"/>
        <w:jc w:val="both"/>
      </w:pPr>
      <w:r>
        <w:rPr>
          <w:spacing w:val="-2"/>
        </w:rPr>
        <w:t>②针对战略、经营及合规目标，采取定性指标来确定内控缺陷标准。由于战略、经营和合规目标实现往往受到不可控的</w:t>
      </w:r>
      <w:r>
        <w:rPr/>
        <w:t> </w:t>
      </w:r>
      <w:r>
        <w:rPr>
          <w:spacing w:val="-2"/>
        </w:rPr>
        <w:t>诸多外部因素影响，在认定针对这些控制目标的内控缺陷时，不仅考虑最终结果，还重点考虑公司制定战略、开展经营活动</w:t>
      </w:r>
      <w:r>
        <w:rPr>
          <w:spacing w:val="-64"/>
        </w:rPr>
        <w:t> </w:t>
      </w:r>
      <w:r>
        <w:rPr>
          <w:spacing w:val="-64"/>
        </w:rPr>
      </w:r>
      <w:r>
        <w:rPr/>
        <w:t>的机制和程序是否符合内控要求。</w:t>
      </w:r>
    </w:p>
    <w:p>
      <w:pPr>
        <w:pStyle w:val="BodyText"/>
        <w:spacing w:line="316" w:lineRule="auto" w:before="57"/>
        <w:ind w:right="94" w:firstLine="360"/>
        <w:jc w:val="left"/>
      </w:pPr>
      <w:r>
        <w:rPr/>
        <w:t>具有以下特征的缺陷，可考虑定位为重大缺陷：缺乏内部控制，导致经营行为严重违反国家法律、法规的禁止性规定， </w:t>
      </w:r>
      <w:r>
        <w:rPr>
          <w:spacing w:val="-2"/>
        </w:rPr>
        <w:t>出现重大失泄密案件、受到重大经济处罚或产生重大财产损失；重要业务缺乏制度控制或制度系统性失效内部控制评价确定</w:t>
      </w:r>
      <w:r>
        <w:rPr>
          <w:spacing w:val="-64"/>
        </w:rPr>
        <w:t> </w:t>
      </w:r>
      <w:r>
        <w:rPr>
          <w:spacing w:val="-64"/>
        </w:rPr>
      </w:r>
      <w:r>
        <w:rPr/>
        <w:t>的</w:t>
      </w:r>
      <w:r>
        <w:rPr>
          <w:rFonts w:ascii="Times New Roman" w:hAnsi="Times New Roman" w:cs="Times New Roman" w:eastAsia="Times New Roman" w:hint="default"/>
        </w:rPr>
        <w:t>“</w:t>
      </w:r>
      <w:r>
        <w:rPr/>
        <w:t>重大缺陷</w:t>
      </w:r>
      <w:r>
        <w:rPr>
          <w:rFonts w:ascii="Times New Roman" w:hAnsi="Times New Roman" w:cs="Times New Roman" w:eastAsia="Times New Roman" w:hint="default"/>
        </w:rPr>
        <w:t>”</w:t>
      </w:r>
      <w:r>
        <w:rPr/>
        <w:t>未得到整改。</w:t>
      </w:r>
    </w:p>
    <w:p>
      <w:pPr>
        <w:pStyle w:val="BodyText"/>
        <w:spacing w:line="309" w:lineRule="auto" w:before="40"/>
        <w:ind w:right="188" w:firstLine="360"/>
        <w:jc w:val="both"/>
      </w:pPr>
      <w:r>
        <w:rPr>
          <w:spacing w:val="-2"/>
        </w:rPr>
        <w:t>具有以下特征的缺陷，可考虑定位为重要缺陷：缺乏内部控制，导致经营行为违反国家法律、法规的禁止性规定，出现</w:t>
      </w:r>
      <w:r>
        <w:rPr/>
        <w:t> </w:t>
      </w:r>
      <w:r>
        <w:rPr>
          <w:spacing w:val="-3"/>
        </w:rPr>
        <w:t>较大失泄密案件、受到较大经济处罚或产生较大财产损失；主要业务缺乏制度控制或重要制度失效；内部控制评价确定的</w:t>
      </w:r>
      <w:r>
        <w:rPr>
          <w:rFonts w:ascii="Times New Roman" w:hAnsi="Times New Roman" w:cs="Times New Roman" w:eastAsia="Times New Roman" w:hint="default"/>
          <w:spacing w:val="-3"/>
        </w:rPr>
        <w:t>“</w:t>
      </w:r>
      <w:r>
        <w:rPr>
          <w:spacing w:val="-3"/>
        </w:rPr>
        <w:t>重</w:t>
      </w:r>
      <w:r>
        <w:rPr>
          <w:spacing w:val="-85"/>
        </w:rPr>
        <w:t> </w:t>
      </w:r>
      <w:r>
        <w:rPr/>
        <w:t>要缺陷</w:t>
      </w:r>
      <w:r>
        <w:rPr>
          <w:rFonts w:ascii="Times New Roman" w:hAnsi="Times New Roman" w:cs="Times New Roman" w:eastAsia="Times New Roman" w:hint="default"/>
        </w:rPr>
        <w:t>”</w:t>
      </w:r>
      <w:r>
        <w:rPr/>
        <w:t>未得到整改。</w:t>
      </w:r>
    </w:p>
    <w:p>
      <w:pPr>
        <w:pStyle w:val="BodyText"/>
        <w:spacing w:line="240" w:lineRule="auto" w:before="46"/>
        <w:ind w:left="513" w:right="89"/>
        <w:jc w:val="left"/>
      </w:pPr>
      <w:r>
        <w:rPr/>
        <w:t>一般缺陷为除重大缺陷、重要缺陷以外的其他控制缺陷。</w:t>
      </w:r>
    </w:p>
    <w:p>
      <w:pPr>
        <w:spacing w:line="240" w:lineRule="auto" w:before="3"/>
        <w:rPr>
          <w:rFonts w:ascii="宋体" w:hAnsi="宋体" w:cs="宋体" w:eastAsia="宋体" w:hint="default"/>
          <w:sz w:val="14"/>
          <w:szCs w:val="14"/>
        </w:rPr>
      </w:pPr>
    </w:p>
    <w:p>
      <w:pPr>
        <w:pStyle w:val="Heading5"/>
        <w:spacing w:line="240" w:lineRule="auto"/>
        <w:ind w:right="89"/>
        <w:jc w:val="left"/>
        <w:rPr>
          <w:b w:val="0"/>
          <w:bCs w:val="0"/>
        </w:rPr>
      </w:pPr>
      <w:r>
        <w:rPr/>
        <w:t>十一、内部控制审计报告</w:t>
      </w:r>
      <w:r>
        <w:rPr>
          <w:b w:val="0"/>
          <w:bCs w:val="0"/>
        </w:rPr>
      </w:r>
    </w:p>
    <w:p>
      <w:pPr>
        <w:pStyle w:val="BodyText"/>
        <w:spacing w:line="240" w:lineRule="auto" w:before="207"/>
        <w:ind w:right="89"/>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0" w:firstLine="360"/>
              <w:jc w:val="left"/>
              <w:rPr>
                <w:rFonts w:ascii="宋体" w:hAnsi="宋体" w:cs="宋体" w:eastAsia="宋体" w:hint="default"/>
                <w:sz w:val="18"/>
                <w:szCs w:val="18"/>
              </w:rPr>
            </w:pPr>
            <w:r>
              <w:rPr>
                <w:rFonts w:ascii="宋体" w:hAnsi="宋体" w:cs="宋体" w:eastAsia="宋体" w:hint="default"/>
                <w:sz w:val="18"/>
                <w:szCs w:val="18"/>
              </w:rPr>
              <w:t>长城电脑母公司及部分子公司于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 了有效的财务报告内部控制。</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firstLine="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公告名称：中国长城计算机深圳股份有限公司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年度内部控制审计报告；披露网</w:t>
            </w:r>
            <w:r>
              <w:rPr>
                <w:rFonts w:ascii="宋体" w:hAnsi="宋体" w:cs="宋体" w:eastAsia="宋体" w:hint="default"/>
                <w:sz w:val="18"/>
                <w:szCs w:val="18"/>
              </w:rPr>
              <w:t> 址：</w:t>
            </w:r>
            <w:hyperlink r:id="rId8">
              <w:r>
                <w:rPr>
                  <w:rFonts w:ascii="Times New Roman" w:hAnsi="Times New Roman" w:cs="Times New Roman" w:eastAsia="Times New Roman" w:hint="default"/>
                  <w:sz w:val="18"/>
                  <w:szCs w:val="18"/>
                </w:rPr>
                <w:t>www.cninfo.com.cn</w:t>
              </w:r>
            </w:hyperlink>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带强调事项段无保留意见</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89"/>
        <w:jc w:val="left"/>
      </w:pPr>
      <w:r>
        <w:rPr/>
        <w:t>会计师事务所是否出具非标准意见的内部控制审计报告</w:t>
      </w:r>
    </w:p>
    <w:p>
      <w:pPr>
        <w:pStyle w:val="BodyText"/>
        <w:spacing w:line="357" w:lineRule="auto" w:before="117"/>
        <w:ind w:right="5314"/>
        <w:jc w:val="left"/>
      </w:pPr>
      <w:r>
        <w:rPr/>
        <w:t>√ 是 □</w:t>
      </w:r>
      <w:r>
        <w:rPr>
          <w:spacing w:val="3"/>
        </w:rPr>
        <w:t> </w:t>
      </w:r>
      <w:r>
        <w:rPr/>
        <w:t>否</w:t>
      </w:r>
      <w:r>
        <w:rPr/>
        <w:t> 会计师事务所出具非标准意见的内部控制审计报告的说明</w:t>
      </w:r>
    </w:p>
    <w:p>
      <w:pPr>
        <w:spacing w:after="0" w:line="357" w:lineRule="auto"/>
        <w:jc w:val="left"/>
        <w:sectPr>
          <w:pgSz w:w="11910" w:h="16840"/>
          <w:pgMar w:header="877" w:footer="980"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3" w:right="0"/>
        <w:jc w:val="left"/>
      </w:pPr>
      <w:r>
        <w:rPr/>
        <w:t>信永中和会计师事务所审计了中国长城计算机深圳股份有限公司及除冠捷科技以外其他子公司截止</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309" w:lineRule="auto" w:before="63"/>
        <w:ind w:right="149"/>
        <w:jc w:val="both"/>
      </w:pPr>
      <w:r>
        <w:rPr/>
        <w:t>财务报告内部控制的有效性，认为前述公司于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日按照《企业内部控制基本规范》和相关规定在所有重大方 </w:t>
      </w:r>
      <w:r>
        <w:rPr>
          <w:spacing w:val="-2"/>
        </w:rPr>
        <w:t>面保持了有效的财务报告内部控制。同时，其提醒内部控制审计报告使用者关注：冠捷科技系香港及新加坡上市公司，其内</w:t>
      </w:r>
      <w:r>
        <w:rPr>
          <w:spacing w:val="-63"/>
        </w:rPr>
        <w:t> </w:t>
      </w:r>
      <w:r>
        <w:rPr>
          <w:spacing w:val="-63"/>
        </w:rPr>
      </w:r>
      <w:r>
        <w:rPr/>
        <w:t>部控制执行香港联合交易所相关规定；由于冠捷科技执行的是 </w:t>
      </w:r>
      <w:r>
        <w:rPr>
          <w:rFonts w:ascii="Times New Roman" w:hAnsi="Times New Roman" w:cs="Times New Roman" w:eastAsia="Times New Roman" w:hint="default"/>
        </w:rPr>
        <w:t>COSO</w:t>
      </w:r>
      <w:r>
        <w:rPr>
          <w:rFonts w:ascii="Times New Roman" w:hAnsi="Times New Roman" w:cs="Times New Roman" w:eastAsia="Times New Roman" w:hint="default"/>
          <w:spacing w:val="23"/>
        </w:rPr>
        <w:t> </w:t>
      </w:r>
      <w:r>
        <w:rPr/>
        <w:t>内部控制整体框架，且香港联合交易所暂未要求主板 </w:t>
      </w:r>
      <w:r>
        <w:rPr>
          <w:spacing w:val="-2"/>
        </w:rPr>
        <w:t>上市公司执行内部控制审计及对外披露内部控制审计报告，因此冠捷科技未包含在本次内控制审计范围内；本段内容不影响</w:t>
      </w:r>
      <w:r>
        <w:rPr>
          <w:spacing w:val="-64"/>
        </w:rPr>
        <w:t> </w:t>
      </w:r>
      <w:r>
        <w:rPr>
          <w:spacing w:val="-64"/>
        </w:rPr>
      </w:r>
      <w:r>
        <w:rPr/>
        <w:t>已对长城电脑母公司及部分子公司财务报告内部控制发表的审计意见。</w:t>
      </w:r>
    </w:p>
    <w:p>
      <w:pPr>
        <w:pStyle w:val="BodyText"/>
        <w:spacing w:line="240" w:lineRule="auto" w:before="65"/>
        <w:ind w:right="0"/>
        <w:jc w:val="both"/>
      </w:pPr>
      <w:r>
        <w:rPr/>
        <w:t>会计师事务所出具的内部控制审计报告与董事会的自我评价报告意见是否一致</w:t>
      </w:r>
    </w:p>
    <w:p>
      <w:pPr>
        <w:pStyle w:val="BodyText"/>
        <w:spacing w:line="240" w:lineRule="auto" w:before="115"/>
        <w:ind w:right="0"/>
        <w:jc w:val="both"/>
      </w:pPr>
      <w:r>
        <w:rPr/>
        <w:t>√ 是 □</w:t>
      </w:r>
      <w:r>
        <w:rPr>
          <w:spacing w:val="3"/>
        </w:rPr>
        <w:t> </w:t>
      </w:r>
      <w:r>
        <w:rPr/>
        <w:t>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1"/>
        <w:spacing w:line="240" w:lineRule="auto"/>
        <w:ind w:left="149" w:right="148"/>
        <w:jc w:val="center"/>
        <w:rPr>
          <w:b w:val="0"/>
          <w:bCs w:val="0"/>
        </w:rPr>
      </w:pPr>
      <w:bookmarkStart w:name="_bookmark9" w:id="10"/>
      <w:bookmarkEnd w:id="10"/>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39"/>
          <w:szCs w:val="39"/>
        </w:rPr>
      </w:pPr>
    </w:p>
    <w:p>
      <w:pPr>
        <w:pStyle w:val="Heading5"/>
        <w:spacing w:line="240" w:lineRule="auto"/>
        <w:ind w:right="0"/>
        <w:jc w:val="both"/>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XYZH/2016SZA10173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谭小青、张媛</w:t>
            </w:r>
          </w:p>
        </w:tc>
      </w:tr>
    </w:tbl>
    <w:p>
      <w:pPr>
        <w:spacing w:line="240" w:lineRule="auto" w:before="11"/>
        <w:rPr>
          <w:rFonts w:ascii="宋体" w:hAnsi="宋体" w:cs="宋体" w:eastAsia="宋体" w:hint="default"/>
          <w:b/>
          <w:bCs/>
          <w:sz w:val="17"/>
          <w:szCs w:val="17"/>
        </w:rPr>
      </w:pPr>
    </w:p>
    <w:p>
      <w:pPr>
        <w:pStyle w:val="Heading5"/>
        <w:spacing w:line="468" w:lineRule="auto" w:before="26"/>
        <w:ind w:right="6642"/>
        <w:jc w:val="left"/>
        <w:rPr>
          <w:b w:val="0"/>
          <w:bCs w:val="0"/>
        </w:rPr>
      </w:pPr>
      <w:r>
        <w:rPr/>
        <w:t>二、经审计财务报表（附后）</w:t>
      </w:r>
      <w:r>
        <w:rPr>
          <w:w w:val="99"/>
        </w:rPr>
        <w:t> </w:t>
      </w:r>
      <w:r>
        <w:rPr/>
        <w:t>三、财务报表附注（附后）</w:t>
      </w:r>
      <w:r>
        <w:rPr>
          <w:b w:val="0"/>
          <w:bCs w:val="0"/>
        </w:rPr>
      </w:r>
    </w:p>
    <w:p>
      <w:pPr>
        <w:spacing w:line="240" w:lineRule="auto" w:before="3"/>
        <w:rPr>
          <w:rFonts w:ascii="宋体" w:hAnsi="宋体" w:cs="宋体" w:eastAsia="宋体" w:hint="default"/>
          <w:b/>
          <w:bCs/>
          <w:sz w:val="20"/>
          <w:szCs w:val="20"/>
        </w:rPr>
      </w:pPr>
    </w:p>
    <w:p>
      <w:pPr>
        <w:pStyle w:val="Heading1"/>
        <w:spacing w:line="240" w:lineRule="auto"/>
        <w:ind w:left="3285" w:right="153"/>
        <w:jc w:val="left"/>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left="513" w:right="0"/>
        <w:jc w:val="left"/>
      </w:pPr>
      <w:r>
        <w:rPr/>
        <w:t>（一）载有公司负责人、主管会计工作负责人、会计机构负责人（会计主管人员）签名并盖章的</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年度财务报表；</w:t>
      </w:r>
    </w:p>
    <w:p>
      <w:pPr>
        <w:pStyle w:val="BodyText"/>
        <w:spacing w:line="240" w:lineRule="auto" w:before="103"/>
        <w:ind w:left="513" w:right="153"/>
        <w:jc w:val="left"/>
      </w:pPr>
      <w:r>
        <w:rPr/>
        <w:t>（二）载有会计师事务所盖章、注册会计师签名并盖章的审计报告原件；</w:t>
      </w:r>
    </w:p>
    <w:p>
      <w:pPr>
        <w:pStyle w:val="BodyText"/>
        <w:spacing w:line="240" w:lineRule="auto" w:before="117"/>
        <w:ind w:left="513" w:right="153"/>
        <w:jc w:val="left"/>
      </w:pPr>
      <w:r>
        <w:rPr/>
        <w:t>（三）报告期内在《中国证券报</w:t>
      </w:r>
      <w:r>
        <w:rPr>
          <w:spacing w:val="-92"/>
        </w:rPr>
        <w:t>》、</w:t>
      </w:r>
      <w:r>
        <w:rPr/>
        <w:t>《证券时</w:t>
      </w:r>
      <w:r>
        <w:rPr>
          <w:spacing w:val="2"/>
        </w:rPr>
        <w:t>报</w:t>
      </w:r>
      <w:r>
        <w:rPr>
          <w:spacing w:val="-92"/>
        </w:rPr>
        <w:t>》、</w:t>
      </w:r>
      <w:r>
        <w:rPr/>
        <w:t>《上海证</w:t>
      </w:r>
      <w:r>
        <w:rPr>
          <w:spacing w:val="2"/>
        </w:rPr>
        <w:t>券</w:t>
      </w:r>
      <w:r>
        <w:rPr/>
        <w:t>报》公开披露过的公司所有文件正本及公告原稿。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Heading9"/>
        <w:spacing w:line="410" w:lineRule="auto"/>
        <w:ind w:left="6641" w:right="148"/>
        <w:jc w:val="center"/>
      </w:pPr>
      <w:r>
        <w:rPr>
          <w:spacing w:val="-2"/>
        </w:rPr>
        <w:t>中国长城计算机深圳股份有限公司</w:t>
      </w:r>
      <w:r>
        <w:rPr>
          <w:spacing w:val="-81"/>
        </w:rPr>
        <w:t> </w:t>
      </w:r>
      <w:r>
        <w:rPr>
          <w:spacing w:val="-81"/>
        </w:rPr>
      </w:r>
      <w:r>
        <w:rPr/>
        <w:t>董事会</w:t>
      </w:r>
    </w:p>
    <w:p>
      <w:pPr>
        <w:pStyle w:val="Heading9"/>
        <w:spacing w:line="240" w:lineRule="auto" w:before="44"/>
        <w:ind w:right="989"/>
        <w:jc w:val="right"/>
      </w:pPr>
      <w:r>
        <w:rPr>
          <w:spacing w:val="-1"/>
        </w:rPr>
        <w:t>二〇一六年四月</w:t>
      </w:r>
    </w:p>
    <w:p>
      <w:pPr>
        <w:spacing w:after="0" w:line="240" w:lineRule="auto"/>
        <w:jc w:val="right"/>
        <w:sectPr>
          <w:pgSz w:w="11910" w:h="16840"/>
          <w:pgMar w:header="877"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tbl>
      <w:tblPr>
        <w:tblW w:w="0" w:type="auto"/>
        <w:jc w:val="left"/>
        <w:tblInd w:w="1662" w:type="dxa"/>
        <w:tblLayout w:type="fixed"/>
        <w:tblCellMar>
          <w:top w:w="0" w:type="dxa"/>
          <w:left w:w="0" w:type="dxa"/>
          <w:bottom w:w="0" w:type="dxa"/>
          <w:right w:w="0" w:type="dxa"/>
        </w:tblCellMar>
        <w:tblLook w:val="01E0"/>
      </w:tblPr>
      <w:tblGrid>
        <w:gridCol w:w="5174"/>
      </w:tblGrid>
      <w:tr>
        <w:trPr>
          <w:trHeight w:val="452"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81" w:lineRule="exact"/>
              <w:ind w:right="0"/>
              <w:jc w:val="center"/>
              <w:rPr>
                <w:rFonts w:ascii="黑体" w:hAnsi="黑体" w:cs="黑体" w:eastAsia="黑体" w:hint="default"/>
                <w:sz w:val="28"/>
                <w:szCs w:val="28"/>
              </w:rPr>
            </w:pPr>
            <w:r>
              <w:rPr>
                <w:rFonts w:ascii="黑体" w:hAnsi="黑体" w:cs="黑体" w:eastAsia="黑体" w:hint="default"/>
                <w:b/>
                <w:bCs/>
                <w:sz w:val="28"/>
                <w:szCs w:val="28"/>
              </w:rPr>
              <w:t>中</w:t>
            </w:r>
            <w:r>
              <w:rPr>
                <w:rFonts w:ascii="黑体" w:hAnsi="黑体" w:cs="黑体" w:eastAsia="黑体" w:hint="default"/>
                <w:b/>
                <w:bCs/>
                <w:spacing w:val="-102"/>
                <w:sz w:val="28"/>
                <w:szCs w:val="28"/>
              </w:rPr>
              <w:t> </w:t>
            </w:r>
            <w:r>
              <w:rPr>
                <w:rFonts w:ascii="黑体" w:hAnsi="黑体" w:cs="黑体" w:eastAsia="黑体" w:hint="default"/>
                <w:b/>
                <w:bCs/>
                <w:sz w:val="28"/>
                <w:szCs w:val="28"/>
              </w:rPr>
              <w:t>国</w:t>
            </w:r>
            <w:r>
              <w:rPr>
                <w:rFonts w:ascii="黑体" w:hAnsi="黑体" w:cs="黑体" w:eastAsia="黑体" w:hint="default"/>
                <w:b/>
                <w:bCs/>
                <w:spacing w:val="-102"/>
                <w:sz w:val="28"/>
                <w:szCs w:val="28"/>
              </w:rPr>
              <w:t> </w:t>
            </w:r>
            <w:r>
              <w:rPr>
                <w:rFonts w:ascii="黑体" w:hAnsi="黑体" w:cs="黑体" w:eastAsia="黑体" w:hint="default"/>
                <w:b/>
                <w:bCs/>
                <w:sz w:val="28"/>
                <w:szCs w:val="28"/>
              </w:rPr>
              <w:t>长</w:t>
            </w:r>
            <w:r>
              <w:rPr>
                <w:rFonts w:ascii="黑体" w:hAnsi="黑体" w:cs="黑体" w:eastAsia="黑体" w:hint="default"/>
                <w:b/>
                <w:bCs/>
                <w:spacing w:val="-102"/>
                <w:sz w:val="28"/>
                <w:szCs w:val="28"/>
              </w:rPr>
              <w:t> </w:t>
            </w:r>
            <w:r>
              <w:rPr>
                <w:rFonts w:ascii="黑体" w:hAnsi="黑体" w:cs="黑体" w:eastAsia="黑体" w:hint="default"/>
                <w:b/>
                <w:bCs/>
                <w:sz w:val="28"/>
                <w:szCs w:val="28"/>
              </w:rPr>
              <w:t>城</w:t>
            </w:r>
            <w:r>
              <w:rPr>
                <w:rFonts w:ascii="黑体" w:hAnsi="黑体" w:cs="黑体" w:eastAsia="黑体" w:hint="default"/>
                <w:b/>
                <w:bCs/>
                <w:spacing w:val="-102"/>
                <w:sz w:val="28"/>
                <w:szCs w:val="28"/>
              </w:rPr>
              <w:t> </w:t>
            </w:r>
            <w:r>
              <w:rPr>
                <w:rFonts w:ascii="黑体" w:hAnsi="黑体" w:cs="黑体" w:eastAsia="黑体" w:hint="default"/>
                <w:b/>
                <w:bCs/>
                <w:sz w:val="28"/>
                <w:szCs w:val="28"/>
              </w:rPr>
              <w:t>计</w:t>
            </w:r>
            <w:r>
              <w:rPr>
                <w:rFonts w:ascii="黑体" w:hAnsi="黑体" w:cs="黑体" w:eastAsia="黑体" w:hint="default"/>
                <w:b/>
                <w:bCs/>
                <w:spacing w:val="-102"/>
                <w:sz w:val="28"/>
                <w:szCs w:val="28"/>
              </w:rPr>
              <w:t> </w:t>
            </w:r>
            <w:r>
              <w:rPr>
                <w:rFonts w:ascii="黑体" w:hAnsi="黑体" w:cs="黑体" w:eastAsia="黑体" w:hint="default"/>
                <w:b/>
                <w:bCs/>
                <w:sz w:val="28"/>
                <w:szCs w:val="28"/>
              </w:rPr>
              <w:t>算</w:t>
            </w:r>
            <w:r>
              <w:rPr>
                <w:rFonts w:ascii="黑体" w:hAnsi="黑体" w:cs="黑体" w:eastAsia="黑体" w:hint="default"/>
                <w:b/>
                <w:bCs/>
                <w:spacing w:val="-102"/>
                <w:sz w:val="28"/>
                <w:szCs w:val="28"/>
              </w:rPr>
              <w:t> </w:t>
            </w:r>
            <w:r>
              <w:rPr>
                <w:rFonts w:ascii="黑体" w:hAnsi="黑体" w:cs="黑体" w:eastAsia="黑体" w:hint="default"/>
                <w:b/>
                <w:bCs/>
                <w:sz w:val="28"/>
                <w:szCs w:val="28"/>
              </w:rPr>
              <w:t>机</w:t>
            </w:r>
            <w:r>
              <w:rPr>
                <w:rFonts w:ascii="黑体" w:hAnsi="黑体" w:cs="黑体" w:eastAsia="黑体" w:hint="default"/>
                <w:b/>
                <w:bCs/>
                <w:spacing w:val="-104"/>
                <w:sz w:val="28"/>
                <w:szCs w:val="28"/>
              </w:rPr>
              <w:t> </w:t>
            </w:r>
            <w:r>
              <w:rPr>
                <w:rFonts w:ascii="黑体" w:hAnsi="黑体" w:cs="黑体" w:eastAsia="黑体" w:hint="default"/>
                <w:b/>
                <w:bCs/>
                <w:sz w:val="28"/>
                <w:szCs w:val="28"/>
              </w:rPr>
              <w:t>深</w:t>
            </w:r>
            <w:r>
              <w:rPr>
                <w:rFonts w:ascii="黑体" w:hAnsi="黑体" w:cs="黑体" w:eastAsia="黑体" w:hint="default"/>
                <w:b/>
                <w:bCs/>
                <w:spacing w:val="-102"/>
                <w:sz w:val="28"/>
                <w:szCs w:val="28"/>
              </w:rPr>
              <w:t> </w:t>
            </w:r>
            <w:r>
              <w:rPr>
                <w:rFonts w:ascii="黑体" w:hAnsi="黑体" w:cs="黑体" w:eastAsia="黑体" w:hint="default"/>
                <w:b/>
                <w:bCs/>
                <w:sz w:val="28"/>
                <w:szCs w:val="28"/>
              </w:rPr>
              <w:t>圳</w:t>
            </w:r>
            <w:r>
              <w:rPr>
                <w:rFonts w:ascii="黑体" w:hAnsi="黑体" w:cs="黑体" w:eastAsia="黑体" w:hint="default"/>
                <w:b/>
                <w:bCs/>
                <w:spacing w:val="-102"/>
                <w:sz w:val="28"/>
                <w:szCs w:val="28"/>
              </w:rPr>
              <w:t> </w:t>
            </w:r>
            <w:r>
              <w:rPr>
                <w:rFonts w:ascii="黑体" w:hAnsi="黑体" w:cs="黑体" w:eastAsia="黑体" w:hint="default"/>
                <w:b/>
                <w:bCs/>
                <w:sz w:val="28"/>
                <w:szCs w:val="28"/>
              </w:rPr>
              <w:t>股</w:t>
            </w:r>
            <w:r>
              <w:rPr>
                <w:rFonts w:ascii="黑体" w:hAnsi="黑体" w:cs="黑体" w:eastAsia="黑体" w:hint="default"/>
                <w:b/>
                <w:bCs/>
                <w:spacing w:val="-102"/>
                <w:sz w:val="28"/>
                <w:szCs w:val="28"/>
              </w:rPr>
              <w:t> </w:t>
            </w:r>
            <w:r>
              <w:rPr>
                <w:rFonts w:ascii="黑体" w:hAnsi="黑体" w:cs="黑体" w:eastAsia="黑体" w:hint="default"/>
                <w:b/>
                <w:bCs/>
                <w:sz w:val="28"/>
                <w:szCs w:val="28"/>
              </w:rPr>
              <w:t>份</w:t>
            </w:r>
            <w:r>
              <w:rPr>
                <w:rFonts w:ascii="黑体" w:hAnsi="黑体" w:cs="黑体" w:eastAsia="黑体" w:hint="default"/>
                <w:b/>
                <w:bCs/>
                <w:spacing w:val="-102"/>
                <w:sz w:val="28"/>
                <w:szCs w:val="28"/>
              </w:rPr>
              <w:t> </w:t>
            </w:r>
            <w:r>
              <w:rPr>
                <w:rFonts w:ascii="黑体" w:hAnsi="黑体" w:cs="黑体" w:eastAsia="黑体" w:hint="default"/>
                <w:b/>
                <w:bCs/>
                <w:sz w:val="28"/>
                <w:szCs w:val="28"/>
              </w:rPr>
              <w:t>有</w:t>
            </w:r>
            <w:r>
              <w:rPr>
                <w:rFonts w:ascii="黑体" w:hAnsi="黑体" w:cs="黑体" w:eastAsia="黑体" w:hint="default"/>
                <w:b/>
                <w:bCs/>
                <w:spacing w:val="-102"/>
                <w:sz w:val="28"/>
                <w:szCs w:val="28"/>
              </w:rPr>
              <w:t> </w:t>
            </w:r>
            <w:r>
              <w:rPr>
                <w:rFonts w:ascii="黑体" w:hAnsi="黑体" w:cs="黑体" w:eastAsia="黑体" w:hint="default"/>
                <w:b/>
                <w:bCs/>
                <w:sz w:val="28"/>
                <w:szCs w:val="28"/>
              </w:rPr>
              <w:t>限</w:t>
            </w:r>
            <w:r>
              <w:rPr>
                <w:rFonts w:ascii="黑体" w:hAnsi="黑体" w:cs="黑体" w:eastAsia="黑体" w:hint="default"/>
                <w:b/>
                <w:bCs/>
                <w:spacing w:val="-102"/>
                <w:sz w:val="28"/>
                <w:szCs w:val="28"/>
              </w:rPr>
              <w:t> </w:t>
            </w:r>
            <w:r>
              <w:rPr>
                <w:rFonts w:ascii="黑体" w:hAnsi="黑体" w:cs="黑体" w:eastAsia="黑体" w:hint="default"/>
                <w:b/>
                <w:bCs/>
                <w:sz w:val="28"/>
                <w:szCs w:val="28"/>
              </w:rPr>
              <w:t>公</w:t>
            </w:r>
            <w:r>
              <w:rPr>
                <w:rFonts w:ascii="黑体" w:hAnsi="黑体" w:cs="黑体" w:eastAsia="黑体" w:hint="default"/>
                <w:b/>
                <w:bCs/>
                <w:spacing w:val="-104"/>
                <w:sz w:val="28"/>
                <w:szCs w:val="28"/>
              </w:rPr>
              <w:t> </w:t>
            </w:r>
            <w:r>
              <w:rPr>
                <w:rFonts w:ascii="黑体" w:hAnsi="黑体" w:cs="黑体" w:eastAsia="黑体" w:hint="default"/>
                <w:b/>
                <w:bCs/>
                <w:sz w:val="28"/>
                <w:szCs w:val="28"/>
              </w:rPr>
              <w:t>司</w:t>
            </w:r>
            <w:r>
              <w:rPr>
                <w:rFonts w:ascii="黑体" w:hAnsi="黑体" w:cs="黑体" w:eastAsia="黑体" w:hint="default"/>
                <w:sz w:val="28"/>
                <w:szCs w:val="28"/>
              </w:rPr>
            </w:r>
          </w:p>
        </w:tc>
      </w:tr>
      <w:tr>
        <w:trPr>
          <w:trHeight w:val="624"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6" w:right="0"/>
              <w:jc w:val="center"/>
              <w:rPr>
                <w:rFonts w:ascii="黑体" w:hAnsi="黑体" w:cs="黑体" w:eastAsia="黑体" w:hint="default"/>
                <w:sz w:val="28"/>
                <w:szCs w:val="28"/>
              </w:rPr>
            </w:pPr>
            <w:r>
              <w:rPr>
                <w:rFonts w:ascii="黑体" w:hAnsi="黑体" w:cs="黑体" w:eastAsia="黑体" w:hint="default"/>
                <w:b/>
                <w:bCs/>
                <w:spacing w:val="15"/>
                <w:sz w:val="28"/>
                <w:szCs w:val="28"/>
              </w:rPr>
              <w:t>2015</w:t>
            </w:r>
            <w:r>
              <w:rPr>
                <w:rFonts w:ascii="黑体" w:hAnsi="黑体" w:cs="黑体" w:eastAsia="黑体" w:hint="default"/>
                <w:b/>
                <w:bCs/>
                <w:spacing w:val="-43"/>
                <w:sz w:val="28"/>
                <w:szCs w:val="28"/>
              </w:rPr>
              <w:t> </w:t>
            </w:r>
            <w:r>
              <w:rPr>
                <w:rFonts w:ascii="黑体" w:hAnsi="黑体" w:cs="黑体" w:eastAsia="黑体" w:hint="default"/>
                <w:b/>
                <w:bCs/>
                <w:spacing w:val="20"/>
                <w:sz w:val="28"/>
                <w:szCs w:val="28"/>
              </w:rPr>
              <w:t>年度</w:t>
            </w:r>
            <w:r>
              <w:rPr>
                <w:rFonts w:ascii="黑体" w:hAnsi="黑体" w:cs="黑体" w:eastAsia="黑体" w:hint="default"/>
                <w:b/>
                <w:bCs/>
                <w:spacing w:val="-101"/>
                <w:sz w:val="28"/>
                <w:szCs w:val="28"/>
              </w:rPr>
              <w:t> </w:t>
            </w:r>
            <w:r>
              <w:rPr>
                <w:rFonts w:ascii="黑体" w:hAnsi="黑体" w:cs="黑体" w:eastAsia="黑体" w:hint="default"/>
                <w:sz w:val="28"/>
                <w:szCs w:val="28"/>
              </w:rPr>
            </w:r>
          </w:p>
        </w:tc>
      </w:tr>
      <w:tr>
        <w:trPr>
          <w:trHeight w:val="452" w:hRule="exact"/>
        </w:trPr>
        <w:tc>
          <w:tcPr>
            <w:tcW w:w="517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1" w:right="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1"/>
                <w:sz w:val="28"/>
                <w:szCs w:val="28"/>
              </w:rPr>
              <w:t> </w:t>
            </w:r>
            <w:r>
              <w:rPr>
                <w:rFonts w:ascii="黑体" w:hAnsi="黑体" w:cs="黑体" w:eastAsia="黑体" w:hint="default"/>
                <w:sz w:val="28"/>
                <w:szCs w:val="2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tbl>
      <w:tblPr>
        <w:tblW w:w="0" w:type="auto"/>
        <w:jc w:val="left"/>
        <w:tblInd w:w="580" w:type="dxa"/>
        <w:tblLayout w:type="fixed"/>
        <w:tblCellMar>
          <w:top w:w="0" w:type="dxa"/>
          <w:left w:w="0" w:type="dxa"/>
          <w:bottom w:w="0" w:type="dxa"/>
          <w:right w:w="0" w:type="dxa"/>
        </w:tblCellMar>
        <w:tblLook w:val="01E0"/>
      </w:tblPr>
      <w:tblGrid>
        <w:gridCol w:w="4683"/>
        <w:gridCol w:w="2523"/>
      </w:tblGrid>
      <w:tr>
        <w:trPr>
          <w:trHeight w:val="354"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exact"/>
              <w:ind w:left="1648" w:right="0"/>
              <w:jc w:val="lef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523" w:type="dxa"/>
            <w:tcBorders>
              <w:top w:val="nil" w:sz="6" w:space="0" w:color="auto"/>
              <w:left w:val="nil" w:sz="6" w:space="0" w:color="auto"/>
              <w:bottom w:val="nil" w:sz="6" w:space="0" w:color="auto"/>
              <w:right w:val="nil" w:sz="6" w:space="0" w:color="auto"/>
            </w:tcBorders>
          </w:tcPr>
          <w:p>
            <w:pP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523" w:type="dxa"/>
            <w:tcBorders>
              <w:top w:val="nil" w:sz="6" w:space="0" w:color="auto"/>
              <w:left w:val="nil" w:sz="6" w:space="0" w:color="auto"/>
              <w:bottom w:val="nil" w:sz="6" w:space="0" w:color="auto"/>
              <w:right w:val="nil" w:sz="6" w:space="0" w:color="auto"/>
            </w:tcBorders>
          </w:tcPr>
          <w:p>
            <w:pP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合并资产负债表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1-2</w:t>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母公司资产负债表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3-4</w:t>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合并利润表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5</w:t>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母公司利润表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6</w:t>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合并现金流量表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7</w:t>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母公司现金流量表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8</w:t>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合并股东权益变动表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9-10</w:t>
            </w:r>
          </w:p>
        </w:tc>
      </w:tr>
      <w:tr>
        <w:trPr>
          <w:trHeight w:val="468"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母公司股东权益变动表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11-12</w:t>
            </w:r>
          </w:p>
        </w:tc>
      </w:tr>
      <w:tr>
        <w:trPr>
          <w:trHeight w:val="354" w:hRule="exact"/>
        </w:trPr>
        <w:tc>
          <w:tcPr>
            <w:tcW w:w="4683"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40"/>
              <w:ind w:left="200" w:right="0"/>
              <w:jc w:val="left"/>
              <w:rPr>
                <w:rFonts w:ascii="黑体" w:hAnsi="黑体" w:cs="黑体" w:eastAsia="黑体" w:hint="default"/>
                <w:sz w:val="24"/>
                <w:szCs w:val="24"/>
              </w:rPr>
            </w:pPr>
            <w:r>
              <w:rPr>
                <w:rFonts w:ascii="黑体" w:hAnsi="黑体" w:cs="黑体" w:eastAsia="黑体" w:hint="default"/>
                <w:sz w:val="24"/>
                <w:szCs w:val="24"/>
              </w:rPr>
              <w:t>—</w:t>
              <w:tab/>
              <w:t>财务报表附注</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黑体" w:hAnsi="黑体" w:cs="黑体" w:eastAsia="黑体" w:hint="default"/>
                <w:sz w:val="24"/>
                <w:szCs w:val="24"/>
              </w:rPr>
            </w:pPr>
            <w:r>
              <w:rPr>
                <w:rFonts w:ascii="黑体"/>
                <w:sz w:val="24"/>
              </w:rPr>
              <w:t>13-122</w:t>
            </w:r>
          </w:p>
        </w:tc>
      </w:tr>
    </w:tbl>
    <w:p>
      <w:pPr>
        <w:spacing w:after="0" w:line="240" w:lineRule="auto"/>
        <w:jc w:val="right"/>
        <w:rPr>
          <w:rFonts w:ascii="黑体" w:hAnsi="黑体" w:cs="黑体" w:eastAsia="黑体" w:hint="default"/>
          <w:sz w:val="24"/>
          <w:szCs w:val="24"/>
        </w:rPr>
        <w:sectPr>
          <w:headerReference w:type="default" r:id="rId17"/>
          <w:footerReference w:type="default" r:id="rId18"/>
          <w:pgSz w:w="11910" w:h="16840"/>
          <w:pgMar w:header="0" w:footer="0" w:top="158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2"/>
        <w:spacing w:line="240" w:lineRule="auto" w:before="14"/>
        <w:ind w:left="4630" w:right="4471"/>
        <w:jc w:val="center"/>
        <w:rPr>
          <w:rFonts w:ascii="黑体" w:hAnsi="黑体" w:cs="黑体" w:eastAsia="黑体" w:hint="default"/>
          <w:b w:val="0"/>
          <w:bCs w:val="0"/>
        </w:rPr>
      </w:pPr>
      <w:r>
        <w:rPr>
          <w:rFonts w:ascii="黑体" w:hAnsi="黑体" w:cs="黑体" w:eastAsia="黑体" w:hint="default"/>
          <w:spacing w:val="30"/>
        </w:rPr>
        <w:t>审计报告</w:t>
      </w:r>
      <w:r>
        <w:rPr>
          <w:rFonts w:ascii="黑体" w:hAnsi="黑体" w:cs="黑体" w:eastAsia="黑体" w:hint="default"/>
          <w:spacing w:val="-101"/>
        </w:rPr>
        <w:t> </w:t>
      </w:r>
      <w:r>
        <w:rPr>
          <w:rFonts w:ascii="黑体" w:hAnsi="黑体" w:cs="黑体" w:eastAsia="黑体" w:hint="default"/>
          <w:b w:val="0"/>
          <w:bCs w:val="0"/>
        </w:rPr>
      </w:r>
    </w:p>
    <w:p>
      <w:pPr>
        <w:spacing w:line="240" w:lineRule="auto" w:before="11"/>
        <w:rPr>
          <w:rFonts w:ascii="黑体" w:hAnsi="黑体" w:cs="黑体" w:eastAsia="黑体" w:hint="default"/>
          <w:b/>
          <w:bCs/>
          <w:sz w:val="14"/>
          <w:szCs w:val="14"/>
        </w:rPr>
      </w:pPr>
    </w:p>
    <w:p>
      <w:pPr>
        <w:pStyle w:val="Heading7"/>
        <w:spacing w:line="240" w:lineRule="auto"/>
        <w:ind w:left="0" w:right="855"/>
        <w:jc w:val="right"/>
        <w:rPr>
          <w:rFonts w:ascii="宋体" w:hAnsi="宋体" w:cs="宋体" w:eastAsia="宋体" w:hint="default"/>
        </w:rPr>
      </w:pPr>
      <w:r>
        <w:rPr>
          <w:rFonts w:ascii="宋体"/>
          <w:spacing w:val="-1"/>
        </w:rPr>
        <w:t>XYZH/2016SZA10173</w:t>
      </w:r>
    </w:p>
    <w:p>
      <w:pPr>
        <w:spacing w:line="240" w:lineRule="auto" w:before="2"/>
        <w:rPr>
          <w:rFonts w:ascii="宋体" w:hAnsi="宋体" w:cs="宋体" w:eastAsia="宋体" w:hint="default"/>
          <w:sz w:val="23"/>
          <w:szCs w:val="23"/>
        </w:rPr>
      </w:pPr>
    </w:p>
    <w:p>
      <w:pPr>
        <w:pStyle w:val="Heading6"/>
        <w:spacing w:line="240" w:lineRule="auto" w:before="32"/>
        <w:ind w:left="1019" w:right="0"/>
        <w:jc w:val="left"/>
        <w:rPr>
          <w:b w:val="0"/>
          <w:bCs w:val="0"/>
        </w:rPr>
      </w:pPr>
      <w:r>
        <w:rPr/>
        <w:t>中国长城计算机深圳股份有限公司全体股东：</w:t>
      </w:r>
      <w:r>
        <w:rPr>
          <w:b w:val="0"/>
          <w:bCs w:val="0"/>
        </w:rPr>
      </w:r>
    </w:p>
    <w:p>
      <w:pPr>
        <w:spacing w:line="240" w:lineRule="auto" w:before="9"/>
        <w:rPr>
          <w:rFonts w:ascii="宋体" w:hAnsi="宋体" w:cs="宋体" w:eastAsia="宋体" w:hint="default"/>
          <w:b/>
          <w:bCs/>
          <w:sz w:val="25"/>
          <w:szCs w:val="25"/>
        </w:rPr>
      </w:pPr>
    </w:p>
    <w:p>
      <w:pPr>
        <w:pStyle w:val="Heading7"/>
        <w:spacing w:line="391" w:lineRule="auto" w:before="0"/>
        <w:ind w:left="1019" w:right="853" w:firstLine="439"/>
        <w:jc w:val="both"/>
      </w:pPr>
      <w:r>
        <w:rPr>
          <w:spacing w:val="-3"/>
        </w:rPr>
        <w:t>我们审计了后附的中国长城计算机深圳股份有限公司（以下简称长城电脑公司）财务</w:t>
      </w:r>
      <w:r>
        <w:rPr>
          <w:w w:val="100"/>
        </w:rPr>
        <w:t> </w:t>
      </w:r>
      <w:r>
        <w:rPr>
          <w:spacing w:val="-3"/>
        </w:rPr>
        <w:t>报表，包括</w:t>
      </w:r>
      <w:r>
        <w:rPr>
          <w:spacing w:val="-56"/>
        </w:rPr>
        <w:t> </w:t>
      </w:r>
      <w:r>
        <w:rPr>
          <w:rFonts w:ascii="宋体" w:hAnsi="宋体" w:cs="宋体" w:eastAsia="宋体" w:hint="default"/>
        </w:rPr>
        <w:t>2015</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日的合并及母公司资产负债表，</w:t>
      </w:r>
      <w:r>
        <w:rPr>
          <w:rFonts w:ascii="宋体" w:hAnsi="宋体" w:cs="宋体" w:eastAsia="宋体" w:hint="default"/>
        </w:rPr>
        <w:t>2015</w:t>
      </w:r>
      <w:r>
        <w:rPr>
          <w:rFonts w:ascii="宋体" w:hAnsi="宋体" w:cs="宋体" w:eastAsia="宋体" w:hint="default"/>
          <w:spacing w:val="-56"/>
        </w:rPr>
        <w:t> </w:t>
      </w:r>
      <w:r>
        <w:rPr/>
        <w:t>年度的合并及母公司利</w:t>
      </w:r>
      <w:r>
        <w:rPr>
          <w:w w:val="100"/>
        </w:rPr>
        <w:t> </w:t>
      </w:r>
      <w:r>
        <w:rPr/>
        <w:t>润表、合并及母公司现金流量表、合并及母公司所有者权益变动表以及财务报表附注。</w:t>
      </w:r>
    </w:p>
    <w:p>
      <w:pPr>
        <w:pStyle w:val="Heading6"/>
        <w:spacing w:line="240" w:lineRule="auto" w:before="197"/>
        <w:ind w:left="1461" w:right="0"/>
        <w:jc w:val="left"/>
        <w:rPr>
          <w:b w:val="0"/>
          <w:bCs w:val="0"/>
        </w:rPr>
      </w:pPr>
      <w:r>
        <w:rPr/>
        <w:t>一、管理层对财务报表的责任</w:t>
      </w:r>
      <w:r>
        <w:rPr>
          <w:b w:val="0"/>
          <w:bCs w:val="0"/>
        </w:rPr>
      </w:r>
    </w:p>
    <w:p>
      <w:pPr>
        <w:spacing w:line="240" w:lineRule="auto" w:before="9"/>
        <w:rPr>
          <w:rFonts w:ascii="宋体" w:hAnsi="宋体" w:cs="宋体" w:eastAsia="宋体" w:hint="default"/>
          <w:b/>
          <w:bCs/>
          <w:sz w:val="25"/>
          <w:szCs w:val="25"/>
        </w:rPr>
      </w:pPr>
    </w:p>
    <w:p>
      <w:pPr>
        <w:pStyle w:val="Heading7"/>
        <w:spacing w:line="391" w:lineRule="auto" w:before="0"/>
        <w:ind w:left="1019" w:right="855" w:firstLine="439"/>
        <w:jc w:val="both"/>
      </w:pPr>
      <w:r>
        <w:rPr>
          <w:spacing w:val="-6"/>
          <w:w w:val="100"/>
        </w:rPr>
        <w:t>编制和公允列报财务报表是长城电脑公司管理层的责任，这种责任包括：（</w:t>
      </w:r>
      <w:r>
        <w:rPr>
          <w:rFonts w:ascii="宋体" w:hAnsi="宋体" w:cs="宋体" w:eastAsia="宋体" w:hint="default"/>
          <w:spacing w:val="-6"/>
          <w:w w:val="100"/>
        </w:rPr>
        <w:t>1</w:t>
      </w:r>
      <w:r>
        <w:rPr>
          <w:spacing w:val="-6"/>
          <w:w w:val="100"/>
        </w:rPr>
        <w:t>）按照企</w:t>
      </w:r>
      <w:r>
        <w:rPr>
          <w:w w:val="100"/>
        </w:rPr>
        <w:t> </w:t>
      </w:r>
      <w:r>
        <w:rPr>
          <w:spacing w:val="-6"/>
          <w:w w:val="100"/>
        </w:rPr>
        <w:t>业会计准则的规定编制财务报表，并使其实现公允反映；（</w:t>
      </w:r>
      <w:r>
        <w:rPr>
          <w:rFonts w:ascii="宋体" w:hAnsi="宋体" w:cs="宋体" w:eastAsia="宋体" w:hint="default"/>
          <w:spacing w:val="-6"/>
          <w:w w:val="100"/>
        </w:rPr>
        <w:t>2</w:t>
      </w:r>
      <w:r>
        <w:rPr>
          <w:spacing w:val="-6"/>
          <w:w w:val="100"/>
        </w:rPr>
        <w:t>）设计、执行和维护必要的内</w:t>
      </w:r>
      <w:r>
        <w:rPr>
          <w:spacing w:val="-93"/>
          <w:w w:val="100"/>
        </w:rPr>
        <w:t> </w:t>
      </w:r>
      <w:r>
        <w:rPr>
          <w:spacing w:val="-93"/>
          <w:w w:val="100"/>
        </w:rPr>
      </w:r>
      <w:r>
        <w:rPr/>
        <w:t>部控制，以使财务报表不存在由于舞弊或错误导致的重大错报。</w:t>
      </w:r>
    </w:p>
    <w:p>
      <w:pPr>
        <w:pStyle w:val="Heading6"/>
        <w:spacing w:line="240" w:lineRule="auto" w:before="197"/>
        <w:ind w:left="1461" w:right="0"/>
        <w:jc w:val="left"/>
        <w:rPr>
          <w:b w:val="0"/>
          <w:bCs w:val="0"/>
        </w:rPr>
      </w:pPr>
      <w:r>
        <w:rPr/>
        <w:t>二、注册会计师的责任</w:t>
      </w:r>
      <w:r>
        <w:rPr>
          <w:b w:val="0"/>
          <w:bCs w:val="0"/>
        </w:rPr>
      </w:r>
    </w:p>
    <w:p>
      <w:pPr>
        <w:spacing w:line="240" w:lineRule="auto" w:before="9"/>
        <w:rPr>
          <w:rFonts w:ascii="宋体" w:hAnsi="宋体" w:cs="宋体" w:eastAsia="宋体" w:hint="default"/>
          <w:b/>
          <w:bCs/>
          <w:sz w:val="25"/>
          <w:szCs w:val="25"/>
        </w:rPr>
      </w:pPr>
    </w:p>
    <w:p>
      <w:pPr>
        <w:pStyle w:val="Heading7"/>
        <w:spacing w:line="391" w:lineRule="auto" w:before="0"/>
        <w:ind w:left="1019" w:right="855" w:firstLine="439"/>
        <w:jc w:val="both"/>
      </w:pPr>
      <w:r>
        <w:rPr>
          <w:spacing w:val="-3"/>
        </w:rPr>
        <w:t>我们的责任是在执行审计工作的基础上对财务报表发表审计意见。我们按照中国注册</w:t>
      </w:r>
      <w:r>
        <w:rPr>
          <w:w w:val="100"/>
        </w:rPr>
        <w:t> </w:t>
      </w:r>
      <w:r>
        <w:rPr>
          <w:spacing w:val="-3"/>
        </w:rPr>
        <w:t>会计师审计准则的规定执行了审计工作。中国注册会计师审计准则要求我们遵守职业道德</w:t>
      </w:r>
      <w:r>
        <w:rPr>
          <w:spacing w:val="-72"/>
        </w:rPr>
        <w:t> </w:t>
      </w:r>
      <w:r>
        <w:rPr>
          <w:spacing w:val="-72"/>
        </w:rPr>
      </w:r>
      <w:r>
        <w:rPr/>
        <w:t>守则，计划和执行审计工作以对财务报表是否不存在重大错报获取合理保证。</w:t>
      </w:r>
    </w:p>
    <w:p>
      <w:pPr>
        <w:pStyle w:val="Heading7"/>
        <w:spacing w:line="391" w:lineRule="auto" w:before="197"/>
        <w:ind w:left="1019" w:right="0" w:firstLine="439"/>
        <w:jc w:val="left"/>
      </w:pPr>
      <w:r>
        <w:rPr>
          <w:spacing w:val="-3"/>
        </w:rPr>
        <w:t>审计工作涉及实施审计程序，以获取有关财务报表金额和披露的审计证据。选择的审</w:t>
      </w:r>
      <w:r>
        <w:rPr>
          <w:w w:val="100"/>
        </w:rPr>
        <w:t> </w:t>
      </w:r>
      <w:r>
        <w:rPr>
          <w:spacing w:val="-3"/>
        </w:rPr>
        <w:t>计程序取决于注册会计师的判断，包括对由于舞弊或错误导致的财务报表重大错报风险的</w:t>
      </w:r>
      <w:r>
        <w:rPr>
          <w:spacing w:val="-73"/>
        </w:rPr>
        <w:t> </w:t>
      </w:r>
      <w:r>
        <w:rPr>
          <w:spacing w:val="-73"/>
        </w:rPr>
      </w:r>
      <w:r>
        <w:rPr>
          <w:spacing w:val="-1"/>
        </w:rPr>
        <w:t>评估。在进行风险评估时，注册会计师考虑与财务报表编制和公允列报相关的内部控制，</w:t>
      </w:r>
      <w:r>
        <w:rPr>
          <w:spacing w:val="-79"/>
        </w:rPr>
        <w:t> </w:t>
      </w:r>
      <w:r>
        <w:rPr>
          <w:spacing w:val="-79"/>
        </w:rPr>
      </w:r>
      <w:r>
        <w:rPr>
          <w:spacing w:val="-3"/>
        </w:rPr>
        <w:t>以设计恰当的审计程序，但目的并非对内部控制的有效性发表意见。审计工作还包括评价</w:t>
      </w:r>
      <w:r>
        <w:rPr>
          <w:spacing w:val="-73"/>
        </w:rPr>
        <w:t> </w:t>
      </w:r>
      <w:r>
        <w:rPr>
          <w:spacing w:val="-73"/>
        </w:rPr>
      </w:r>
      <w:r>
        <w:rPr>
          <w:spacing w:val="-1"/>
        </w:rPr>
        <w:t>管理层选用会计政策的恰当性和作出会计估计的合理性，以及评价财务报表的总体列报。</w:t>
      </w:r>
    </w:p>
    <w:p>
      <w:pPr>
        <w:pStyle w:val="Heading7"/>
        <w:spacing w:line="240" w:lineRule="auto" w:before="197"/>
        <w:ind w:left="1458" w:right="0"/>
        <w:jc w:val="left"/>
      </w:pPr>
      <w:r>
        <w:rPr/>
        <w:t>我们相信，我们获取的审计证据是充分、适当的，为发表审计意见提供了基础。</w:t>
      </w:r>
    </w:p>
    <w:p>
      <w:pPr>
        <w:spacing w:after="0" w:line="240" w:lineRule="auto"/>
        <w:jc w:val="left"/>
        <w:sectPr>
          <w:headerReference w:type="default" r:id="rId19"/>
          <w:footerReference w:type="default" r:id="rId20"/>
          <w:pgSz w:w="11910" w:h="16840"/>
          <w:pgMar w:header="830" w:footer="0" w:top="2240" w:bottom="280" w:left="680" w:right="8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6"/>
        <w:spacing w:line="240" w:lineRule="auto" w:before="32"/>
        <w:ind w:left="1461" w:right="0"/>
        <w:jc w:val="left"/>
        <w:rPr>
          <w:b w:val="0"/>
          <w:bCs w:val="0"/>
        </w:rPr>
      </w:pPr>
      <w:r>
        <w:rPr/>
        <w:t>三、审计意见</w:t>
      </w:r>
      <w:r>
        <w:rPr>
          <w:b w:val="0"/>
          <w:bCs w:val="0"/>
        </w:rPr>
      </w:r>
    </w:p>
    <w:p>
      <w:pPr>
        <w:spacing w:line="240" w:lineRule="auto" w:before="9"/>
        <w:rPr>
          <w:rFonts w:ascii="宋体" w:hAnsi="宋体" w:cs="宋体" w:eastAsia="宋体" w:hint="default"/>
          <w:b/>
          <w:bCs/>
          <w:sz w:val="25"/>
          <w:szCs w:val="25"/>
        </w:rPr>
      </w:pPr>
    </w:p>
    <w:p>
      <w:pPr>
        <w:pStyle w:val="Heading7"/>
        <w:spacing w:line="391" w:lineRule="auto" w:before="0"/>
        <w:ind w:left="1019" w:right="852" w:firstLine="439"/>
        <w:jc w:val="both"/>
      </w:pPr>
      <w:r>
        <w:rPr>
          <w:spacing w:val="-3"/>
        </w:rPr>
        <w:t>我们认为，长城电脑公司财务报表在所有重大方面按照企业会计准则的规定编制，公</w:t>
      </w:r>
      <w:r>
        <w:rPr>
          <w:w w:val="100"/>
        </w:rPr>
        <w:t> </w:t>
      </w:r>
      <w:r>
        <w:rPr/>
        <w:t>允反映了长城电脑公司</w:t>
      </w:r>
      <w:r>
        <w:rPr>
          <w:spacing w:val="-64"/>
        </w:rPr>
        <w:t> </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7"/>
        </w:rPr>
        <w:t> </w:t>
      </w:r>
      <w:r>
        <w:rPr/>
        <w:t>日的合并及母公司财务状况以及</w:t>
      </w:r>
      <w:r>
        <w:rPr>
          <w:spacing w:val="-64"/>
        </w:rPr>
        <w:t> </w:t>
      </w:r>
      <w:r>
        <w:rPr>
          <w:rFonts w:ascii="宋体" w:hAnsi="宋体" w:cs="宋体" w:eastAsia="宋体" w:hint="default"/>
        </w:rPr>
        <w:t>2015</w:t>
      </w:r>
      <w:r>
        <w:rPr>
          <w:rFonts w:ascii="宋体" w:hAnsi="宋体" w:cs="宋体" w:eastAsia="宋体" w:hint="default"/>
          <w:spacing w:val="-64"/>
        </w:rPr>
        <w:t> </w:t>
      </w:r>
      <w:r>
        <w:rPr/>
        <w:t>年度的合并</w:t>
      </w:r>
      <w:r>
        <w:rPr>
          <w:w w:val="100"/>
        </w:rPr>
        <w:t> </w:t>
      </w:r>
      <w:r>
        <w:rPr/>
        <w:t>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1527" w:type="dxa"/>
        <w:tblLayout w:type="fixed"/>
        <w:tblCellMar>
          <w:top w:w="0" w:type="dxa"/>
          <w:left w:w="0" w:type="dxa"/>
          <w:bottom w:w="0" w:type="dxa"/>
          <w:right w:w="0" w:type="dxa"/>
        </w:tblCellMar>
        <w:tblLook w:val="01E0"/>
      </w:tblPr>
      <w:tblGrid>
        <w:gridCol w:w="4307"/>
        <w:gridCol w:w="2793"/>
      </w:tblGrid>
      <w:tr>
        <w:trPr>
          <w:trHeight w:val="594" w:hRule="exact"/>
        </w:trPr>
        <w:tc>
          <w:tcPr>
            <w:tcW w:w="4307"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pacing w:val="-3"/>
                <w:sz w:val="22"/>
                <w:szCs w:val="22"/>
              </w:rPr>
              <w:t>信永中和会计师事务所（特殊普通合伙）</w:t>
            </w:r>
          </w:p>
        </w:tc>
        <w:tc>
          <w:tcPr>
            <w:tcW w:w="2793" w:type="dxa"/>
            <w:tcBorders>
              <w:top w:val="nil" w:sz="6" w:space="0" w:color="auto"/>
              <w:left w:val="nil" w:sz="6" w:space="0" w:color="auto"/>
              <w:bottom w:val="nil" w:sz="6" w:space="0" w:color="auto"/>
              <w:right w:val="nil" w:sz="6" w:space="0" w:color="auto"/>
            </w:tcBorders>
          </w:tcPr>
          <w:p>
            <w:pPr>
              <w:pStyle w:val="TableParagraph"/>
              <w:spacing w:line="221" w:lineRule="exact"/>
              <w:ind w:right="198"/>
              <w:jc w:val="right"/>
              <w:rPr>
                <w:rFonts w:ascii="宋体" w:hAnsi="宋体" w:cs="宋体" w:eastAsia="宋体" w:hint="default"/>
                <w:sz w:val="22"/>
                <w:szCs w:val="22"/>
              </w:rPr>
            </w:pPr>
            <w:r>
              <w:rPr>
                <w:rFonts w:ascii="宋体" w:hAnsi="宋体" w:cs="宋体" w:eastAsia="宋体" w:hint="default"/>
                <w:spacing w:val="-1"/>
                <w:sz w:val="22"/>
                <w:szCs w:val="22"/>
              </w:rPr>
              <w:t>中国注册会计师：谭小青</w:t>
            </w:r>
          </w:p>
        </w:tc>
      </w:tr>
      <w:tr>
        <w:trPr>
          <w:trHeight w:val="952" w:hRule="exact"/>
        </w:trPr>
        <w:tc>
          <w:tcPr>
            <w:tcW w:w="4307" w:type="dxa"/>
            <w:tcBorders>
              <w:top w:val="nil" w:sz="6" w:space="0" w:color="auto"/>
              <w:left w:val="nil" w:sz="6" w:space="0" w:color="auto"/>
              <w:bottom w:val="nil" w:sz="6" w:space="0" w:color="auto"/>
              <w:right w:val="nil" w:sz="6" w:space="0" w:color="auto"/>
            </w:tcBorders>
          </w:tcPr>
          <w:p>
            <w:pP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2200" w:val="left" w:leader="none"/>
              </w:tabs>
              <w:spacing w:line="240" w:lineRule="auto"/>
              <w:ind w:right="198"/>
              <w:jc w:val="right"/>
              <w:rPr>
                <w:rFonts w:ascii="宋体" w:hAnsi="宋体" w:cs="宋体" w:eastAsia="宋体" w:hint="default"/>
                <w:sz w:val="22"/>
                <w:szCs w:val="22"/>
              </w:rPr>
            </w:pPr>
            <w:r>
              <w:rPr>
                <w:rFonts w:ascii="宋体" w:hAnsi="宋体" w:cs="宋体" w:eastAsia="宋体" w:hint="default"/>
                <w:spacing w:val="-1"/>
                <w:sz w:val="22"/>
                <w:szCs w:val="22"/>
              </w:rPr>
              <w:t>中国注册会计师：张</w:t>
              <w:tab/>
            </w:r>
            <w:r>
              <w:rPr>
                <w:rFonts w:ascii="宋体" w:hAnsi="宋体" w:cs="宋体" w:eastAsia="宋体" w:hint="default"/>
                <w:sz w:val="22"/>
                <w:szCs w:val="22"/>
              </w:rPr>
              <w:t>媛</w:t>
            </w:r>
          </w:p>
        </w:tc>
      </w:tr>
      <w:tr>
        <w:trPr>
          <w:trHeight w:val="579" w:hRule="exact"/>
        </w:trPr>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tabs>
                <w:tab w:pos="881" w:val="left" w:leader="none"/>
              </w:tabs>
              <w:spacing w:line="240" w:lineRule="auto"/>
              <w:ind w:right="82"/>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8"/>
              <w:jc w:val="right"/>
              <w:rPr>
                <w:rFonts w:ascii="宋体" w:hAnsi="宋体" w:cs="宋体" w:eastAsia="宋体" w:hint="default"/>
                <w:sz w:val="22"/>
                <w:szCs w:val="22"/>
              </w:rPr>
            </w:pPr>
            <w:r>
              <w:rPr>
                <w:rFonts w:ascii="宋体" w:hAnsi="宋体" w:cs="宋体" w:eastAsia="宋体" w:hint="default"/>
                <w:spacing w:val="-1"/>
                <w:sz w:val="22"/>
                <w:szCs w:val="22"/>
              </w:rPr>
              <w:t>二○一六年四月二十七日</w:t>
            </w:r>
          </w:p>
        </w:tc>
      </w:tr>
    </w:tbl>
    <w:p>
      <w:pPr>
        <w:spacing w:after="0" w:line="240" w:lineRule="auto"/>
        <w:jc w:val="right"/>
        <w:rPr>
          <w:rFonts w:ascii="宋体" w:hAnsi="宋体" w:cs="宋体" w:eastAsia="宋体" w:hint="default"/>
          <w:sz w:val="22"/>
          <w:szCs w:val="22"/>
        </w:rPr>
        <w:sectPr>
          <w:headerReference w:type="default" r:id="rId21"/>
          <w:footerReference w:type="default" r:id="rId22"/>
          <w:pgSz w:w="11910" w:h="16840"/>
          <w:pgMar w:header="830" w:footer="0" w:top="2240" w:bottom="280" w:left="680" w:right="840"/>
        </w:sectPr>
      </w:pPr>
    </w:p>
    <w:p>
      <w:pPr>
        <w:pStyle w:val="Heading4"/>
        <w:spacing w:line="335" w:lineRule="exact" w:before="0"/>
        <w:ind w:right="1"/>
        <w:jc w:val="center"/>
      </w:pPr>
      <w:r>
        <w:rPr/>
        <w:t>合并资产负债表</w:t>
      </w:r>
    </w:p>
    <w:p>
      <w:pPr>
        <w:spacing w:before="49"/>
        <w:ind w:left="0" w:right="0"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6905" w:val="left" w:leader="none"/>
        </w:tabs>
        <w:spacing w:before="60"/>
        <w:ind w:left="0" w:right="1"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8"/>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27"/>
        <w:gridCol w:w="756"/>
        <w:gridCol w:w="1769"/>
        <w:gridCol w:w="1772"/>
      </w:tblGrid>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1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1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货币资金</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3,687,458,528.24</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0"/>
              <w:jc w:val="right"/>
              <w:rPr>
                <w:rFonts w:ascii="宋体" w:hAnsi="宋体" w:cs="宋体" w:eastAsia="宋体" w:hint="default"/>
                <w:sz w:val="20"/>
                <w:szCs w:val="20"/>
              </w:rPr>
            </w:pPr>
            <w:r>
              <w:rPr>
                <w:rFonts w:ascii="宋体"/>
                <w:w w:val="85"/>
                <w:sz w:val="20"/>
              </w:rPr>
              <w:t>3,640,562,092.67</w:t>
            </w:r>
            <w:r>
              <w:rPr>
                <w:rFonts w:ascii="宋体"/>
                <w:sz w:val="20"/>
              </w:rPr>
            </w:r>
          </w:p>
        </w:tc>
      </w:tr>
      <w:tr>
        <w:trPr>
          <w:trHeight w:val="648"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3"/>
              <w:ind w:left="103" w:right="99" w:firstLine="359"/>
              <w:jc w:val="left"/>
              <w:rPr>
                <w:rFonts w:ascii="宋体" w:hAnsi="宋体" w:cs="宋体" w:eastAsia="宋体" w:hint="default"/>
                <w:sz w:val="20"/>
                <w:szCs w:val="20"/>
              </w:rPr>
            </w:pPr>
            <w:r>
              <w:rPr>
                <w:rFonts w:ascii="宋体" w:hAnsi="宋体" w:cs="宋体" w:eastAsia="宋体" w:hint="default"/>
                <w:spacing w:val="6"/>
                <w:w w:val="85"/>
                <w:sz w:val="20"/>
                <w:szCs w:val="20"/>
              </w:rPr>
              <w:t>以公允价值计量且其变动计入当期损益的金融</w:t>
            </w:r>
            <w:r>
              <w:rPr>
                <w:rFonts w:ascii="宋体" w:hAnsi="宋体" w:cs="宋体" w:eastAsia="宋体" w:hint="default"/>
                <w:spacing w:val="6"/>
                <w:w w:val="87"/>
                <w:sz w:val="20"/>
                <w:szCs w:val="20"/>
              </w:rPr>
              <w:t> </w:t>
            </w:r>
            <w:r>
              <w:rPr>
                <w:rFonts w:ascii="宋体" w:hAnsi="宋体" w:cs="宋体" w:eastAsia="宋体" w:hint="default"/>
                <w:spacing w:val="4"/>
                <w:sz w:val="20"/>
                <w:szCs w:val="20"/>
              </w:rPr>
              <w:t>资产</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20"/>
                <w:szCs w:val="20"/>
              </w:rPr>
            </w:pPr>
            <w:r>
              <w:rPr>
                <w:rFonts w:ascii="宋体"/>
                <w:w w:val="85"/>
                <w:sz w:val="20"/>
              </w:rPr>
              <w:t>383,960,074.40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9"/>
              <w:jc w:val="right"/>
              <w:rPr>
                <w:rFonts w:ascii="宋体" w:hAnsi="宋体" w:cs="宋体" w:eastAsia="宋体" w:hint="default"/>
                <w:sz w:val="20"/>
                <w:szCs w:val="20"/>
              </w:rPr>
            </w:pPr>
            <w:r>
              <w:rPr>
                <w:rFonts w:ascii="宋体"/>
                <w:w w:val="85"/>
                <w:sz w:val="20"/>
              </w:rPr>
              <w:t>13,321,063.00</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2"/>
                <w:sz w:val="20"/>
                <w:szCs w:val="20"/>
              </w:rPr>
              <w:t>衍生金融资产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20"/>
                <w:szCs w:val="20"/>
              </w:rPr>
            </w:pPr>
            <w:r>
              <w:rPr>
                <w:rFonts w:ascii="宋体"/>
                <w:w w:val="85"/>
                <w:sz w:val="20"/>
              </w:rPr>
              <w:t>1,106,022,420.00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9"/>
              <w:jc w:val="right"/>
              <w:rPr>
                <w:rFonts w:ascii="宋体" w:hAnsi="宋体" w:cs="宋体" w:eastAsia="宋体" w:hint="default"/>
                <w:sz w:val="20"/>
                <w:szCs w:val="20"/>
              </w:rPr>
            </w:pPr>
            <w:r>
              <w:rPr>
                <w:rFonts w:ascii="宋体"/>
                <w:w w:val="85"/>
                <w:sz w:val="20"/>
              </w:rPr>
              <w:t>545,202,900.00</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应收票据</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3,043,463,763.22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0"/>
              <w:jc w:val="right"/>
              <w:rPr>
                <w:rFonts w:ascii="宋体" w:hAnsi="宋体" w:cs="宋体" w:eastAsia="宋体" w:hint="default"/>
                <w:sz w:val="20"/>
                <w:szCs w:val="20"/>
              </w:rPr>
            </w:pPr>
            <w:r>
              <w:rPr>
                <w:rFonts w:ascii="宋体"/>
                <w:w w:val="85"/>
                <w:sz w:val="20"/>
              </w:rPr>
              <w:t>1,641,537,930.78</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应收账款</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20"/>
                <w:szCs w:val="20"/>
              </w:rPr>
            </w:pPr>
            <w:r>
              <w:rPr>
                <w:rFonts w:ascii="宋体"/>
                <w:w w:val="85"/>
                <w:sz w:val="20"/>
              </w:rPr>
              <w:t>11,310,055,768.85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0"/>
              <w:jc w:val="right"/>
              <w:rPr>
                <w:rFonts w:ascii="宋体" w:hAnsi="宋体" w:cs="宋体" w:eastAsia="宋体" w:hint="default"/>
                <w:sz w:val="20"/>
                <w:szCs w:val="20"/>
              </w:rPr>
            </w:pPr>
            <w:r>
              <w:rPr>
                <w:rFonts w:ascii="宋体"/>
                <w:w w:val="85"/>
                <w:sz w:val="20"/>
              </w:rPr>
              <w:t>12,326,981,442.17</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预付款项</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247,654,836.19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9"/>
              <w:jc w:val="right"/>
              <w:rPr>
                <w:rFonts w:ascii="宋体" w:hAnsi="宋体" w:cs="宋体" w:eastAsia="宋体" w:hint="default"/>
                <w:sz w:val="20"/>
                <w:szCs w:val="20"/>
              </w:rPr>
            </w:pPr>
            <w:r>
              <w:rPr>
                <w:rFonts w:ascii="宋体"/>
                <w:w w:val="85"/>
                <w:sz w:val="20"/>
              </w:rPr>
              <w:t>122,838,907.46</w:t>
            </w:r>
            <w:r>
              <w:rPr>
                <w:rFonts w:ascii="宋体"/>
                <w:sz w:val="20"/>
              </w:rPr>
            </w:r>
          </w:p>
        </w:tc>
      </w:tr>
      <w:tr>
        <w:trPr>
          <w:trHeight w:val="332"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应收利息</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
              <w:jc w:val="right"/>
              <w:rPr>
                <w:rFonts w:ascii="宋体" w:hAnsi="宋体" w:cs="宋体" w:eastAsia="宋体" w:hint="default"/>
                <w:sz w:val="20"/>
                <w:szCs w:val="20"/>
              </w:rPr>
            </w:pPr>
            <w:r>
              <w:rPr>
                <w:rFonts w:ascii="宋体"/>
                <w:w w:val="85"/>
                <w:sz w:val="20"/>
              </w:rPr>
              <w:t>641,303.06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20"/>
                <w:szCs w:val="20"/>
              </w:rPr>
            </w:pPr>
            <w:r>
              <w:rPr>
                <w:rFonts w:ascii="宋体"/>
                <w:w w:val="85"/>
                <w:sz w:val="20"/>
              </w:rPr>
              <w:t>608,031.22</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应收股利</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其他应收款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
              <w:jc w:val="right"/>
              <w:rPr>
                <w:rFonts w:ascii="宋体" w:hAnsi="宋体" w:cs="宋体" w:eastAsia="宋体" w:hint="default"/>
                <w:sz w:val="20"/>
                <w:szCs w:val="20"/>
              </w:rPr>
            </w:pPr>
            <w:r>
              <w:rPr>
                <w:rFonts w:ascii="宋体"/>
                <w:w w:val="85"/>
                <w:sz w:val="20"/>
              </w:rPr>
              <w:t>593,818,085.77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0"/>
              <w:jc w:val="right"/>
              <w:rPr>
                <w:rFonts w:ascii="宋体" w:hAnsi="宋体" w:cs="宋体" w:eastAsia="宋体" w:hint="default"/>
                <w:sz w:val="20"/>
                <w:szCs w:val="20"/>
              </w:rPr>
            </w:pPr>
            <w:r>
              <w:rPr>
                <w:rFonts w:ascii="宋体"/>
                <w:w w:val="85"/>
                <w:sz w:val="20"/>
              </w:rPr>
              <w:t>1,935,536,566.48</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存货</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8,685,989,318.35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0"/>
              <w:jc w:val="right"/>
              <w:rPr>
                <w:rFonts w:ascii="宋体" w:hAnsi="宋体" w:cs="宋体" w:eastAsia="宋体" w:hint="default"/>
                <w:sz w:val="20"/>
                <w:szCs w:val="20"/>
              </w:rPr>
            </w:pPr>
            <w:r>
              <w:rPr>
                <w:rFonts w:ascii="宋体"/>
                <w:w w:val="85"/>
                <w:sz w:val="20"/>
              </w:rPr>
              <w:t>9,228,909,532.11</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3"/>
                <w:sz w:val="20"/>
                <w:szCs w:val="20"/>
              </w:rPr>
              <w:t>划分为持有待售的资产</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一年内到期的非流动资产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sz w:val="20"/>
                <w:szCs w:val="20"/>
              </w:rPr>
              <w:t>六、</w:t>
            </w:r>
            <w:r>
              <w:rPr>
                <w:rFonts w:ascii="宋体" w:hAnsi="宋体" w:cs="宋体" w:eastAsia="宋体" w:hint="default"/>
                <w:spacing w:val="2"/>
                <w:sz w:val="20"/>
                <w:szCs w:val="20"/>
              </w:rPr>
              <w:t>9</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9"/>
              <w:jc w:val="right"/>
              <w:rPr>
                <w:rFonts w:ascii="宋体" w:hAnsi="宋体" w:cs="宋体" w:eastAsia="宋体" w:hint="default"/>
                <w:sz w:val="20"/>
                <w:szCs w:val="20"/>
              </w:rPr>
            </w:pPr>
            <w:r>
              <w:rPr>
                <w:rFonts w:ascii="宋体"/>
                <w:w w:val="85"/>
                <w:sz w:val="20"/>
              </w:rPr>
              <w:t>322,079,684.00</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其他流动资产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10</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20"/>
                <w:szCs w:val="20"/>
              </w:rPr>
            </w:pPr>
            <w:r>
              <w:rPr>
                <w:rFonts w:ascii="宋体"/>
                <w:w w:val="85"/>
                <w:sz w:val="20"/>
              </w:rPr>
              <w:t>1,266,349,845.99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0"/>
              <w:jc w:val="right"/>
              <w:rPr>
                <w:rFonts w:ascii="宋体" w:hAnsi="宋体" w:cs="宋体" w:eastAsia="宋体" w:hint="default"/>
                <w:sz w:val="20"/>
                <w:szCs w:val="20"/>
              </w:rPr>
            </w:pPr>
            <w:r>
              <w:rPr>
                <w:rFonts w:ascii="宋体"/>
                <w:w w:val="85"/>
                <w:sz w:val="20"/>
              </w:rPr>
              <w:t>1,626,715,822.72</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hAnsi="宋体" w:cs="宋体" w:eastAsia="宋体" w:hint="default"/>
                <w:b/>
                <w:bCs/>
                <w:spacing w:val="2"/>
                <w:sz w:val="20"/>
                <w:szCs w:val="20"/>
              </w:rPr>
              <w:t>流动资产合计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30,325,413,944.07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20"/>
                <w:szCs w:val="20"/>
              </w:rPr>
            </w:pPr>
            <w:r>
              <w:rPr>
                <w:rFonts w:ascii="宋体"/>
                <w:b/>
                <w:w w:val="85"/>
                <w:sz w:val="20"/>
              </w:rPr>
              <w:t>31,404,293,972.61</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非流动资产：</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可供出售金融资产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11</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64,250,836.82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9"/>
              <w:jc w:val="right"/>
              <w:rPr>
                <w:rFonts w:ascii="宋体" w:hAnsi="宋体" w:cs="宋体" w:eastAsia="宋体" w:hint="default"/>
                <w:sz w:val="20"/>
                <w:szCs w:val="20"/>
              </w:rPr>
            </w:pPr>
            <w:r>
              <w:rPr>
                <w:rFonts w:ascii="宋体"/>
                <w:w w:val="85"/>
                <w:sz w:val="20"/>
              </w:rPr>
              <w:t>69,820,523.70</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3"/>
                <w:sz w:val="20"/>
                <w:szCs w:val="20"/>
              </w:rPr>
              <w:t>持有至到期投资</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长期应收款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12</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31,682,274.40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9"/>
              <w:jc w:val="right"/>
              <w:rPr>
                <w:rFonts w:ascii="宋体" w:hAnsi="宋体" w:cs="宋体" w:eastAsia="宋体" w:hint="default"/>
                <w:sz w:val="20"/>
                <w:szCs w:val="20"/>
              </w:rPr>
            </w:pPr>
            <w:r>
              <w:rPr>
                <w:rFonts w:ascii="宋体"/>
                <w:w w:val="85"/>
                <w:sz w:val="20"/>
              </w:rPr>
              <w:t>31,237,495.00</w:t>
            </w:r>
            <w:r>
              <w:rPr>
                <w:rFonts w:ascii="宋体"/>
                <w:sz w:val="20"/>
              </w:rPr>
            </w:r>
          </w:p>
        </w:tc>
      </w:tr>
      <w:tr>
        <w:trPr>
          <w:trHeight w:val="332"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长期股权投资</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13</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宋体" w:hAnsi="宋体" w:cs="宋体" w:eastAsia="宋体" w:hint="default"/>
                <w:sz w:val="20"/>
                <w:szCs w:val="20"/>
              </w:rPr>
            </w:pPr>
            <w:r>
              <w:rPr>
                <w:rFonts w:ascii="宋体"/>
                <w:w w:val="85"/>
                <w:sz w:val="20"/>
              </w:rPr>
              <w:t>445,127,561.40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9"/>
              <w:jc w:val="right"/>
              <w:rPr>
                <w:rFonts w:ascii="宋体" w:hAnsi="宋体" w:cs="宋体" w:eastAsia="宋体" w:hint="default"/>
                <w:sz w:val="20"/>
                <w:szCs w:val="20"/>
              </w:rPr>
            </w:pPr>
            <w:r>
              <w:rPr>
                <w:rFonts w:ascii="宋体"/>
                <w:w w:val="85"/>
                <w:sz w:val="20"/>
              </w:rPr>
              <w:t>439,288,253.51</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投资性房地产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14</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1,143,886,809.07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0"/>
              <w:jc w:val="right"/>
              <w:rPr>
                <w:rFonts w:ascii="宋体" w:hAnsi="宋体" w:cs="宋体" w:eastAsia="宋体" w:hint="default"/>
                <w:sz w:val="20"/>
                <w:szCs w:val="20"/>
              </w:rPr>
            </w:pPr>
            <w:r>
              <w:rPr>
                <w:rFonts w:ascii="宋体"/>
                <w:w w:val="85"/>
                <w:sz w:val="20"/>
              </w:rPr>
              <w:t>1,085,041,202.93</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4"/>
                <w:sz w:val="20"/>
                <w:szCs w:val="20"/>
              </w:rPr>
              <w:t>固定资产</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15</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7"/>
              <w:jc w:val="right"/>
              <w:rPr>
                <w:rFonts w:ascii="宋体" w:hAnsi="宋体" w:cs="宋体" w:eastAsia="宋体" w:hint="default"/>
                <w:sz w:val="20"/>
                <w:szCs w:val="20"/>
              </w:rPr>
            </w:pPr>
            <w:r>
              <w:rPr>
                <w:rFonts w:ascii="宋体"/>
                <w:w w:val="85"/>
                <w:sz w:val="20"/>
              </w:rPr>
              <w:t>3,656,476,219.89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0"/>
              <w:jc w:val="right"/>
              <w:rPr>
                <w:rFonts w:ascii="宋体" w:hAnsi="宋体" w:cs="宋体" w:eastAsia="宋体" w:hint="default"/>
                <w:sz w:val="20"/>
                <w:szCs w:val="20"/>
              </w:rPr>
            </w:pPr>
            <w:r>
              <w:rPr>
                <w:rFonts w:ascii="宋体"/>
                <w:w w:val="85"/>
                <w:sz w:val="20"/>
              </w:rPr>
              <w:t>3,576,611,453.85</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在建工程</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16</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809,418,296.08</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9"/>
              <w:jc w:val="right"/>
              <w:rPr>
                <w:rFonts w:ascii="宋体" w:hAnsi="宋体" w:cs="宋体" w:eastAsia="宋体" w:hint="default"/>
                <w:sz w:val="20"/>
                <w:szCs w:val="20"/>
              </w:rPr>
            </w:pPr>
            <w:r>
              <w:rPr>
                <w:rFonts w:ascii="宋体"/>
                <w:w w:val="85"/>
                <w:sz w:val="20"/>
              </w:rPr>
              <w:t>837,385,138.87</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4"/>
                <w:sz w:val="20"/>
                <w:szCs w:val="20"/>
              </w:rPr>
              <w:t>工程物资</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固定资产清理</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4"/>
                <w:sz w:val="20"/>
                <w:szCs w:val="20"/>
              </w:rPr>
              <w:t>无形资产</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17</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
              <w:jc w:val="right"/>
              <w:rPr>
                <w:rFonts w:ascii="宋体" w:hAnsi="宋体" w:cs="宋体" w:eastAsia="宋体" w:hint="default"/>
                <w:sz w:val="20"/>
                <w:szCs w:val="20"/>
              </w:rPr>
            </w:pPr>
            <w:r>
              <w:rPr>
                <w:rFonts w:ascii="宋体"/>
                <w:w w:val="85"/>
                <w:sz w:val="20"/>
              </w:rPr>
              <w:t>925,562,508.12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9"/>
              <w:jc w:val="right"/>
              <w:rPr>
                <w:rFonts w:ascii="宋体" w:hAnsi="宋体" w:cs="宋体" w:eastAsia="宋体" w:hint="default"/>
                <w:sz w:val="20"/>
                <w:szCs w:val="20"/>
              </w:rPr>
            </w:pPr>
            <w:r>
              <w:rPr>
                <w:rFonts w:ascii="宋体"/>
                <w:w w:val="85"/>
                <w:sz w:val="20"/>
              </w:rPr>
              <w:t>970,056,770.29</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开发支出</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4"/>
                <w:sz w:val="20"/>
                <w:szCs w:val="20"/>
              </w:rPr>
              <w:t>商誉</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
              <w:jc w:val="right"/>
              <w:rPr>
                <w:rFonts w:ascii="宋体" w:hAnsi="宋体" w:cs="宋体" w:eastAsia="宋体" w:hint="default"/>
                <w:sz w:val="20"/>
                <w:szCs w:val="20"/>
              </w:rPr>
            </w:pPr>
            <w:r>
              <w:rPr>
                <w:rFonts w:ascii="宋体"/>
                <w:w w:val="85"/>
                <w:sz w:val="20"/>
              </w:rPr>
              <w:t>54,826,807.67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9"/>
              <w:jc w:val="right"/>
              <w:rPr>
                <w:rFonts w:ascii="宋体" w:hAnsi="宋体" w:cs="宋体" w:eastAsia="宋体" w:hint="default"/>
                <w:sz w:val="20"/>
                <w:szCs w:val="20"/>
              </w:rPr>
            </w:pPr>
            <w:r>
              <w:rPr>
                <w:rFonts w:ascii="宋体"/>
                <w:w w:val="85"/>
                <w:sz w:val="20"/>
              </w:rPr>
              <w:t>51,647,985.77</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长期待摊费用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19</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370,122,514.13</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9"/>
              <w:jc w:val="right"/>
              <w:rPr>
                <w:rFonts w:ascii="宋体" w:hAnsi="宋体" w:cs="宋体" w:eastAsia="宋体" w:hint="default"/>
                <w:sz w:val="20"/>
                <w:szCs w:val="20"/>
              </w:rPr>
            </w:pPr>
            <w:r>
              <w:rPr>
                <w:rFonts w:ascii="宋体"/>
                <w:w w:val="85"/>
                <w:sz w:val="20"/>
              </w:rPr>
              <w:t>388,391,458.55</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3"/>
                <w:sz w:val="20"/>
                <w:szCs w:val="20"/>
              </w:rPr>
              <w:t>递延所得税资产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20</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6"/>
              <w:jc w:val="right"/>
              <w:rPr>
                <w:rFonts w:ascii="宋体" w:hAnsi="宋体" w:cs="宋体" w:eastAsia="宋体" w:hint="default"/>
                <w:sz w:val="20"/>
                <w:szCs w:val="20"/>
              </w:rPr>
            </w:pPr>
            <w:r>
              <w:rPr>
                <w:rFonts w:ascii="宋体"/>
                <w:w w:val="85"/>
                <w:sz w:val="20"/>
              </w:rPr>
              <w:t>578,418,323.11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9"/>
              <w:jc w:val="right"/>
              <w:rPr>
                <w:rFonts w:ascii="宋体" w:hAnsi="宋体" w:cs="宋体" w:eastAsia="宋体" w:hint="default"/>
                <w:sz w:val="20"/>
                <w:szCs w:val="20"/>
              </w:rPr>
            </w:pPr>
            <w:r>
              <w:rPr>
                <w:rFonts w:ascii="宋体"/>
                <w:w w:val="85"/>
                <w:sz w:val="20"/>
              </w:rPr>
              <w:t>584,935,319.65</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63" w:right="0"/>
              <w:jc w:val="left"/>
              <w:rPr>
                <w:rFonts w:ascii="宋体" w:hAnsi="宋体" w:cs="宋体" w:eastAsia="宋体" w:hint="default"/>
                <w:sz w:val="20"/>
                <w:szCs w:val="20"/>
              </w:rPr>
            </w:pPr>
            <w:r>
              <w:rPr>
                <w:rFonts w:ascii="宋体" w:hAnsi="宋体" w:cs="宋体" w:eastAsia="宋体" w:hint="default"/>
                <w:spacing w:val="3"/>
                <w:sz w:val="20"/>
                <w:szCs w:val="20"/>
              </w:rPr>
              <w:t>其他非流动资产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21</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7"/>
              <w:jc w:val="right"/>
              <w:rPr>
                <w:rFonts w:ascii="宋体" w:hAnsi="宋体" w:cs="宋体" w:eastAsia="宋体" w:hint="default"/>
                <w:sz w:val="20"/>
                <w:szCs w:val="20"/>
              </w:rPr>
            </w:pPr>
            <w:r>
              <w:rPr>
                <w:rFonts w:ascii="宋体"/>
                <w:w w:val="85"/>
                <w:sz w:val="20"/>
              </w:rPr>
              <w:t>1,050,881,133.64</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0"/>
              <w:jc w:val="right"/>
              <w:rPr>
                <w:rFonts w:ascii="宋体" w:hAnsi="宋体" w:cs="宋体" w:eastAsia="宋体" w:hint="default"/>
                <w:sz w:val="20"/>
                <w:szCs w:val="20"/>
              </w:rPr>
            </w:pPr>
            <w:r>
              <w:rPr>
                <w:rFonts w:ascii="宋体"/>
                <w:w w:val="85"/>
                <w:sz w:val="20"/>
              </w:rPr>
              <w:t>1,113,012,592.49</w:t>
            </w:r>
            <w:r>
              <w:rPr>
                <w:rFonts w:ascii="宋体"/>
                <w:sz w:val="20"/>
              </w:rPr>
            </w:r>
          </w:p>
        </w:tc>
      </w:tr>
      <w:tr>
        <w:trPr>
          <w:trHeight w:val="331"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宋体" w:hAnsi="宋体" w:cs="宋体" w:eastAsia="宋体" w:hint="default"/>
                <w:sz w:val="20"/>
                <w:szCs w:val="20"/>
              </w:rPr>
            </w:pPr>
            <w:r>
              <w:rPr>
                <w:rFonts w:ascii="宋体"/>
                <w:b/>
                <w:w w:val="85"/>
                <w:sz w:val="20"/>
              </w:rPr>
              <w:t>9,130,653,284.33</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
              <w:jc w:val="right"/>
              <w:rPr>
                <w:rFonts w:ascii="宋体" w:hAnsi="宋体" w:cs="宋体" w:eastAsia="宋体" w:hint="default"/>
                <w:sz w:val="20"/>
                <w:szCs w:val="20"/>
              </w:rPr>
            </w:pPr>
            <w:r>
              <w:rPr>
                <w:rFonts w:ascii="宋体"/>
                <w:b/>
                <w:w w:val="85"/>
                <w:sz w:val="20"/>
              </w:rPr>
              <w:t>9,147,428,194.61</w:t>
            </w:r>
            <w:r>
              <w:rPr>
                <w:rFonts w:ascii="宋体"/>
                <w:sz w:val="20"/>
              </w:rPr>
            </w:r>
          </w:p>
        </w:tc>
      </w:tr>
      <w:tr>
        <w:trPr>
          <w:trHeight w:val="32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39,456,067,228.40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8"/>
              <w:jc w:val="right"/>
              <w:rPr>
                <w:rFonts w:ascii="宋体" w:hAnsi="宋体" w:cs="宋体" w:eastAsia="宋体" w:hint="default"/>
                <w:sz w:val="20"/>
                <w:szCs w:val="20"/>
              </w:rPr>
            </w:pPr>
            <w:r>
              <w:rPr>
                <w:rFonts w:ascii="宋体"/>
                <w:b/>
                <w:w w:val="85"/>
                <w:sz w:val="20"/>
              </w:rPr>
              <w:t>40,551,722,167.22</w:t>
            </w:r>
            <w:r>
              <w:rPr>
                <w:rFonts w:ascii="宋体"/>
                <w:sz w:val="20"/>
              </w:rPr>
            </w:r>
          </w:p>
        </w:tc>
      </w:tr>
    </w:tbl>
    <w:p>
      <w:pPr>
        <w:spacing w:line="240" w:lineRule="auto" w:before="2"/>
        <w:rPr>
          <w:rFonts w:ascii="宋体" w:hAnsi="宋体" w:cs="宋体" w:eastAsia="宋体" w:hint="default"/>
          <w:sz w:val="25"/>
          <w:szCs w:val="25"/>
        </w:rPr>
      </w:pPr>
    </w:p>
    <w:p>
      <w:pPr>
        <w:tabs>
          <w:tab w:pos="2791" w:val="left" w:leader="none"/>
          <w:tab w:pos="6360" w:val="left" w:leader="none"/>
        </w:tabs>
        <w:spacing w:before="37"/>
        <w:ind w:left="220" w:right="0" w:firstLine="0"/>
        <w:jc w:val="left"/>
        <w:rPr>
          <w:rFonts w:ascii="宋体" w:hAnsi="宋体" w:cs="宋体" w:eastAsia="宋体" w:hint="default"/>
          <w:sz w:val="20"/>
          <w:szCs w:val="20"/>
        </w:rPr>
      </w:pPr>
      <w:r>
        <w:rPr>
          <w:rFonts w:ascii="宋体" w:hAnsi="宋体" w:cs="宋体" w:eastAsia="宋体" w:hint="default"/>
          <w:spacing w:val="-4"/>
          <w:w w:val="95"/>
          <w:sz w:val="20"/>
          <w:szCs w:val="20"/>
        </w:rPr>
        <w:t>法定代表人：杨军</w:t>
        <w:tab/>
      </w:r>
      <w:r>
        <w:rPr>
          <w:rFonts w:ascii="宋体" w:hAnsi="宋体" w:cs="宋体" w:eastAsia="宋体" w:hint="default"/>
          <w:spacing w:val="-2"/>
          <w:w w:val="95"/>
          <w:sz w:val="20"/>
          <w:szCs w:val="20"/>
        </w:rPr>
        <w:t>主管会计工作负责人：彭海朝</w:t>
        <w:tab/>
      </w:r>
      <w:r>
        <w:rPr>
          <w:rFonts w:ascii="宋体" w:hAnsi="宋体" w:cs="宋体" w:eastAsia="宋体" w:hint="default"/>
          <w:spacing w:val="-3"/>
          <w:sz w:val="20"/>
          <w:szCs w:val="20"/>
        </w:rPr>
        <w:t>会计机构负责人：宋艳艳</w:t>
      </w:r>
    </w:p>
    <w:p>
      <w:pPr>
        <w:spacing w:after="0"/>
        <w:jc w:val="left"/>
        <w:rPr>
          <w:rFonts w:ascii="宋体" w:hAnsi="宋体" w:cs="宋体" w:eastAsia="宋体" w:hint="default"/>
          <w:sz w:val="20"/>
          <w:szCs w:val="20"/>
        </w:rPr>
        <w:sectPr>
          <w:headerReference w:type="default" r:id="rId23"/>
          <w:footerReference w:type="default" r:id="rId24"/>
          <w:pgSz w:w="11910" w:h="16840"/>
          <w:pgMar w:header="0" w:footer="980" w:top="1380" w:bottom="1160" w:left="1580" w:right="1580"/>
          <w:pgNumType w:start="1"/>
        </w:sectPr>
      </w:pPr>
    </w:p>
    <w:p>
      <w:pPr>
        <w:pStyle w:val="Heading4"/>
        <w:spacing w:line="240" w:lineRule="auto"/>
        <w:ind w:left="3" w:right="1"/>
        <w:jc w:val="center"/>
      </w:pPr>
      <w:r>
        <w:rPr/>
        <w:t>合并资产负债表（续）</w:t>
      </w:r>
    </w:p>
    <w:p>
      <w:pPr>
        <w:spacing w:before="6"/>
        <w:ind w:left="1" w:right="1"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7208" w:val="left" w:leader="none"/>
        </w:tabs>
        <w:spacing w:before="0"/>
        <w:ind w:left="0" w:right="1"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529"/>
        <w:gridCol w:w="756"/>
        <w:gridCol w:w="1769"/>
        <w:gridCol w:w="1772"/>
      </w:tblGrid>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短期借款</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22</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1,632,605,222.02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1,350,018,519.05</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w w:val="85"/>
                <w:sz w:val="20"/>
                <w:szCs w:val="20"/>
              </w:rPr>
              <w:t>以公允价值计量且其变动计入当期损益的金融负债</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305,950.00</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衍生金融负债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23</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834,895,139.20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325,867,345.00</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应付票据</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24</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1,081,947,774.66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1,059,450,314.64</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应付账款</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25</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14,074,331,510.25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15,084,250,916.36</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预收款项</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26</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89,630,297.46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177,127,449.36</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应付职工薪酬</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27</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749,377,567.95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783,892,025.63</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应交税费</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513,601,490.35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757,877,160.37</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应付利息</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29</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17,118,969.42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29,115,516.56</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应付股利</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582,219.40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20,589.51</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其他应付款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30</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5,830,046,253.42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7,260,944,876.30</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划分为持有待售的负债</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一年内到期的非流动负债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31</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573,013,581.05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1,309,655,008.00</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其他流动负债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32</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1,178,051,190.73</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869,845,618.97</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pacing w:val="2"/>
                <w:sz w:val="20"/>
                <w:szCs w:val="20"/>
              </w:rPr>
              <w:t>流动负债合计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26,575,201,215.91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29,008,371,289.75</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非流动负债：</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长期借款</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33</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2,965,203,581.60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1,225,578,467.00</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应付债券</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34</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499,480,933.85</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其中：优先股</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5" w:right="0"/>
              <w:jc w:val="left"/>
              <w:rPr>
                <w:rFonts w:ascii="宋体" w:hAnsi="宋体" w:cs="宋体" w:eastAsia="宋体" w:hint="default"/>
                <w:sz w:val="20"/>
                <w:szCs w:val="20"/>
              </w:rPr>
            </w:pPr>
            <w:r>
              <w:rPr>
                <w:rFonts w:ascii="宋体" w:hAnsi="宋体" w:cs="宋体" w:eastAsia="宋体" w:hint="default"/>
                <w:spacing w:val="4"/>
                <w:sz w:val="20"/>
                <w:szCs w:val="20"/>
              </w:rPr>
              <w:t>永续债</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长期应付款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35</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306,738,183.20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494,372,367.00</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长期应付职工薪酬</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36</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139,868,293.06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139,414,734.66</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专项应付款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37</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165,000,000.00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165,000,000.00</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预计负债</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9,297,954.61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55,892,449.47</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递延收益</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39</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63,540,587.98</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62,696,163.45</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递延所得税负债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20</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220,160,101.03</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158,163,684.35</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其他非流动负债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40</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307,907,031.20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273,672,275.00</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4,177,715,732.68</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3,074,271,074.78</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30,752,916,948.59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32,082,642,364.53</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所有者权益：</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股本</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41</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1,323,593,886.00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1,323,593,886.00</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其他权益工具</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其中：优先股</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5" w:right="0"/>
              <w:jc w:val="left"/>
              <w:rPr>
                <w:rFonts w:ascii="宋体" w:hAnsi="宋体" w:cs="宋体" w:eastAsia="宋体" w:hint="default"/>
                <w:sz w:val="20"/>
                <w:szCs w:val="20"/>
              </w:rPr>
            </w:pPr>
            <w:r>
              <w:rPr>
                <w:rFonts w:ascii="宋体" w:hAnsi="宋体" w:cs="宋体" w:eastAsia="宋体" w:hint="default"/>
                <w:spacing w:val="4"/>
                <w:sz w:val="20"/>
                <w:szCs w:val="20"/>
              </w:rPr>
              <w:t>永续债</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资本公积</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42</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694,357,737.79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688,811,482.82</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减：库存股</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其他综合收益</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43</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-356,738,177.00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-436,125,850.14</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专项储备</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盈余公积</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44</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346,966,035.74</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346,239,878.16</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一般风险准备</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未分配利润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45</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582,177,334.66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618,570,201.63</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66"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2,590,356,817.19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2,541,089,598.47</w:t>
            </w:r>
            <w:r>
              <w:rPr>
                <w:rFonts w:ascii="宋体"/>
                <w:sz w:val="20"/>
              </w:rPr>
            </w:r>
          </w:p>
        </w:tc>
      </w:tr>
      <w:tr>
        <w:trPr>
          <w:trHeight w:val="26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少数股东权益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6,112,793,462.62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5,927,990,204.22</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pacing w:val="2"/>
                <w:sz w:val="20"/>
                <w:szCs w:val="20"/>
              </w:rPr>
              <w:t>股东权益合计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8,703,150,279.81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8,469,079,802.69</w:t>
            </w:r>
            <w:r>
              <w:rPr>
                <w:rFonts w:ascii="宋体"/>
                <w:sz w:val="20"/>
              </w:rPr>
            </w:r>
          </w:p>
        </w:tc>
      </w:tr>
      <w:tr>
        <w:trPr>
          <w:trHeight w:val="25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9"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39,456,067,228.40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40,551,722,167.22</w:t>
            </w:r>
            <w:r>
              <w:rPr>
                <w:rFonts w:ascii="宋体"/>
                <w:sz w:val="20"/>
              </w:rPr>
            </w:r>
          </w:p>
        </w:tc>
      </w:tr>
    </w:tbl>
    <w:p>
      <w:pPr>
        <w:tabs>
          <w:tab w:pos="2934" w:val="left" w:leader="none"/>
          <w:tab w:pos="6534" w:val="left" w:leader="none"/>
        </w:tabs>
        <w:spacing w:before="45"/>
        <w:ind w:left="332"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25"/>
          <w:footerReference w:type="default" r:id="rId26"/>
          <w:pgSz w:w="11910" w:h="16840"/>
          <w:pgMar w:header="0" w:footer="980" w:top="1580" w:bottom="1160" w:left="1420" w:right="1420"/>
          <w:pgNumType w:start="2"/>
        </w:sectPr>
      </w:pPr>
    </w:p>
    <w:p>
      <w:pPr>
        <w:pStyle w:val="Heading4"/>
        <w:spacing w:line="240" w:lineRule="auto" w:before="107"/>
        <w:ind w:right="23"/>
        <w:jc w:val="center"/>
      </w:pPr>
      <w:r>
        <w:rPr/>
        <w:t>母公司资产负债表</w:t>
      </w:r>
    </w:p>
    <w:p>
      <w:pPr>
        <w:spacing w:before="49"/>
        <w:ind w:left="0" w:right="18"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7119" w:val="left" w:leader="none"/>
        </w:tabs>
        <w:spacing w:before="60"/>
        <w:ind w:left="0" w:right="18"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8"/>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29"/>
        <w:gridCol w:w="845"/>
        <w:gridCol w:w="1680"/>
        <w:gridCol w:w="1681"/>
      </w:tblGrid>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7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70"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货币资金</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318,689,877.21</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326,470,232.05</w:t>
            </w:r>
            <w:r>
              <w:rPr>
                <w:rFonts w:ascii="宋体"/>
                <w:sz w:val="20"/>
              </w:rPr>
            </w:r>
          </w:p>
        </w:tc>
      </w:tr>
      <w:tr>
        <w:trPr>
          <w:trHeight w:val="65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20"/>
                <w:szCs w:val="20"/>
              </w:rPr>
            </w:pPr>
            <w:r>
              <w:rPr>
                <w:rFonts w:ascii="宋体" w:hAnsi="宋体" w:cs="宋体" w:eastAsia="宋体" w:hint="default"/>
                <w:spacing w:val="12"/>
                <w:w w:val="85"/>
                <w:sz w:val="20"/>
                <w:szCs w:val="20"/>
              </w:rPr>
              <w:t>以公允价值计量且其变动计入当期损益的金融资</w:t>
            </w:r>
            <w:r>
              <w:rPr>
                <w:rFonts w:ascii="宋体" w:hAnsi="宋体" w:cs="宋体" w:eastAsia="宋体" w:hint="default"/>
                <w:spacing w:val="12"/>
                <w:sz w:val="20"/>
                <w:szCs w:val="20"/>
              </w:rPr>
            </w:r>
          </w:p>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w w:val="87"/>
                <w:sz w:val="20"/>
                <w:szCs w:val="20"/>
              </w:rPr>
              <w:t>产</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衍生金融资产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应收票据</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134,357,509.78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51,495,864.76</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应收账款</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w w:val="95"/>
                <w:sz w:val="20"/>
                <w:szCs w:val="20"/>
              </w:rPr>
              <w:t>十七、</w:t>
            </w:r>
            <w:r>
              <w:rPr>
                <w:rFonts w:ascii="宋体" w:hAnsi="宋体" w:cs="宋体" w:eastAsia="宋体" w:hint="default"/>
                <w:spacing w:val="2"/>
                <w:w w:val="95"/>
                <w:sz w:val="20"/>
                <w:szCs w:val="20"/>
              </w:rPr>
              <w:t>1</w:t>
            </w:r>
            <w:r>
              <w:rPr>
                <w:rFonts w:ascii="宋体" w:hAnsi="宋体" w:cs="宋体" w:eastAsia="宋体" w:hint="default"/>
                <w:spacing w:val="2"/>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282,915,559.35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349,228,218.94</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预付款项</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115,221,401.86</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77,458,860.66</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应收利息</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应收股利</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其他应收款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w w:val="95"/>
                <w:sz w:val="20"/>
                <w:szCs w:val="20"/>
              </w:rPr>
              <w:t>十七、</w:t>
            </w:r>
            <w:r>
              <w:rPr>
                <w:rFonts w:ascii="宋体" w:hAnsi="宋体" w:cs="宋体" w:eastAsia="宋体" w:hint="default"/>
                <w:spacing w:val="2"/>
                <w:w w:val="95"/>
                <w:sz w:val="20"/>
                <w:szCs w:val="20"/>
              </w:rPr>
              <w:t>2</w:t>
            </w:r>
            <w:r>
              <w:rPr>
                <w:rFonts w:ascii="宋体" w:hAnsi="宋体" w:cs="宋体" w:eastAsia="宋体" w:hint="default"/>
                <w:spacing w:val="2"/>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101,004,344.07</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63,225,754.18</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存货</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140,821,932.82</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152,187,909.98</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划分为持有待售的资产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一年内到期的非流动资产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其他流动资产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9,653,374.43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1,206,509.85</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hAnsi="宋体" w:cs="宋体" w:eastAsia="宋体" w:hint="default"/>
                <w:b/>
                <w:bCs/>
                <w:spacing w:val="2"/>
                <w:sz w:val="20"/>
                <w:szCs w:val="20"/>
              </w:rPr>
              <w:t>流动资产合计</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1,102,663,999.52</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1,021,273,350.42</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非流动资产：</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可供出售金融资产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5,000,000.00</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5,000,000.00</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持有至到期投资</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长期应收款</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长期股权投资</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pacing w:val="2"/>
                <w:w w:val="95"/>
                <w:sz w:val="20"/>
                <w:szCs w:val="20"/>
              </w:rPr>
              <w:t>十七、</w:t>
            </w:r>
            <w:r>
              <w:rPr>
                <w:rFonts w:ascii="宋体" w:hAnsi="宋体" w:cs="宋体" w:eastAsia="宋体" w:hint="default"/>
                <w:spacing w:val="2"/>
                <w:w w:val="95"/>
                <w:sz w:val="20"/>
                <w:szCs w:val="20"/>
              </w:rPr>
              <w:t>3</w:t>
            </w:r>
            <w:r>
              <w:rPr>
                <w:rFonts w:ascii="宋体" w:hAnsi="宋体" w:cs="宋体" w:eastAsia="宋体" w:hint="default"/>
                <w:spacing w:val="2"/>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1,912,693,678.64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2,436,927,416.39</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投资性房地产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360,320,592.38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374,299,880.85</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固定资产</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384,904,842.35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330,703,593.46</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在建工程</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724,315,677.98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679,713,467.47</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工程物资</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固定资产清理</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生产性生物资产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油气资产</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无形资产</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106,018,027.33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112,277,943.09</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开发支出</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4"/>
                <w:sz w:val="20"/>
                <w:szCs w:val="20"/>
              </w:rPr>
              <w:t>商誉</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长期待摊费用</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3,568,073.15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1,579,848.50</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递延所得税资产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31,165,916.24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29,426,163.55</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20"/>
                <w:szCs w:val="20"/>
              </w:rPr>
            </w:pPr>
            <w:r>
              <w:rPr>
                <w:rFonts w:ascii="宋体" w:hAnsi="宋体" w:cs="宋体" w:eastAsia="宋体" w:hint="default"/>
                <w:spacing w:val="3"/>
                <w:sz w:val="20"/>
                <w:szCs w:val="20"/>
              </w:rPr>
              <w:t>其他非流动资产</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right"/>
              <w:rPr>
                <w:rFonts w:ascii="宋体" w:hAnsi="宋体" w:cs="宋体" w:eastAsia="宋体" w:hint="default"/>
                <w:sz w:val="20"/>
                <w:szCs w:val="20"/>
              </w:rPr>
            </w:pPr>
            <w:r>
              <w:rPr>
                <w:rFonts w:ascii="宋体"/>
                <w:w w:val="85"/>
                <w:sz w:val="20"/>
              </w:rPr>
              <w:t>35,347,029.64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7"/>
              <w:jc w:val="right"/>
              <w:rPr>
                <w:rFonts w:ascii="宋体" w:hAnsi="宋体" w:cs="宋体" w:eastAsia="宋体" w:hint="default"/>
                <w:sz w:val="20"/>
                <w:szCs w:val="20"/>
              </w:rPr>
            </w:pPr>
            <w:r>
              <w:rPr>
                <w:rFonts w:ascii="宋体"/>
                <w:w w:val="85"/>
                <w:sz w:val="20"/>
              </w:rPr>
              <w:t>39,714,053.51</w:t>
            </w:r>
            <w:r>
              <w:rPr>
                <w:rFonts w:ascii="宋体"/>
                <w:sz w:val="20"/>
              </w:rPr>
            </w:r>
          </w:p>
        </w:tc>
      </w:tr>
      <w:tr>
        <w:trPr>
          <w:trHeight w:val="33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3,563,333,837.71</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4,009,642,366.82</w:t>
            </w:r>
            <w:r>
              <w:rPr>
                <w:rFonts w:ascii="宋体"/>
                <w:sz w:val="20"/>
              </w:rPr>
            </w:r>
          </w:p>
        </w:tc>
      </w:tr>
      <w:tr>
        <w:trPr>
          <w:trHeight w:val="32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4,665,997,837.23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宋体" w:hAnsi="宋体" w:cs="宋体" w:eastAsia="宋体" w:hint="default"/>
                <w:sz w:val="20"/>
                <w:szCs w:val="20"/>
              </w:rPr>
            </w:pPr>
            <w:r>
              <w:rPr>
                <w:rFonts w:ascii="宋体"/>
                <w:b/>
                <w:w w:val="85"/>
                <w:sz w:val="20"/>
              </w:rPr>
              <w:t>5,030,915,717.24</w:t>
            </w:r>
            <w:r>
              <w:rPr>
                <w:rFonts w:ascii="宋体"/>
                <w:sz w:val="20"/>
              </w:rPr>
            </w:r>
          </w:p>
        </w:tc>
      </w:tr>
    </w:tbl>
    <w:p>
      <w:pPr>
        <w:tabs>
          <w:tab w:pos="2874" w:val="left" w:leader="none"/>
          <w:tab w:pos="6474" w:val="left" w:leader="none"/>
        </w:tabs>
        <w:spacing w:before="45"/>
        <w:ind w:left="272" w:right="35"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27"/>
          <w:footerReference w:type="default" r:id="rId28"/>
          <w:pgSz w:w="11910" w:h="16840"/>
          <w:pgMar w:header="0" w:footer="980" w:top="1580" w:bottom="1160" w:left="1480" w:right="1460"/>
          <w:pgNumType w:start="3"/>
        </w:sectPr>
      </w:pPr>
    </w:p>
    <w:p>
      <w:pPr>
        <w:spacing w:line="240" w:lineRule="auto" w:before="0"/>
        <w:rPr>
          <w:rFonts w:ascii="宋体" w:hAnsi="宋体" w:cs="宋体" w:eastAsia="宋体" w:hint="default"/>
          <w:sz w:val="20"/>
          <w:szCs w:val="20"/>
        </w:rPr>
      </w:pPr>
    </w:p>
    <w:p>
      <w:pPr>
        <w:pStyle w:val="Heading4"/>
        <w:spacing w:line="240" w:lineRule="auto" w:before="162"/>
        <w:ind w:right="21"/>
        <w:jc w:val="center"/>
      </w:pPr>
      <w:r>
        <w:rPr/>
        <w:t>母公司资产负债表（续）</w:t>
      </w:r>
    </w:p>
    <w:p>
      <w:pPr>
        <w:spacing w:before="6"/>
        <w:ind w:left="0" w:right="18"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p>
      <w:pPr>
        <w:tabs>
          <w:tab w:pos="7035" w:val="left" w:leader="none"/>
        </w:tabs>
        <w:spacing w:before="0"/>
        <w:ind w:left="0" w:right="21"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3"/>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29"/>
        <w:gridCol w:w="584"/>
        <w:gridCol w:w="1769"/>
        <w:gridCol w:w="1772"/>
      </w:tblGrid>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短期借款</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400,000,000.00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150,000,000.00</w:t>
            </w:r>
            <w:r>
              <w:rPr>
                <w:rFonts w:ascii="宋体"/>
                <w:sz w:val="20"/>
              </w:rPr>
            </w: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20"/>
                <w:szCs w:val="20"/>
              </w:rPr>
            </w:pPr>
            <w:r>
              <w:rPr>
                <w:rFonts w:ascii="宋体" w:hAnsi="宋体" w:cs="宋体" w:eastAsia="宋体" w:hint="default"/>
                <w:spacing w:val="3"/>
                <w:w w:val="85"/>
                <w:sz w:val="20"/>
                <w:szCs w:val="20"/>
              </w:rPr>
              <w:t>以公允价值计量且其变动计入当期损益的金融负债</w:t>
            </w:r>
            <w:r>
              <w:rPr>
                <w:rFonts w:ascii="宋体" w:hAnsi="宋体" w:cs="宋体" w:eastAsia="宋体" w:hint="default"/>
                <w:spacing w:val="3"/>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衍生金融负债</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应付票据</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156,693,983.45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111,443,320.70</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应付账款</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397,173,303.20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391,364,338.31</w:t>
            </w:r>
            <w:r>
              <w:rPr>
                <w:rFonts w:ascii="宋体"/>
                <w:sz w:val="20"/>
              </w:rPr>
            </w: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预收款项</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28,843,411.27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20,271,783.04</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应付职工薪酬</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47,054,526.14</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36,860,042.85</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应交税费</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19,896,765.52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7,839,202.44</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应付利息</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13,555,000.00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14,164,990.00</w:t>
            </w:r>
            <w:r>
              <w:rPr>
                <w:rFonts w:ascii="宋体"/>
                <w:sz w:val="20"/>
              </w:rPr>
            </w: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应付股利</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87"/>
                <w:sz w:val="20"/>
              </w:rPr>
              <w:t>-</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其他应付款</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77,441,165.25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66,248,954.12</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划分为持有待售的负债</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87"/>
                <w:sz w:val="20"/>
              </w:rPr>
              <w:t>-</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一年内到期的非流动负债</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573,013,581.05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350,000,000.00</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其他流动负债</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157,466,263.71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131,642,377.76</w:t>
            </w:r>
            <w:r>
              <w:rPr>
                <w:rFonts w:ascii="宋体"/>
                <w:sz w:val="20"/>
              </w:rPr>
            </w: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20"/>
                <w:szCs w:val="20"/>
              </w:rPr>
            </w:pPr>
            <w:r>
              <w:rPr>
                <w:rFonts w:ascii="宋体" w:hAnsi="宋体" w:cs="宋体" w:eastAsia="宋体" w:hint="default"/>
                <w:b/>
                <w:bCs/>
                <w:spacing w:val="2"/>
                <w:sz w:val="20"/>
                <w:szCs w:val="20"/>
              </w:rPr>
              <w:t>流动负债合计</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7"/>
              <w:jc w:val="right"/>
              <w:rPr>
                <w:rFonts w:ascii="宋体" w:hAnsi="宋体" w:cs="宋体" w:eastAsia="宋体" w:hint="default"/>
                <w:sz w:val="20"/>
                <w:szCs w:val="20"/>
              </w:rPr>
            </w:pPr>
            <w:r>
              <w:rPr>
                <w:rFonts w:ascii="宋体"/>
                <w:b/>
                <w:w w:val="85"/>
                <w:sz w:val="20"/>
              </w:rPr>
              <w:t>1,871,137,999.59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8"/>
              <w:jc w:val="right"/>
              <w:rPr>
                <w:rFonts w:ascii="宋体" w:hAnsi="宋体" w:cs="宋体" w:eastAsia="宋体" w:hint="default"/>
                <w:sz w:val="20"/>
                <w:szCs w:val="20"/>
              </w:rPr>
            </w:pPr>
            <w:r>
              <w:rPr>
                <w:rFonts w:ascii="宋体"/>
                <w:b/>
                <w:w w:val="85"/>
                <w:sz w:val="20"/>
              </w:rPr>
              <w:t>1,279,835,009.22</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非流动负债：</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长期借款</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101,000,000.00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75,500,000.00</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应付债券</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499,480,933.85</w:t>
            </w:r>
            <w:r>
              <w:rPr>
                <w:rFonts w:ascii="宋体"/>
                <w:sz w:val="20"/>
              </w:rPr>
            </w: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其中：优先股</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87"/>
                <w:sz w:val="20"/>
              </w:rPr>
              <w:t>-</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5" w:right="0"/>
              <w:jc w:val="left"/>
              <w:rPr>
                <w:rFonts w:ascii="宋体" w:hAnsi="宋体" w:cs="宋体" w:eastAsia="宋体" w:hint="default"/>
                <w:sz w:val="20"/>
                <w:szCs w:val="20"/>
              </w:rPr>
            </w:pPr>
            <w:r>
              <w:rPr>
                <w:rFonts w:ascii="宋体" w:hAnsi="宋体" w:cs="宋体" w:eastAsia="宋体" w:hint="default"/>
                <w:spacing w:val="4"/>
                <w:sz w:val="20"/>
                <w:szCs w:val="20"/>
              </w:rPr>
              <w:t>永续债</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87"/>
                <w:sz w:val="20"/>
              </w:rPr>
              <w:t>-</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长期应付款</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87"/>
                <w:sz w:val="20"/>
              </w:rPr>
              <w:t>-</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长期应付职工薪酬</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262,386.66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562,386.66</w:t>
            </w:r>
            <w:r>
              <w:rPr>
                <w:rFonts w:ascii="宋体"/>
                <w:sz w:val="20"/>
              </w:rPr>
            </w:r>
          </w:p>
        </w:tc>
      </w:tr>
      <w:tr>
        <w:trPr>
          <w:trHeight w:val="27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专项应付款</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9"/>
              <w:jc w:val="right"/>
              <w:rPr>
                <w:rFonts w:ascii="宋体" w:hAnsi="宋体" w:cs="宋体" w:eastAsia="宋体" w:hint="default"/>
                <w:sz w:val="20"/>
                <w:szCs w:val="20"/>
              </w:rPr>
            </w:pPr>
            <w:r>
              <w:rPr>
                <w:rFonts w:ascii="宋体"/>
                <w:w w:val="85"/>
                <w:sz w:val="20"/>
              </w:rPr>
              <w:t>165,000,000.00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9"/>
              <w:jc w:val="right"/>
              <w:rPr>
                <w:rFonts w:ascii="宋体" w:hAnsi="宋体" w:cs="宋体" w:eastAsia="宋体" w:hint="default"/>
                <w:sz w:val="20"/>
                <w:szCs w:val="20"/>
              </w:rPr>
            </w:pPr>
            <w:r>
              <w:rPr>
                <w:rFonts w:ascii="宋体"/>
                <w:w w:val="85"/>
                <w:sz w:val="20"/>
              </w:rPr>
              <w:t>165,000,000.00</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预计负债</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73,801,421.07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51,978,570.83</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递延收益</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56,154,775.98</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55,126,960.45</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递延所得税负债</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87"/>
                <w:sz w:val="20"/>
              </w:rPr>
              <w:t>-</w:t>
            </w:r>
            <w:r>
              <w:rPr>
                <w:rFonts w:ascii="宋体"/>
                <w:sz w:val="20"/>
              </w:rPr>
            </w: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其他非流动负债</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87"/>
                <w:sz w:val="20"/>
              </w:rPr>
              <w:t>-</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396,218,583.71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847,648,851.79</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2,267,356,583.30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2,127,483,861.01</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b/>
                <w:bCs/>
                <w:sz w:val="20"/>
                <w:szCs w:val="20"/>
              </w:rPr>
              <w:t>:</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股本</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1,323,593,886.00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1,323,593,886.00</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其他权益工具</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其中：优先股</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5" w:right="0"/>
              <w:jc w:val="left"/>
              <w:rPr>
                <w:rFonts w:ascii="宋体" w:hAnsi="宋体" w:cs="宋体" w:eastAsia="宋体" w:hint="default"/>
                <w:sz w:val="20"/>
                <w:szCs w:val="20"/>
              </w:rPr>
            </w:pPr>
            <w:r>
              <w:rPr>
                <w:rFonts w:ascii="宋体" w:hAnsi="宋体" w:cs="宋体" w:eastAsia="宋体" w:hint="default"/>
                <w:spacing w:val="4"/>
                <w:sz w:val="20"/>
                <w:szCs w:val="20"/>
              </w:rPr>
              <w:t>永续债</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资本公积</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796,702,697.46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10"/>
              <w:jc w:val="right"/>
              <w:rPr>
                <w:rFonts w:ascii="宋体" w:hAnsi="宋体" w:cs="宋体" w:eastAsia="宋体" w:hint="default"/>
                <w:sz w:val="20"/>
                <w:szCs w:val="20"/>
              </w:rPr>
            </w:pPr>
            <w:r>
              <w:rPr>
                <w:rFonts w:ascii="宋体"/>
                <w:w w:val="85"/>
                <w:sz w:val="20"/>
              </w:rPr>
              <w:t>1,308,754,875.53</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减：库存股</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其他综合收益</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专项储备</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4"/>
                <w:sz w:val="20"/>
                <w:szCs w:val="20"/>
              </w:rPr>
              <w:t>盈余公积</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345,630,727.08</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344,904,569.50</w:t>
            </w:r>
            <w:r>
              <w:rPr>
                <w:rFonts w:ascii="宋体"/>
                <w:sz w:val="20"/>
              </w:rPr>
            </w:r>
          </w:p>
        </w:tc>
      </w:tr>
      <w:tr>
        <w:trPr>
          <w:trHeight w:val="27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未分配利润</w:t>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8"/>
              <w:jc w:val="right"/>
              <w:rPr>
                <w:rFonts w:ascii="宋体" w:hAnsi="宋体" w:cs="宋体" w:eastAsia="宋体" w:hint="default"/>
                <w:sz w:val="20"/>
                <w:szCs w:val="20"/>
              </w:rPr>
            </w:pPr>
            <w:r>
              <w:rPr>
                <w:rFonts w:ascii="宋体"/>
                <w:w w:val="85"/>
                <w:sz w:val="20"/>
              </w:rPr>
              <w:t>-67,286,056.61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9"/>
              <w:jc w:val="right"/>
              <w:rPr>
                <w:rFonts w:ascii="宋体" w:hAnsi="宋体" w:cs="宋体" w:eastAsia="宋体" w:hint="default"/>
                <w:sz w:val="20"/>
                <w:szCs w:val="20"/>
              </w:rPr>
            </w:pPr>
            <w:r>
              <w:rPr>
                <w:rFonts w:ascii="宋体"/>
                <w:w w:val="85"/>
                <w:sz w:val="20"/>
              </w:rPr>
              <w:t>-73,821,474.80</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pacing w:val="2"/>
                <w:sz w:val="20"/>
                <w:szCs w:val="20"/>
              </w:rPr>
              <w:t>股东权益合计</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2,398,641,253.93</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2,903,431,856.23</w:t>
            </w:r>
            <w:r>
              <w:rPr>
                <w:rFonts w:ascii="宋体"/>
                <w:sz w:val="20"/>
              </w:rPr>
            </w:r>
          </w:p>
        </w:tc>
      </w:tr>
      <w:tr>
        <w:trPr>
          <w:trHeight w:val="26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9"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4,665,997,837.23</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b/>
                <w:w w:val="85"/>
                <w:sz w:val="20"/>
              </w:rPr>
              <w:t>5,030,915,717.24</w:t>
            </w:r>
            <w:r>
              <w:rPr>
                <w:rFonts w:ascii="宋体"/>
                <w:sz w:val="20"/>
              </w:rPr>
            </w:r>
          </w:p>
        </w:tc>
      </w:tr>
    </w:tbl>
    <w:p>
      <w:pPr>
        <w:tabs>
          <w:tab w:pos="2834" w:val="left" w:leader="none"/>
          <w:tab w:pos="6336" w:val="left" w:leader="none"/>
        </w:tabs>
        <w:spacing w:before="44"/>
        <w:ind w:left="333"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29"/>
          <w:footerReference w:type="default" r:id="rId30"/>
          <w:pgSz w:w="11910" w:h="16840"/>
          <w:pgMar w:header="0" w:footer="980" w:top="1580" w:bottom="1160" w:left="1520" w:right="1500"/>
          <w:pgNumType w:start="4"/>
        </w:sectPr>
      </w:pPr>
    </w:p>
    <w:p>
      <w:pPr>
        <w:spacing w:line="240" w:lineRule="auto" w:before="11"/>
        <w:rPr>
          <w:rFonts w:ascii="宋体" w:hAnsi="宋体" w:cs="宋体" w:eastAsia="宋体" w:hint="default"/>
          <w:sz w:val="29"/>
          <w:szCs w:val="29"/>
        </w:rPr>
      </w:pPr>
    </w:p>
    <w:p>
      <w:pPr>
        <w:pStyle w:val="Heading4"/>
        <w:spacing w:line="334" w:lineRule="exact" w:before="19"/>
        <w:ind w:right="1"/>
        <w:jc w:val="center"/>
      </w:pPr>
      <w:r>
        <w:rPr/>
        <w:t>合并利润表</w:t>
      </w:r>
    </w:p>
    <w:p>
      <w:pPr>
        <w:spacing w:line="247" w:lineRule="exact" w:before="0"/>
        <w:ind w:left="2" w:right="1"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年度</w:t>
      </w:r>
    </w:p>
    <w:p>
      <w:pPr>
        <w:tabs>
          <w:tab w:pos="7208" w:val="left" w:leader="none"/>
        </w:tabs>
        <w:spacing w:line="253" w:lineRule="exact" w:before="0"/>
        <w:ind w:left="0" w:right="1"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529"/>
        <w:gridCol w:w="756"/>
        <w:gridCol w:w="1769"/>
        <w:gridCol w:w="1772"/>
      </w:tblGrid>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2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24"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5"/>
              <w:jc w:val="right"/>
              <w:rPr>
                <w:rFonts w:ascii="宋体" w:hAnsi="宋体" w:cs="宋体" w:eastAsia="宋体" w:hint="default"/>
                <w:sz w:val="20"/>
                <w:szCs w:val="20"/>
              </w:rPr>
            </w:pPr>
            <w:r>
              <w:rPr>
                <w:rFonts w:ascii="宋体"/>
                <w:b/>
                <w:w w:val="85"/>
                <w:sz w:val="20"/>
              </w:rPr>
              <w:t>72,935,851,650.45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b/>
                <w:w w:val="85"/>
                <w:sz w:val="20"/>
              </w:rPr>
              <w:t>77,205,375,635.56</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其中</w:t>
            </w:r>
            <w:r>
              <w:rPr>
                <w:rFonts w:ascii="宋体" w:hAnsi="宋体" w:cs="宋体" w:eastAsia="宋体" w:hint="default"/>
                <w:spacing w:val="3"/>
                <w:sz w:val="20"/>
                <w:szCs w:val="20"/>
              </w:rPr>
              <w:t>:</w:t>
            </w:r>
            <w:r>
              <w:rPr>
                <w:rFonts w:ascii="宋体" w:hAnsi="宋体" w:cs="宋体" w:eastAsia="宋体" w:hint="default"/>
                <w:spacing w:val="3"/>
                <w:sz w:val="20"/>
                <w:szCs w:val="20"/>
              </w:rPr>
              <w:t>营业收入</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46</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7"/>
              <w:jc w:val="right"/>
              <w:rPr>
                <w:rFonts w:ascii="宋体" w:hAnsi="宋体" w:cs="宋体" w:eastAsia="宋体" w:hint="default"/>
                <w:sz w:val="20"/>
                <w:szCs w:val="20"/>
              </w:rPr>
            </w:pPr>
            <w:r>
              <w:rPr>
                <w:rFonts w:ascii="宋体"/>
                <w:w w:val="85"/>
                <w:sz w:val="20"/>
              </w:rPr>
              <w:t>72,935,851,650.45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0"/>
              <w:jc w:val="right"/>
              <w:rPr>
                <w:rFonts w:ascii="宋体" w:hAnsi="宋体" w:cs="宋体" w:eastAsia="宋体" w:hint="default"/>
                <w:sz w:val="20"/>
                <w:szCs w:val="20"/>
              </w:rPr>
            </w:pPr>
            <w:r>
              <w:rPr>
                <w:rFonts w:ascii="宋体"/>
                <w:w w:val="85"/>
                <w:sz w:val="20"/>
              </w:rPr>
              <w:t>77,205,375,635.56</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5"/>
              <w:jc w:val="right"/>
              <w:rPr>
                <w:rFonts w:ascii="宋体" w:hAnsi="宋体" w:cs="宋体" w:eastAsia="宋体" w:hint="default"/>
                <w:sz w:val="20"/>
                <w:szCs w:val="20"/>
              </w:rPr>
            </w:pPr>
            <w:r>
              <w:rPr>
                <w:rFonts w:ascii="宋体"/>
                <w:b/>
                <w:w w:val="85"/>
                <w:sz w:val="20"/>
              </w:rPr>
              <w:t>74,244,425,875.57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b/>
                <w:w w:val="85"/>
                <w:sz w:val="20"/>
              </w:rPr>
              <w:t>78,554,360,290.60</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其中：营业成本</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46</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7"/>
              <w:jc w:val="right"/>
              <w:rPr>
                <w:rFonts w:ascii="宋体" w:hAnsi="宋体" w:cs="宋体" w:eastAsia="宋体" w:hint="default"/>
                <w:sz w:val="20"/>
                <w:szCs w:val="20"/>
              </w:rPr>
            </w:pPr>
            <w:r>
              <w:rPr>
                <w:rFonts w:ascii="宋体"/>
                <w:w w:val="85"/>
                <w:sz w:val="20"/>
              </w:rPr>
              <w:t>66,265,793,091.36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0"/>
              <w:jc w:val="right"/>
              <w:rPr>
                <w:rFonts w:ascii="宋体" w:hAnsi="宋体" w:cs="宋体" w:eastAsia="宋体" w:hint="default"/>
                <w:sz w:val="20"/>
                <w:szCs w:val="20"/>
              </w:rPr>
            </w:pPr>
            <w:r>
              <w:rPr>
                <w:rFonts w:ascii="宋体"/>
                <w:w w:val="85"/>
                <w:sz w:val="20"/>
              </w:rPr>
              <w:t>69,615,225,292.25</w:t>
            </w:r>
            <w:r>
              <w:rPr>
                <w:rFonts w:ascii="宋体"/>
                <w:sz w:val="20"/>
              </w:rPr>
            </w:r>
          </w:p>
        </w:tc>
      </w:tr>
      <w:tr>
        <w:trPr>
          <w:trHeight w:val="25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95" w:right="0"/>
              <w:jc w:val="left"/>
              <w:rPr>
                <w:rFonts w:ascii="宋体" w:hAnsi="宋体" w:cs="宋体" w:eastAsia="宋体" w:hint="default"/>
                <w:sz w:val="20"/>
                <w:szCs w:val="20"/>
              </w:rPr>
            </w:pPr>
            <w:r>
              <w:rPr>
                <w:rFonts w:ascii="宋体" w:hAnsi="宋体" w:cs="宋体" w:eastAsia="宋体" w:hint="default"/>
                <w:spacing w:val="3"/>
                <w:sz w:val="20"/>
                <w:szCs w:val="20"/>
              </w:rPr>
              <w:t>营业税金及附加</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47</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93,435,419.16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75,281,804.97</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95" w:right="0"/>
              <w:jc w:val="left"/>
              <w:rPr>
                <w:rFonts w:ascii="宋体" w:hAnsi="宋体" w:cs="宋体" w:eastAsia="宋体" w:hint="default"/>
                <w:sz w:val="20"/>
                <w:szCs w:val="20"/>
              </w:rPr>
            </w:pPr>
            <w:r>
              <w:rPr>
                <w:rFonts w:ascii="宋体" w:hAnsi="宋体" w:cs="宋体" w:eastAsia="宋体" w:hint="default"/>
                <w:spacing w:val="4"/>
                <w:sz w:val="20"/>
                <w:szCs w:val="20"/>
              </w:rPr>
              <w:t>销售费用</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7"/>
              <w:jc w:val="right"/>
              <w:rPr>
                <w:rFonts w:ascii="宋体" w:hAnsi="宋体" w:cs="宋体" w:eastAsia="宋体" w:hint="default"/>
                <w:sz w:val="20"/>
                <w:szCs w:val="20"/>
              </w:rPr>
            </w:pPr>
            <w:r>
              <w:rPr>
                <w:rFonts w:ascii="宋体"/>
                <w:w w:val="85"/>
                <w:sz w:val="20"/>
              </w:rPr>
              <w:t>2,835,454,144.41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10"/>
              <w:jc w:val="right"/>
              <w:rPr>
                <w:rFonts w:ascii="宋体" w:hAnsi="宋体" w:cs="宋体" w:eastAsia="宋体" w:hint="default"/>
                <w:sz w:val="20"/>
                <w:szCs w:val="20"/>
              </w:rPr>
            </w:pPr>
            <w:r>
              <w:rPr>
                <w:rFonts w:ascii="宋体"/>
                <w:w w:val="85"/>
                <w:sz w:val="20"/>
              </w:rPr>
              <w:t>3,447,890,210.83</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95" w:right="0"/>
              <w:jc w:val="left"/>
              <w:rPr>
                <w:rFonts w:ascii="宋体" w:hAnsi="宋体" w:cs="宋体" w:eastAsia="宋体" w:hint="default"/>
                <w:sz w:val="20"/>
                <w:szCs w:val="20"/>
              </w:rPr>
            </w:pPr>
            <w:r>
              <w:rPr>
                <w:rFonts w:ascii="宋体" w:hAnsi="宋体" w:cs="宋体" w:eastAsia="宋体" w:hint="default"/>
                <w:spacing w:val="4"/>
                <w:sz w:val="20"/>
                <w:szCs w:val="20"/>
              </w:rPr>
              <w:t>管理费用</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49</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7"/>
              <w:jc w:val="right"/>
              <w:rPr>
                <w:rFonts w:ascii="宋体" w:hAnsi="宋体" w:cs="宋体" w:eastAsia="宋体" w:hint="default"/>
                <w:sz w:val="20"/>
                <w:szCs w:val="20"/>
              </w:rPr>
            </w:pPr>
            <w:r>
              <w:rPr>
                <w:rFonts w:ascii="宋体"/>
                <w:w w:val="85"/>
                <w:sz w:val="20"/>
              </w:rPr>
              <w:t>2,836,128,599.86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10"/>
              <w:jc w:val="right"/>
              <w:rPr>
                <w:rFonts w:ascii="宋体" w:hAnsi="宋体" w:cs="宋体" w:eastAsia="宋体" w:hint="default"/>
                <w:sz w:val="20"/>
                <w:szCs w:val="20"/>
              </w:rPr>
            </w:pPr>
            <w:r>
              <w:rPr>
                <w:rFonts w:ascii="宋体"/>
                <w:w w:val="85"/>
                <w:sz w:val="20"/>
              </w:rPr>
              <w:t>3,245,351,540.96</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95" w:right="0"/>
              <w:jc w:val="left"/>
              <w:rPr>
                <w:rFonts w:ascii="宋体" w:hAnsi="宋体" w:cs="宋体" w:eastAsia="宋体" w:hint="default"/>
                <w:sz w:val="20"/>
                <w:szCs w:val="20"/>
              </w:rPr>
            </w:pPr>
            <w:r>
              <w:rPr>
                <w:rFonts w:ascii="宋体" w:hAnsi="宋体" w:cs="宋体" w:eastAsia="宋体" w:hint="default"/>
                <w:spacing w:val="4"/>
                <w:sz w:val="20"/>
                <w:szCs w:val="20"/>
              </w:rPr>
              <w:t>财务费用</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50</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7"/>
              <w:jc w:val="right"/>
              <w:rPr>
                <w:rFonts w:ascii="宋体" w:hAnsi="宋体" w:cs="宋体" w:eastAsia="宋体" w:hint="default"/>
                <w:sz w:val="20"/>
                <w:szCs w:val="20"/>
              </w:rPr>
            </w:pPr>
            <w:r>
              <w:rPr>
                <w:rFonts w:ascii="宋体"/>
                <w:w w:val="85"/>
                <w:sz w:val="20"/>
              </w:rPr>
              <w:t>1,650,413,852.76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0"/>
              <w:jc w:val="right"/>
              <w:rPr>
                <w:rFonts w:ascii="宋体" w:hAnsi="宋体" w:cs="宋体" w:eastAsia="宋体" w:hint="default"/>
                <w:sz w:val="20"/>
                <w:szCs w:val="20"/>
              </w:rPr>
            </w:pPr>
            <w:r>
              <w:rPr>
                <w:rFonts w:ascii="宋体"/>
                <w:w w:val="85"/>
                <w:sz w:val="20"/>
              </w:rPr>
              <w:t>1,518,362,632.63</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95" w:right="0"/>
              <w:jc w:val="left"/>
              <w:rPr>
                <w:rFonts w:ascii="宋体" w:hAnsi="宋体" w:cs="宋体" w:eastAsia="宋体" w:hint="default"/>
                <w:sz w:val="20"/>
                <w:szCs w:val="20"/>
              </w:rPr>
            </w:pPr>
            <w:r>
              <w:rPr>
                <w:rFonts w:ascii="宋体" w:hAnsi="宋体" w:cs="宋体" w:eastAsia="宋体" w:hint="default"/>
                <w:spacing w:val="2"/>
                <w:sz w:val="20"/>
                <w:szCs w:val="20"/>
              </w:rPr>
              <w:t>资产减值损失</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51</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563,200,768.02</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9"/>
              <w:jc w:val="right"/>
              <w:rPr>
                <w:rFonts w:ascii="宋体" w:hAnsi="宋体" w:cs="宋体" w:eastAsia="宋体" w:hint="default"/>
                <w:sz w:val="20"/>
                <w:szCs w:val="20"/>
              </w:rPr>
            </w:pPr>
            <w:r>
              <w:rPr>
                <w:rFonts w:ascii="宋体"/>
                <w:w w:val="85"/>
                <w:sz w:val="20"/>
              </w:rPr>
              <w:t>652,248,808.96</w:t>
            </w:r>
            <w:r>
              <w:rPr>
                <w:rFonts w:ascii="宋体"/>
                <w:sz w:val="20"/>
              </w:rPr>
            </w:r>
          </w:p>
        </w:tc>
      </w:tr>
      <w:tr>
        <w:trPr>
          <w:trHeight w:val="255"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1"/>
              <w:jc w:val="right"/>
              <w:rPr>
                <w:rFonts w:ascii="宋体" w:hAnsi="宋体" w:cs="宋体" w:eastAsia="宋体" w:hint="default"/>
                <w:sz w:val="20"/>
                <w:szCs w:val="20"/>
              </w:rPr>
            </w:pPr>
            <w:r>
              <w:rPr>
                <w:rFonts w:ascii="宋体" w:hAnsi="宋体" w:cs="宋体" w:eastAsia="宋体" w:hint="default"/>
                <w:spacing w:val="3"/>
                <w:w w:val="85"/>
                <w:sz w:val="20"/>
                <w:szCs w:val="20"/>
              </w:rPr>
              <w:t>加：公允价值变动收益（损失以“－”号填列）</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52</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232,068,657.25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9"/>
              <w:jc w:val="right"/>
              <w:rPr>
                <w:rFonts w:ascii="宋体" w:hAnsi="宋体" w:cs="宋体" w:eastAsia="宋体" w:hint="default"/>
                <w:sz w:val="20"/>
                <w:szCs w:val="20"/>
              </w:rPr>
            </w:pPr>
            <w:r>
              <w:rPr>
                <w:rFonts w:ascii="宋体"/>
                <w:w w:val="85"/>
                <w:sz w:val="20"/>
              </w:rPr>
              <w:t>394,705,275.79</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95" w:right="0"/>
              <w:jc w:val="left"/>
              <w:rPr>
                <w:rFonts w:ascii="宋体" w:hAnsi="宋体" w:cs="宋体" w:eastAsia="宋体" w:hint="default"/>
                <w:sz w:val="20"/>
                <w:szCs w:val="20"/>
              </w:rPr>
            </w:pPr>
            <w:r>
              <w:rPr>
                <w:rFonts w:ascii="宋体" w:hAnsi="宋体" w:cs="宋体" w:eastAsia="宋体" w:hint="default"/>
                <w:spacing w:val="3"/>
                <w:sz w:val="20"/>
                <w:szCs w:val="20"/>
              </w:rPr>
              <w:t>投资收益（损失以“－”号填列）</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53</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901,059,903.57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9"/>
              <w:jc w:val="right"/>
              <w:rPr>
                <w:rFonts w:ascii="宋体" w:hAnsi="宋体" w:cs="宋体" w:eastAsia="宋体" w:hint="default"/>
                <w:sz w:val="20"/>
                <w:szCs w:val="20"/>
              </w:rPr>
            </w:pPr>
            <w:r>
              <w:rPr>
                <w:rFonts w:ascii="宋体"/>
                <w:w w:val="85"/>
                <w:sz w:val="20"/>
              </w:rPr>
              <w:t>260,470,014.10</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8"/>
              <w:jc w:val="right"/>
              <w:rPr>
                <w:rFonts w:ascii="宋体" w:hAnsi="宋体" w:cs="宋体" w:eastAsia="宋体" w:hint="default"/>
                <w:sz w:val="20"/>
                <w:szCs w:val="20"/>
              </w:rPr>
            </w:pPr>
            <w:r>
              <w:rPr>
                <w:rFonts w:ascii="宋体" w:hAnsi="宋体" w:cs="宋体" w:eastAsia="宋体" w:hint="default"/>
                <w:spacing w:val="3"/>
                <w:w w:val="85"/>
                <w:sz w:val="20"/>
                <w:szCs w:val="20"/>
              </w:rPr>
              <w:t>其中：对联营企业和合营企业的投资收益</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34,526,767.86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25,732,328.54</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4"/>
              <w:jc w:val="right"/>
              <w:rPr>
                <w:rFonts w:ascii="宋体" w:hAnsi="宋体" w:cs="宋体" w:eastAsia="宋体" w:hint="default"/>
                <w:sz w:val="20"/>
                <w:szCs w:val="20"/>
              </w:rPr>
            </w:pPr>
            <w:r>
              <w:rPr>
                <w:rFonts w:ascii="宋体"/>
                <w:b/>
                <w:w w:val="85"/>
                <w:sz w:val="20"/>
              </w:rPr>
              <w:t>-175,445,664.30</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7"/>
              <w:jc w:val="right"/>
              <w:rPr>
                <w:rFonts w:ascii="宋体" w:hAnsi="宋体" w:cs="宋体" w:eastAsia="宋体" w:hint="default"/>
                <w:sz w:val="20"/>
                <w:szCs w:val="20"/>
              </w:rPr>
            </w:pPr>
            <w:r>
              <w:rPr>
                <w:rFonts w:ascii="宋体"/>
                <w:b/>
                <w:w w:val="85"/>
                <w:sz w:val="20"/>
              </w:rPr>
              <w:t>-693,809,365.15</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sz w:val="20"/>
                <w:szCs w:val="20"/>
              </w:rPr>
              <w:t>加：营业外收入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54</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295,280,520.99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9"/>
              <w:jc w:val="right"/>
              <w:rPr>
                <w:rFonts w:ascii="宋体" w:hAnsi="宋体" w:cs="宋体" w:eastAsia="宋体" w:hint="default"/>
                <w:sz w:val="20"/>
                <w:szCs w:val="20"/>
              </w:rPr>
            </w:pPr>
            <w:r>
              <w:rPr>
                <w:rFonts w:ascii="宋体"/>
                <w:w w:val="85"/>
                <w:sz w:val="20"/>
              </w:rPr>
              <w:t>640,320,572.53</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95" w:right="0"/>
              <w:jc w:val="left"/>
              <w:rPr>
                <w:rFonts w:ascii="宋体" w:hAnsi="宋体" w:cs="宋体" w:eastAsia="宋体" w:hint="default"/>
                <w:sz w:val="20"/>
                <w:szCs w:val="20"/>
              </w:rPr>
            </w:pPr>
            <w:r>
              <w:rPr>
                <w:rFonts w:ascii="宋体" w:hAnsi="宋体" w:cs="宋体" w:eastAsia="宋体" w:hint="default"/>
                <w:spacing w:val="3"/>
                <w:sz w:val="20"/>
                <w:szCs w:val="20"/>
              </w:rPr>
              <w:t>其中：非流动资产处置利得</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878,574.69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917,777.70</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sz w:val="20"/>
                <w:szCs w:val="20"/>
              </w:rPr>
              <w:t>减：营业外支出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55</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24,905,145.93</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24,667,610.00</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95" w:right="0"/>
              <w:jc w:val="left"/>
              <w:rPr>
                <w:rFonts w:ascii="宋体" w:hAnsi="宋体" w:cs="宋体" w:eastAsia="宋体" w:hint="default"/>
                <w:sz w:val="20"/>
                <w:szCs w:val="20"/>
              </w:rPr>
            </w:pPr>
            <w:r>
              <w:rPr>
                <w:rFonts w:ascii="宋体" w:hAnsi="宋体" w:cs="宋体" w:eastAsia="宋体" w:hint="default"/>
                <w:spacing w:val="3"/>
                <w:sz w:val="20"/>
                <w:szCs w:val="20"/>
              </w:rPr>
              <w:t>其中：非流动资产处置损失</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9,446,415.56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15,610,453.75</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4"/>
              <w:jc w:val="right"/>
              <w:rPr>
                <w:rFonts w:ascii="宋体" w:hAnsi="宋体" w:cs="宋体" w:eastAsia="宋体" w:hint="default"/>
                <w:sz w:val="20"/>
                <w:szCs w:val="20"/>
              </w:rPr>
            </w:pPr>
            <w:r>
              <w:rPr>
                <w:rFonts w:ascii="宋体"/>
                <w:b/>
                <w:w w:val="85"/>
                <w:sz w:val="20"/>
              </w:rPr>
              <w:t>94,929,710.76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b/>
                <w:w w:val="85"/>
                <w:sz w:val="20"/>
              </w:rPr>
              <w:t>-78,156,402.62</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sz w:val="20"/>
                <w:szCs w:val="20"/>
              </w:rPr>
              <w:t>减：所得税费用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56</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289,739,386.81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9"/>
              <w:jc w:val="right"/>
              <w:rPr>
                <w:rFonts w:ascii="宋体" w:hAnsi="宋体" w:cs="宋体" w:eastAsia="宋体" w:hint="default"/>
                <w:sz w:val="20"/>
                <w:szCs w:val="20"/>
              </w:rPr>
            </w:pPr>
            <w:r>
              <w:rPr>
                <w:rFonts w:ascii="宋体"/>
                <w:w w:val="85"/>
                <w:sz w:val="20"/>
              </w:rPr>
              <w:t>261,642,268.23</w:t>
            </w:r>
            <w:r>
              <w:rPr>
                <w:rFonts w:ascii="宋体"/>
                <w:sz w:val="20"/>
              </w:rPr>
            </w:r>
          </w:p>
        </w:tc>
      </w:tr>
      <w:tr>
        <w:trPr>
          <w:trHeight w:val="25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五、净利润</w:t>
            </w:r>
            <w:r>
              <w:rPr>
                <w:rFonts w:ascii="宋体" w:hAnsi="宋体" w:cs="宋体" w:eastAsia="宋体" w:hint="default"/>
                <w:spacing w:val="2"/>
                <w:sz w:val="20"/>
                <w:szCs w:val="20"/>
              </w:rPr>
              <w:t>（净亏损以“－”号填列）</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4"/>
              <w:jc w:val="right"/>
              <w:rPr>
                <w:rFonts w:ascii="宋体" w:hAnsi="宋体" w:cs="宋体" w:eastAsia="宋体" w:hint="default"/>
                <w:sz w:val="20"/>
                <w:szCs w:val="20"/>
              </w:rPr>
            </w:pPr>
            <w:r>
              <w:rPr>
                <w:rFonts w:ascii="宋体"/>
                <w:b/>
                <w:w w:val="85"/>
                <w:sz w:val="20"/>
              </w:rPr>
              <w:t>-194,809,676.05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7"/>
              <w:jc w:val="right"/>
              <w:rPr>
                <w:rFonts w:ascii="宋体" w:hAnsi="宋体" w:cs="宋体" w:eastAsia="宋体" w:hint="default"/>
                <w:sz w:val="20"/>
                <w:szCs w:val="20"/>
              </w:rPr>
            </w:pPr>
            <w:r>
              <w:rPr>
                <w:rFonts w:ascii="宋体"/>
                <w:b/>
                <w:w w:val="85"/>
                <w:sz w:val="20"/>
              </w:rPr>
              <w:t>-339,798,670.85</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归属于母公司股东的净利润</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6"/>
              <w:jc w:val="right"/>
              <w:rPr>
                <w:rFonts w:ascii="宋体" w:hAnsi="宋体" w:cs="宋体" w:eastAsia="宋体" w:hint="default"/>
                <w:sz w:val="20"/>
                <w:szCs w:val="20"/>
              </w:rPr>
            </w:pPr>
            <w:r>
              <w:rPr>
                <w:rFonts w:ascii="宋体"/>
                <w:w w:val="85"/>
                <w:sz w:val="20"/>
              </w:rPr>
              <w:t>-35,666,709.39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8"/>
              <w:jc w:val="right"/>
              <w:rPr>
                <w:rFonts w:ascii="宋体" w:hAnsi="宋体" w:cs="宋体" w:eastAsia="宋体" w:hint="default"/>
                <w:sz w:val="20"/>
                <w:szCs w:val="20"/>
              </w:rPr>
            </w:pPr>
            <w:r>
              <w:rPr>
                <w:rFonts w:ascii="宋体"/>
                <w:w w:val="85"/>
                <w:sz w:val="20"/>
              </w:rPr>
              <w:t>-13,074,608.76</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少数股东损益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6"/>
              <w:jc w:val="right"/>
              <w:rPr>
                <w:rFonts w:ascii="宋体" w:hAnsi="宋体" w:cs="宋体" w:eastAsia="宋体" w:hint="default"/>
                <w:sz w:val="20"/>
                <w:szCs w:val="20"/>
              </w:rPr>
            </w:pPr>
            <w:r>
              <w:rPr>
                <w:rFonts w:ascii="宋体"/>
                <w:w w:val="85"/>
                <w:sz w:val="20"/>
              </w:rPr>
              <w:t>-159,142,966.66</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9"/>
              <w:jc w:val="right"/>
              <w:rPr>
                <w:rFonts w:ascii="宋体" w:hAnsi="宋体" w:cs="宋体" w:eastAsia="宋体" w:hint="default"/>
                <w:sz w:val="20"/>
                <w:szCs w:val="20"/>
              </w:rPr>
            </w:pPr>
            <w:r>
              <w:rPr>
                <w:rFonts w:ascii="宋体"/>
                <w:w w:val="85"/>
                <w:sz w:val="20"/>
              </w:rPr>
              <w:t>-326,724,062.09</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六、其他综合收益的税后净额</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57</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4"/>
              <w:jc w:val="right"/>
              <w:rPr>
                <w:rFonts w:ascii="宋体" w:hAnsi="宋体" w:cs="宋体" w:eastAsia="宋体" w:hint="default"/>
                <w:sz w:val="20"/>
                <w:szCs w:val="20"/>
              </w:rPr>
            </w:pPr>
            <w:r>
              <w:rPr>
                <w:rFonts w:ascii="宋体"/>
                <w:b/>
                <w:w w:val="85"/>
                <w:sz w:val="20"/>
              </w:rPr>
              <w:t>340,209,907.99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b/>
                <w:w w:val="85"/>
                <w:sz w:val="20"/>
              </w:rPr>
              <w:t>-8,053,255.59</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20"/>
                <w:szCs w:val="20"/>
              </w:rPr>
            </w:pPr>
            <w:r>
              <w:rPr>
                <w:rFonts w:ascii="宋体" w:hAnsi="宋体" w:cs="宋体" w:eastAsia="宋体" w:hint="default"/>
                <w:spacing w:val="3"/>
                <w:w w:val="95"/>
                <w:sz w:val="20"/>
                <w:szCs w:val="20"/>
              </w:rPr>
              <w:t>归属母公司所有者的其他综合收益的税后净额</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79,387,673.14</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1,990,450.34</w:t>
            </w:r>
            <w:r>
              <w:rPr>
                <w:rFonts w:ascii="宋体"/>
                <w:sz w:val="20"/>
              </w:rPr>
            </w:r>
          </w:p>
        </w:tc>
      </w:tr>
      <w:tr>
        <w:trPr>
          <w:trHeight w:val="255"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w w:val="90"/>
                <w:sz w:val="20"/>
                <w:szCs w:val="20"/>
              </w:rPr>
              <w:t>（一）以后不能重分类进损益的其他综合收益</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1,236,867.47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-10,737,881.11</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1"/>
              <w:jc w:val="right"/>
              <w:rPr>
                <w:rFonts w:ascii="宋体" w:hAnsi="宋体" w:cs="宋体" w:eastAsia="宋体" w:hint="default"/>
                <w:sz w:val="20"/>
                <w:szCs w:val="20"/>
              </w:rPr>
            </w:pPr>
            <w:r>
              <w:rPr>
                <w:rFonts w:ascii="宋体" w:hAnsi="宋体" w:cs="宋体" w:eastAsia="宋体" w:hint="default"/>
                <w:spacing w:val="3"/>
                <w:w w:val="85"/>
                <w:sz w:val="20"/>
                <w:szCs w:val="20"/>
              </w:rPr>
              <w:t>1.</w:t>
            </w:r>
            <w:r>
              <w:rPr>
                <w:rFonts w:ascii="宋体" w:hAnsi="宋体" w:cs="宋体" w:eastAsia="宋体" w:hint="default"/>
                <w:spacing w:val="3"/>
                <w:w w:val="85"/>
                <w:sz w:val="20"/>
                <w:szCs w:val="20"/>
              </w:rPr>
              <w:t>重新计量设定受益计划净负债或净资产的变动</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1,236,867.47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-10,737,881.11</w:t>
            </w:r>
            <w:r>
              <w:rPr>
                <w:rFonts w:ascii="宋体"/>
                <w:sz w:val="20"/>
              </w:rPr>
            </w:r>
          </w:p>
        </w:tc>
      </w:tr>
      <w:tr>
        <w:trPr>
          <w:trHeight w:val="49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0" w:right="0"/>
              <w:jc w:val="left"/>
              <w:rPr>
                <w:rFonts w:ascii="宋体" w:hAnsi="宋体" w:cs="宋体" w:eastAsia="宋体" w:hint="default"/>
                <w:sz w:val="20"/>
                <w:szCs w:val="20"/>
              </w:rPr>
            </w:pPr>
            <w:r>
              <w:rPr>
                <w:rFonts w:ascii="宋体" w:hAnsi="宋体" w:cs="宋体" w:eastAsia="宋体" w:hint="default"/>
                <w:spacing w:val="3"/>
                <w:w w:val="85"/>
                <w:sz w:val="20"/>
                <w:szCs w:val="20"/>
              </w:rPr>
              <w:t>2.</w:t>
            </w:r>
            <w:r>
              <w:rPr>
                <w:rFonts w:ascii="宋体" w:hAnsi="宋体" w:cs="宋体" w:eastAsia="宋体" w:hint="default"/>
                <w:spacing w:val="3"/>
                <w:w w:val="85"/>
                <w:sz w:val="20"/>
                <w:szCs w:val="20"/>
              </w:rPr>
              <w:t>权益法下在被投资单位不能重分类进损益的其</w:t>
            </w:r>
            <w:r>
              <w:rPr>
                <w:rFonts w:ascii="宋体" w:hAnsi="宋体" w:cs="宋体" w:eastAsia="宋体" w:hint="default"/>
                <w:spacing w:val="3"/>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他综合收益中享有的份额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w w:val="95"/>
                <w:sz w:val="20"/>
                <w:szCs w:val="20"/>
              </w:rPr>
              <w:t>（二）以后将重分类进损益的其他综合收益</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78,150,805.67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12,728,331.45</w:t>
            </w:r>
            <w:r>
              <w:rPr>
                <w:rFonts w:ascii="宋体"/>
                <w:sz w:val="20"/>
              </w:rPr>
            </w:r>
          </w:p>
        </w:tc>
      </w:tr>
      <w:tr>
        <w:trPr>
          <w:trHeight w:val="49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0" w:right="0"/>
              <w:jc w:val="left"/>
              <w:rPr>
                <w:rFonts w:ascii="宋体" w:hAnsi="宋体" w:cs="宋体" w:eastAsia="宋体" w:hint="default"/>
                <w:sz w:val="20"/>
                <w:szCs w:val="20"/>
              </w:rPr>
            </w:pPr>
            <w:r>
              <w:rPr>
                <w:rFonts w:ascii="宋体" w:hAnsi="宋体" w:cs="宋体" w:eastAsia="宋体" w:hint="default"/>
                <w:spacing w:val="3"/>
                <w:w w:val="85"/>
                <w:sz w:val="20"/>
                <w:szCs w:val="20"/>
              </w:rPr>
              <w:t>1.</w:t>
            </w:r>
            <w:r>
              <w:rPr>
                <w:rFonts w:ascii="宋体" w:hAnsi="宋体" w:cs="宋体" w:eastAsia="宋体" w:hint="default"/>
                <w:spacing w:val="3"/>
                <w:w w:val="85"/>
                <w:sz w:val="20"/>
                <w:szCs w:val="20"/>
              </w:rPr>
              <w:t>权益法下在被投资单位以后将重分类进损益的</w:t>
            </w:r>
            <w:r>
              <w:rPr>
                <w:rFonts w:ascii="宋体" w:hAnsi="宋体" w:cs="宋体" w:eastAsia="宋体" w:hint="default"/>
                <w:spacing w:val="3"/>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其他综合收益中享有的份额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40" w:right="0"/>
              <w:jc w:val="left"/>
              <w:rPr>
                <w:rFonts w:ascii="宋体" w:hAnsi="宋体" w:cs="宋体" w:eastAsia="宋体" w:hint="default"/>
                <w:sz w:val="20"/>
                <w:szCs w:val="20"/>
              </w:rPr>
            </w:pPr>
            <w:r>
              <w:rPr>
                <w:rFonts w:ascii="宋体" w:hAnsi="宋体" w:cs="宋体" w:eastAsia="宋体" w:hint="default"/>
                <w:spacing w:val="3"/>
                <w:sz w:val="20"/>
                <w:szCs w:val="20"/>
              </w:rPr>
              <w:t>2.</w:t>
            </w:r>
            <w:r>
              <w:rPr>
                <w:rFonts w:ascii="宋体" w:hAnsi="宋体" w:cs="宋体" w:eastAsia="宋体" w:hint="default"/>
                <w:spacing w:val="3"/>
                <w:sz w:val="20"/>
                <w:szCs w:val="20"/>
              </w:rPr>
              <w:t>可供出售金融资产公允价值变动损益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5"/>
              <w:jc w:val="right"/>
              <w:rPr>
                <w:rFonts w:ascii="宋体" w:hAnsi="宋体" w:cs="宋体" w:eastAsia="宋体" w:hint="default"/>
                <w:sz w:val="20"/>
                <w:szCs w:val="20"/>
              </w:rPr>
            </w:pPr>
            <w:r>
              <w:rPr>
                <w:rFonts w:ascii="宋体"/>
                <w:w w:val="85"/>
                <w:sz w:val="20"/>
              </w:rPr>
              <w:t>-24,118.44</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8"/>
              <w:jc w:val="right"/>
              <w:rPr>
                <w:rFonts w:ascii="宋体" w:hAnsi="宋体" w:cs="宋体" w:eastAsia="宋体" w:hint="default"/>
                <w:sz w:val="20"/>
                <w:szCs w:val="20"/>
              </w:rPr>
            </w:pPr>
            <w:r>
              <w:rPr>
                <w:rFonts w:ascii="宋体"/>
                <w:w w:val="85"/>
                <w:sz w:val="20"/>
              </w:rPr>
              <w:t>941,659.87</w:t>
            </w:r>
            <w:r>
              <w:rPr>
                <w:rFonts w:ascii="宋体"/>
                <w:sz w:val="20"/>
              </w:rPr>
            </w:r>
          </w:p>
        </w:tc>
      </w:tr>
      <w:tr>
        <w:trPr>
          <w:trHeight w:val="499"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0" w:right="0"/>
              <w:jc w:val="left"/>
              <w:rPr>
                <w:rFonts w:ascii="宋体" w:hAnsi="宋体" w:cs="宋体" w:eastAsia="宋体" w:hint="default"/>
                <w:sz w:val="20"/>
                <w:szCs w:val="20"/>
              </w:rPr>
            </w:pPr>
            <w:r>
              <w:rPr>
                <w:rFonts w:ascii="宋体" w:hAnsi="宋体" w:cs="宋体" w:eastAsia="宋体" w:hint="default"/>
                <w:spacing w:val="3"/>
                <w:w w:val="85"/>
                <w:sz w:val="20"/>
                <w:szCs w:val="20"/>
              </w:rPr>
              <w:t>3.</w:t>
            </w:r>
            <w:r>
              <w:rPr>
                <w:rFonts w:ascii="宋体" w:hAnsi="宋体" w:cs="宋体" w:eastAsia="宋体" w:hint="default"/>
                <w:spacing w:val="3"/>
                <w:w w:val="85"/>
                <w:sz w:val="20"/>
                <w:szCs w:val="20"/>
              </w:rPr>
              <w:t>持有至到期投资重分类为可供出售金融资产损</w:t>
            </w:r>
            <w:r>
              <w:rPr>
                <w:rFonts w:ascii="宋体" w:hAnsi="宋体" w:cs="宋体" w:eastAsia="宋体" w:hint="default"/>
                <w:spacing w:val="3"/>
                <w:sz w:val="20"/>
                <w:szCs w:val="20"/>
              </w:rPr>
            </w:r>
          </w:p>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w w:val="87"/>
                <w:sz w:val="20"/>
                <w:szCs w:val="20"/>
              </w:rPr>
              <w:t>益</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sz w:val="20"/>
                <w:szCs w:val="20"/>
              </w:rPr>
              <w:t>4.</w:t>
            </w:r>
            <w:r>
              <w:rPr>
                <w:rFonts w:ascii="宋体" w:hAnsi="宋体" w:cs="宋体" w:eastAsia="宋体" w:hint="default"/>
                <w:spacing w:val="3"/>
                <w:sz w:val="20"/>
                <w:szCs w:val="20"/>
              </w:rPr>
              <w:t>现金流量套期损益的有效部分</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sz w:val="20"/>
                <w:szCs w:val="20"/>
              </w:rPr>
              <w:t>5.</w:t>
            </w:r>
            <w:r>
              <w:rPr>
                <w:rFonts w:ascii="宋体" w:hAnsi="宋体" w:cs="宋体" w:eastAsia="宋体" w:hint="default"/>
                <w:spacing w:val="3"/>
                <w:sz w:val="20"/>
                <w:szCs w:val="20"/>
              </w:rPr>
              <w:t>外币财务报表折算差额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78,174,924.11</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11,786,671.58</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0" w:right="0"/>
              <w:jc w:val="left"/>
              <w:rPr>
                <w:rFonts w:ascii="宋体" w:hAnsi="宋体" w:cs="宋体" w:eastAsia="宋体" w:hint="default"/>
                <w:sz w:val="20"/>
                <w:szCs w:val="20"/>
              </w:rPr>
            </w:pPr>
            <w:r>
              <w:rPr>
                <w:rFonts w:ascii="宋体" w:hAnsi="宋体" w:cs="宋体" w:eastAsia="宋体" w:hint="default"/>
                <w:spacing w:val="3"/>
                <w:sz w:val="20"/>
                <w:szCs w:val="20"/>
              </w:rPr>
              <w:t>6.</w:t>
            </w:r>
            <w:r>
              <w:rPr>
                <w:rFonts w:ascii="宋体" w:hAnsi="宋体" w:cs="宋体" w:eastAsia="宋体" w:hint="default"/>
                <w:spacing w:val="3"/>
                <w:sz w:val="20"/>
                <w:szCs w:val="20"/>
              </w:rPr>
              <w:t>其他</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20"/>
                <w:szCs w:val="20"/>
              </w:rPr>
            </w:pPr>
            <w:r>
              <w:rPr>
                <w:rFonts w:ascii="宋体" w:hAnsi="宋体" w:cs="宋体" w:eastAsia="宋体" w:hint="default"/>
                <w:spacing w:val="3"/>
                <w:w w:val="95"/>
                <w:sz w:val="20"/>
                <w:szCs w:val="20"/>
              </w:rPr>
              <w:t>归属于少数股东的其他综合收益的税后净额</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260,822,234.85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8"/>
              <w:jc w:val="right"/>
              <w:rPr>
                <w:rFonts w:ascii="宋体" w:hAnsi="宋体" w:cs="宋体" w:eastAsia="宋体" w:hint="default"/>
                <w:sz w:val="20"/>
                <w:szCs w:val="20"/>
              </w:rPr>
            </w:pPr>
            <w:r>
              <w:rPr>
                <w:rFonts w:ascii="宋体"/>
                <w:w w:val="85"/>
                <w:sz w:val="20"/>
              </w:rPr>
              <w:t>-10,043,705.93</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4"/>
              <w:jc w:val="right"/>
              <w:rPr>
                <w:rFonts w:ascii="宋体" w:hAnsi="宋体" w:cs="宋体" w:eastAsia="宋体" w:hint="default"/>
                <w:sz w:val="20"/>
                <w:szCs w:val="20"/>
              </w:rPr>
            </w:pPr>
            <w:r>
              <w:rPr>
                <w:rFonts w:ascii="宋体"/>
                <w:b/>
                <w:w w:val="85"/>
                <w:sz w:val="20"/>
              </w:rPr>
              <w:t>145,400,231.94</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7"/>
              <w:jc w:val="right"/>
              <w:rPr>
                <w:rFonts w:ascii="宋体" w:hAnsi="宋体" w:cs="宋体" w:eastAsia="宋体" w:hint="default"/>
                <w:sz w:val="20"/>
                <w:szCs w:val="20"/>
              </w:rPr>
            </w:pPr>
            <w:r>
              <w:rPr>
                <w:rFonts w:ascii="宋体"/>
                <w:b/>
                <w:w w:val="85"/>
                <w:sz w:val="20"/>
              </w:rPr>
              <w:t>-347,851,926.44</w:t>
            </w:r>
            <w:r>
              <w:rPr>
                <w:rFonts w:ascii="宋体"/>
                <w:sz w:val="20"/>
              </w:rPr>
            </w:r>
          </w:p>
        </w:tc>
      </w:tr>
      <w:tr>
        <w:trPr>
          <w:trHeight w:val="255"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归属于母公司股东的综合收益总额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6"/>
              <w:jc w:val="right"/>
              <w:rPr>
                <w:rFonts w:ascii="宋体" w:hAnsi="宋体" w:cs="宋体" w:eastAsia="宋体" w:hint="default"/>
                <w:sz w:val="20"/>
                <w:szCs w:val="20"/>
              </w:rPr>
            </w:pPr>
            <w:r>
              <w:rPr>
                <w:rFonts w:ascii="宋体"/>
                <w:w w:val="85"/>
                <w:sz w:val="20"/>
              </w:rPr>
              <w:t>43,720,963.75</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8"/>
              <w:jc w:val="right"/>
              <w:rPr>
                <w:rFonts w:ascii="宋体" w:hAnsi="宋体" w:cs="宋体" w:eastAsia="宋体" w:hint="default"/>
                <w:sz w:val="20"/>
                <w:szCs w:val="20"/>
              </w:rPr>
            </w:pPr>
            <w:r>
              <w:rPr>
                <w:rFonts w:ascii="宋体"/>
                <w:w w:val="85"/>
                <w:sz w:val="20"/>
              </w:rPr>
              <w:t>-11,084,158.42</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归属于少数股东的综合收益总额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6"/>
              <w:jc w:val="right"/>
              <w:rPr>
                <w:rFonts w:ascii="宋体" w:hAnsi="宋体" w:cs="宋体" w:eastAsia="宋体" w:hint="default"/>
                <w:sz w:val="20"/>
                <w:szCs w:val="20"/>
              </w:rPr>
            </w:pPr>
            <w:r>
              <w:rPr>
                <w:rFonts w:ascii="宋体"/>
                <w:w w:val="85"/>
                <w:sz w:val="20"/>
              </w:rPr>
              <w:t>101,679,268.19</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9"/>
              <w:jc w:val="right"/>
              <w:rPr>
                <w:rFonts w:ascii="宋体" w:hAnsi="宋体" w:cs="宋体" w:eastAsia="宋体" w:hint="default"/>
                <w:sz w:val="20"/>
                <w:szCs w:val="20"/>
              </w:rPr>
            </w:pPr>
            <w:r>
              <w:rPr>
                <w:rFonts w:ascii="宋体"/>
                <w:w w:val="85"/>
                <w:sz w:val="20"/>
              </w:rPr>
              <w:t>-336,767,768.02</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八、每股收益：</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（一）基本每股收益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5"/>
              <w:jc w:val="right"/>
              <w:rPr>
                <w:rFonts w:ascii="宋体" w:hAnsi="宋体" w:cs="宋体" w:eastAsia="宋体" w:hint="default"/>
                <w:sz w:val="20"/>
                <w:szCs w:val="20"/>
              </w:rPr>
            </w:pPr>
            <w:r>
              <w:rPr>
                <w:rFonts w:ascii="宋体"/>
                <w:w w:val="85"/>
                <w:sz w:val="20"/>
              </w:rPr>
              <w:t>-0.027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7"/>
              <w:jc w:val="right"/>
              <w:rPr>
                <w:rFonts w:ascii="宋体" w:hAnsi="宋体" w:cs="宋体" w:eastAsia="宋体" w:hint="default"/>
                <w:sz w:val="20"/>
                <w:szCs w:val="20"/>
              </w:rPr>
            </w:pPr>
            <w:r>
              <w:rPr>
                <w:rFonts w:ascii="宋体"/>
                <w:w w:val="85"/>
                <w:sz w:val="20"/>
              </w:rPr>
              <w:t>-0.010</w:t>
            </w:r>
            <w:r>
              <w:rPr>
                <w:rFonts w:ascii="宋体"/>
                <w:sz w:val="20"/>
              </w:rPr>
            </w:r>
          </w:p>
        </w:tc>
      </w:tr>
      <w:tr>
        <w:trPr>
          <w:trHeight w:val="2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（二）稀释每股收益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5"/>
              <w:jc w:val="right"/>
              <w:rPr>
                <w:rFonts w:ascii="宋体" w:hAnsi="宋体" w:cs="宋体" w:eastAsia="宋体" w:hint="default"/>
                <w:sz w:val="20"/>
                <w:szCs w:val="20"/>
              </w:rPr>
            </w:pPr>
            <w:r>
              <w:rPr>
                <w:rFonts w:ascii="宋体"/>
                <w:w w:val="85"/>
                <w:sz w:val="20"/>
              </w:rPr>
              <w:t>-0.027</w:t>
            </w:r>
            <w:r>
              <w:rPr>
                <w:rFonts w:ascii="宋体"/>
                <w:sz w:val="20"/>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7"/>
              <w:jc w:val="right"/>
              <w:rPr>
                <w:rFonts w:ascii="宋体" w:hAnsi="宋体" w:cs="宋体" w:eastAsia="宋体" w:hint="default"/>
                <w:sz w:val="20"/>
                <w:szCs w:val="20"/>
              </w:rPr>
            </w:pPr>
            <w:r>
              <w:rPr>
                <w:rFonts w:ascii="宋体"/>
                <w:w w:val="85"/>
                <w:sz w:val="20"/>
              </w:rPr>
              <w:t>-0.010</w:t>
            </w:r>
            <w:r>
              <w:rPr>
                <w:rFonts w:ascii="宋体"/>
                <w:sz w:val="20"/>
              </w:rPr>
            </w:r>
          </w:p>
        </w:tc>
      </w:tr>
    </w:tbl>
    <w:p>
      <w:pPr>
        <w:spacing w:line="208" w:lineRule="exact" w:before="0"/>
        <w:ind w:left="630" w:right="0" w:firstLine="0"/>
        <w:jc w:val="left"/>
        <w:rPr>
          <w:rFonts w:ascii="宋体" w:hAnsi="宋体" w:cs="宋体" w:eastAsia="宋体" w:hint="default"/>
          <w:sz w:val="20"/>
          <w:szCs w:val="20"/>
        </w:rPr>
      </w:pPr>
      <w:r>
        <w:rPr>
          <w:rFonts w:ascii="宋体" w:hAnsi="宋体" w:cs="宋体" w:eastAsia="宋体" w:hint="default"/>
          <w:sz w:val="20"/>
          <w:szCs w:val="20"/>
        </w:rPr>
        <w:t>本年发生同一控制下企业合并的，被合并方在合并前实现的净利润为</w:t>
      </w:r>
      <w:r>
        <w:rPr>
          <w:rFonts w:ascii="宋体" w:hAnsi="宋体" w:cs="宋体" w:eastAsia="宋体" w:hint="default"/>
          <w:sz w:val="20"/>
          <w:szCs w:val="20"/>
        </w:rPr>
        <w:t>-34,808,642.06</w:t>
      </w:r>
      <w:r>
        <w:rPr>
          <w:rFonts w:ascii="宋体" w:hAnsi="宋体" w:cs="宋体" w:eastAsia="宋体" w:hint="default"/>
          <w:spacing w:val="-73"/>
          <w:sz w:val="20"/>
          <w:szCs w:val="20"/>
        </w:rPr>
        <w:t> </w:t>
      </w:r>
      <w:r>
        <w:rPr>
          <w:rFonts w:ascii="宋体" w:hAnsi="宋体" w:cs="宋体" w:eastAsia="宋体" w:hint="default"/>
          <w:spacing w:val="-6"/>
          <w:sz w:val="20"/>
          <w:szCs w:val="20"/>
        </w:rPr>
        <w:t>元。上年</w:t>
      </w:r>
    </w:p>
    <w:p>
      <w:pPr>
        <w:spacing w:line="252" w:lineRule="exact" w:before="0"/>
        <w:ind w:left="229" w:right="0" w:firstLine="0"/>
        <w:jc w:val="left"/>
        <w:rPr>
          <w:rFonts w:ascii="宋体" w:hAnsi="宋体" w:cs="宋体" w:eastAsia="宋体" w:hint="default"/>
          <w:sz w:val="20"/>
          <w:szCs w:val="20"/>
        </w:rPr>
      </w:pPr>
      <w:r>
        <w:rPr>
          <w:rFonts w:ascii="宋体" w:hAnsi="宋体" w:cs="宋体" w:eastAsia="宋体" w:hint="default"/>
          <w:sz w:val="20"/>
          <w:szCs w:val="20"/>
        </w:rPr>
        <w:t>被合并方实现的净利润为</w:t>
      </w:r>
      <w:r>
        <w:rPr>
          <w:rFonts w:ascii="宋体" w:hAnsi="宋体" w:cs="宋体" w:eastAsia="宋体" w:hint="default"/>
          <w:sz w:val="20"/>
          <w:szCs w:val="20"/>
        </w:rPr>
        <w:t>-291,109,687.74</w:t>
      </w:r>
      <w:r>
        <w:rPr>
          <w:rFonts w:ascii="宋体" w:hAnsi="宋体" w:cs="宋体" w:eastAsia="宋体" w:hint="default"/>
          <w:spacing w:val="-53"/>
          <w:sz w:val="20"/>
          <w:szCs w:val="20"/>
        </w:rPr>
        <w:t> </w:t>
      </w:r>
      <w:r>
        <w:rPr>
          <w:rFonts w:ascii="宋体" w:hAnsi="宋体" w:cs="宋体" w:eastAsia="宋体" w:hint="default"/>
          <w:sz w:val="20"/>
          <w:szCs w:val="20"/>
        </w:rPr>
        <w:t>元。</w:t>
      </w:r>
    </w:p>
    <w:p>
      <w:pPr>
        <w:tabs>
          <w:tab w:pos="2934" w:val="left" w:leader="none"/>
          <w:tab w:pos="6534" w:val="left" w:leader="none"/>
        </w:tabs>
        <w:spacing w:before="62"/>
        <w:ind w:left="332"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31"/>
          <w:footerReference w:type="default" r:id="rId32"/>
          <w:pgSz w:w="11910" w:h="16840"/>
          <w:pgMar w:header="0" w:footer="980" w:top="1580" w:bottom="1160" w:left="1420" w:right="1420"/>
          <w:pgNumType w:start="5"/>
        </w:sectPr>
      </w:pPr>
    </w:p>
    <w:p>
      <w:pPr>
        <w:pStyle w:val="Heading4"/>
        <w:spacing w:line="240" w:lineRule="auto"/>
        <w:ind w:right="21"/>
        <w:jc w:val="center"/>
      </w:pPr>
      <w:r>
        <w:rPr/>
        <w:t>母公司利润表</w:t>
      </w:r>
    </w:p>
    <w:p>
      <w:pPr>
        <w:spacing w:before="58"/>
        <w:ind w:left="0" w:right="16"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年度</w:t>
      </w:r>
    </w:p>
    <w:p>
      <w:pPr>
        <w:tabs>
          <w:tab w:pos="7119" w:val="left" w:leader="none"/>
        </w:tabs>
        <w:spacing w:before="36"/>
        <w:ind w:left="0" w:right="18"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2"/>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529"/>
        <w:gridCol w:w="845"/>
        <w:gridCol w:w="1680"/>
        <w:gridCol w:w="1681"/>
      </w:tblGrid>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7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7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一、营业收入</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pacing w:val="2"/>
                <w:w w:val="95"/>
                <w:sz w:val="20"/>
                <w:szCs w:val="20"/>
              </w:rPr>
              <w:t>十七、</w:t>
            </w:r>
            <w:r>
              <w:rPr>
                <w:rFonts w:ascii="宋体" w:hAnsi="宋体" w:cs="宋体" w:eastAsia="宋体" w:hint="default"/>
                <w:spacing w:val="2"/>
                <w:w w:val="95"/>
                <w:sz w:val="20"/>
                <w:szCs w:val="20"/>
              </w:rPr>
              <w:t>4</w:t>
            </w:r>
            <w:r>
              <w:rPr>
                <w:rFonts w:ascii="宋体" w:hAnsi="宋体" w:cs="宋体" w:eastAsia="宋体" w:hint="default"/>
                <w:spacing w:val="2"/>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2,387,503,323.04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2,289,858,423.48</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2"/>
                <w:sz w:val="20"/>
                <w:szCs w:val="20"/>
              </w:rPr>
              <w:t>减：营业成本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pacing w:val="2"/>
                <w:w w:val="95"/>
                <w:sz w:val="20"/>
                <w:szCs w:val="20"/>
              </w:rPr>
              <w:t>十七、</w:t>
            </w:r>
            <w:r>
              <w:rPr>
                <w:rFonts w:ascii="宋体" w:hAnsi="宋体" w:cs="宋体" w:eastAsia="宋体" w:hint="default"/>
                <w:spacing w:val="2"/>
                <w:w w:val="95"/>
                <w:sz w:val="20"/>
                <w:szCs w:val="20"/>
              </w:rPr>
              <w:t>4</w:t>
            </w:r>
            <w:r>
              <w:rPr>
                <w:rFonts w:ascii="宋体" w:hAnsi="宋体" w:cs="宋体" w:eastAsia="宋体" w:hint="default"/>
                <w:spacing w:val="2"/>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2,037,703,248.06</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1,978,003,172.65</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18" w:right="0"/>
              <w:jc w:val="left"/>
              <w:rPr>
                <w:rFonts w:ascii="宋体" w:hAnsi="宋体" w:cs="宋体" w:eastAsia="宋体" w:hint="default"/>
                <w:sz w:val="20"/>
                <w:szCs w:val="20"/>
              </w:rPr>
            </w:pPr>
            <w:r>
              <w:rPr>
                <w:rFonts w:ascii="宋体" w:hAnsi="宋体" w:cs="宋体" w:eastAsia="宋体" w:hint="default"/>
                <w:spacing w:val="3"/>
                <w:sz w:val="20"/>
                <w:szCs w:val="20"/>
              </w:rPr>
              <w:t>营业税金及附加</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15,569,799.04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7"/>
              <w:jc w:val="right"/>
              <w:rPr>
                <w:rFonts w:ascii="宋体" w:hAnsi="宋体" w:cs="宋体" w:eastAsia="宋体" w:hint="default"/>
                <w:sz w:val="20"/>
                <w:szCs w:val="20"/>
              </w:rPr>
            </w:pPr>
            <w:r>
              <w:rPr>
                <w:rFonts w:ascii="宋体"/>
                <w:w w:val="85"/>
                <w:sz w:val="20"/>
              </w:rPr>
              <w:t>13,151,700.97</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8" w:right="0"/>
              <w:jc w:val="left"/>
              <w:rPr>
                <w:rFonts w:ascii="宋体" w:hAnsi="宋体" w:cs="宋体" w:eastAsia="宋体" w:hint="default"/>
                <w:sz w:val="20"/>
                <w:szCs w:val="20"/>
              </w:rPr>
            </w:pPr>
            <w:r>
              <w:rPr>
                <w:rFonts w:ascii="宋体" w:hAnsi="宋体" w:cs="宋体" w:eastAsia="宋体" w:hint="default"/>
                <w:spacing w:val="4"/>
                <w:sz w:val="20"/>
                <w:szCs w:val="20"/>
              </w:rPr>
              <w:t>销售费用</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112,839,052.80</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107,041,598.69</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18" w:right="0"/>
              <w:jc w:val="left"/>
              <w:rPr>
                <w:rFonts w:ascii="宋体" w:hAnsi="宋体" w:cs="宋体" w:eastAsia="宋体" w:hint="default"/>
                <w:sz w:val="20"/>
                <w:szCs w:val="20"/>
              </w:rPr>
            </w:pPr>
            <w:r>
              <w:rPr>
                <w:rFonts w:ascii="宋体" w:hAnsi="宋体" w:cs="宋体" w:eastAsia="宋体" w:hint="default"/>
                <w:spacing w:val="4"/>
                <w:sz w:val="20"/>
                <w:szCs w:val="20"/>
              </w:rPr>
              <w:t>管理费用</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173,609,071.78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7"/>
              <w:jc w:val="right"/>
              <w:rPr>
                <w:rFonts w:ascii="宋体" w:hAnsi="宋体" w:cs="宋体" w:eastAsia="宋体" w:hint="default"/>
                <w:sz w:val="20"/>
                <w:szCs w:val="20"/>
              </w:rPr>
            </w:pPr>
            <w:r>
              <w:rPr>
                <w:rFonts w:ascii="宋体"/>
                <w:w w:val="85"/>
                <w:sz w:val="20"/>
              </w:rPr>
              <w:t>158,258,092.53</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8" w:right="0"/>
              <w:jc w:val="left"/>
              <w:rPr>
                <w:rFonts w:ascii="宋体" w:hAnsi="宋体" w:cs="宋体" w:eastAsia="宋体" w:hint="default"/>
                <w:sz w:val="20"/>
                <w:szCs w:val="20"/>
              </w:rPr>
            </w:pPr>
            <w:r>
              <w:rPr>
                <w:rFonts w:ascii="宋体" w:hAnsi="宋体" w:cs="宋体" w:eastAsia="宋体" w:hint="default"/>
                <w:spacing w:val="4"/>
                <w:sz w:val="20"/>
                <w:szCs w:val="20"/>
              </w:rPr>
              <w:t>财务费用</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20,789,304.38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40,807,934.49</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8" w:right="0"/>
              <w:jc w:val="left"/>
              <w:rPr>
                <w:rFonts w:ascii="宋体" w:hAnsi="宋体" w:cs="宋体" w:eastAsia="宋体" w:hint="default"/>
                <w:sz w:val="20"/>
                <w:szCs w:val="20"/>
              </w:rPr>
            </w:pPr>
            <w:r>
              <w:rPr>
                <w:rFonts w:ascii="宋体" w:hAnsi="宋体" w:cs="宋体" w:eastAsia="宋体" w:hint="default"/>
                <w:spacing w:val="2"/>
                <w:sz w:val="20"/>
                <w:szCs w:val="20"/>
              </w:rPr>
              <w:t>资产减值损失</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18,948,322.81</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10,053,887.18</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9"/>
              <w:jc w:val="right"/>
              <w:rPr>
                <w:rFonts w:ascii="宋体" w:hAnsi="宋体" w:cs="宋体" w:eastAsia="宋体" w:hint="default"/>
                <w:sz w:val="20"/>
                <w:szCs w:val="20"/>
              </w:rPr>
            </w:pPr>
            <w:r>
              <w:rPr>
                <w:rFonts w:ascii="宋体" w:hAnsi="宋体" w:cs="宋体" w:eastAsia="宋体" w:hint="default"/>
                <w:spacing w:val="3"/>
                <w:w w:val="85"/>
                <w:sz w:val="20"/>
                <w:szCs w:val="20"/>
              </w:rPr>
              <w:t>加：公允价值变动收益（损失以“－”号填列）</w:t>
            </w:r>
            <w:r>
              <w:rPr>
                <w:rFonts w:ascii="宋体" w:hAnsi="宋体" w:cs="宋体" w:eastAsia="宋体" w:hint="default"/>
                <w:spacing w:val="3"/>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8" w:right="0"/>
              <w:jc w:val="left"/>
              <w:rPr>
                <w:rFonts w:ascii="宋体" w:hAnsi="宋体" w:cs="宋体" w:eastAsia="宋体" w:hint="default"/>
                <w:sz w:val="20"/>
                <w:szCs w:val="20"/>
              </w:rPr>
            </w:pPr>
            <w:r>
              <w:rPr>
                <w:rFonts w:ascii="宋体" w:hAnsi="宋体" w:cs="宋体" w:eastAsia="宋体" w:hint="default"/>
                <w:spacing w:val="3"/>
                <w:sz w:val="20"/>
                <w:szCs w:val="20"/>
              </w:rPr>
              <w:t>投资收益（损失以“－”号填列）</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pacing w:val="2"/>
                <w:w w:val="95"/>
                <w:sz w:val="20"/>
                <w:szCs w:val="20"/>
              </w:rPr>
              <w:t>十七、</w:t>
            </w:r>
            <w:r>
              <w:rPr>
                <w:rFonts w:ascii="宋体" w:hAnsi="宋体" w:cs="宋体" w:eastAsia="宋体" w:hint="default"/>
                <w:spacing w:val="2"/>
                <w:w w:val="95"/>
                <w:sz w:val="20"/>
                <w:szCs w:val="20"/>
              </w:rPr>
              <w:t>5</w:t>
            </w:r>
            <w:r>
              <w:rPr>
                <w:rFonts w:ascii="宋体" w:hAnsi="宋体" w:cs="宋体" w:eastAsia="宋体" w:hint="default"/>
                <w:spacing w:val="2"/>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-5,435,106.03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5,334,833.75</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95"/>
              <w:jc w:val="right"/>
              <w:rPr>
                <w:rFonts w:ascii="宋体" w:hAnsi="宋体" w:cs="宋体" w:eastAsia="宋体" w:hint="default"/>
                <w:sz w:val="20"/>
                <w:szCs w:val="20"/>
              </w:rPr>
            </w:pPr>
            <w:r>
              <w:rPr>
                <w:rFonts w:ascii="宋体" w:hAnsi="宋体" w:cs="宋体" w:eastAsia="宋体" w:hint="default"/>
                <w:spacing w:val="3"/>
                <w:w w:val="85"/>
                <w:sz w:val="20"/>
                <w:szCs w:val="20"/>
              </w:rPr>
              <w:t>其中：对联营企业和合营企业的投资收益</w:t>
            </w:r>
            <w:r>
              <w:rPr>
                <w:rFonts w:ascii="宋体" w:hAnsi="宋体" w:cs="宋体" w:eastAsia="宋体" w:hint="default"/>
                <w:spacing w:val="3"/>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-9,370,565.16</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-3,827,280.86</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二、营业利润</w:t>
            </w:r>
            <w:r>
              <w:rPr>
                <w:rFonts w:ascii="宋体" w:hAnsi="宋体" w:cs="宋体" w:eastAsia="宋体" w:hint="default"/>
                <w:spacing w:val="2"/>
                <w:sz w:val="20"/>
                <w:szCs w:val="20"/>
              </w:rPr>
              <w:t>（亏损以“－”号填列）</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2,609,418.14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-12,123,129.28</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加：营业外收入</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7,501,839.20</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20,661,569.47</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8" w:right="0"/>
              <w:jc w:val="left"/>
              <w:rPr>
                <w:rFonts w:ascii="宋体" w:hAnsi="宋体" w:cs="宋体" w:eastAsia="宋体" w:hint="default"/>
                <w:sz w:val="20"/>
                <w:szCs w:val="20"/>
              </w:rPr>
            </w:pPr>
            <w:r>
              <w:rPr>
                <w:rFonts w:ascii="宋体" w:hAnsi="宋体" w:cs="宋体" w:eastAsia="宋体" w:hint="default"/>
                <w:spacing w:val="3"/>
                <w:sz w:val="20"/>
                <w:szCs w:val="20"/>
              </w:rPr>
              <w:t>其中：非流动资产处置利得</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244,838.77</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204,816.58</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减：营业外支出</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4,589,434.26</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3,420,641.60</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8" w:right="0"/>
              <w:jc w:val="left"/>
              <w:rPr>
                <w:rFonts w:ascii="宋体" w:hAnsi="宋体" w:cs="宋体" w:eastAsia="宋体" w:hint="default"/>
                <w:sz w:val="20"/>
                <w:szCs w:val="20"/>
              </w:rPr>
            </w:pPr>
            <w:r>
              <w:rPr>
                <w:rFonts w:ascii="宋体" w:hAnsi="宋体" w:cs="宋体" w:eastAsia="宋体" w:hint="default"/>
                <w:spacing w:val="3"/>
                <w:sz w:val="20"/>
                <w:szCs w:val="20"/>
              </w:rPr>
              <w:t>其中：非流动资产处置损失</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157,694.17</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734,793.20</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三、利润总额</w:t>
            </w:r>
            <w:r>
              <w:rPr>
                <w:rFonts w:ascii="宋体" w:hAnsi="宋体" w:cs="宋体" w:eastAsia="宋体" w:hint="default"/>
                <w:spacing w:val="2"/>
                <w:sz w:val="20"/>
                <w:szCs w:val="20"/>
              </w:rPr>
              <w:t>（亏损总额以“－”号填列）</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5,521,823.08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5,117,798.59</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减：所得税费用</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-1,739,752.69</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2,219,846.30</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四、净利润</w:t>
            </w:r>
            <w:r>
              <w:rPr>
                <w:rFonts w:ascii="宋体" w:hAnsi="宋体" w:cs="宋体" w:eastAsia="宋体" w:hint="default"/>
                <w:spacing w:val="2"/>
                <w:sz w:val="20"/>
                <w:szCs w:val="20"/>
              </w:rPr>
              <w:t>（净亏损以“－”号填列）</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7,261,575.77</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2,897,952.29</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五、其他综合收益的税后净额</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87"/>
                <w:sz w:val="20"/>
              </w:rPr>
              <w:t>-</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87"/>
                <w:sz w:val="20"/>
              </w:rPr>
              <w:t>-</w:t>
            </w:r>
            <w:r>
              <w:rPr>
                <w:rFonts w:ascii="宋体"/>
                <w:sz w:val="20"/>
              </w:rPr>
            </w: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w w:val="95"/>
                <w:sz w:val="20"/>
                <w:szCs w:val="20"/>
              </w:rPr>
              <w:t>（一）以后不能重分类进损益的其他综合收益</w:t>
            </w:r>
            <w:r>
              <w:rPr>
                <w:rFonts w:ascii="宋体" w:hAnsi="宋体" w:cs="宋体" w:eastAsia="宋体" w:hint="default"/>
                <w:spacing w:val="3"/>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87"/>
                <w:sz w:val="20"/>
              </w:rPr>
              <w:t>-</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87"/>
                <w:sz w:val="20"/>
              </w:rPr>
              <w:t>-</w:t>
            </w:r>
            <w:r>
              <w:rPr>
                <w:rFonts w:ascii="宋体"/>
                <w:sz w:val="20"/>
              </w:rPr>
            </w:r>
          </w:p>
        </w:tc>
      </w:tr>
      <w:tr>
        <w:trPr>
          <w:trHeight w:val="308"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8"/>
              <w:jc w:val="right"/>
              <w:rPr>
                <w:rFonts w:ascii="宋体" w:hAnsi="宋体" w:cs="宋体" w:eastAsia="宋体" w:hint="default"/>
                <w:sz w:val="20"/>
                <w:szCs w:val="20"/>
              </w:rPr>
            </w:pPr>
            <w:r>
              <w:rPr>
                <w:rFonts w:ascii="宋体" w:hAnsi="宋体" w:cs="宋体" w:eastAsia="宋体" w:hint="default"/>
                <w:spacing w:val="3"/>
                <w:w w:val="85"/>
                <w:sz w:val="20"/>
                <w:szCs w:val="20"/>
              </w:rPr>
              <w:t>1.</w:t>
            </w:r>
            <w:r>
              <w:rPr>
                <w:rFonts w:ascii="宋体" w:hAnsi="宋体" w:cs="宋体" w:eastAsia="宋体" w:hint="default"/>
                <w:spacing w:val="3"/>
                <w:w w:val="85"/>
                <w:sz w:val="20"/>
                <w:szCs w:val="20"/>
              </w:rPr>
              <w:t>重新计量设定受益计划净负债或净资产的变动</w:t>
            </w:r>
            <w:r>
              <w:rPr>
                <w:rFonts w:ascii="宋体" w:hAnsi="宋体" w:cs="宋体" w:eastAsia="宋体" w:hint="default"/>
                <w:spacing w:val="3"/>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12"/>
                <w:w w:val="85"/>
                <w:sz w:val="20"/>
                <w:szCs w:val="20"/>
              </w:rPr>
              <w:t>2.</w:t>
            </w:r>
            <w:r>
              <w:rPr>
                <w:rFonts w:ascii="宋体" w:hAnsi="宋体" w:cs="宋体" w:eastAsia="宋体" w:hint="default"/>
                <w:spacing w:val="12"/>
                <w:w w:val="85"/>
                <w:sz w:val="20"/>
                <w:szCs w:val="20"/>
              </w:rPr>
              <w:t>权益法下在被投资单位不能重分类进损益的其</w:t>
            </w:r>
            <w:r>
              <w:rPr>
                <w:rFonts w:ascii="宋体" w:hAnsi="宋体" w:cs="宋体" w:eastAsia="宋体" w:hint="default"/>
                <w:spacing w:val="12"/>
                <w:sz w:val="20"/>
                <w:szCs w:val="20"/>
              </w:rPr>
            </w:r>
          </w:p>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pacing w:val="3"/>
                <w:sz w:val="20"/>
                <w:szCs w:val="20"/>
              </w:rPr>
              <w:t>他综合收益中享有的份额</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w w:val="95"/>
                <w:sz w:val="20"/>
                <w:szCs w:val="20"/>
              </w:rPr>
              <w:t>（二）以后将重分类进损益的其他综合收益</w:t>
            </w:r>
            <w:r>
              <w:rPr>
                <w:rFonts w:ascii="宋体" w:hAnsi="宋体" w:cs="宋体" w:eastAsia="宋体" w:hint="default"/>
                <w:spacing w:val="3"/>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87"/>
                <w:sz w:val="20"/>
              </w:rPr>
              <w:t>-</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87"/>
                <w:sz w:val="20"/>
              </w:rPr>
              <w:t>-</w:t>
            </w:r>
            <w:r>
              <w:rPr>
                <w:rFonts w:ascii="宋体"/>
                <w:sz w:val="20"/>
              </w:rPr>
            </w:r>
          </w:p>
        </w:tc>
      </w:tr>
      <w:tr>
        <w:trPr>
          <w:trHeight w:val="6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12"/>
                <w:w w:val="85"/>
                <w:sz w:val="20"/>
                <w:szCs w:val="20"/>
              </w:rPr>
              <w:t>1.</w:t>
            </w:r>
            <w:r>
              <w:rPr>
                <w:rFonts w:ascii="宋体" w:hAnsi="宋体" w:cs="宋体" w:eastAsia="宋体" w:hint="default"/>
                <w:spacing w:val="12"/>
                <w:w w:val="85"/>
                <w:sz w:val="20"/>
                <w:szCs w:val="20"/>
              </w:rPr>
              <w:t>权益法下在被投资单位以后将重分类进损益的</w:t>
            </w:r>
            <w:r>
              <w:rPr>
                <w:rFonts w:ascii="宋体" w:hAnsi="宋体" w:cs="宋体" w:eastAsia="宋体" w:hint="default"/>
                <w:spacing w:val="12"/>
                <w:sz w:val="20"/>
                <w:szCs w:val="20"/>
              </w:rPr>
            </w:r>
          </w:p>
          <w:p>
            <w:pPr>
              <w:pStyle w:val="TableParagraph"/>
              <w:spacing w:line="240" w:lineRule="auto" w:before="38"/>
              <w:ind w:left="103" w:right="0"/>
              <w:jc w:val="left"/>
              <w:rPr>
                <w:rFonts w:ascii="宋体" w:hAnsi="宋体" w:cs="宋体" w:eastAsia="宋体" w:hint="default"/>
                <w:sz w:val="20"/>
                <w:szCs w:val="20"/>
              </w:rPr>
            </w:pPr>
            <w:r>
              <w:rPr>
                <w:rFonts w:ascii="宋体" w:hAnsi="宋体" w:cs="宋体" w:eastAsia="宋体" w:hint="default"/>
                <w:spacing w:val="3"/>
                <w:sz w:val="20"/>
                <w:szCs w:val="20"/>
              </w:rPr>
              <w:t>其他综合收益中享有的份额</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2.</w:t>
            </w:r>
            <w:r>
              <w:rPr>
                <w:rFonts w:ascii="宋体" w:hAnsi="宋体" w:cs="宋体" w:eastAsia="宋体" w:hint="default"/>
                <w:spacing w:val="3"/>
                <w:sz w:val="20"/>
                <w:szCs w:val="20"/>
              </w:rPr>
              <w:t>可供出售金融资产公允价值变动损益</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20"/>
                <w:szCs w:val="20"/>
              </w:rPr>
            </w:pPr>
            <w:r>
              <w:rPr>
                <w:rFonts w:ascii="宋体" w:hAnsi="宋体" w:cs="宋体" w:eastAsia="宋体" w:hint="default"/>
                <w:spacing w:val="12"/>
                <w:w w:val="85"/>
                <w:sz w:val="20"/>
                <w:szCs w:val="20"/>
              </w:rPr>
              <w:t>3.</w:t>
            </w:r>
            <w:r>
              <w:rPr>
                <w:rFonts w:ascii="宋体" w:hAnsi="宋体" w:cs="宋体" w:eastAsia="宋体" w:hint="default"/>
                <w:spacing w:val="12"/>
                <w:w w:val="85"/>
                <w:sz w:val="20"/>
                <w:szCs w:val="20"/>
              </w:rPr>
              <w:t>持有至到期投资重分类为可供出售金融资产损</w:t>
            </w:r>
            <w:r>
              <w:rPr>
                <w:rFonts w:ascii="宋体" w:hAnsi="宋体" w:cs="宋体" w:eastAsia="宋体" w:hint="default"/>
                <w:spacing w:val="12"/>
                <w:sz w:val="20"/>
                <w:szCs w:val="20"/>
              </w:rPr>
            </w:r>
          </w:p>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w w:val="87"/>
                <w:sz w:val="20"/>
                <w:szCs w:val="20"/>
              </w:rPr>
              <w:t>益</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4.</w:t>
            </w:r>
            <w:r>
              <w:rPr>
                <w:rFonts w:ascii="宋体" w:hAnsi="宋体" w:cs="宋体" w:eastAsia="宋体" w:hint="default"/>
                <w:spacing w:val="3"/>
                <w:sz w:val="20"/>
                <w:szCs w:val="20"/>
              </w:rPr>
              <w:t>现金流量套期损益的有效部分</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5.</w:t>
            </w:r>
            <w:r>
              <w:rPr>
                <w:rFonts w:ascii="宋体" w:hAnsi="宋体" w:cs="宋体" w:eastAsia="宋体" w:hint="default"/>
                <w:spacing w:val="3"/>
                <w:sz w:val="20"/>
                <w:szCs w:val="20"/>
              </w:rPr>
              <w:t>外币财务报表折算差额</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6.</w:t>
            </w:r>
            <w:r>
              <w:rPr>
                <w:rFonts w:ascii="宋体" w:hAnsi="宋体" w:cs="宋体" w:eastAsia="宋体" w:hint="default"/>
                <w:spacing w:val="3"/>
                <w:sz w:val="20"/>
                <w:szCs w:val="20"/>
              </w:rPr>
              <w:t>其他</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7,261,575.77</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2,897,952.29</w:t>
            </w:r>
            <w:r>
              <w:rPr>
                <w:rFonts w:ascii="宋体"/>
                <w:sz w:val="20"/>
              </w:rPr>
            </w:r>
          </w:p>
        </w:tc>
      </w:tr>
      <w:tr>
        <w:trPr>
          <w:trHeight w:val="308"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pacing w:val="2"/>
                <w:sz w:val="20"/>
                <w:szCs w:val="20"/>
              </w:rPr>
              <w:t>七、每股收益</w:t>
            </w:r>
            <w:r>
              <w:rPr>
                <w:rFonts w:ascii="宋体" w:hAnsi="宋体" w:cs="宋体" w:eastAsia="宋体" w:hint="default"/>
                <w:sz w:val="20"/>
                <w:szCs w:val="20"/>
              </w:rPr>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（一）基本每股收益</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20"/>
                <w:szCs w:val="20"/>
              </w:rPr>
            </w:pPr>
            <w:r>
              <w:rPr>
                <w:rFonts w:ascii="宋体"/>
                <w:w w:val="85"/>
                <w:sz w:val="20"/>
              </w:rPr>
              <w:t>0.0055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20"/>
                <w:szCs w:val="20"/>
              </w:rPr>
            </w:pPr>
            <w:r>
              <w:rPr>
                <w:rFonts w:ascii="宋体"/>
                <w:w w:val="85"/>
                <w:sz w:val="20"/>
              </w:rPr>
              <w:t>0.0022</w:t>
            </w:r>
            <w:r>
              <w:rPr>
                <w:rFonts w:ascii="宋体"/>
                <w:sz w:val="20"/>
              </w:rPr>
            </w:r>
          </w:p>
        </w:tc>
      </w:tr>
      <w:tr>
        <w:trPr>
          <w:trHeight w:val="30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3" w:right="0"/>
              <w:jc w:val="left"/>
              <w:rPr>
                <w:rFonts w:ascii="宋体" w:hAnsi="宋体" w:cs="宋体" w:eastAsia="宋体" w:hint="default"/>
                <w:sz w:val="20"/>
                <w:szCs w:val="20"/>
              </w:rPr>
            </w:pPr>
            <w:r>
              <w:rPr>
                <w:rFonts w:ascii="宋体" w:hAnsi="宋体" w:cs="宋体" w:eastAsia="宋体" w:hint="default"/>
                <w:spacing w:val="3"/>
                <w:sz w:val="20"/>
                <w:szCs w:val="20"/>
              </w:rPr>
              <w:t>（二）稀释每股收益</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w w:val="85"/>
                <w:sz w:val="20"/>
              </w:rPr>
              <w:t>0.0055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w w:val="85"/>
                <w:sz w:val="20"/>
              </w:rPr>
              <w:t>0.0022</w:t>
            </w:r>
            <w:r>
              <w:rPr>
                <w:rFonts w:ascii="宋体"/>
                <w:sz w:val="20"/>
              </w:rPr>
            </w:r>
          </w:p>
        </w:tc>
      </w:tr>
    </w:tbl>
    <w:p>
      <w:pPr>
        <w:tabs>
          <w:tab w:pos="2874" w:val="left" w:leader="none"/>
          <w:tab w:pos="6376" w:val="left" w:leader="none"/>
        </w:tabs>
        <w:spacing w:before="45"/>
        <w:ind w:left="373" w:right="35"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33"/>
          <w:footerReference w:type="default" r:id="rId34"/>
          <w:pgSz w:w="11910" w:h="16840"/>
          <w:pgMar w:header="0" w:footer="980" w:top="1580" w:bottom="1160" w:left="1480" w:right="1460"/>
          <w:pgNumType w:start="6"/>
        </w:sectPr>
      </w:pPr>
    </w:p>
    <w:p>
      <w:pPr>
        <w:pStyle w:val="Heading4"/>
        <w:spacing w:line="240" w:lineRule="auto"/>
        <w:ind w:left="3962" w:right="3963"/>
        <w:jc w:val="center"/>
      </w:pPr>
      <w:r>
        <w:rPr/>
        <w:t>合并现金流量表</w:t>
      </w:r>
    </w:p>
    <w:p>
      <w:pPr>
        <w:spacing w:before="25"/>
        <w:ind w:left="3962" w:right="3961"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年度</w:t>
      </w:r>
    </w:p>
    <w:p>
      <w:pPr>
        <w:tabs>
          <w:tab w:pos="7929" w:val="left" w:leader="none"/>
        </w:tabs>
        <w:spacing w:before="9"/>
        <w:ind w:left="0" w:right="1"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247"/>
        <w:gridCol w:w="756"/>
        <w:gridCol w:w="1769"/>
        <w:gridCol w:w="1774"/>
      </w:tblGrid>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2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25"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销售商品、提供劳务收到的现金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77,360,383,051.83</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82,144,045,182.32</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收到的税费返还</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122,298,941.01</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9"/>
              <w:jc w:val="right"/>
              <w:rPr>
                <w:rFonts w:ascii="宋体" w:hAnsi="宋体" w:cs="宋体" w:eastAsia="宋体" w:hint="default"/>
                <w:sz w:val="20"/>
                <w:szCs w:val="20"/>
              </w:rPr>
            </w:pPr>
            <w:r>
              <w:rPr>
                <w:rFonts w:ascii="宋体"/>
                <w:w w:val="85"/>
                <w:sz w:val="20"/>
              </w:rPr>
              <w:t>107,686,728.27</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收到其他与经营活动有关的现金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402,531,604.06</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729,193,056.27</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06"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77,885,213,596.90</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82,980,924,966.86</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购买商品、接受劳务支付的现金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67,661,459,576.45</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71,356,860,650.16</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支付给职工以及为职工支付的现金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4,021,129,279.93</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4,484,601,643.78</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支付的各项税费</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1,449,755,156.57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1,083,778,139.88</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支付其他与经营活动有关的现金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3,065,457,264.22</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3,423,772,286.10</w:t>
            </w:r>
            <w:r>
              <w:rPr>
                <w:rFonts w:ascii="宋体"/>
                <w:sz w:val="20"/>
              </w:rPr>
            </w:r>
          </w:p>
        </w:tc>
      </w:tr>
      <w:tr>
        <w:trPr>
          <w:trHeight w:val="284"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06"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76,197,801,277.17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80,349,012,719.92</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5"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1,687,412,319.73</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2,631,912,246.94</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收回投资收到的现金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4,061,860.00</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取得投资收益收到的现金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60,955,827.23</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8"/>
              <w:jc w:val="right"/>
              <w:rPr>
                <w:rFonts w:ascii="宋体" w:hAnsi="宋体" w:cs="宋体" w:eastAsia="宋体" w:hint="default"/>
                <w:sz w:val="20"/>
                <w:szCs w:val="20"/>
              </w:rPr>
            </w:pPr>
            <w:r>
              <w:rPr>
                <w:rFonts w:ascii="宋体"/>
                <w:w w:val="85"/>
                <w:sz w:val="20"/>
              </w:rPr>
              <w:t>59,323,940.57</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w w:val="85"/>
                <w:sz w:val="20"/>
                <w:szCs w:val="20"/>
              </w:rPr>
              <w:t>处置固定资产、无形资产和其他长期资产收回的现金净额</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375,379,263.46</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222,946,226.27</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处置子公司及其他营业单位收到的现金净额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收到其他与投资活动有关的现金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06"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440,396,950.69</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282,270,166.84</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w w:val="95"/>
                <w:sz w:val="20"/>
                <w:szCs w:val="20"/>
              </w:rPr>
              <w:t>购建固定资产、无形资产和其他长期资产支付的现金</w:t>
            </w:r>
            <w:r>
              <w:rPr>
                <w:rFonts w:ascii="宋体" w:hAnsi="宋体" w:cs="宋体" w:eastAsia="宋体" w:hint="default"/>
                <w:spacing w:val="3"/>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1,132,360,002.34</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1,405,140,813.21</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投资支付的现金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403,650,571.25</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9"/>
              <w:jc w:val="right"/>
              <w:rPr>
                <w:rFonts w:ascii="宋体" w:hAnsi="宋体" w:cs="宋体" w:eastAsia="宋体" w:hint="default"/>
                <w:sz w:val="20"/>
                <w:szCs w:val="20"/>
              </w:rPr>
            </w:pPr>
            <w:r>
              <w:rPr>
                <w:rFonts w:ascii="宋体"/>
                <w:w w:val="85"/>
                <w:sz w:val="20"/>
              </w:rPr>
              <w:t>141,428,916.97</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取得子公司及其他营业单位支付的现金净额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43,837,756.25</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支付其他与投资活动有关的现金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124,430,585.00</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736,800.00</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06"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1,704,278,914.84</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1,547,306,530.18</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5"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-1,263,881,964.15</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-1,265,036,363.34</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吸收投资收到的现金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133,135,733.75</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18" w:right="0"/>
              <w:jc w:val="left"/>
              <w:rPr>
                <w:rFonts w:ascii="宋体" w:hAnsi="宋体" w:cs="宋体" w:eastAsia="宋体" w:hint="default"/>
                <w:sz w:val="20"/>
                <w:szCs w:val="20"/>
              </w:rPr>
            </w:pPr>
            <w:r>
              <w:rPr>
                <w:rFonts w:ascii="宋体" w:hAnsi="宋体" w:cs="宋体" w:eastAsia="宋体" w:hint="default"/>
                <w:spacing w:val="3"/>
                <w:sz w:val="20"/>
                <w:szCs w:val="20"/>
              </w:rPr>
              <w:t>其中：子公司吸收少数股东投资收到的现金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133,135,733.75</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取得借款所收到的现金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7"/>
              <w:jc w:val="right"/>
              <w:rPr>
                <w:rFonts w:ascii="宋体" w:hAnsi="宋体" w:cs="宋体" w:eastAsia="宋体" w:hint="default"/>
                <w:sz w:val="20"/>
                <w:szCs w:val="20"/>
              </w:rPr>
            </w:pPr>
            <w:r>
              <w:rPr>
                <w:rFonts w:ascii="宋体"/>
                <w:w w:val="85"/>
                <w:sz w:val="20"/>
              </w:rPr>
              <w:t>4,248,655,977.72</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9"/>
              <w:jc w:val="right"/>
              <w:rPr>
                <w:rFonts w:ascii="宋体" w:hAnsi="宋体" w:cs="宋体" w:eastAsia="宋体" w:hint="default"/>
                <w:sz w:val="20"/>
                <w:szCs w:val="20"/>
              </w:rPr>
            </w:pPr>
            <w:r>
              <w:rPr>
                <w:rFonts w:ascii="宋体"/>
                <w:w w:val="85"/>
                <w:sz w:val="20"/>
              </w:rPr>
              <w:t>4,969,605,925.49</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发行债券收到的现金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50,680.62</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06"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20"/>
                <w:szCs w:val="20"/>
              </w:rPr>
            </w:pPr>
            <w:r>
              <w:rPr>
                <w:rFonts w:ascii="宋体"/>
                <w:b/>
                <w:w w:val="85"/>
                <w:sz w:val="20"/>
              </w:rPr>
              <w:t>4,381,791,711.47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7"/>
              <w:jc w:val="right"/>
              <w:rPr>
                <w:rFonts w:ascii="宋体" w:hAnsi="宋体" w:cs="宋体" w:eastAsia="宋体" w:hint="default"/>
                <w:sz w:val="20"/>
                <w:szCs w:val="20"/>
              </w:rPr>
            </w:pPr>
            <w:r>
              <w:rPr>
                <w:rFonts w:ascii="宋体"/>
                <w:b/>
                <w:w w:val="85"/>
                <w:sz w:val="20"/>
              </w:rPr>
              <w:t>4,969,656,606.11</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偿还债务所支付的现金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4,307,228,149.64</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5,454,956,794.05</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分配股利、利润或偿付利息所支付的现金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363,521,654.57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293,764,747.84</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18" w:right="0"/>
              <w:jc w:val="left"/>
              <w:rPr>
                <w:rFonts w:ascii="宋体" w:hAnsi="宋体" w:cs="宋体" w:eastAsia="宋体" w:hint="default"/>
                <w:sz w:val="20"/>
                <w:szCs w:val="20"/>
              </w:rPr>
            </w:pPr>
            <w:r>
              <w:rPr>
                <w:rFonts w:ascii="宋体" w:hAnsi="宋体" w:cs="宋体" w:eastAsia="宋体" w:hint="default"/>
                <w:spacing w:val="3"/>
                <w:sz w:val="20"/>
                <w:szCs w:val="20"/>
              </w:rPr>
              <w:t>其中：子公司支付给少数股东的股利、利润</w:t>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w w:val="85"/>
                <w:sz w:val="20"/>
              </w:rPr>
              <w:t>22,601,923.07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8"/>
              <w:jc w:val="right"/>
              <w:rPr>
                <w:rFonts w:ascii="宋体" w:hAnsi="宋体" w:cs="宋体" w:eastAsia="宋体" w:hint="default"/>
                <w:sz w:val="20"/>
                <w:szCs w:val="20"/>
              </w:rPr>
            </w:pPr>
            <w:r>
              <w:rPr>
                <w:rFonts w:ascii="宋体"/>
                <w:w w:val="85"/>
                <w:sz w:val="20"/>
              </w:rPr>
              <w:t>20,705,978.34</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5,416,800.00</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1,314,131.61</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06"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4,676,166,604.21</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5,750,035,673.50</w:t>
            </w:r>
            <w:r>
              <w:rPr>
                <w:rFonts w:ascii="宋体"/>
                <w:sz w:val="20"/>
              </w:rPr>
            </w:r>
          </w:p>
        </w:tc>
      </w:tr>
      <w:tr>
        <w:trPr>
          <w:trHeight w:val="284"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5"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-294,374,892.74</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-780,379,067.39</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w w:val="85"/>
                <w:sz w:val="20"/>
              </w:rPr>
              <w:t>-81,856,427.07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w w:val="85"/>
                <w:sz w:val="20"/>
              </w:rPr>
              <w:t>-67,428,119.75</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b/>
                <w:w w:val="85"/>
                <w:sz w:val="20"/>
              </w:rPr>
              <w:t>47,299,035.77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519,068,696.46</w:t>
            </w:r>
            <w:r>
              <w:rPr>
                <w:rFonts w:ascii="宋体"/>
                <w:sz w:val="20"/>
              </w:rPr>
            </w:r>
          </w:p>
        </w:tc>
      </w:tr>
      <w:tr>
        <w:trPr>
          <w:trHeight w:val="283"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加：期初现金及现金等价物余额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w w:val="85"/>
                <w:sz w:val="20"/>
              </w:rPr>
              <w:t>3,616,324,733.67</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85"/>
                <w:sz w:val="20"/>
              </w:rPr>
              <w:t>3,097,256,037.21</w:t>
            </w:r>
            <w:r>
              <w:rPr>
                <w:rFonts w:ascii="宋体"/>
                <w:sz w:val="20"/>
              </w:rPr>
            </w:r>
          </w:p>
        </w:tc>
      </w:tr>
      <w:tr>
        <w:trPr>
          <w:trHeight w:val="28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95"/>
                <w:sz w:val="20"/>
                <w:szCs w:val="20"/>
              </w:rPr>
              <w:t>六、</w:t>
            </w:r>
            <w:r>
              <w:rPr>
                <w:rFonts w:ascii="宋体" w:hAnsi="宋体" w:cs="宋体" w:eastAsia="宋体" w:hint="default"/>
                <w:spacing w:val="3"/>
                <w:w w:val="95"/>
                <w:sz w:val="20"/>
                <w:szCs w:val="20"/>
              </w:rPr>
              <w:t>58</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b/>
                <w:w w:val="85"/>
                <w:sz w:val="20"/>
              </w:rPr>
              <w:t>3,663,623,769.44</w:t>
            </w:r>
            <w:r>
              <w:rPr>
                <w:rFonts w:ascii="宋体"/>
                <w:sz w:val="20"/>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7"/>
              <w:jc w:val="right"/>
              <w:rPr>
                <w:rFonts w:ascii="宋体" w:hAnsi="宋体" w:cs="宋体" w:eastAsia="宋体" w:hint="default"/>
                <w:sz w:val="20"/>
                <w:szCs w:val="20"/>
              </w:rPr>
            </w:pPr>
            <w:r>
              <w:rPr>
                <w:rFonts w:ascii="宋体"/>
                <w:b/>
                <w:w w:val="85"/>
                <w:sz w:val="20"/>
              </w:rPr>
              <w:t>3,616,324,733.67</w:t>
            </w:r>
            <w:r>
              <w:rPr>
                <w:rFonts w:ascii="宋体"/>
                <w:sz w:val="20"/>
              </w:rPr>
            </w:r>
          </w:p>
        </w:tc>
      </w:tr>
    </w:tbl>
    <w:p>
      <w:pPr>
        <w:tabs>
          <w:tab w:pos="3296" w:val="left" w:leader="none"/>
          <w:tab w:pos="7197" w:val="left" w:leader="none"/>
        </w:tabs>
        <w:spacing w:before="47"/>
        <w:ind w:left="394"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35"/>
          <w:footerReference w:type="default" r:id="rId36"/>
          <w:pgSz w:w="11910" w:h="16840"/>
          <w:pgMar w:header="0" w:footer="980" w:top="1580" w:bottom="1160" w:left="1060" w:right="1060"/>
          <w:pgNumType w:start="7"/>
        </w:sectPr>
      </w:pPr>
    </w:p>
    <w:p>
      <w:pPr>
        <w:pStyle w:val="Heading4"/>
        <w:spacing w:line="240" w:lineRule="auto" w:before="1"/>
        <w:ind w:right="19"/>
        <w:jc w:val="center"/>
      </w:pPr>
      <w:r>
        <w:rPr/>
        <w:t>母公司现金流量表</w:t>
      </w:r>
    </w:p>
    <w:p>
      <w:pPr>
        <w:spacing w:before="11"/>
        <w:ind w:left="0" w:right="16"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年度</w:t>
      </w:r>
    </w:p>
    <w:p>
      <w:pPr>
        <w:tabs>
          <w:tab w:pos="7753" w:val="left" w:leader="none"/>
        </w:tabs>
        <w:spacing w:before="16"/>
        <w:ind w:left="0" w:right="18" w:firstLine="0"/>
        <w:jc w:val="center"/>
        <w:rPr>
          <w:rFonts w:ascii="宋体" w:hAnsi="宋体" w:cs="宋体" w:eastAsia="宋体" w:hint="default"/>
          <w:sz w:val="20"/>
          <w:szCs w:val="20"/>
        </w:rPr>
      </w:pPr>
      <w:r>
        <w:rPr>
          <w:rFonts w:ascii="宋体" w:hAnsi="宋体" w:cs="宋体" w:eastAsia="宋体" w:hint="default"/>
          <w:w w:val="95"/>
          <w:sz w:val="20"/>
          <w:szCs w:val="20"/>
        </w:rPr>
        <w:t>编制单位：中国长城计算机深圳股份有限公司</w:t>
        <w:tab/>
      </w:r>
      <w:r>
        <w:rPr>
          <w:rFonts w:ascii="宋体" w:hAnsi="宋体" w:cs="宋体" w:eastAsia="宋体" w:hint="default"/>
          <w:sz w:val="20"/>
          <w:szCs w:val="20"/>
        </w:rPr>
        <w:t>单位：人民币元</w:t>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428"/>
        <w:gridCol w:w="581"/>
        <w:gridCol w:w="1680"/>
        <w:gridCol w:w="1681"/>
      </w:tblGrid>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79"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79"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销售商品、提供劳务收到的现金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7"/>
              <w:jc w:val="right"/>
              <w:rPr>
                <w:rFonts w:ascii="宋体" w:hAnsi="宋体" w:cs="宋体" w:eastAsia="宋体" w:hint="default"/>
                <w:sz w:val="20"/>
                <w:szCs w:val="20"/>
              </w:rPr>
            </w:pPr>
            <w:r>
              <w:rPr>
                <w:rFonts w:ascii="宋体"/>
                <w:w w:val="85"/>
                <w:sz w:val="20"/>
              </w:rPr>
              <w:t>2,724,057,044.97</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7"/>
              <w:jc w:val="right"/>
              <w:rPr>
                <w:rFonts w:ascii="宋体" w:hAnsi="宋体" w:cs="宋体" w:eastAsia="宋体" w:hint="default"/>
                <w:sz w:val="20"/>
                <w:szCs w:val="20"/>
              </w:rPr>
            </w:pPr>
            <w:r>
              <w:rPr>
                <w:rFonts w:ascii="宋体"/>
                <w:w w:val="85"/>
                <w:sz w:val="20"/>
              </w:rPr>
              <w:t>2,493,709,634.70</w:t>
            </w:r>
            <w:r>
              <w:rPr>
                <w:rFonts w:ascii="宋体"/>
                <w:sz w:val="20"/>
              </w:rPr>
            </w:r>
          </w:p>
        </w:tc>
      </w:tr>
      <w:tr>
        <w:trPr>
          <w:trHeight w:val="288"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收到的税费返还</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10,319,150.85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14,560,834.57</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收到其他与经营活动有关的现金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6"/>
              <w:jc w:val="right"/>
              <w:rPr>
                <w:rFonts w:ascii="宋体" w:hAnsi="宋体" w:cs="宋体" w:eastAsia="宋体" w:hint="default"/>
                <w:sz w:val="20"/>
                <w:szCs w:val="20"/>
              </w:rPr>
            </w:pPr>
            <w:r>
              <w:rPr>
                <w:rFonts w:ascii="宋体"/>
                <w:w w:val="85"/>
                <w:sz w:val="20"/>
              </w:rPr>
              <w:t>176,658,381.36</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6"/>
              <w:jc w:val="right"/>
              <w:rPr>
                <w:rFonts w:ascii="宋体" w:hAnsi="宋体" w:cs="宋体" w:eastAsia="宋体" w:hint="default"/>
                <w:sz w:val="20"/>
                <w:szCs w:val="20"/>
              </w:rPr>
            </w:pPr>
            <w:r>
              <w:rPr>
                <w:rFonts w:ascii="宋体"/>
                <w:w w:val="85"/>
                <w:sz w:val="20"/>
              </w:rPr>
              <w:t>62,641,796.42</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798"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5"/>
              <w:jc w:val="right"/>
              <w:rPr>
                <w:rFonts w:ascii="宋体" w:hAnsi="宋体" w:cs="宋体" w:eastAsia="宋体" w:hint="default"/>
                <w:sz w:val="20"/>
                <w:szCs w:val="20"/>
              </w:rPr>
            </w:pPr>
            <w:r>
              <w:rPr>
                <w:rFonts w:ascii="宋体"/>
                <w:b/>
                <w:w w:val="85"/>
                <w:sz w:val="20"/>
              </w:rPr>
              <w:t>2,911,034,577.18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5"/>
              <w:jc w:val="right"/>
              <w:rPr>
                <w:rFonts w:ascii="宋体" w:hAnsi="宋体" w:cs="宋体" w:eastAsia="宋体" w:hint="default"/>
                <w:sz w:val="20"/>
                <w:szCs w:val="20"/>
              </w:rPr>
            </w:pPr>
            <w:r>
              <w:rPr>
                <w:rFonts w:ascii="宋体"/>
                <w:b/>
                <w:w w:val="85"/>
                <w:sz w:val="20"/>
              </w:rPr>
              <w:t>2,570,912,265.69</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购买商品、接受劳务支付的现金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7"/>
              <w:jc w:val="right"/>
              <w:rPr>
                <w:rFonts w:ascii="宋体" w:hAnsi="宋体" w:cs="宋体" w:eastAsia="宋体" w:hint="default"/>
                <w:sz w:val="20"/>
                <w:szCs w:val="20"/>
              </w:rPr>
            </w:pPr>
            <w:r>
              <w:rPr>
                <w:rFonts w:ascii="宋体"/>
                <w:w w:val="85"/>
                <w:sz w:val="20"/>
              </w:rPr>
              <w:t>2,393,034,863.29</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7"/>
              <w:jc w:val="right"/>
              <w:rPr>
                <w:rFonts w:ascii="宋体" w:hAnsi="宋体" w:cs="宋体" w:eastAsia="宋体" w:hint="default"/>
                <w:sz w:val="20"/>
                <w:szCs w:val="20"/>
              </w:rPr>
            </w:pPr>
            <w:r>
              <w:rPr>
                <w:rFonts w:ascii="宋体"/>
                <w:w w:val="85"/>
                <w:sz w:val="20"/>
              </w:rPr>
              <w:t>2,179,261,274.57</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支付给职工以及为职工支付的现金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246,893,360.31</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205,248,863.25</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支付的各项税费</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45,551,784.93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37,172,916.93</w:t>
            </w:r>
            <w:r>
              <w:rPr>
                <w:rFonts w:ascii="宋体"/>
                <w:sz w:val="20"/>
              </w:rPr>
            </w:r>
          </w:p>
        </w:tc>
      </w:tr>
      <w:tr>
        <w:trPr>
          <w:trHeight w:val="288"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支付其他与经营活动有关的现金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114,046,406.62</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106,571,141.36</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98"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5"/>
              <w:jc w:val="right"/>
              <w:rPr>
                <w:rFonts w:ascii="宋体" w:hAnsi="宋体" w:cs="宋体" w:eastAsia="宋体" w:hint="default"/>
                <w:sz w:val="20"/>
                <w:szCs w:val="20"/>
              </w:rPr>
            </w:pPr>
            <w:r>
              <w:rPr>
                <w:rFonts w:ascii="宋体"/>
                <w:b/>
                <w:w w:val="85"/>
                <w:sz w:val="20"/>
              </w:rPr>
              <w:t>2,799,526,415.15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5"/>
              <w:jc w:val="right"/>
              <w:rPr>
                <w:rFonts w:ascii="宋体" w:hAnsi="宋体" w:cs="宋体" w:eastAsia="宋体" w:hint="default"/>
                <w:sz w:val="20"/>
                <w:szCs w:val="20"/>
              </w:rPr>
            </w:pPr>
            <w:r>
              <w:rPr>
                <w:rFonts w:ascii="宋体"/>
                <w:b/>
                <w:w w:val="85"/>
                <w:sz w:val="20"/>
              </w:rPr>
              <w:t>2,528,254,196.11</w:t>
            </w:r>
            <w:r>
              <w:rPr>
                <w:rFonts w:ascii="宋体"/>
                <w:sz w:val="20"/>
              </w:rPr>
            </w:r>
          </w:p>
        </w:tc>
      </w:tr>
      <w:tr>
        <w:trPr>
          <w:trHeight w:val="291"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6"/>
              <w:jc w:val="right"/>
              <w:rPr>
                <w:rFonts w:ascii="宋体" w:hAnsi="宋体" w:cs="宋体" w:eastAsia="宋体" w:hint="default"/>
                <w:sz w:val="20"/>
                <w:szCs w:val="20"/>
              </w:rPr>
            </w:pPr>
            <w:r>
              <w:rPr>
                <w:rFonts w:ascii="宋体"/>
                <w:w w:val="85"/>
                <w:sz w:val="20"/>
              </w:rPr>
              <w:t>111,508,162.03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6"/>
              <w:jc w:val="right"/>
              <w:rPr>
                <w:rFonts w:ascii="宋体" w:hAnsi="宋体" w:cs="宋体" w:eastAsia="宋体" w:hint="default"/>
                <w:sz w:val="20"/>
                <w:szCs w:val="20"/>
              </w:rPr>
            </w:pPr>
            <w:r>
              <w:rPr>
                <w:rFonts w:ascii="宋体"/>
                <w:w w:val="85"/>
                <w:sz w:val="20"/>
              </w:rPr>
              <w:t>42,658,069.58</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收回投资收到的现金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4,061,860.00</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取得投资收益收到的现金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26,195,740.04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27,198,860.10</w:t>
            </w:r>
            <w:r>
              <w:rPr>
                <w:rFonts w:ascii="宋体"/>
                <w:sz w:val="20"/>
              </w:rPr>
            </w:r>
          </w:p>
        </w:tc>
      </w:tr>
      <w:tr>
        <w:trPr>
          <w:trHeight w:val="288"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w w:val="85"/>
                <w:sz w:val="20"/>
                <w:szCs w:val="20"/>
              </w:rPr>
              <w:t>处置固定资产、无形资产和其他长期资产所收回的现金净额</w:t>
            </w:r>
            <w:r>
              <w:rPr>
                <w:rFonts w:ascii="宋体" w:hAnsi="宋体" w:cs="宋体" w:eastAsia="宋体" w:hint="default"/>
                <w:spacing w:val="3"/>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304,405.60</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447,975.80</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处置子公司及其他营业单位收到的现金净额</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收到其他与投资活动有关的现金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798"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30,562,005.64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27,646,835.90</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w w:val="90"/>
                <w:sz w:val="20"/>
                <w:szCs w:val="20"/>
              </w:rPr>
              <w:t>购建固定资产、无形资产和其他长期资产所支付的现金</w:t>
            </w:r>
            <w:r>
              <w:rPr>
                <w:rFonts w:ascii="宋体" w:hAnsi="宋体" w:cs="宋体" w:eastAsia="宋体" w:hint="default"/>
                <w:spacing w:val="3"/>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90,236,387.13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98,724,586.14</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投资支付的现金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30,000,000.00</w:t>
            </w:r>
            <w:r>
              <w:rPr>
                <w:rFonts w:ascii="宋体"/>
                <w:sz w:val="20"/>
              </w:rPr>
            </w:r>
          </w:p>
        </w:tc>
      </w:tr>
      <w:tr>
        <w:trPr>
          <w:trHeight w:val="288"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取得子公司及其他营业单位支付的现金净额</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支付其他与投资活动有关的现金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6"/>
              <w:jc w:val="right"/>
              <w:rPr>
                <w:rFonts w:ascii="宋体" w:hAnsi="宋体" w:cs="宋体" w:eastAsia="宋体" w:hint="default"/>
                <w:sz w:val="20"/>
                <w:szCs w:val="20"/>
              </w:rPr>
            </w:pPr>
            <w:r>
              <w:rPr>
                <w:rFonts w:ascii="宋体"/>
                <w:w w:val="85"/>
                <w:sz w:val="20"/>
              </w:rPr>
              <w:t>736,800.00</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798"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90,236,387.13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129,461,386.14</w:t>
            </w:r>
            <w:r>
              <w:rPr>
                <w:rFonts w:ascii="宋体"/>
                <w:sz w:val="20"/>
              </w:rPr>
            </w:r>
          </w:p>
        </w:tc>
      </w:tr>
      <w:tr>
        <w:trPr>
          <w:trHeight w:val="291"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0"/>
                <w:szCs w:val="20"/>
              </w:rPr>
            </w:pPr>
            <w:r>
              <w:rPr>
                <w:rFonts w:ascii="宋体"/>
                <w:b/>
                <w:w w:val="85"/>
                <w:sz w:val="20"/>
              </w:rPr>
              <w:t>-59,674,381.49</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0"/>
                <w:szCs w:val="20"/>
              </w:rPr>
            </w:pPr>
            <w:r>
              <w:rPr>
                <w:rFonts w:ascii="宋体"/>
                <w:b/>
                <w:w w:val="85"/>
                <w:sz w:val="20"/>
              </w:rPr>
              <w:t>-101,814,550.24</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吸收投资收到的现金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取得借款收到的现金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617,396,154.75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225,500,000.00</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发行债券收到的现金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收到其他与筹资活动有关的现金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5"/>
              <w:jc w:val="right"/>
              <w:rPr>
                <w:rFonts w:ascii="宋体" w:hAnsi="宋体" w:cs="宋体" w:eastAsia="宋体" w:hint="default"/>
                <w:sz w:val="20"/>
                <w:szCs w:val="20"/>
              </w:rPr>
            </w:pPr>
            <w:r>
              <w:rPr>
                <w:rFonts w:ascii="宋体"/>
                <w:w w:val="85"/>
                <w:sz w:val="20"/>
              </w:rPr>
              <w:t>50,680.62</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798"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617,396,154.75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225,550,680.62</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偿还债务支付的现金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620,550,781.56</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300,000,000.00</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分配股利、利润或偿付利息支付的现金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54,688,906.93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57,720,129.60</w:t>
            </w:r>
            <w:r>
              <w:rPr>
                <w:rFonts w:ascii="宋体"/>
                <w:sz w:val="20"/>
              </w:rPr>
            </w:r>
          </w:p>
        </w:tc>
      </w:tr>
      <w:tr>
        <w:trPr>
          <w:trHeight w:val="288"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支付其他与筹资活动有关的现金</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3,414,800.00</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114,900.00</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98"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b/>
                <w:w w:val="85"/>
                <w:sz w:val="20"/>
              </w:rPr>
              <w:t>678,654,488.49</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b/>
                <w:w w:val="85"/>
                <w:sz w:val="20"/>
              </w:rPr>
              <w:t>357,835,029.60</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24"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-61,258,333.74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-132,284,348.98</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1,644,198.36</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-1,441,251.89</w:t>
            </w:r>
            <w:r>
              <w:rPr>
                <w:rFonts w:ascii="宋体"/>
                <w:sz w:val="20"/>
              </w:rPr>
            </w:r>
          </w:p>
        </w:tc>
      </w:tr>
      <w:tr>
        <w:trPr>
          <w:trHeight w:val="291"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0"/>
                <w:szCs w:val="20"/>
              </w:rPr>
            </w:pPr>
            <w:r>
              <w:rPr>
                <w:rFonts w:ascii="宋体"/>
                <w:b/>
                <w:w w:val="85"/>
                <w:sz w:val="20"/>
              </w:rPr>
              <w:t>-7,780,354.84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0"/>
                <w:szCs w:val="20"/>
              </w:rPr>
            </w:pPr>
            <w:r>
              <w:rPr>
                <w:rFonts w:ascii="宋体"/>
                <w:b/>
                <w:w w:val="85"/>
                <w:sz w:val="20"/>
              </w:rPr>
              <w:t>-192,882,081.53</w:t>
            </w:r>
            <w:r>
              <w:rPr>
                <w:rFonts w:ascii="宋体"/>
                <w:sz w:val="20"/>
              </w:rPr>
            </w:r>
          </w:p>
        </w:tc>
      </w:tr>
      <w:tr>
        <w:trPr>
          <w:trHeight w:val="290"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643" w:right="0"/>
              <w:jc w:val="left"/>
              <w:rPr>
                <w:rFonts w:ascii="宋体" w:hAnsi="宋体" w:cs="宋体" w:eastAsia="宋体" w:hint="default"/>
                <w:sz w:val="20"/>
                <w:szCs w:val="20"/>
              </w:rPr>
            </w:pPr>
            <w:r>
              <w:rPr>
                <w:rFonts w:ascii="宋体" w:hAnsi="宋体" w:cs="宋体" w:eastAsia="宋体" w:hint="default"/>
                <w:spacing w:val="3"/>
                <w:sz w:val="20"/>
                <w:szCs w:val="20"/>
              </w:rPr>
              <w:t>加：期初现金及现金等价物余额</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326,470,232.05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6"/>
              <w:jc w:val="right"/>
              <w:rPr>
                <w:rFonts w:ascii="宋体" w:hAnsi="宋体" w:cs="宋体" w:eastAsia="宋体" w:hint="default"/>
                <w:sz w:val="20"/>
                <w:szCs w:val="20"/>
              </w:rPr>
            </w:pPr>
            <w:r>
              <w:rPr>
                <w:rFonts w:ascii="宋体"/>
                <w:w w:val="85"/>
                <w:sz w:val="20"/>
              </w:rPr>
              <w:t>519,352,313.58</w:t>
            </w:r>
            <w:r>
              <w:rPr>
                <w:rFonts w:ascii="宋体"/>
                <w:sz w:val="20"/>
              </w:rPr>
            </w:r>
          </w:p>
        </w:tc>
      </w:tr>
      <w:tr>
        <w:trPr>
          <w:trHeight w:val="288" w:hRule="exact"/>
        </w:trPr>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318,689,877.21</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b/>
                <w:w w:val="85"/>
                <w:sz w:val="20"/>
              </w:rPr>
              <w:t>326,470,232.05</w:t>
            </w:r>
            <w:r>
              <w:rPr>
                <w:rFonts w:ascii="宋体"/>
                <w:sz w:val="20"/>
              </w:rPr>
            </w:r>
          </w:p>
        </w:tc>
      </w:tr>
    </w:tbl>
    <w:p>
      <w:pPr>
        <w:spacing w:line="240" w:lineRule="auto" w:before="0"/>
        <w:rPr>
          <w:rFonts w:ascii="宋体" w:hAnsi="宋体" w:cs="宋体" w:eastAsia="宋体" w:hint="default"/>
          <w:sz w:val="22"/>
          <w:szCs w:val="22"/>
        </w:rPr>
      </w:pPr>
    </w:p>
    <w:p>
      <w:pPr>
        <w:tabs>
          <w:tab w:pos="3196" w:val="left" w:leader="none"/>
          <w:tab w:pos="6996" w:val="left" w:leader="none"/>
        </w:tabs>
        <w:spacing w:before="37"/>
        <w:ind w:left="393"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37"/>
          <w:footerReference w:type="default" r:id="rId38"/>
          <w:pgSz w:w="11910" w:h="16840"/>
          <w:pgMar w:header="0" w:footer="980" w:top="1340" w:bottom="1160" w:left="1160" w:right="1140"/>
          <w:pgNumType w:start="8"/>
        </w:sectPr>
      </w:pP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92"/>
        <w:gridCol w:w="1486"/>
        <w:gridCol w:w="540"/>
        <w:gridCol w:w="541"/>
        <w:gridCol w:w="547"/>
        <w:gridCol w:w="1217"/>
        <w:gridCol w:w="540"/>
        <w:gridCol w:w="1349"/>
        <w:gridCol w:w="540"/>
        <w:gridCol w:w="1217"/>
        <w:gridCol w:w="547"/>
        <w:gridCol w:w="1169"/>
        <w:gridCol w:w="1395"/>
        <w:gridCol w:w="1342"/>
      </w:tblGrid>
      <w:tr>
        <w:trPr>
          <w:trHeight w:val="242" w:hRule="exact"/>
        </w:trPr>
        <w:tc>
          <w:tcPr>
            <w:tcW w:w="24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242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b/>
                <w:bCs/>
                <w:spacing w:val="-40"/>
                <w:sz w:val="18"/>
                <w:szCs w:val="18"/>
              </w:rPr>
              <w:t>本年</w:t>
            </w:r>
            <w:r>
              <w:rPr>
                <w:rFonts w:ascii="宋体" w:hAnsi="宋体" w:cs="宋体" w:eastAsia="宋体" w:hint="default"/>
                <w:sz w:val="18"/>
                <w:szCs w:val="18"/>
              </w:rPr>
            </w:r>
          </w:p>
        </w:tc>
      </w:tr>
      <w:tr>
        <w:trPr>
          <w:trHeight w:val="245" w:hRule="exact"/>
        </w:trPr>
        <w:tc>
          <w:tcPr>
            <w:tcW w:w="2492" w:type="dxa"/>
            <w:vMerge/>
            <w:tcBorders>
              <w:left w:val="single" w:sz="4" w:space="0" w:color="000000"/>
              <w:right w:val="single" w:sz="4" w:space="0" w:color="000000"/>
            </w:tcBorders>
          </w:tcPr>
          <w:p>
            <w:pPr/>
          </w:p>
        </w:tc>
        <w:tc>
          <w:tcPr>
            <w:tcW w:w="96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hAnsi="宋体" w:cs="宋体" w:eastAsia="宋体" w:hint="default"/>
                <w:b/>
                <w:bCs/>
                <w:spacing w:val="-37"/>
                <w:sz w:val="18"/>
                <w:szCs w:val="18"/>
              </w:rPr>
              <w:t>归属于母公司股东权益</w:t>
            </w:r>
            <w:r>
              <w:rPr>
                <w:rFonts w:ascii="宋体" w:hAnsi="宋体" w:cs="宋体" w:eastAsia="宋体" w:hint="default"/>
                <w:spacing w:val="-37"/>
                <w:sz w:val="18"/>
                <w:szCs w:val="18"/>
              </w:rPr>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b/>
                <w:bCs/>
                <w:spacing w:val="-34"/>
                <w:sz w:val="18"/>
                <w:szCs w:val="18"/>
              </w:rPr>
              <w:t>少数股东权益</w:t>
            </w:r>
            <w:r>
              <w:rPr>
                <w:rFonts w:ascii="宋体" w:hAnsi="宋体" w:cs="宋体" w:eastAsia="宋体" w:hint="default"/>
                <w:spacing w:val="-34"/>
                <w:sz w:val="18"/>
                <w:szCs w:val="18"/>
              </w:rPr>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97"/>
              <w:ind w:left="381" w:right="383" w:firstLine="72"/>
              <w:jc w:val="left"/>
              <w:rPr>
                <w:rFonts w:ascii="宋体" w:hAnsi="宋体" w:cs="宋体" w:eastAsia="宋体" w:hint="default"/>
                <w:sz w:val="18"/>
                <w:szCs w:val="18"/>
              </w:rPr>
            </w:pPr>
            <w:r>
              <w:rPr>
                <w:rFonts w:ascii="宋体" w:hAnsi="宋体" w:cs="宋体" w:eastAsia="宋体" w:hint="default"/>
                <w:b/>
                <w:bCs/>
                <w:spacing w:val="-40"/>
                <w:sz w:val="18"/>
                <w:szCs w:val="18"/>
              </w:rPr>
              <w:t>所有者</w:t>
            </w:r>
            <w:r>
              <w:rPr>
                <w:rFonts w:ascii="宋体" w:hAnsi="宋体" w:cs="宋体" w:eastAsia="宋体" w:hint="default"/>
                <w:b/>
                <w:bCs/>
                <w:spacing w:val="-39"/>
                <w:w w:val="99"/>
                <w:sz w:val="18"/>
                <w:szCs w:val="18"/>
              </w:rPr>
              <w:t> </w:t>
            </w:r>
            <w:r>
              <w:rPr>
                <w:rFonts w:ascii="宋体" w:hAnsi="宋体" w:cs="宋体" w:eastAsia="宋体" w:hint="default"/>
                <w:b/>
                <w:bCs/>
                <w:spacing w:val="-40"/>
                <w:sz w:val="18"/>
                <w:szCs w:val="18"/>
              </w:rPr>
              <w:t>权益合计</w:t>
            </w:r>
            <w:r>
              <w:rPr>
                <w:rFonts w:ascii="宋体" w:hAnsi="宋体" w:cs="宋体" w:eastAsia="宋体" w:hint="default"/>
                <w:sz w:val="18"/>
                <w:szCs w:val="18"/>
              </w:rPr>
            </w:r>
          </w:p>
        </w:tc>
      </w:tr>
      <w:tr>
        <w:trPr>
          <w:trHeight w:val="242" w:hRule="exact"/>
        </w:trPr>
        <w:tc>
          <w:tcPr>
            <w:tcW w:w="2492" w:type="dxa"/>
            <w:vMerge/>
            <w:tcBorders>
              <w:left w:val="single" w:sz="4" w:space="0" w:color="000000"/>
              <w:right w:val="single" w:sz="4" w:space="0" w:color="000000"/>
            </w:tcBorders>
          </w:tcPr>
          <w:p>
            <w:pP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股本</w:t>
            </w:r>
            <w:r>
              <w:rPr>
                <w:rFonts w:ascii="宋体" w:hAnsi="宋体" w:cs="宋体" w:eastAsia="宋体" w:hint="default"/>
                <w:sz w:val="18"/>
                <w:szCs w:val="18"/>
              </w:rPr>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b/>
                <w:bCs/>
                <w:spacing w:val="-34"/>
                <w:sz w:val="18"/>
                <w:szCs w:val="18"/>
              </w:rPr>
              <w:t>其他权益工具</w:t>
            </w:r>
            <w:r>
              <w:rPr>
                <w:rFonts w:ascii="宋体" w:hAnsi="宋体" w:cs="宋体" w:eastAsia="宋体" w:hint="default"/>
                <w:spacing w:val="-34"/>
                <w:sz w:val="18"/>
                <w:szCs w:val="18"/>
              </w:rPr>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b/>
                <w:bCs/>
                <w:spacing w:val="-30"/>
                <w:sz w:val="18"/>
                <w:szCs w:val="18"/>
              </w:rPr>
              <w:t>资本公积</w:t>
            </w:r>
            <w:r>
              <w:rPr>
                <w:rFonts w:ascii="宋体" w:hAnsi="宋体" w:cs="宋体" w:eastAsia="宋体" w:hint="default"/>
                <w:spacing w:val="-30"/>
                <w:sz w:val="18"/>
                <w:szCs w:val="18"/>
              </w:rPr>
            </w:r>
          </w:p>
        </w:tc>
        <w:tc>
          <w:tcPr>
            <w:tcW w:w="540" w:type="dxa"/>
            <w:vMerge w:val="restart"/>
            <w:tcBorders>
              <w:top w:val="single" w:sz="4" w:space="0" w:color="000000"/>
              <w:left w:val="single" w:sz="4" w:space="0" w:color="000000"/>
              <w:right w:val="single" w:sz="4" w:space="0" w:color="000000"/>
            </w:tcBorders>
          </w:tcPr>
          <w:p>
            <w:pPr>
              <w:pStyle w:val="TableParagraph"/>
              <w:spacing w:line="209" w:lineRule="exact"/>
              <w:ind w:left="122" w:right="0" w:hanging="70"/>
              <w:jc w:val="left"/>
              <w:rPr>
                <w:rFonts w:ascii="宋体" w:hAnsi="宋体" w:cs="宋体" w:eastAsia="宋体" w:hint="default"/>
                <w:sz w:val="18"/>
                <w:szCs w:val="18"/>
              </w:rPr>
            </w:pPr>
            <w:r>
              <w:rPr>
                <w:rFonts w:ascii="宋体" w:hAnsi="宋体" w:cs="宋体" w:eastAsia="宋体" w:hint="default"/>
                <w:b/>
                <w:bCs/>
                <w:spacing w:val="-40"/>
                <w:sz w:val="18"/>
                <w:szCs w:val="18"/>
              </w:rPr>
              <w:t>减：库</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存股</w:t>
            </w:r>
            <w:r>
              <w:rPr>
                <w:rFonts w:ascii="宋体" w:hAnsi="宋体" w:cs="宋体" w:eastAsia="宋体" w:hint="default"/>
                <w:sz w:val="18"/>
                <w:szCs w:val="18"/>
              </w:rPr>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2"/>
              <w:ind w:left="244" w:right="0"/>
              <w:jc w:val="left"/>
              <w:rPr>
                <w:rFonts w:ascii="宋体" w:hAnsi="宋体" w:cs="宋体" w:eastAsia="宋体" w:hint="default"/>
                <w:sz w:val="18"/>
                <w:szCs w:val="18"/>
              </w:rPr>
            </w:pPr>
            <w:r>
              <w:rPr>
                <w:rFonts w:ascii="宋体" w:hAnsi="宋体" w:cs="宋体" w:eastAsia="宋体" w:hint="default"/>
                <w:b/>
                <w:bCs/>
                <w:spacing w:val="-34"/>
                <w:sz w:val="18"/>
                <w:szCs w:val="18"/>
              </w:rPr>
              <w:t>其他综合收益</w:t>
            </w:r>
            <w:r>
              <w:rPr>
                <w:rFonts w:ascii="宋体" w:hAnsi="宋体" w:cs="宋体" w:eastAsia="宋体" w:hint="default"/>
                <w:spacing w:val="-34"/>
                <w:sz w:val="18"/>
                <w:szCs w:val="18"/>
              </w:rPr>
            </w:r>
          </w:p>
        </w:tc>
        <w:tc>
          <w:tcPr>
            <w:tcW w:w="540" w:type="dxa"/>
            <w:vMerge w:val="restart"/>
            <w:tcBorders>
              <w:top w:val="single" w:sz="4" w:space="0" w:color="000000"/>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b/>
                <w:bCs/>
                <w:spacing w:val="-40"/>
                <w:sz w:val="18"/>
                <w:szCs w:val="18"/>
              </w:rPr>
              <w:t>专项储</w:t>
            </w:r>
            <w:r>
              <w:rPr>
                <w:rFonts w:ascii="宋体" w:hAnsi="宋体" w:cs="宋体" w:eastAsia="宋体" w:hint="default"/>
                <w:sz w:val="18"/>
                <w:szCs w:val="18"/>
              </w:rPr>
            </w:r>
          </w:p>
          <w:p>
            <w:pPr>
              <w:pStyle w:val="TableParagraph"/>
              <w:spacing w:line="234" w:lineRule="exact"/>
              <w:ind w:left="33" w:right="0"/>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b/>
                <w:bCs/>
                <w:spacing w:val="-40"/>
                <w:sz w:val="18"/>
                <w:szCs w:val="18"/>
              </w:rPr>
              <w:t>盈余公积</w:t>
            </w:r>
            <w:r>
              <w:rPr>
                <w:rFonts w:ascii="宋体" w:hAnsi="宋体" w:cs="宋体" w:eastAsia="宋体" w:hint="default"/>
                <w:sz w:val="18"/>
                <w:szCs w:val="18"/>
              </w:rPr>
            </w:r>
          </w:p>
        </w:tc>
        <w:tc>
          <w:tcPr>
            <w:tcW w:w="547" w:type="dxa"/>
            <w:vMerge w:val="restart"/>
            <w:tcBorders>
              <w:top w:val="single" w:sz="4" w:space="0" w:color="000000"/>
              <w:left w:val="single" w:sz="4" w:space="0" w:color="000000"/>
              <w:right w:val="single" w:sz="4" w:space="0" w:color="000000"/>
            </w:tcBorders>
          </w:tcPr>
          <w:p>
            <w:pPr>
              <w:pStyle w:val="TableParagraph"/>
              <w:spacing w:line="209" w:lineRule="exact"/>
              <w:ind w:left="57" w:right="0"/>
              <w:jc w:val="left"/>
              <w:rPr>
                <w:rFonts w:ascii="宋体" w:hAnsi="宋体" w:cs="宋体" w:eastAsia="宋体" w:hint="default"/>
                <w:sz w:val="18"/>
                <w:szCs w:val="18"/>
              </w:rPr>
            </w:pPr>
            <w:r>
              <w:rPr>
                <w:rFonts w:ascii="宋体" w:hAnsi="宋体" w:cs="宋体" w:eastAsia="宋体" w:hint="default"/>
                <w:b/>
                <w:bCs/>
                <w:spacing w:val="-40"/>
                <w:sz w:val="18"/>
                <w:szCs w:val="18"/>
              </w:rPr>
              <w:t>一般风</w:t>
            </w:r>
            <w:r>
              <w:rPr>
                <w:rFonts w:ascii="宋体" w:hAnsi="宋体" w:cs="宋体" w:eastAsia="宋体" w:hint="default"/>
                <w:sz w:val="18"/>
                <w:szCs w:val="18"/>
              </w:rPr>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b/>
                <w:bCs/>
                <w:spacing w:val="-40"/>
                <w:sz w:val="18"/>
                <w:szCs w:val="18"/>
              </w:rPr>
              <w:t>险准备</w:t>
            </w:r>
            <w:r>
              <w:rPr>
                <w:rFonts w:ascii="宋体" w:hAnsi="宋体" w:cs="宋体" w:eastAsia="宋体" w:hint="default"/>
                <w:sz w:val="18"/>
                <w:szCs w:val="18"/>
              </w:rPr>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92"/>
              <w:ind w:left="225" w:right="0"/>
              <w:jc w:val="left"/>
              <w:rPr>
                <w:rFonts w:ascii="宋体" w:hAnsi="宋体" w:cs="宋体" w:eastAsia="宋体" w:hint="default"/>
                <w:sz w:val="18"/>
                <w:szCs w:val="18"/>
              </w:rPr>
            </w:pPr>
            <w:r>
              <w:rPr>
                <w:rFonts w:ascii="宋体" w:hAnsi="宋体" w:cs="宋体" w:eastAsia="宋体" w:hint="default"/>
                <w:b/>
                <w:bCs/>
                <w:spacing w:val="-33"/>
                <w:sz w:val="18"/>
                <w:szCs w:val="18"/>
              </w:rPr>
              <w:t>未分配利润</w:t>
            </w:r>
            <w:r>
              <w:rPr>
                <w:rFonts w:ascii="宋体" w:hAnsi="宋体" w:cs="宋体" w:eastAsia="宋体" w:hint="default"/>
                <w:spacing w:val="-33"/>
                <w:sz w:val="18"/>
                <w:szCs w:val="18"/>
              </w:rPr>
            </w:r>
          </w:p>
        </w:tc>
        <w:tc>
          <w:tcPr>
            <w:tcW w:w="1395"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r>
      <w:tr>
        <w:trPr>
          <w:trHeight w:val="245" w:hRule="exact"/>
        </w:trPr>
        <w:tc>
          <w:tcPr>
            <w:tcW w:w="2492"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b/>
                <w:bCs/>
                <w:spacing w:val="-40"/>
                <w:sz w:val="18"/>
                <w:szCs w:val="18"/>
              </w:rPr>
              <w:t>优先股</w:t>
            </w:r>
            <w:r>
              <w:rPr>
                <w:rFonts w:ascii="宋体" w:hAnsi="宋体" w:cs="宋体" w:eastAsia="宋体" w:hint="default"/>
                <w:sz w:val="18"/>
                <w:szCs w:val="18"/>
              </w:rPr>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b/>
                <w:bCs/>
                <w:spacing w:val="-40"/>
                <w:sz w:val="18"/>
                <w:szCs w:val="18"/>
              </w:rPr>
              <w:t>永续债</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b/>
                <w:bCs/>
                <w:spacing w:val="-40"/>
                <w:sz w:val="18"/>
                <w:szCs w:val="18"/>
              </w:rPr>
              <w:t>其他</w:t>
            </w:r>
            <w:r>
              <w:rPr>
                <w:rFonts w:ascii="宋体" w:hAnsi="宋体" w:cs="宋体" w:eastAsia="宋体" w:hint="default"/>
                <w:sz w:val="18"/>
                <w:szCs w:val="18"/>
              </w:rPr>
            </w:r>
          </w:p>
        </w:tc>
        <w:tc>
          <w:tcPr>
            <w:tcW w:w="1217"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一、上年年末余额</w:t>
            </w:r>
            <w:r>
              <w:rPr>
                <w:rFonts w:ascii="宋体" w:hAnsi="宋体" w:cs="宋体" w:eastAsia="宋体" w:hint="default"/>
                <w:spacing w:val="-36"/>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688,811,482.82</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-436,125,850.14</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346,239,878.16</w:t>
            </w:r>
            <w:r>
              <w:rPr>
                <w:rFonts w:ascii="宋体"/>
                <w:spacing w:val="-20"/>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618,570,201.63</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5,927,990,204.22</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8,469,079,802.69</w:t>
            </w:r>
            <w:r>
              <w:rPr>
                <w:rFonts w:ascii="宋体"/>
                <w:spacing w:val="-20"/>
                <w:sz w:val="18"/>
              </w:rPr>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5" w:right="0"/>
              <w:jc w:val="left"/>
              <w:rPr>
                <w:rFonts w:ascii="宋体" w:hAnsi="宋体" w:cs="宋体" w:eastAsia="宋体" w:hint="default"/>
                <w:sz w:val="18"/>
                <w:szCs w:val="18"/>
              </w:rPr>
            </w:pPr>
            <w:r>
              <w:rPr>
                <w:rFonts w:ascii="宋体" w:hAnsi="宋体" w:cs="宋体" w:eastAsia="宋体" w:hint="default"/>
                <w:spacing w:val="-34"/>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5" w:right="0"/>
              <w:jc w:val="left"/>
              <w:rPr>
                <w:rFonts w:ascii="宋体" w:hAnsi="宋体" w:cs="宋体" w:eastAsia="宋体" w:hint="default"/>
                <w:sz w:val="18"/>
                <w:szCs w:val="18"/>
              </w:rPr>
            </w:pPr>
            <w:r>
              <w:rPr>
                <w:rFonts w:ascii="宋体" w:hAnsi="宋体" w:cs="宋体" w:eastAsia="宋体" w:hint="default"/>
                <w:spacing w:val="-36"/>
                <w:sz w:val="18"/>
                <w:szCs w:val="18"/>
              </w:rPr>
              <w:t>同一控制下企业合并</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5"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二、本年年初余额</w:t>
            </w:r>
            <w:r>
              <w:rPr>
                <w:rFonts w:ascii="宋体" w:hAnsi="宋体" w:cs="宋体" w:eastAsia="宋体" w:hint="default"/>
                <w:spacing w:val="-36"/>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688,811,482.82</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-436,125,850.14</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346,239,878.16</w:t>
            </w:r>
            <w:r>
              <w:rPr>
                <w:rFonts w:ascii="宋体"/>
                <w:spacing w:val="-20"/>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618,570,201.63</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5,927,990,204.22</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8,469,079,802.69</w:t>
            </w:r>
            <w:r>
              <w:rPr>
                <w:rFonts w:ascii="宋体"/>
                <w:spacing w:val="-20"/>
                <w:sz w:val="18"/>
              </w:rPr>
            </w:r>
          </w:p>
        </w:tc>
      </w:tr>
      <w:tr>
        <w:trPr>
          <w:trHeight w:val="478"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6"/>
              <w:jc w:val="left"/>
              <w:rPr>
                <w:rFonts w:ascii="宋体" w:hAnsi="宋体" w:cs="宋体" w:eastAsia="宋体" w:hint="default"/>
                <w:sz w:val="18"/>
                <w:szCs w:val="18"/>
              </w:rPr>
            </w:pPr>
            <w:r>
              <w:rPr>
                <w:rFonts w:ascii="宋体" w:hAnsi="宋体" w:cs="宋体" w:eastAsia="宋体" w:hint="default"/>
                <w:b/>
                <w:bCs/>
                <w:spacing w:val="-38"/>
                <w:sz w:val="18"/>
                <w:szCs w:val="18"/>
              </w:rPr>
              <w:t>三、本年增减变动金额（减少以“－”</w:t>
            </w:r>
            <w:r>
              <w:rPr>
                <w:rFonts w:ascii="宋体" w:hAnsi="宋体" w:cs="宋体" w:eastAsia="宋体" w:hint="default"/>
                <w:spacing w:val="-38"/>
                <w:sz w:val="18"/>
                <w:szCs w:val="18"/>
              </w:rPr>
            </w: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b/>
                <w:bCs/>
                <w:spacing w:val="-40"/>
                <w:sz w:val="18"/>
                <w:szCs w:val="18"/>
              </w:rPr>
              <w:t>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19"/>
                <w:sz w:val="18"/>
              </w:rPr>
              <w:t>5,546,254.97</w:t>
            </w:r>
            <w:r>
              <w:rPr>
                <w:rFonts w:ascii="宋体"/>
                <w:spacing w:val="-19"/>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19"/>
                <w:w w:val="95"/>
                <w:sz w:val="18"/>
              </w:rPr>
              <w:t>79,387,673.14</w:t>
            </w:r>
            <w:r>
              <w:rPr>
                <w:rFonts w:ascii="宋体"/>
                <w:spacing w:val="-19"/>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19"/>
                <w:sz w:val="18"/>
              </w:rPr>
              <w:t>726,157.58</w:t>
            </w:r>
            <w:r>
              <w:rPr>
                <w:rFonts w:ascii="宋体"/>
                <w:spacing w:val="-19"/>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20"/>
                <w:sz w:val="18"/>
              </w:rPr>
              <w:t>-36,392,866.97</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20"/>
                <w:sz w:val="18"/>
              </w:rPr>
              <w:t>184,803,258.40</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20"/>
                <w:sz w:val="18"/>
              </w:rPr>
              <w:t>234,070,477.12</w:t>
            </w:r>
            <w:r>
              <w:rPr>
                <w:rFonts w:ascii="宋体"/>
                <w:spacing w:val="-20"/>
                <w:sz w:val="18"/>
              </w:rPr>
            </w: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（一）综合收益总额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79,387,673.14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20"/>
                <w:sz w:val="18"/>
              </w:rPr>
              <w:t>-35,666,709.39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pacing w:val="-20"/>
                <w:sz w:val="18"/>
              </w:rPr>
              <w:t>101,679,268.19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pacing w:val="-20"/>
                <w:sz w:val="18"/>
              </w:rPr>
              <w:t>145,400,231.94</w:t>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（二）股东投入和减少资本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9"/>
                <w:sz w:val="18"/>
              </w:rPr>
              <w:t>5,546,254.97</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spacing w:val="-20"/>
                <w:sz w:val="18"/>
              </w:rPr>
              <w:t>105,725,913.28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spacing w:val="-20"/>
                <w:sz w:val="18"/>
              </w:rPr>
              <w:t>111,272,168.25</w:t>
            </w: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1.</w:t>
            </w:r>
            <w:r>
              <w:rPr>
                <w:rFonts w:ascii="宋体" w:hAnsi="宋体" w:cs="宋体" w:eastAsia="宋体" w:hint="default"/>
                <w:spacing w:val="-32"/>
                <w:sz w:val="18"/>
                <w:szCs w:val="18"/>
              </w:rPr>
              <w:t>股东投入普通股</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right"/>
              <w:rPr>
                <w:rFonts w:ascii="宋体" w:hAnsi="宋体" w:cs="宋体" w:eastAsia="宋体" w:hint="default"/>
                <w:sz w:val="18"/>
                <w:szCs w:val="18"/>
              </w:rPr>
            </w:pPr>
            <w:r>
              <w:rPr>
                <w:rFonts w:ascii="宋体" w:hAnsi="宋体" w:cs="宋体" w:eastAsia="宋体" w:hint="default"/>
                <w:spacing w:val="-37"/>
                <w:sz w:val="18"/>
                <w:szCs w:val="18"/>
              </w:rPr>
              <w:t>2</w:t>
            </w:r>
            <w:r>
              <w:rPr>
                <w:rFonts w:ascii="宋体" w:hAnsi="宋体" w:cs="宋体" w:eastAsia="宋体" w:hint="default"/>
                <w:spacing w:val="-37"/>
                <w:sz w:val="18"/>
                <w:szCs w:val="18"/>
              </w:rPr>
              <w:t>．其他权益工具持有者投入资本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
              <w:jc w:val="right"/>
              <w:rPr>
                <w:rFonts w:ascii="宋体" w:hAnsi="宋体" w:cs="宋体" w:eastAsia="宋体" w:hint="default"/>
                <w:sz w:val="18"/>
                <w:szCs w:val="18"/>
              </w:rPr>
            </w:pPr>
            <w:r>
              <w:rPr>
                <w:rFonts w:ascii="宋体" w:hAnsi="宋体" w:cs="宋体" w:eastAsia="宋体" w:hint="default"/>
                <w:spacing w:val="-35"/>
                <w:sz w:val="18"/>
                <w:szCs w:val="18"/>
              </w:rPr>
              <w:t>3.</w:t>
            </w:r>
            <w:r>
              <w:rPr>
                <w:rFonts w:ascii="宋体" w:hAnsi="宋体" w:cs="宋体" w:eastAsia="宋体" w:hint="default"/>
                <w:spacing w:val="-35"/>
                <w:sz w:val="18"/>
                <w:szCs w:val="18"/>
              </w:rPr>
              <w:t>股份支付计入股东权益的金额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8"/>
                <w:sz w:val="18"/>
              </w:rPr>
              <w:t>39,458.35</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122,788.15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162,246.50</w:t>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5,506,796.62</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pacing w:val="-20"/>
                <w:sz w:val="18"/>
              </w:rPr>
              <w:t>105,603,125.13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pacing w:val="-20"/>
                <w:sz w:val="18"/>
              </w:rPr>
              <w:t>111,109,921.75</w:t>
            </w:r>
          </w:p>
        </w:tc>
      </w:tr>
      <w:tr>
        <w:trPr>
          <w:trHeight w:val="2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（三）利润分配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9"/>
                <w:sz w:val="18"/>
              </w:rPr>
              <w:t>726,157.58</w:t>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9"/>
                <w:sz w:val="18"/>
              </w:rPr>
              <w:t>-726,157.58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
              <w:jc w:val="right"/>
              <w:rPr>
                <w:rFonts w:ascii="宋体" w:hAnsi="宋体" w:cs="宋体" w:eastAsia="宋体" w:hint="default"/>
                <w:sz w:val="18"/>
                <w:szCs w:val="18"/>
              </w:rPr>
            </w:pPr>
            <w:r>
              <w:rPr>
                <w:rFonts w:ascii="宋体"/>
                <w:spacing w:val="-20"/>
                <w:sz w:val="18"/>
              </w:rPr>
              <w:t>-22,601,923.07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
              <w:jc w:val="right"/>
              <w:rPr>
                <w:rFonts w:ascii="宋体" w:hAnsi="宋体" w:cs="宋体" w:eastAsia="宋体" w:hint="default"/>
                <w:sz w:val="18"/>
                <w:szCs w:val="18"/>
              </w:rPr>
            </w:pPr>
            <w:r>
              <w:rPr>
                <w:rFonts w:ascii="宋体"/>
                <w:spacing w:val="-20"/>
                <w:sz w:val="18"/>
              </w:rPr>
              <w:t>-22,601,923.07</w:t>
            </w: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1.</w:t>
            </w:r>
            <w:r>
              <w:rPr>
                <w:rFonts w:ascii="宋体" w:hAnsi="宋体" w:cs="宋体" w:eastAsia="宋体" w:hint="default"/>
                <w:spacing w:val="-31"/>
                <w:sz w:val="18"/>
                <w:szCs w:val="18"/>
              </w:rPr>
              <w:t>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726,157.58</w:t>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-726,157.58</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2.</w:t>
            </w:r>
            <w:r>
              <w:rPr>
                <w:rFonts w:ascii="宋体" w:hAnsi="宋体" w:cs="宋体" w:eastAsia="宋体" w:hint="default"/>
                <w:spacing w:val="-33"/>
                <w:sz w:val="18"/>
                <w:szCs w:val="18"/>
              </w:rPr>
              <w:t>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3.</w:t>
            </w:r>
            <w:r>
              <w:rPr>
                <w:rFonts w:ascii="宋体" w:hAnsi="宋体" w:cs="宋体" w:eastAsia="宋体" w:hint="default"/>
                <w:spacing w:val="-35"/>
                <w:sz w:val="18"/>
                <w:szCs w:val="18"/>
              </w:rPr>
              <w:t>对所有者（或股东）的分配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20"/>
                <w:sz w:val="18"/>
              </w:rPr>
              <w:t>-22,601,923.07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20"/>
                <w:sz w:val="18"/>
              </w:rPr>
              <w:t>-22,601,923.07</w:t>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（四）股东权益内部结转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1.</w:t>
            </w:r>
            <w:r>
              <w:rPr>
                <w:rFonts w:ascii="宋体" w:hAnsi="宋体" w:cs="宋体" w:eastAsia="宋体" w:hint="default"/>
                <w:spacing w:val="-33"/>
                <w:sz w:val="18"/>
                <w:szCs w:val="18"/>
              </w:rPr>
              <w:t>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2.</w:t>
            </w:r>
            <w:r>
              <w:rPr>
                <w:rFonts w:ascii="宋体" w:hAnsi="宋体" w:cs="宋体" w:eastAsia="宋体" w:hint="default"/>
                <w:spacing w:val="-33"/>
                <w:sz w:val="18"/>
                <w:szCs w:val="18"/>
              </w:rPr>
              <w:t>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3.</w:t>
            </w:r>
            <w:r>
              <w:rPr>
                <w:rFonts w:ascii="宋体" w:hAnsi="宋体" w:cs="宋体" w:eastAsia="宋体" w:hint="default"/>
                <w:spacing w:val="-33"/>
                <w:sz w:val="18"/>
                <w:szCs w:val="18"/>
              </w:rPr>
              <w:t>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（五）专项储备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1.</w:t>
            </w:r>
            <w:r>
              <w:rPr>
                <w:rFonts w:ascii="宋体" w:hAnsi="宋体" w:cs="宋体" w:eastAsia="宋体" w:hint="default"/>
                <w:spacing w:val="-27"/>
                <w:sz w:val="18"/>
                <w:szCs w:val="18"/>
              </w:rPr>
              <w:t>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2.</w:t>
            </w:r>
            <w:r>
              <w:rPr>
                <w:rFonts w:ascii="宋体" w:hAnsi="宋体" w:cs="宋体" w:eastAsia="宋体" w:hint="default"/>
                <w:spacing w:val="-27"/>
                <w:sz w:val="18"/>
                <w:szCs w:val="18"/>
              </w:rPr>
              <w:t>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（六）其他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四、本年年末余额</w:t>
            </w:r>
            <w:r>
              <w:rPr>
                <w:rFonts w:ascii="宋体" w:hAnsi="宋体" w:cs="宋体" w:eastAsia="宋体" w:hint="default"/>
                <w:spacing w:val="-36"/>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694,357,737.79</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-356,738,177.00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346,966,035.74</w:t>
            </w:r>
            <w:r>
              <w:rPr>
                <w:rFonts w:ascii="宋体"/>
                <w:spacing w:val="-20"/>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582,177,334.66</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6,112,793,462.62</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8,703,150,279.81</w:t>
            </w:r>
            <w:r>
              <w:rPr>
                <w:rFonts w:ascii="宋体"/>
                <w:spacing w:val="-20"/>
                <w:sz w:val="18"/>
              </w:rPr>
            </w:r>
          </w:p>
        </w:tc>
      </w:tr>
    </w:tbl>
    <w:p>
      <w:pPr>
        <w:tabs>
          <w:tab w:pos="5981" w:val="left" w:leader="none"/>
          <w:tab w:pos="12582" w:val="left" w:leader="none"/>
        </w:tabs>
        <w:spacing w:before="45"/>
        <w:ind w:left="379"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39"/>
          <w:footerReference w:type="default" r:id="rId40"/>
          <w:pgSz w:w="16840" w:h="11910" w:orient="landscape"/>
          <w:pgMar w:header="1172" w:footer="980" w:top="1920" w:bottom="1160" w:left="840" w:right="840"/>
          <w:pgNumType w:start="9"/>
        </w:sectPr>
      </w:pP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92"/>
        <w:gridCol w:w="1486"/>
        <w:gridCol w:w="540"/>
        <w:gridCol w:w="541"/>
        <w:gridCol w:w="547"/>
        <w:gridCol w:w="1217"/>
        <w:gridCol w:w="540"/>
        <w:gridCol w:w="1349"/>
        <w:gridCol w:w="540"/>
        <w:gridCol w:w="1217"/>
        <w:gridCol w:w="547"/>
        <w:gridCol w:w="1169"/>
        <w:gridCol w:w="1395"/>
        <w:gridCol w:w="1342"/>
      </w:tblGrid>
      <w:tr>
        <w:trPr>
          <w:trHeight w:val="242" w:hRule="exact"/>
        </w:trPr>
        <w:tc>
          <w:tcPr>
            <w:tcW w:w="24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242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b/>
                <w:bCs/>
                <w:spacing w:val="-40"/>
                <w:sz w:val="18"/>
                <w:szCs w:val="18"/>
              </w:rPr>
              <w:t>上年</w:t>
            </w:r>
            <w:r>
              <w:rPr>
                <w:rFonts w:ascii="宋体" w:hAnsi="宋体" w:cs="宋体" w:eastAsia="宋体" w:hint="default"/>
                <w:sz w:val="18"/>
                <w:szCs w:val="18"/>
              </w:rPr>
            </w:r>
          </w:p>
        </w:tc>
      </w:tr>
      <w:tr>
        <w:trPr>
          <w:trHeight w:val="245" w:hRule="exact"/>
        </w:trPr>
        <w:tc>
          <w:tcPr>
            <w:tcW w:w="2492" w:type="dxa"/>
            <w:vMerge/>
            <w:tcBorders>
              <w:left w:val="single" w:sz="4" w:space="0" w:color="000000"/>
              <w:right w:val="single" w:sz="4" w:space="0" w:color="000000"/>
            </w:tcBorders>
          </w:tcPr>
          <w:p>
            <w:pPr/>
          </w:p>
        </w:tc>
        <w:tc>
          <w:tcPr>
            <w:tcW w:w="96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 w:right="0"/>
              <w:jc w:val="center"/>
              <w:rPr>
                <w:rFonts w:ascii="宋体" w:hAnsi="宋体" w:cs="宋体" w:eastAsia="宋体" w:hint="default"/>
                <w:sz w:val="18"/>
                <w:szCs w:val="18"/>
              </w:rPr>
            </w:pPr>
            <w:r>
              <w:rPr>
                <w:rFonts w:ascii="宋体" w:hAnsi="宋体" w:cs="宋体" w:eastAsia="宋体" w:hint="default"/>
                <w:b/>
                <w:bCs/>
                <w:spacing w:val="-37"/>
                <w:sz w:val="18"/>
                <w:szCs w:val="18"/>
              </w:rPr>
              <w:t>归属于母公司股东权益</w:t>
            </w:r>
            <w:r>
              <w:rPr>
                <w:rFonts w:ascii="宋体" w:hAnsi="宋体" w:cs="宋体" w:eastAsia="宋体" w:hint="default"/>
                <w:spacing w:val="-37"/>
                <w:sz w:val="18"/>
                <w:szCs w:val="18"/>
              </w:rPr>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b/>
                <w:bCs/>
                <w:spacing w:val="-34"/>
                <w:sz w:val="18"/>
                <w:szCs w:val="18"/>
              </w:rPr>
              <w:t>少数股东权益</w:t>
            </w:r>
            <w:r>
              <w:rPr>
                <w:rFonts w:ascii="宋体" w:hAnsi="宋体" w:cs="宋体" w:eastAsia="宋体" w:hint="default"/>
                <w:spacing w:val="-34"/>
                <w:sz w:val="18"/>
                <w:szCs w:val="18"/>
              </w:rPr>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97"/>
              <w:ind w:left="381" w:right="383" w:firstLine="72"/>
              <w:jc w:val="left"/>
              <w:rPr>
                <w:rFonts w:ascii="宋体" w:hAnsi="宋体" w:cs="宋体" w:eastAsia="宋体" w:hint="default"/>
                <w:sz w:val="18"/>
                <w:szCs w:val="18"/>
              </w:rPr>
            </w:pPr>
            <w:r>
              <w:rPr>
                <w:rFonts w:ascii="宋体" w:hAnsi="宋体" w:cs="宋体" w:eastAsia="宋体" w:hint="default"/>
                <w:b/>
                <w:bCs/>
                <w:spacing w:val="-40"/>
                <w:sz w:val="18"/>
                <w:szCs w:val="18"/>
              </w:rPr>
              <w:t>所有者</w:t>
            </w:r>
            <w:r>
              <w:rPr>
                <w:rFonts w:ascii="宋体" w:hAnsi="宋体" w:cs="宋体" w:eastAsia="宋体" w:hint="default"/>
                <w:b/>
                <w:bCs/>
                <w:spacing w:val="-39"/>
                <w:w w:val="99"/>
                <w:sz w:val="18"/>
                <w:szCs w:val="18"/>
              </w:rPr>
              <w:t> </w:t>
            </w:r>
            <w:r>
              <w:rPr>
                <w:rFonts w:ascii="宋体" w:hAnsi="宋体" w:cs="宋体" w:eastAsia="宋体" w:hint="default"/>
                <w:b/>
                <w:bCs/>
                <w:spacing w:val="-40"/>
                <w:sz w:val="18"/>
                <w:szCs w:val="18"/>
              </w:rPr>
              <w:t>权益合计</w:t>
            </w:r>
            <w:r>
              <w:rPr>
                <w:rFonts w:ascii="宋体" w:hAnsi="宋体" w:cs="宋体" w:eastAsia="宋体" w:hint="default"/>
                <w:sz w:val="18"/>
                <w:szCs w:val="18"/>
              </w:rPr>
            </w:r>
          </w:p>
        </w:tc>
      </w:tr>
      <w:tr>
        <w:trPr>
          <w:trHeight w:val="242" w:hRule="exact"/>
        </w:trPr>
        <w:tc>
          <w:tcPr>
            <w:tcW w:w="2492" w:type="dxa"/>
            <w:vMerge/>
            <w:tcBorders>
              <w:left w:val="single" w:sz="4" w:space="0" w:color="000000"/>
              <w:right w:val="single" w:sz="4" w:space="0" w:color="000000"/>
            </w:tcBorders>
          </w:tcPr>
          <w:p>
            <w:pP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股本</w:t>
            </w:r>
            <w:r>
              <w:rPr>
                <w:rFonts w:ascii="宋体" w:hAnsi="宋体" w:cs="宋体" w:eastAsia="宋体" w:hint="default"/>
                <w:sz w:val="18"/>
                <w:szCs w:val="18"/>
              </w:rPr>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b/>
                <w:bCs/>
                <w:spacing w:val="-34"/>
                <w:sz w:val="18"/>
                <w:szCs w:val="18"/>
              </w:rPr>
              <w:t>其他权益工具</w:t>
            </w:r>
            <w:r>
              <w:rPr>
                <w:rFonts w:ascii="宋体" w:hAnsi="宋体" w:cs="宋体" w:eastAsia="宋体" w:hint="default"/>
                <w:spacing w:val="-34"/>
                <w:sz w:val="18"/>
                <w:szCs w:val="18"/>
              </w:rPr>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b/>
                <w:bCs/>
                <w:spacing w:val="-40"/>
                <w:sz w:val="18"/>
                <w:szCs w:val="18"/>
              </w:rPr>
              <w:t>资本公积</w:t>
            </w:r>
            <w:r>
              <w:rPr>
                <w:rFonts w:ascii="宋体" w:hAnsi="宋体" w:cs="宋体" w:eastAsia="宋体" w:hint="default"/>
                <w:sz w:val="18"/>
                <w:szCs w:val="18"/>
              </w:rPr>
            </w:r>
          </w:p>
        </w:tc>
        <w:tc>
          <w:tcPr>
            <w:tcW w:w="540" w:type="dxa"/>
            <w:vMerge w:val="restart"/>
            <w:tcBorders>
              <w:top w:val="single" w:sz="4" w:space="0" w:color="000000"/>
              <w:left w:val="single" w:sz="4" w:space="0" w:color="000000"/>
              <w:right w:val="single" w:sz="4" w:space="0" w:color="000000"/>
            </w:tcBorders>
          </w:tcPr>
          <w:p>
            <w:pPr>
              <w:pStyle w:val="TableParagraph"/>
              <w:spacing w:line="209" w:lineRule="exact"/>
              <w:ind w:left="122" w:right="0" w:hanging="70"/>
              <w:jc w:val="left"/>
              <w:rPr>
                <w:rFonts w:ascii="宋体" w:hAnsi="宋体" w:cs="宋体" w:eastAsia="宋体" w:hint="default"/>
                <w:sz w:val="18"/>
                <w:szCs w:val="18"/>
              </w:rPr>
            </w:pPr>
            <w:r>
              <w:rPr>
                <w:rFonts w:ascii="宋体" w:hAnsi="宋体" w:cs="宋体" w:eastAsia="宋体" w:hint="default"/>
                <w:b/>
                <w:bCs/>
                <w:spacing w:val="-40"/>
                <w:sz w:val="18"/>
                <w:szCs w:val="18"/>
              </w:rPr>
              <w:t>减：库</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存股</w:t>
            </w:r>
            <w:r>
              <w:rPr>
                <w:rFonts w:ascii="宋体" w:hAnsi="宋体" w:cs="宋体" w:eastAsia="宋体" w:hint="default"/>
                <w:sz w:val="18"/>
                <w:szCs w:val="18"/>
              </w:rPr>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2"/>
              <w:ind w:left="244" w:right="0"/>
              <w:jc w:val="left"/>
              <w:rPr>
                <w:rFonts w:ascii="宋体" w:hAnsi="宋体" w:cs="宋体" w:eastAsia="宋体" w:hint="default"/>
                <w:sz w:val="18"/>
                <w:szCs w:val="18"/>
              </w:rPr>
            </w:pPr>
            <w:r>
              <w:rPr>
                <w:rFonts w:ascii="宋体" w:hAnsi="宋体" w:cs="宋体" w:eastAsia="宋体" w:hint="default"/>
                <w:b/>
                <w:bCs/>
                <w:spacing w:val="-34"/>
                <w:sz w:val="18"/>
                <w:szCs w:val="18"/>
              </w:rPr>
              <w:t>其他综合收益</w:t>
            </w:r>
            <w:r>
              <w:rPr>
                <w:rFonts w:ascii="宋体" w:hAnsi="宋体" w:cs="宋体" w:eastAsia="宋体" w:hint="default"/>
                <w:spacing w:val="-34"/>
                <w:sz w:val="18"/>
                <w:szCs w:val="18"/>
              </w:rPr>
            </w:r>
          </w:p>
        </w:tc>
        <w:tc>
          <w:tcPr>
            <w:tcW w:w="540" w:type="dxa"/>
            <w:vMerge w:val="restart"/>
            <w:tcBorders>
              <w:top w:val="single" w:sz="4" w:space="0" w:color="000000"/>
              <w:left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b/>
                <w:bCs/>
                <w:spacing w:val="-40"/>
                <w:sz w:val="18"/>
                <w:szCs w:val="18"/>
              </w:rPr>
              <w:t>专项储</w:t>
            </w:r>
            <w:r>
              <w:rPr>
                <w:rFonts w:ascii="宋体" w:hAnsi="宋体" w:cs="宋体" w:eastAsia="宋体" w:hint="default"/>
                <w:sz w:val="18"/>
                <w:szCs w:val="18"/>
              </w:rPr>
            </w:r>
          </w:p>
          <w:p>
            <w:pPr>
              <w:pStyle w:val="TableParagraph"/>
              <w:spacing w:line="234" w:lineRule="exact"/>
              <w:ind w:left="33" w:right="0"/>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b/>
                <w:bCs/>
                <w:spacing w:val="-40"/>
                <w:sz w:val="18"/>
                <w:szCs w:val="18"/>
              </w:rPr>
              <w:t>盈余公积</w:t>
            </w:r>
            <w:r>
              <w:rPr>
                <w:rFonts w:ascii="宋体" w:hAnsi="宋体" w:cs="宋体" w:eastAsia="宋体" w:hint="default"/>
                <w:sz w:val="18"/>
                <w:szCs w:val="18"/>
              </w:rPr>
            </w:r>
          </w:p>
        </w:tc>
        <w:tc>
          <w:tcPr>
            <w:tcW w:w="547" w:type="dxa"/>
            <w:vMerge w:val="restart"/>
            <w:tcBorders>
              <w:top w:val="single" w:sz="4" w:space="0" w:color="000000"/>
              <w:left w:val="single" w:sz="4" w:space="0" w:color="000000"/>
              <w:right w:val="single" w:sz="4" w:space="0" w:color="000000"/>
            </w:tcBorders>
          </w:tcPr>
          <w:p>
            <w:pPr>
              <w:pStyle w:val="TableParagraph"/>
              <w:spacing w:line="209" w:lineRule="exact"/>
              <w:ind w:left="57" w:right="0"/>
              <w:jc w:val="left"/>
              <w:rPr>
                <w:rFonts w:ascii="宋体" w:hAnsi="宋体" w:cs="宋体" w:eastAsia="宋体" w:hint="default"/>
                <w:sz w:val="18"/>
                <w:szCs w:val="18"/>
              </w:rPr>
            </w:pPr>
            <w:r>
              <w:rPr>
                <w:rFonts w:ascii="宋体" w:hAnsi="宋体" w:cs="宋体" w:eastAsia="宋体" w:hint="default"/>
                <w:b/>
                <w:bCs/>
                <w:spacing w:val="-40"/>
                <w:sz w:val="18"/>
                <w:szCs w:val="18"/>
              </w:rPr>
              <w:t>一般风</w:t>
            </w:r>
            <w:r>
              <w:rPr>
                <w:rFonts w:ascii="宋体" w:hAnsi="宋体" w:cs="宋体" w:eastAsia="宋体" w:hint="default"/>
                <w:sz w:val="18"/>
                <w:szCs w:val="18"/>
              </w:rPr>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b/>
                <w:bCs/>
                <w:spacing w:val="-40"/>
                <w:sz w:val="18"/>
                <w:szCs w:val="18"/>
              </w:rPr>
              <w:t>险准备</w:t>
            </w:r>
            <w:r>
              <w:rPr>
                <w:rFonts w:ascii="宋体" w:hAnsi="宋体" w:cs="宋体" w:eastAsia="宋体" w:hint="default"/>
                <w:sz w:val="18"/>
                <w:szCs w:val="18"/>
              </w:rPr>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92"/>
              <w:ind w:left="225" w:right="0"/>
              <w:jc w:val="left"/>
              <w:rPr>
                <w:rFonts w:ascii="宋体" w:hAnsi="宋体" w:cs="宋体" w:eastAsia="宋体" w:hint="default"/>
                <w:sz w:val="18"/>
                <w:szCs w:val="18"/>
              </w:rPr>
            </w:pPr>
            <w:r>
              <w:rPr>
                <w:rFonts w:ascii="宋体" w:hAnsi="宋体" w:cs="宋体" w:eastAsia="宋体" w:hint="default"/>
                <w:b/>
                <w:bCs/>
                <w:spacing w:val="-33"/>
                <w:sz w:val="18"/>
                <w:szCs w:val="18"/>
              </w:rPr>
              <w:t>未分配利润</w:t>
            </w:r>
            <w:r>
              <w:rPr>
                <w:rFonts w:ascii="宋体" w:hAnsi="宋体" w:cs="宋体" w:eastAsia="宋体" w:hint="default"/>
                <w:spacing w:val="-33"/>
                <w:sz w:val="18"/>
                <w:szCs w:val="18"/>
              </w:rPr>
            </w:r>
          </w:p>
        </w:tc>
        <w:tc>
          <w:tcPr>
            <w:tcW w:w="1395" w:type="dxa"/>
            <w:vMerge/>
            <w:tcBorders>
              <w:left w:val="single" w:sz="4" w:space="0" w:color="000000"/>
              <w:right w:val="single" w:sz="4" w:space="0" w:color="000000"/>
            </w:tcBorders>
          </w:tcPr>
          <w:p>
            <w:pPr/>
          </w:p>
        </w:tc>
        <w:tc>
          <w:tcPr>
            <w:tcW w:w="1342" w:type="dxa"/>
            <w:vMerge/>
            <w:tcBorders>
              <w:left w:val="single" w:sz="4" w:space="0" w:color="000000"/>
              <w:right w:val="single" w:sz="4" w:space="0" w:color="000000"/>
            </w:tcBorders>
          </w:tcPr>
          <w:p>
            <w:pPr/>
          </w:p>
        </w:tc>
      </w:tr>
      <w:tr>
        <w:trPr>
          <w:trHeight w:val="245" w:hRule="exact"/>
        </w:trPr>
        <w:tc>
          <w:tcPr>
            <w:tcW w:w="2492"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b/>
                <w:bCs/>
                <w:spacing w:val="-40"/>
                <w:sz w:val="18"/>
                <w:szCs w:val="18"/>
              </w:rPr>
              <w:t>优先股</w:t>
            </w:r>
            <w:r>
              <w:rPr>
                <w:rFonts w:ascii="宋体" w:hAnsi="宋体" w:cs="宋体" w:eastAsia="宋体" w:hint="default"/>
                <w:sz w:val="18"/>
                <w:szCs w:val="18"/>
              </w:rPr>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b/>
                <w:bCs/>
                <w:spacing w:val="-40"/>
                <w:sz w:val="18"/>
                <w:szCs w:val="18"/>
              </w:rPr>
              <w:t>永续债</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b/>
                <w:bCs/>
                <w:spacing w:val="-40"/>
                <w:sz w:val="18"/>
                <w:szCs w:val="18"/>
              </w:rPr>
              <w:t>其他</w:t>
            </w:r>
            <w:r>
              <w:rPr>
                <w:rFonts w:ascii="宋体" w:hAnsi="宋体" w:cs="宋体" w:eastAsia="宋体" w:hint="default"/>
                <w:sz w:val="18"/>
                <w:szCs w:val="18"/>
              </w:rPr>
            </w:r>
          </w:p>
        </w:tc>
        <w:tc>
          <w:tcPr>
            <w:tcW w:w="1217"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一、上年年末余额</w:t>
            </w:r>
            <w:r>
              <w:rPr>
                <w:rFonts w:ascii="宋体" w:hAnsi="宋体" w:cs="宋体" w:eastAsia="宋体" w:hint="default"/>
                <w:spacing w:val="-36"/>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813,217,332.37</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-437,306,457.20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345,950,082.93</w:t>
            </w:r>
            <w:r>
              <w:rPr>
                <w:rFonts w:ascii="宋体"/>
                <w:spacing w:val="-20"/>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636,323,270.90</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6,006,271,911.18</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8,688,050,026.18</w:t>
            </w:r>
            <w:r>
              <w:rPr>
                <w:rFonts w:ascii="宋体"/>
                <w:spacing w:val="-20"/>
                <w:sz w:val="18"/>
              </w:rPr>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5" w:right="0"/>
              <w:jc w:val="left"/>
              <w:rPr>
                <w:rFonts w:ascii="宋体" w:hAnsi="宋体" w:cs="宋体" w:eastAsia="宋体" w:hint="default"/>
                <w:sz w:val="18"/>
                <w:szCs w:val="18"/>
              </w:rPr>
            </w:pPr>
            <w:r>
              <w:rPr>
                <w:rFonts w:ascii="宋体" w:hAnsi="宋体" w:cs="宋体" w:eastAsia="宋体" w:hint="default"/>
                <w:spacing w:val="-34"/>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5" w:right="0"/>
              <w:jc w:val="left"/>
              <w:rPr>
                <w:rFonts w:ascii="宋体" w:hAnsi="宋体" w:cs="宋体" w:eastAsia="宋体" w:hint="default"/>
                <w:sz w:val="18"/>
                <w:szCs w:val="18"/>
              </w:rPr>
            </w:pPr>
            <w:r>
              <w:rPr>
                <w:rFonts w:ascii="宋体" w:hAnsi="宋体" w:cs="宋体" w:eastAsia="宋体" w:hint="default"/>
                <w:spacing w:val="-36"/>
                <w:sz w:val="18"/>
                <w:szCs w:val="18"/>
              </w:rPr>
              <w:t>同一控制下企业合并</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9"/>
                <w:sz w:val="18"/>
              </w:rPr>
              <w:t>56,743,905.80</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-809,843.28</w:t>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-4,388,665.28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pacing w:val="-20"/>
                <w:sz w:val="18"/>
              </w:rPr>
              <w:t>160,401,137.46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pacing w:val="-20"/>
                <w:sz w:val="18"/>
              </w:rPr>
              <w:t>211,946,534.70</w:t>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5"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二、本年年初余额</w:t>
            </w:r>
            <w:r>
              <w:rPr>
                <w:rFonts w:ascii="宋体" w:hAnsi="宋体" w:cs="宋体" w:eastAsia="宋体" w:hint="default"/>
                <w:spacing w:val="-36"/>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869,961,238.17</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-438,116,300.48</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345,950,082.93</w:t>
            </w:r>
            <w:r>
              <w:rPr>
                <w:rFonts w:ascii="宋体"/>
                <w:spacing w:val="-20"/>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631,934,605.62</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6,166,673,048.64</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8,899,996,560.88</w:t>
            </w:r>
            <w:r>
              <w:rPr>
                <w:rFonts w:ascii="宋体"/>
                <w:spacing w:val="-20"/>
                <w:sz w:val="18"/>
              </w:rPr>
            </w:r>
          </w:p>
        </w:tc>
      </w:tr>
      <w:tr>
        <w:trPr>
          <w:trHeight w:val="478"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6"/>
              <w:jc w:val="left"/>
              <w:rPr>
                <w:rFonts w:ascii="宋体" w:hAnsi="宋体" w:cs="宋体" w:eastAsia="宋体" w:hint="default"/>
                <w:sz w:val="18"/>
                <w:szCs w:val="18"/>
              </w:rPr>
            </w:pPr>
            <w:r>
              <w:rPr>
                <w:rFonts w:ascii="宋体" w:hAnsi="宋体" w:cs="宋体" w:eastAsia="宋体" w:hint="default"/>
                <w:b/>
                <w:bCs/>
                <w:spacing w:val="-38"/>
                <w:sz w:val="18"/>
                <w:szCs w:val="18"/>
              </w:rPr>
              <w:t>三、本年增减变动金额（减少以“－”</w:t>
            </w:r>
            <w:r>
              <w:rPr>
                <w:rFonts w:ascii="宋体" w:hAnsi="宋体" w:cs="宋体" w:eastAsia="宋体" w:hint="default"/>
                <w:spacing w:val="-38"/>
                <w:sz w:val="18"/>
                <w:szCs w:val="18"/>
              </w:rPr>
            </w: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b/>
                <w:bCs/>
                <w:spacing w:val="-40"/>
                <w:sz w:val="18"/>
                <w:szCs w:val="18"/>
              </w:rPr>
              <w:t>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19"/>
                <w:sz w:val="18"/>
              </w:rPr>
              <w:t>1,990,450.34</w:t>
            </w:r>
            <w:r>
              <w:rPr>
                <w:rFonts w:ascii="宋体"/>
                <w:spacing w:val="-19"/>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19"/>
                <w:sz w:val="18"/>
              </w:rPr>
              <w:t>289,795.23</w:t>
            </w:r>
            <w:r>
              <w:rPr>
                <w:rFonts w:ascii="宋体"/>
                <w:spacing w:val="-19"/>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20"/>
                <w:sz w:val="18"/>
              </w:rPr>
              <w:t>-13,364,403.99</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20"/>
                <w:sz w:val="18"/>
              </w:rPr>
              <w:t>-238,682,844.42</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spacing w:val="-20"/>
                <w:sz w:val="18"/>
              </w:rPr>
              <w:t>-430,916,758.19</w:t>
            </w:r>
            <w:r>
              <w:rPr>
                <w:rFonts w:ascii="宋体"/>
                <w:spacing w:val="-20"/>
                <w:sz w:val="18"/>
              </w:rPr>
            </w: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（一）综合收益总额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1,990,450.34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20"/>
                <w:sz w:val="18"/>
              </w:rPr>
              <w:t>-13,074,608.76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9"/>
                <w:sz w:val="18"/>
              </w:rPr>
              <w:t>-336,767,768.02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9"/>
                <w:sz w:val="18"/>
              </w:rPr>
              <w:t>-347,851,926.44</w:t>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（二）股东投入和减少资本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
              <w:jc w:val="right"/>
              <w:rPr>
                <w:rFonts w:ascii="宋体" w:hAnsi="宋体" w:cs="宋体" w:eastAsia="宋体" w:hint="default"/>
                <w:sz w:val="18"/>
                <w:szCs w:val="18"/>
              </w:rPr>
            </w:pPr>
            <w:r>
              <w:rPr>
                <w:rFonts w:ascii="宋体"/>
                <w:spacing w:val="-19"/>
                <w:sz w:val="18"/>
              </w:rPr>
              <w:t>-181,149,755.35</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spacing w:val="-20"/>
                <w:sz w:val="18"/>
              </w:rPr>
              <w:t>118,790,901.94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
              <w:jc w:val="right"/>
              <w:rPr>
                <w:rFonts w:ascii="宋体" w:hAnsi="宋体" w:cs="宋体" w:eastAsia="宋体" w:hint="default"/>
                <w:sz w:val="18"/>
                <w:szCs w:val="18"/>
              </w:rPr>
            </w:pPr>
            <w:r>
              <w:rPr>
                <w:rFonts w:ascii="宋体"/>
                <w:spacing w:val="-20"/>
                <w:sz w:val="18"/>
              </w:rPr>
              <w:t>-62,358,853.41</w:t>
            </w: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1.</w:t>
            </w:r>
            <w:r>
              <w:rPr>
                <w:rFonts w:ascii="宋体" w:hAnsi="宋体" w:cs="宋体" w:eastAsia="宋体" w:hint="default"/>
                <w:spacing w:val="-32"/>
                <w:sz w:val="18"/>
                <w:szCs w:val="18"/>
              </w:rPr>
              <w:t>股东投入普通股</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right"/>
              <w:rPr>
                <w:rFonts w:ascii="宋体" w:hAnsi="宋体" w:cs="宋体" w:eastAsia="宋体" w:hint="default"/>
                <w:sz w:val="18"/>
                <w:szCs w:val="18"/>
              </w:rPr>
            </w:pPr>
            <w:r>
              <w:rPr>
                <w:rFonts w:ascii="宋体" w:hAnsi="宋体" w:cs="宋体" w:eastAsia="宋体" w:hint="default"/>
                <w:spacing w:val="-37"/>
                <w:sz w:val="18"/>
                <w:szCs w:val="18"/>
              </w:rPr>
              <w:t>2</w:t>
            </w:r>
            <w:r>
              <w:rPr>
                <w:rFonts w:ascii="宋体" w:hAnsi="宋体" w:cs="宋体" w:eastAsia="宋体" w:hint="default"/>
                <w:spacing w:val="-37"/>
                <w:sz w:val="18"/>
                <w:szCs w:val="18"/>
              </w:rPr>
              <w:t>．其他权益工具持有者投入资本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
              <w:jc w:val="right"/>
              <w:rPr>
                <w:rFonts w:ascii="宋体" w:hAnsi="宋体" w:cs="宋体" w:eastAsia="宋体" w:hint="default"/>
                <w:sz w:val="18"/>
                <w:szCs w:val="18"/>
              </w:rPr>
            </w:pPr>
            <w:r>
              <w:rPr>
                <w:rFonts w:ascii="宋体" w:hAnsi="宋体" w:cs="宋体" w:eastAsia="宋体" w:hint="default"/>
                <w:spacing w:val="-35"/>
                <w:sz w:val="18"/>
                <w:szCs w:val="18"/>
              </w:rPr>
              <w:t>3.</w:t>
            </w:r>
            <w:r>
              <w:rPr>
                <w:rFonts w:ascii="宋体" w:hAnsi="宋体" w:cs="宋体" w:eastAsia="宋体" w:hint="default"/>
                <w:spacing w:val="-35"/>
                <w:sz w:val="18"/>
                <w:szCs w:val="18"/>
              </w:rPr>
              <w:t>股份支付计入股东权益的金额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624,695.10</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1,943,952.52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2,568,647.62</w:t>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9"/>
                <w:sz w:val="18"/>
              </w:rPr>
              <w:t>-181,774,450.45</w:t>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pacing w:val="-20"/>
                <w:sz w:val="18"/>
              </w:rPr>
              <w:t>116,846,949.42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20"/>
                <w:sz w:val="18"/>
              </w:rPr>
              <w:t>-64,927,501.03</w:t>
            </w:r>
          </w:p>
        </w:tc>
      </w:tr>
      <w:tr>
        <w:trPr>
          <w:trHeight w:val="24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（三）利润分配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9"/>
                <w:sz w:val="18"/>
              </w:rPr>
              <w:t>289,795.23</w:t>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9"/>
                <w:sz w:val="18"/>
              </w:rPr>
              <w:t>-289,795.23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
              <w:jc w:val="right"/>
              <w:rPr>
                <w:rFonts w:ascii="宋体" w:hAnsi="宋体" w:cs="宋体" w:eastAsia="宋体" w:hint="default"/>
                <w:sz w:val="18"/>
                <w:szCs w:val="18"/>
              </w:rPr>
            </w:pPr>
            <w:r>
              <w:rPr>
                <w:rFonts w:ascii="宋体"/>
                <w:spacing w:val="-20"/>
                <w:sz w:val="18"/>
              </w:rPr>
              <w:t>-20,705,978.34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
              <w:jc w:val="right"/>
              <w:rPr>
                <w:rFonts w:ascii="宋体" w:hAnsi="宋体" w:cs="宋体" w:eastAsia="宋体" w:hint="default"/>
                <w:sz w:val="18"/>
                <w:szCs w:val="18"/>
              </w:rPr>
            </w:pPr>
            <w:r>
              <w:rPr>
                <w:rFonts w:ascii="宋体"/>
                <w:spacing w:val="-20"/>
                <w:sz w:val="18"/>
              </w:rPr>
              <w:t>-20,705,978.34</w:t>
            </w: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1.</w:t>
            </w:r>
            <w:r>
              <w:rPr>
                <w:rFonts w:ascii="宋体" w:hAnsi="宋体" w:cs="宋体" w:eastAsia="宋体" w:hint="default"/>
                <w:spacing w:val="-31"/>
                <w:sz w:val="18"/>
                <w:szCs w:val="18"/>
              </w:rPr>
              <w:t>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289,795.23</w:t>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9"/>
                <w:sz w:val="18"/>
              </w:rPr>
              <w:t>-289,795.23</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2.</w:t>
            </w:r>
            <w:r>
              <w:rPr>
                <w:rFonts w:ascii="宋体" w:hAnsi="宋体" w:cs="宋体" w:eastAsia="宋体" w:hint="default"/>
                <w:spacing w:val="-33"/>
                <w:sz w:val="18"/>
                <w:szCs w:val="18"/>
              </w:rPr>
              <w:t>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3.</w:t>
            </w:r>
            <w:r>
              <w:rPr>
                <w:rFonts w:ascii="宋体" w:hAnsi="宋体" w:cs="宋体" w:eastAsia="宋体" w:hint="default"/>
                <w:spacing w:val="-35"/>
                <w:sz w:val="18"/>
                <w:szCs w:val="18"/>
              </w:rPr>
              <w:t>对所有者（或股东）的分配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20"/>
                <w:sz w:val="18"/>
              </w:rPr>
              <w:t>-20,705,978.34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20"/>
                <w:sz w:val="18"/>
              </w:rPr>
              <w:t>-20,705,978.34</w:t>
            </w: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（四）股东权益内部结转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1.</w:t>
            </w:r>
            <w:r>
              <w:rPr>
                <w:rFonts w:ascii="宋体" w:hAnsi="宋体" w:cs="宋体" w:eastAsia="宋体" w:hint="default"/>
                <w:spacing w:val="-33"/>
                <w:sz w:val="18"/>
                <w:szCs w:val="18"/>
              </w:rPr>
              <w:t>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2.</w:t>
            </w:r>
            <w:r>
              <w:rPr>
                <w:rFonts w:ascii="宋体" w:hAnsi="宋体" w:cs="宋体" w:eastAsia="宋体" w:hint="default"/>
                <w:spacing w:val="-33"/>
                <w:sz w:val="18"/>
                <w:szCs w:val="18"/>
              </w:rPr>
              <w:t>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3.</w:t>
            </w:r>
            <w:r>
              <w:rPr>
                <w:rFonts w:ascii="宋体" w:hAnsi="宋体" w:cs="宋体" w:eastAsia="宋体" w:hint="default"/>
                <w:spacing w:val="-33"/>
                <w:sz w:val="18"/>
                <w:szCs w:val="18"/>
              </w:rPr>
              <w:t>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（五）专项储备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1.</w:t>
            </w:r>
            <w:r>
              <w:rPr>
                <w:rFonts w:ascii="宋体" w:hAnsi="宋体" w:cs="宋体" w:eastAsia="宋体" w:hint="default"/>
                <w:spacing w:val="-27"/>
                <w:sz w:val="18"/>
                <w:szCs w:val="18"/>
              </w:rPr>
              <w:t>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2.</w:t>
            </w:r>
            <w:r>
              <w:rPr>
                <w:rFonts w:ascii="宋体" w:hAnsi="宋体" w:cs="宋体" w:eastAsia="宋体" w:hint="default"/>
                <w:spacing w:val="-27"/>
                <w:sz w:val="18"/>
                <w:szCs w:val="18"/>
              </w:rPr>
              <w:t>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（六）其他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四、本年年末余额</w:t>
            </w:r>
            <w:r>
              <w:rPr>
                <w:rFonts w:ascii="宋体" w:hAnsi="宋体" w:cs="宋体" w:eastAsia="宋体" w:hint="default"/>
                <w:spacing w:val="-36"/>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688,811,482.82</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-436,125,850.14</w:t>
            </w:r>
            <w:r>
              <w:rPr>
                <w:rFonts w:ascii="宋体"/>
                <w:spacing w:val="-20"/>
                <w:sz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346,239,878.16</w:t>
            </w:r>
            <w:r>
              <w:rPr>
                <w:rFonts w:ascii="宋体"/>
                <w:spacing w:val="-20"/>
                <w:sz w:val="18"/>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618,570,201.63</w:t>
            </w:r>
            <w:r>
              <w:rPr>
                <w:rFonts w:ascii="宋体"/>
                <w:spacing w:val="-20"/>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5,927,990,204.22</w:t>
            </w:r>
            <w:r>
              <w:rPr>
                <w:rFonts w:ascii="宋体"/>
                <w:spacing w:val="-20"/>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b/>
                <w:spacing w:val="-20"/>
                <w:sz w:val="18"/>
              </w:rPr>
              <w:t>8,469,079,802.69</w:t>
            </w:r>
            <w:r>
              <w:rPr>
                <w:rFonts w:ascii="宋体"/>
                <w:spacing w:val="-20"/>
                <w:sz w:val="18"/>
              </w:rPr>
            </w:r>
          </w:p>
        </w:tc>
      </w:tr>
    </w:tbl>
    <w:p>
      <w:pPr>
        <w:tabs>
          <w:tab w:pos="5981" w:val="left" w:leader="none"/>
          <w:tab w:pos="12582" w:val="left" w:leader="none"/>
        </w:tabs>
        <w:spacing w:before="45"/>
        <w:ind w:left="379"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pgSz w:w="16840" w:h="11910" w:orient="landscape"/>
          <w:pgMar w:header="1172" w:footer="980" w:top="1920" w:bottom="1160" w:left="840" w:right="840"/>
        </w:sectPr>
      </w:pPr>
    </w:p>
    <w:tbl>
      <w:tblPr>
        <w:tblW w:w="0" w:type="auto"/>
        <w:jc w:val="left"/>
        <w:tblInd w:w="115" w:type="dxa"/>
        <w:tblLayout w:type="fixed"/>
        <w:tblCellMar>
          <w:top w:w="0" w:type="dxa"/>
          <w:left w:w="0" w:type="dxa"/>
          <w:bottom w:w="0" w:type="dxa"/>
          <w:right w:w="0" w:type="dxa"/>
        </w:tblCellMar>
        <w:tblLook w:val="01E0"/>
      </w:tblPr>
      <w:tblGrid>
        <w:gridCol w:w="3137"/>
        <w:gridCol w:w="1435"/>
        <w:gridCol w:w="629"/>
        <w:gridCol w:w="626"/>
        <w:gridCol w:w="485"/>
        <w:gridCol w:w="1529"/>
        <w:gridCol w:w="905"/>
        <w:gridCol w:w="1178"/>
        <w:gridCol w:w="835"/>
        <w:gridCol w:w="1318"/>
        <w:gridCol w:w="1321"/>
        <w:gridCol w:w="1522"/>
      </w:tblGrid>
      <w:tr>
        <w:trPr>
          <w:trHeight w:val="271" w:hRule="exact"/>
        </w:trPr>
        <w:tc>
          <w:tcPr>
            <w:tcW w:w="313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178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pacing w:val="-40"/>
                <w:sz w:val="18"/>
                <w:szCs w:val="18"/>
              </w:rPr>
              <w:t>本年</w:t>
            </w:r>
            <w:r>
              <w:rPr>
                <w:rFonts w:ascii="宋体" w:hAnsi="宋体" w:cs="宋体" w:eastAsia="宋体" w:hint="default"/>
                <w:sz w:val="18"/>
                <w:szCs w:val="18"/>
              </w:rPr>
            </w:r>
          </w:p>
        </w:tc>
      </w:tr>
      <w:tr>
        <w:trPr>
          <w:trHeight w:val="269" w:hRule="exact"/>
        </w:trPr>
        <w:tc>
          <w:tcPr>
            <w:tcW w:w="3137" w:type="dxa"/>
            <w:vMerge/>
            <w:tcBorders>
              <w:left w:val="single" w:sz="4" w:space="0" w:color="000000"/>
              <w:right w:val="single" w:sz="4" w:space="0" w:color="000000"/>
            </w:tcBorders>
          </w:tcPr>
          <w:p>
            <w:pP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b/>
                <w:bCs/>
                <w:spacing w:val="-40"/>
                <w:sz w:val="18"/>
                <w:szCs w:val="18"/>
              </w:rPr>
              <w:t>股本</w:t>
            </w:r>
            <w:r>
              <w:rPr>
                <w:rFonts w:ascii="宋体" w:hAnsi="宋体" w:cs="宋体" w:eastAsia="宋体" w:hint="default"/>
                <w:sz w:val="18"/>
                <w:szCs w:val="18"/>
              </w:rPr>
            </w:r>
          </w:p>
        </w:tc>
        <w:tc>
          <w:tcPr>
            <w:tcW w:w="17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44" w:right="0"/>
              <w:jc w:val="left"/>
              <w:rPr>
                <w:rFonts w:ascii="宋体" w:hAnsi="宋体" w:cs="宋体" w:eastAsia="宋体" w:hint="default"/>
                <w:sz w:val="18"/>
                <w:szCs w:val="18"/>
              </w:rPr>
            </w:pPr>
            <w:r>
              <w:rPr>
                <w:rFonts w:ascii="宋体" w:hAnsi="宋体" w:cs="宋体" w:eastAsia="宋体" w:hint="default"/>
                <w:b/>
                <w:bCs/>
                <w:spacing w:val="-34"/>
                <w:sz w:val="18"/>
                <w:szCs w:val="18"/>
              </w:rPr>
              <w:t>其他权益工具</w:t>
            </w:r>
            <w:r>
              <w:rPr>
                <w:rFonts w:ascii="宋体" w:hAnsi="宋体" w:cs="宋体" w:eastAsia="宋体" w:hint="default"/>
                <w:spacing w:val="-34"/>
                <w:sz w:val="18"/>
                <w:szCs w:val="18"/>
              </w:rPr>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33"/>
              <w:ind w:left="477" w:right="0"/>
              <w:jc w:val="left"/>
              <w:rPr>
                <w:rFonts w:ascii="宋体" w:hAnsi="宋体" w:cs="宋体" w:eastAsia="宋体" w:hint="default"/>
                <w:sz w:val="18"/>
                <w:szCs w:val="18"/>
              </w:rPr>
            </w:pPr>
            <w:r>
              <w:rPr>
                <w:rFonts w:ascii="宋体" w:hAnsi="宋体" w:cs="宋体" w:eastAsia="宋体" w:hint="default"/>
                <w:b/>
                <w:bCs/>
                <w:spacing w:val="-40"/>
                <w:sz w:val="18"/>
                <w:szCs w:val="18"/>
              </w:rPr>
              <w:t>资本公积</w:t>
            </w:r>
            <w:r>
              <w:rPr>
                <w:rFonts w:ascii="宋体" w:hAnsi="宋体" w:cs="宋体" w:eastAsia="宋体" w:hint="default"/>
                <w:sz w:val="18"/>
                <w:szCs w:val="18"/>
              </w:rPr>
            </w:r>
          </w:p>
        </w:tc>
        <w:tc>
          <w:tcPr>
            <w:tcW w:w="905" w:type="dxa"/>
            <w:vMerge w:val="restart"/>
            <w:tcBorders>
              <w:top w:val="single" w:sz="4" w:space="0" w:color="000000"/>
              <w:left w:val="single" w:sz="4" w:space="0" w:color="000000"/>
              <w:right w:val="single" w:sz="4" w:space="0" w:color="000000"/>
            </w:tcBorders>
          </w:tcPr>
          <w:p>
            <w:pPr>
              <w:pStyle w:val="TableParagraph"/>
              <w:spacing w:line="240" w:lineRule="auto" w:before="133"/>
              <w:ind w:left="93" w:right="0"/>
              <w:jc w:val="left"/>
              <w:rPr>
                <w:rFonts w:ascii="宋体" w:hAnsi="宋体" w:cs="宋体" w:eastAsia="宋体" w:hint="default"/>
                <w:sz w:val="18"/>
                <w:szCs w:val="18"/>
              </w:rPr>
            </w:pPr>
            <w:r>
              <w:rPr>
                <w:rFonts w:ascii="宋体" w:hAnsi="宋体" w:cs="宋体" w:eastAsia="宋体" w:hint="default"/>
                <w:b/>
                <w:bCs/>
                <w:spacing w:val="-33"/>
                <w:sz w:val="18"/>
                <w:szCs w:val="18"/>
              </w:rPr>
              <w:t>减：库存股</w:t>
            </w:r>
            <w:r>
              <w:rPr>
                <w:rFonts w:ascii="宋体" w:hAnsi="宋体" w:cs="宋体" w:eastAsia="宋体" w:hint="default"/>
                <w:spacing w:val="-33"/>
                <w:sz w:val="18"/>
                <w:szCs w:val="18"/>
              </w:rPr>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133"/>
              <w:ind w:left="160" w:right="0"/>
              <w:jc w:val="left"/>
              <w:rPr>
                <w:rFonts w:ascii="宋体" w:hAnsi="宋体" w:cs="宋体" w:eastAsia="宋体" w:hint="default"/>
                <w:sz w:val="18"/>
                <w:szCs w:val="18"/>
              </w:rPr>
            </w:pPr>
            <w:r>
              <w:rPr>
                <w:rFonts w:ascii="宋体" w:hAnsi="宋体" w:cs="宋体" w:eastAsia="宋体" w:hint="default"/>
                <w:b/>
                <w:bCs/>
                <w:spacing w:val="-34"/>
                <w:sz w:val="18"/>
                <w:szCs w:val="18"/>
              </w:rPr>
              <w:t>其他综合收益</w:t>
            </w:r>
            <w:r>
              <w:rPr>
                <w:rFonts w:ascii="宋体" w:hAnsi="宋体" w:cs="宋体" w:eastAsia="宋体" w:hint="default"/>
                <w:spacing w:val="-34"/>
                <w:sz w:val="18"/>
                <w:szCs w:val="18"/>
              </w:rPr>
            </w:r>
          </w:p>
        </w:tc>
        <w:tc>
          <w:tcPr>
            <w:tcW w:w="835" w:type="dxa"/>
            <w:vMerge w:val="restart"/>
            <w:tcBorders>
              <w:top w:val="single" w:sz="4" w:space="0" w:color="000000"/>
              <w:left w:val="single" w:sz="4" w:space="0" w:color="000000"/>
              <w:right w:val="single" w:sz="4" w:space="0" w:color="000000"/>
            </w:tcBorders>
          </w:tcPr>
          <w:p>
            <w:pPr>
              <w:pStyle w:val="TableParagraph"/>
              <w:spacing w:line="240" w:lineRule="auto" w:before="133"/>
              <w:ind w:left="129" w:right="0"/>
              <w:jc w:val="left"/>
              <w:rPr>
                <w:rFonts w:ascii="宋体" w:hAnsi="宋体" w:cs="宋体" w:eastAsia="宋体" w:hint="default"/>
                <w:sz w:val="18"/>
                <w:szCs w:val="18"/>
              </w:rPr>
            </w:pPr>
            <w:r>
              <w:rPr>
                <w:rFonts w:ascii="宋体" w:hAnsi="宋体" w:cs="宋体" w:eastAsia="宋体" w:hint="default"/>
                <w:b/>
                <w:bCs/>
                <w:spacing w:val="-40"/>
                <w:sz w:val="18"/>
                <w:szCs w:val="18"/>
              </w:rPr>
              <w:t>专项储备</w:t>
            </w:r>
            <w:r>
              <w:rPr>
                <w:rFonts w:ascii="宋体" w:hAnsi="宋体" w:cs="宋体" w:eastAsia="宋体" w:hint="default"/>
                <w:sz w:val="18"/>
                <w:szCs w:val="18"/>
              </w:rPr>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33"/>
              <w:ind w:left="369" w:right="0"/>
              <w:jc w:val="left"/>
              <w:rPr>
                <w:rFonts w:ascii="宋体" w:hAnsi="宋体" w:cs="宋体" w:eastAsia="宋体" w:hint="default"/>
                <w:sz w:val="18"/>
                <w:szCs w:val="18"/>
              </w:rPr>
            </w:pPr>
            <w:r>
              <w:rPr>
                <w:rFonts w:ascii="宋体" w:hAnsi="宋体" w:cs="宋体" w:eastAsia="宋体" w:hint="default"/>
                <w:b/>
                <w:bCs/>
                <w:spacing w:val="-40"/>
                <w:sz w:val="18"/>
                <w:szCs w:val="18"/>
              </w:rPr>
              <w:t>盈余公积</w:t>
            </w:r>
            <w:r>
              <w:rPr>
                <w:rFonts w:ascii="宋体" w:hAnsi="宋体" w:cs="宋体" w:eastAsia="宋体" w:hint="default"/>
                <w:sz w:val="18"/>
                <w:szCs w:val="18"/>
              </w:rPr>
            </w:r>
          </w:p>
        </w:tc>
        <w:tc>
          <w:tcPr>
            <w:tcW w:w="1321" w:type="dxa"/>
            <w:vMerge w:val="restart"/>
            <w:tcBorders>
              <w:top w:val="single" w:sz="4" w:space="0" w:color="000000"/>
              <w:left w:val="single" w:sz="4" w:space="0" w:color="000000"/>
              <w:right w:val="single" w:sz="4" w:space="0" w:color="000000"/>
            </w:tcBorders>
          </w:tcPr>
          <w:p>
            <w:pPr>
              <w:pStyle w:val="TableParagraph"/>
              <w:spacing w:line="240" w:lineRule="auto" w:before="133"/>
              <w:ind w:left="303" w:right="0"/>
              <w:jc w:val="left"/>
              <w:rPr>
                <w:rFonts w:ascii="宋体" w:hAnsi="宋体" w:cs="宋体" w:eastAsia="宋体" w:hint="default"/>
                <w:sz w:val="18"/>
                <w:szCs w:val="18"/>
              </w:rPr>
            </w:pPr>
            <w:r>
              <w:rPr>
                <w:rFonts w:ascii="宋体" w:hAnsi="宋体" w:cs="宋体" w:eastAsia="宋体" w:hint="default"/>
                <w:b/>
                <w:bCs/>
                <w:spacing w:val="-33"/>
                <w:sz w:val="18"/>
                <w:szCs w:val="18"/>
              </w:rPr>
              <w:t>未分配利润</w:t>
            </w:r>
            <w:r>
              <w:rPr>
                <w:rFonts w:ascii="宋体" w:hAnsi="宋体" w:cs="宋体" w:eastAsia="宋体" w:hint="default"/>
                <w:spacing w:val="-33"/>
                <w:sz w:val="18"/>
                <w:szCs w:val="18"/>
              </w:rPr>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33"/>
              <w:ind w:left="261" w:right="0"/>
              <w:jc w:val="left"/>
              <w:rPr>
                <w:rFonts w:ascii="宋体" w:hAnsi="宋体" w:cs="宋体" w:eastAsia="宋体" w:hint="default"/>
                <w:sz w:val="18"/>
                <w:szCs w:val="18"/>
              </w:rPr>
            </w:pPr>
            <w:r>
              <w:rPr>
                <w:rFonts w:ascii="宋体" w:hAnsi="宋体" w:cs="宋体" w:eastAsia="宋体" w:hint="default"/>
                <w:b/>
                <w:bCs/>
                <w:spacing w:val="-35"/>
                <w:sz w:val="18"/>
                <w:szCs w:val="18"/>
              </w:rPr>
              <w:t>所有者权益合计</w:t>
            </w:r>
            <w:r>
              <w:rPr>
                <w:rFonts w:ascii="宋体" w:hAnsi="宋体" w:cs="宋体" w:eastAsia="宋体" w:hint="default"/>
                <w:spacing w:val="-35"/>
                <w:sz w:val="18"/>
                <w:szCs w:val="18"/>
              </w:rPr>
            </w:r>
          </w:p>
        </w:tc>
      </w:tr>
      <w:tr>
        <w:trPr>
          <w:trHeight w:val="271" w:hRule="exact"/>
        </w:trPr>
        <w:tc>
          <w:tcPr>
            <w:tcW w:w="3137" w:type="dxa"/>
            <w:vMerge/>
            <w:tcBorders>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b/>
                <w:bCs/>
                <w:spacing w:val="-40"/>
                <w:sz w:val="18"/>
                <w:szCs w:val="18"/>
              </w:rPr>
              <w:t>优先股</w:t>
            </w:r>
            <w:r>
              <w:rPr>
                <w:rFonts w:ascii="宋体" w:hAnsi="宋体" w:cs="宋体" w:eastAsia="宋体" w:hint="default"/>
                <w:sz w:val="18"/>
                <w:szCs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b/>
                <w:bCs/>
                <w:spacing w:val="-40"/>
                <w:sz w:val="18"/>
                <w:szCs w:val="18"/>
              </w:rPr>
              <w:t>永续债</w:t>
            </w:r>
            <w:r>
              <w:rPr>
                <w:rFonts w:ascii="宋体" w:hAnsi="宋体" w:cs="宋体" w:eastAsia="宋体" w:hint="default"/>
                <w:sz w:val="18"/>
                <w:szCs w:val="18"/>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b/>
                <w:bCs/>
                <w:spacing w:val="-40"/>
                <w:sz w:val="18"/>
                <w:szCs w:val="18"/>
              </w:rPr>
              <w:t>其他</w:t>
            </w:r>
            <w:r>
              <w:rPr>
                <w:rFonts w:ascii="宋体" w:hAnsi="宋体" w:cs="宋体" w:eastAsia="宋体" w:hint="default"/>
                <w:sz w:val="18"/>
                <w:szCs w:val="18"/>
              </w:rPr>
            </w:r>
          </w:p>
        </w:tc>
        <w:tc>
          <w:tcPr>
            <w:tcW w:w="1529"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835"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一、上年年末余额</w:t>
            </w:r>
            <w:r>
              <w:rPr>
                <w:rFonts w:ascii="宋体" w:hAnsi="宋体" w:cs="宋体" w:eastAsia="宋体" w:hint="default"/>
                <w:spacing w:val="-36"/>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1,308,754,875.53</w:t>
            </w:r>
            <w:r>
              <w:rPr>
                <w:rFonts w:ascii="宋体"/>
                <w:spacing w:val="-20"/>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344,904,569.50</w:t>
            </w:r>
            <w:r>
              <w:rPr>
                <w:rFonts w:ascii="宋体"/>
                <w:spacing w:val="-20"/>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-73,821,474.80</w:t>
            </w:r>
            <w:r>
              <w:rPr>
                <w:rFonts w:ascii="宋体"/>
                <w:spacing w:val="-20"/>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2,903,431,856.23</w:t>
            </w:r>
            <w:r>
              <w:rPr>
                <w:rFonts w:ascii="宋体"/>
                <w:spacing w:val="-20"/>
                <w:sz w:val="18"/>
              </w:rPr>
            </w: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加：会计政策变更</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w w:val="99"/>
                <w:sz w:val="18"/>
              </w:rPr>
              <w:t>-</w:t>
            </w:r>
            <w:r>
              <w:rPr>
                <w:rFonts w:ascii="宋体"/>
                <w:sz w:val="18"/>
              </w:rPr>
            </w: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95" w:right="0"/>
              <w:jc w:val="left"/>
              <w:rPr>
                <w:rFonts w:ascii="宋体" w:hAnsi="宋体" w:cs="宋体" w:eastAsia="宋体" w:hint="default"/>
                <w:sz w:val="18"/>
                <w:szCs w:val="18"/>
              </w:rPr>
            </w:pPr>
            <w:r>
              <w:rPr>
                <w:rFonts w:ascii="宋体" w:hAnsi="宋体" w:cs="宋体" w:eastAsia="宋体" w:hint="default"/>
                <w:spacing w:val="-34"/>
                <w:sz w:val="18"/>
                <w:szCs w:val="18"/>
              </w:rPr>
              <w:t>前期差错更正</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w w:val="99"/>
                <w:sz w:val="18"/>
              </w:rPr>
              <w:t>-</w:t>
            </w:r>
            <w:r>
              <w:rPr>
                <w:rFonts w:ascii="宋体"/>
                <w:sz w:val="18"/>
              </w:rPr>
            </w: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95"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w w:val="99"/>
                <w:sz w:val="18"/>
              </w:rPr>
              <w:t>-</w:t>
            </w:r>
            <w:r>
              <w:rPr>
                <w:rFonts w:ascii="宋体"/>
                <w:sz w:val="18"/>
              </w:rPr>
            </w: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二、本年年初余额</w:t>
            </w:r>
            <w:r>
              <w:rPr>
                <w:rFonts w:ascii="宋体" w:hAnsi="宋体" w:cs="宋体" w:eastAsia="宋体" w:hint="default"/>
                <w:spacing w:val="-36"/>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1,308,754,875.53</w:t>
            </w:r>
            <w:r>
              <w:rPr>
                <w:rFonts w:ascii="宋体"/>
                <w:spacing w:val="-20"/>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344,904,569.50</w:t>
            </w:r>
            <w:r>
              <w:rPr>
                <w:rFonts w:ascii="宋体"/>
                <w:spacing w:val="-20"/>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-73,821,474.80</w:t>
            </w:r>
            <w:r>
              <w:rPr>
                <w:rFonts w:ascii="宋体"/>
                <w:spacing w:val="-20"/>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2,903,431,856.23</w:t>
            </w:r>
            <w:r>
              <w:rPr>
                <w:rFonts w:ascii="宋体"/>
                <w:spacing w:val="-20"/>
                <w:sz w:val="18"/>
              </w:rPr>
            </w: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b/>
                <w:bCs/>
                <w:spacing w:val="-39"/>
                <w:sz w:val="18"/>
                <w:szCs w:val="18"/>
              </w:rPr>
              <w:t>三、本年增减变动金额（减少以“－”号填列）</w:t>
            </w:r>
            <w:r>
              <w:rPr>
                <w:rFonts w:ascii="宋体" w:hAnsi="宋体" w:cs="宋体" w:eastAsia="宋体" w:hint="default"/>
                <w:spacing w:val="-39"/>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-512,052,178.07</w:t>
            </w:r>
            <w:r>
              <w:rPr>
                <w:rFonts w:ascii="宋体"/>
                <w:spacing w:val="-20"/>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19"/>
                <w:sz w:val="18"/>
              </w:rPr>
              <w:t>726,157.58</w:t>
            </w:r>
            <w:r>
              <w:rPr>
                <w:rFonts w:ascii="宋体"/>
                <w:spacing w:val="-19"/>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19"/>
                <w:sz w:val="18"/>
              </w:rPr>
              <w:t>6,535,418.19</w:t>
            </w:r>
            <w:r>
              <w:rPr>
                <w:rFonts w:ascii="宋体"/>
                <w:spacing w:val="-19"/>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-504,790,602.30</w:t>
            </w:r>
            <w:r>
              <w:rPr>
                <w:rFonts w:ascii="宋体"/>
                <w:spacing w:val="-20"/>
                <w:sz w:val="18"/>
              </w:rPr>
            </w: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（一）综合收益总额</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7,261,575.77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7,261,575.77</w:t>
            </w: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（二）股东投入和减少资本</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4"/>
              <w:jc w:val="right"/>
              <w:rPr>
                <w:rFonts w:ascii="宋体" w:hAnsi="宋体" w:cs="宋体" w:eastAsia="宋体" w:hint="default"/>
                <w:sz w:val="18"/>
                <w:szCs w:val="18"/>
              </w:rPr>
            </w:pPr>
            <w:r>
              <w:rPr>
                <w:rFonts w:ascii="宋体"/>
                <w:spacing w:val="-19"/>
                <w:sz w:val="18"/>
              </w:rPr>
              <w:t>-512,052,178.07</w:t>
            </w: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4"/>
              <w:jc w:val="right"/>
              <w:rPr>
                <w:rFonts w:ascii="宋体" w:hAnsi="宋体" w:cs="宋体" w:eastAsia="宋体" w:hint="default"/>
                <w:sz w:val="18"/>
                <w:szCs w:val="18"/>
              </w:rPr>
            </w:pPr>
            <w:r>
              <w:rPr>
                <w:rFonts w:ascii="宋体"/>
                <w:spacing w:val="-19"/>
                <w:sz w:val="18"/>
              </w:rPr>
              <w:t>-512,052,178.07</w:t>
            </w: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1.</w:t>
            </w:r>
            <w:r>
              <w:rPr>
                <w:rFonts w:ascii="宋体" w:hAnsi="宋体" w:cs="宋体" w:eastAsia="宋体" w:hint="default"/>
                <w:spacing w:val="-32"/>
                <w:sz w:val="18"/>
                <w:szCs w:val="18"/>
              </w:rPr>
              <w:t>股东投入普通股</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2</w:t>
            </w:r>
            <w:r>
              <w:rPr>
                <w:rFonts w:ascii="宋体" w:hAnsi="宋体" w:cs="宋体" w:eastAsia="宋体" w:hint="default"/>
                <w:spacing w:val="-37"/>
                <w:sz w:val="18"/>
                <w:szCs w:val="18"/>
              </w:rPr>
              <w:t>．其他权益工具持有者投入资本</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3.</w:t>
            </w:r>
            <w:r>
              <w:rPr>
                <w:rFonts w:ascii="宋体" w:hAnsi="宋体" w:cs="宋体" w:eastAsia="宋体" w:hint="default"/>
                <w:spacing w:val="-35"/>
                <w:sz w:val="18"/>
                <w:szCs w:val="18"/>
              </w:rPr>
              <w:t>股份支付计入股东权益的金额</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4"/>
              <w:jc w:val="right"/>
              <w:rPr>
                <w:rFonts w:ascii="宋体" w:hAnsi="宋体" w:cs="宋体" w:eastAsia="宋体" w:hint="default"/>
                <w:sz w:val="18"/>
                <w:szCs w:val="18"/>
              </w:rPr>
            </w:pPr>
            <w:r>
              <w:rPr>
                <w:rFonts w:ascii="宋体"/>
                <w:spacing w:val="-19"/>
                <w:sz w:val="18"/>
              </w:rPr>
              <w:t>-512,052,178.07</w:t>
            </w: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4"/>
              <w:jc w:val="right"/>
              <w:rPr>
                <w:rFonts w:ascii="宋体" w:hAnsi="宋体" w:cs="宋体" w:eastAsia="宋体" w:hint="default"/>
                <w:sz w:val="18"/>
                <w:szCs w:val="18"/>
              </w:rPr>
            </w:pPr>
            <w:r>
              <w:rPr>
                <w:rFonts w:ascii="宋体"/>
                <w:spacing w:val="-19"/>
                <w:sz w:val="18"/>
              </w:rPr>
              <w:t>-512,052,178.07</w:t>
            </w: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（三）利润分配</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726,157.58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-726,157.58</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1.</w:t>
            </w:r>
            <w:r>
              <w:rPr>
                <w:rFonts w:ascii="宋体" w:hAnsi="宋体" w:cs="宋体" w:eastAsia="宋体" w:hint="default"/>
                <w:spacing w:val="-31"/>
                <w:sz w:val="18"/>
                <w:szCs w:val="18"/>
              </w:rPr>
              <w:t>提取盈余公积</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726,157.58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-726,157.58</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2.</w:t>
            </w:r>
            <w:r>
              <w:rPr>
                <w:rFonts w:ascii="宋体" w:hAnsi="宋体" w:cs="宋体" w:eastAsia="宋体" w:hint="default"/>
                <w:spacing w:val="-31"/>
                <w:sz w:val="18"/>
                <w:szCs w:val="18"/>
              </w:rPr>
              <w:t>对股东的分配</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3.</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（四）股东权益内部结转</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1.</w:t>
            </w:r>
            <w:r>
              <w:rPr>
                <w:rFonts w:ascii="宋体" w:hAnsi="宋体" w:cs="宋体" w:eastAsia="宋体" w:hint="default"/>
                <w:spacing w:val="-33"/>
                <w:sz w:val="18"/>
                <w:szCs w:val="18"/>
              </w:rPr>
              <w:t>资本公积转增股本</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2.</w:t>
            </w:r>
            <w:r>
              <w:rPr>
                <w:rFonts w:ascii="宋体" w:hAnsi="宋体" w:cs="宋体" w:eastAsia="宋体" w:hint="default"/>
                <w:spacing w:val="-33"/>
                <w:sz w:val="18"/>
                <w:szCs w:val="18"/>
              </w:rPr>
              <w:t>盈余公积转增股本</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3.</w:t>
            </w:r>
            <w:r>
              <w:rPr>
                <w:rFonts w:ascii="宋体" w:hAnsi="宋体" w:cs="宋体" w:eastAsia="宋体" w:hint="default"/>
                <w:spacing w:val="-33"/>
                <w:sz w:val="18"/>
                <w:szCs w:val="18"/>
              </w:rPr>
              <w:t>盈余公积弥补亏损</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（五）专项储备</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1.</w:t>
            </w:r>
            <w:r>
              <w:rPr>
                <w:rFonts w:ascii="宋体" w:hAnsi="宋体" w:cs="宋体" w:eastAsia="宋体" w:hint="default"/>
                <w:spacing w:val="-27"/>
                <w:sz w:val="18"/>
                <w:szCs w:val="18"/>
              </w:rPr>
              <w:t>本年提取</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2.</w:t>
            </w:r>
            <w:r>
              <w:rPr>
                <w:rFonts w:ascii="宋体" w:hAnsi="宋体" w:cs="宋体" w:eastAsia="宋体" w:hint="default"/>
                <w:spacing w:val="-27"/>
                <w:sz w:val="18"/>
                <w:szCs w:val="18"/>
              </w:rPr>
              <w:t>本年使用</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（六）其他</w:t>
            </w:r>
          </w:p>
        </w:tc>
        <w:tc>
          <w:tcPr>
            <w:tcW w:w="143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1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四、本年年末余额</w:t>
            </w:r>
            <w:r>
              <w:rPr>
                <w:rFonts w:ascii="宋体" w:hAnsi="宋体" w:cs="宋体" w:eastAsia="宋体" w:hint="default"/>
                <w:spacing w:val="-36"/>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796,702,697.46</w:t>
            </w:r>
            <w:r>
              <w:rPr>
                <w:rFonts w:ascii="宋体"/>
                <w:spacing w:val="-20"/>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345,630,727.08</w:t>
            </w:r>
            <w:r>
              <w:rPr>
                <w:rFonts w:ascii="宋体"/>
                <w:spacing w:val="-20"/>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-67,286,056.61</w:t>
            </w:r>
            <w:r>
              <w:rPr>
                <w:rFonts w:ascii="宋体"/>
                <w:spacing w:val="-20"/>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2,398,641,253.93</w:t>
            </w:r>
            <w:r>
              <w:rPr>
                <w:rFonts w:ascii="宋体"/>
                <w:spacing w:val="-20"/>
                <w:sz w:val="18"/>
              </w:rPr>
            </w:r>
          </w:p>
        </w:tc>
      </w:tr>
    </w:tbl>
    <w:p>
      <w:pPr>
        <w:tabs>
          <w:tab w:pos="5981" w:val="left" w:leader="none"/>
          <w:tab w:pos="12582" w:val="left" w:leader="none"/>
        </w:tabs>
        <w:spacing w:before="67"/>
        <w:ind w:left="379"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headerReference w:type="default" r:id="rId41"/>
          <w:pgSz w:w="16840" w:h="11910" w:orient="landscape"/>
          <w:pgMar w:header="1141" w:footer="980" w:top="1880" w:bottom="1160" w:left="840" w:right="840"/>
        </w:sectPr>
      </w:pPr>
    </w:p>
    <w:tbl>
      <w:tblPr>
        <w:tblW w:w="0" w:type="auto"/>
        <w:jc w:val="left"/>
        <w:tblInd w:w="115" w:type="dxa"/>
        <w:tblLayout w:type="fixed"/>
        <w:tblCellMar>
          <w:top w:w="0" w:type="dxa"/>
          <w:left w:w="0" w:type="dxa"/>
          <w:bottom w:w="0" w:type="dxa"/>
          <w:right w:w="0" w:type="dxa"/>
        </w:tblCellMar>
        <w:tblLook w:val="01E0"/>
      </w:tblPr>
      <w:tblGrid>
        <w:gridCol w:w="3041"/>
        <w:gridCol w:w="1584"/>
        <w:gridCol w:w="613"/>
        <w:gridCol w:w="612"/>
        <w:gridCol w:w="480"/>
        <w:gridCol w:w="1582"/>
        <w:gridCol w:w="884"/>
        <w:gridCol w:w="1128"/>
        <w:gridCol w:w="814"/>
        <w:gridCol w:w="1361"/>
        <w:gridCol w:w="1369"/>
        <w:gridCol w:w="1454"/>
      </w:tblGrid>
      <w:tr>
        <w:trPr>
          <w:trHeight w:val="271" w:hRule="exact"/>
        </w:trPr>
        <w:tc>
          <w:tcPr>
            <w:tcW w:w="30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187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pacing w:val="-40"/>
                <w:sz w:val="18"/>
                <w:szCs w:val="18"/>
              </w:rPr>
              <w:t>上年</w:t>
            </w:r>
            <w:r>
              <w:rPr>
                <w:rFonts w:ascii="宋体" w:hAnsi="宋体" w:cs="宋体" w:eastAsia="宋体" w:hint="default"/>
                <w:sz w:val="18"/>
                <w:szCs w:val="18"/>
              </w:rPr>
            </w:r>
          </w:p>
        </w:tc>
      </w:tr>
      <w:tr>
        <w:trPr>
          <w:trHeight w:val="269" w:hRule="exact"/>
        </w:trPr>
        <w:tc>
          <w:tcPr>
            <w:tcW w:w="3041" w:type="dxa"/>
            <w:vMerge/>
            <w:tcBorders>
              <w:left w:val="single" w:sz="4" w:space="0" w:color="000000"/>
              <w:right w:val="single" w:sz="4" w:space="0" w:color="000000"/>
            </w:tcBorders>
          </w:tcPr>
          <w:p>
            <w:pP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b/>
                <w:bCs/>
                <w:spacing w:val="-40"/>
                <w:sz w:val="18"/>
                <w:szCs w:val="18"/>
              </w:rPr>
              <w:t>股本</w:t>
            </w:r>
            <w:r>
              <w:rPr>
                <w:rFonts w:ascii="宋体" w:hAnsi="宋体" w:cs="宋体" w:eastAsia="宋体" w:hint="default"/>
                <w:sz w:val="18"/>
                <w:szCs w:val="18"/>
              </w:rPr>
            </w:r>
          </w:p>
        </w:tc>
        <w:tc>
          <w:tcPr>
            <w:tcW w:w="17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23" w:right="0"/>
              <w:jc w:val="left"/>
              <w:rPr>
                <w:rFonts w:ascii="宋体" w:hAnsi="宋体" w:cs="宋体" w:eastAsia="宋体" w:hint="default"/>
                <w:sz w:val="18"/>
                <w:szCs w:val="18"/>
              </w:rPr>
            </w:pPr>
            <w:r>
              <w:rPr>
                <w:rFonts w:ascii="宋体" w:hAnsi="宋体" w:cs="宋体" w:eastAsia="宋体" w:hint="default"/>
                <w:b/>
                <w:bCs/>
                <w:spacing w:val="-34"/>
                <w:sz w:val="18"/>
                <w:szCs w:val="18"/>
              </w:rPr>
              <w:t>其他权益工具</w:t>
            </w:r>
            <w:r>
              <w:rPr>
                <w:rFonts w:ascii="宋体" w:hAnsi="宋体" w:cs="宋体" w:eastAsia="宋体" w:hint="default"/>
                <w:spacing w:val="-34"/>
                <w:sz w:val="18"/>
                <w:szCs w:val="18"/>
              </w:rPr>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33"/>
              <w:ind w:left="501" w:right="0"/>
              <w:jc w:val="left"/>
              <w:rPr>
                <w:rFonts w:ascii="宋体" w:hAnsi="宋体" w:cs="宋体" w:eastAsia="宋体" w:hint="default"/>
                <w:sz w:val="18"/>
                <w:szCs w:val="18"/>
              </w:rPr>
            </w:pPr>
            <w:r>
              <w:rPr>
                <w:rFonts w:ascii="宋体" w:hAnsi="宋体" w:cs="宋体" w:eastAsia="宋体" w:hint="default"/>
                <w:b/>
                <w:bCs/>
                <w:spacing w:val="-40"/>
                <w:sz w:val="18"/>
                <w:szCs w:val="18"/>
              </w:rPr>
              <w:t>资本公积</w:t>
            </w:r>
            <w:r>
              <w:rPr>
                <w:rFonts w:ascii="宋体" w:hAnsi="宋体" w:cs="宋体" w:eastAsia="宋体" w:hint="default"/>
                <w:sz w:val="18"/>
                <w:szCs w:val="18"/>
              </w:rPr>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33"/>
              <w:ind w:left="83" w:right="0"/>
              <w:jc w:val="left"/>
              <w:rPr>
                <w:rFonts w:ascii="宋体" w:hAnsi="宋体" w:cs="宋体" w:eastAsia="宋体" w:hint="default"/>
                <w:sz w:val="18"/>
                <w:szCs w:val="18"/>
              </w:rPr>
            </w:pPr>
            <w:r>
              <w:rPr>
                <w:rFonts w:ascii="宋体" w:hAnsi="宋体" w:cs="宋体" w:eastAsia="宋体" w:hint="default"/>
                <w:b/>
                <w:bCs/>
                <w:spacing w:val="-33"/>
                <w:sz w:val="18"/>
                <w:szCs w:val="18"/>
              </w:rPr>
              <w:t>减：库存股</w:t>
            </w:r>
            <w:r>
              <w:rPr>
                <w:rFonts w:ascii="宋体" w:hAnsi="宋体" w:cs="宋体" w:eastAsia="宋体" w:hint="default"/>
                <w:spacing w:val="-33"/>
                <w:sz w:val="18"/>
                <w:szCs w:val="18"/>
              </w:rPr>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33"/>
              <w:ind w:left="134" w:right="0"/>
              <w:jc w:val="left"/>
              <w:rPr>
                <w:rFonts w:ascii="宋体" w:hAnsi="宋体" w:cs="宋体" w:eastAsia="宋体" w:hint="default"/>
                <w:sz w:val="18"/>
                <w:szCs w:val="18"/>
              </w:rPr>
            </w:pPr>
            <w:r>
              <w:rPr>
                <w:rFonts w:ascii="宋体" w:hAnsi="宋体" w:cs="宋体" w:eastAsia="宋体" w:hint="default"/>
                <w:b/>
                <w:bCs/>
                <w:spacing w:val="-34"/>
                <w:sz w:val="18"/>
                <w:szCs w:val="18"/>
              </w:rPr>
              <w:t>其他综合收益</w:t>
            </w:r>
            <w:r>
              <w:rPr>
                <w:rFonts w:ascii="宋体" w:hAnsi="宋体" w:cs="宋体" w:eastAsia="宋体" w:hint="default"/>
                <w:spacing w:val="-34"/>
                <w:sz w:val="18"/>
                <w:szCs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33"/>
              <w:ind w:left="117" w:right="0"/>
              <w:jc w:val="left"/>
              <w:rPr>
                <w:rFonts w:ascii="宋体" w:hAnsi="宋体" w:cs="宋体" w:eastAsia="宋体" w:hint="default"/>
                <w:sz w:val="18"/>
                <w:szCs w:val="18"/>
              </w:rPr>
            </w:pPr>
            <w:r>
              <w:rPr>
                <w:rFonts w:ascii="宋体" w:hAnsi="宋体" w:cs="宋体" w:eastAsia="宋体" w:hint="default"/>
                <w:b/>
                <w:bCs/>
                <w:spacing w:val="-40"/>
                <w:sz w:val="18"/>
                <w:szCs w:val="18"/>
              </w:rPr>
              <w:t>专项储备</w:t>
            </w:r>
            <w:r>
              <w:rPr>
                <w:rFonts w:ascii="宋体" w:hAnsi="宋体" w:cs="宋体" w:eastAsia="宋体" w:hint="default"/>
                <w:sz w:val="18"/>
                <w:szCs w:val="18"/>
              </w:rPr>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33"/>
              <w:ind w:left="393" w:right="0"/>
              <w:jc w:val="left"/>
              <w:rPr>
                <w:rFonts w:ascii="宋体" w:hAnsi="宋体" w:cs="宋体" w:eastAsia="宋体" w:hint="default"/>
                <w:sz w:val="18"/>
                <w:szCs w:val="18"/>
              </w:rPr>
            </w:pPr>
            <w:r>
              <w:rPr>
                <w:rFonts w:ascii="宋体" w:hAnsi="宋体" w:cs="宋体" w:eastAsia="宋体" w:hint="default"/>
                <w:b/>
                <w:bCs/>
                <w:spacing w:val="-40"/>
                <w:sz w:val="18"/>
                <w:szCs w:val="18"/>
              </w:rPr>
              <w:t>盈余公积</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133"/>
              <w:ind w:left="327" w:right="0"/>
              <w:jc w:val="left"/>
              <w:rPr>
                <w:rFonts w:ascii="宋体" w:hAnsi="宋体" w:cs="宋体" w:eastAsia="宋体" w:hint="default"/>
                <w:sz w:val="18"/>
                <w:szCs w:val="18"/>
              </w:rPr>
            </w:pPr>
            <w:r>
              <w:rPr>
                <w:rFonts w:ascii="宋体" w:hAnsi="宋体" w:cs="宋体" w:eastAsia="宋体" w:hint="default"/>
                <w:b/>
                <w:bCs/>
                <w:spacing w:val="-33"/>
                <w:sz w:val="18"/>
                <w:szCs w:val="18"/>
              </w:rPr>
              <w:t>未分配利润</w:t>
            </w:r>
            <w:r>
              <w:rPr>
                <w:rFonts w:ascii="宋体" w:hAnsi="宋体" w:cs="宋体" w:eastAsia="宋体" w:hint="default"/>
                <w:spacing w:val="-33"/>
                <w:sz w:val="18"/>
                <w:szCs w:val="18"/>
              </w:rPr>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hAnsi="宋体" w:cs="宋体" w:eastAsia="宋体" w:hint="default"/>
                <w:b/>
                <w:bCs/>
                <w:spacing w:val="-35"/>
                <w:sz w:val="18"/>
                <w:szCs w:val="18"/>
              </w:rPr>
              <w:t>所有者权益合计</w:t>
            </w:r>
            <w:r>
              <w:rPr>
                <w:rFonts w:ascii="宋体" w:hAnsi="宋体" w:cs="宋体" w:eastAsia="宋体" w:hint="default"/>
                <w:spacing w:val="-35"/>
                <w:sz w:val="18"/>
                <w:szCs w:val="18"/>
              </w:rPr>
            </w:r>
          </w:p>
        </w:tc>
      </w:tr>
      <w:tr>
        <w:trPr>
          <w:trHeight w:val="271" w:hRule="exact"/>
        </w:trPr>
        <w:tc>
          <w:tcPr>
            <w:tcW w:w="3041"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9" w:right="0"/>
              <w:jc w:val="left"/>
              <w:rPr>
                <w:rFonts w:ascii="宋体" w:hAnsi="宋体" w:cs="宋体" w:eastAsia="宋体" w:hint="default"/>
                <w:sz w:val="18"/>
                <w:szCs w:val="18"/>
              </w:rPr>
            </w:pPr>
            <w:r>
              <w:rPr>
                <w:rFonts w:ascii="宋体" w:hAnsi="宋体" w:cs="宋体" w:eastAsia="宋体" w:hint="default"/>
                <w:b/>
                <w:bCs/>
                <w:spacing w:val="-40"/>
                <w:sz w:val="18"/>
                <w:szCs w:val="18"/>
              </w:rPr>
              <w:t>优先股</w:t>
            </w:r>
            <w:r>
              <w:rPr>
                <w:rFonts w:ascii="宋体" w:hAnsi="宋体" w:cs="宋体" w:eastAsia="宋体"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8" w:right="0"/>
              <w:jc w:val="left"/>
              <w:rPr>
                <w:rFonts w:ascii="宋体" w:hAnsi="宋体" w:cs="宋体" w:eastAsia="宋体" w:hint="default"/>
                <w:sz w:val="18"/>
                <w:szCs w:val="18"/>
              </w:rPr>
            </w:pPr>
            <w:r>
              <w:rPr>
                <w:rFonts w:ascii="宋体" w:hAnsi="宋体" w:cs="宋体" w:eastAsia="宋体" w:hint="default"/>
                <w:b/>
                <w:bCs/>
                <w:spacing w:val="-40"/>
                <w:sz w:val="18"/>
                <w:szCs w:val="18"/>
              </w:rPr>
              <w:t>永续债</w:t>
            </w:r>
            <w:r>
              <w:rPr>
                <w:rFonts w:ascii="宋体" w:hAnsi="宋体" w:cs="宋体" w:eastAsia="宋体" w:hint="default"/>
                <w:sz w:val="18"/>
                <w:szCs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pacing w:val="-20"/>
                <w:sz w:val="18"/>
                <w:szCs w:val="18"/>
              </w:rPr>
              <w:t>其他</w:t>
            </w:r>
            <w:r>
              <w:rPr>
                <w:rFonts w:ascii="宋体" w:hAnsi="宋体" w:cs="宋体" w:eastAsia="宋体" w:hint="default"/>
                <w:spacing w:val="-20"/>
                <w:sz w:val="18"/>
                <w:szCs w:val="18"/>
              </w:rPr>
            </w:r>
          </w:p>
        </w:tc>
        <w:tc>
          <w:tcPr>
            <w:tcW w:w="1582"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一、上年年末余额</w:t>
            </w:r>
            <w:r>
              <w:rPr>
                <w:rFonts w:ascii="宋体" w:hAnsi="宋体" w:cs="宋体" w:eastAsia="宋体" w:hint="default"/>
                <w:spacing w:val="-36"/>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5"/>
              <w:jc w:val="right"/>
              <w:rPr>
                <w:rFonts w:ascii="宋体" w:hAnsi="宋体" w:cs="宋体" w:eastAsia="宋体" w:hint="default"/>
                <w:sz w:val="18"/>
                <w:szCs w:val="18"/>
              </w:rPr>
            </w:pPr>
            <w:r>
              <w:rPr>
                <w:rFonts w:ascii="宋体"/>
                <w:b/>
                <w:spacing w:val="-20"/>
                <w:sz w:val="18"/>
              </w:rPr>
              <w:t>1,308,704,194.91</w:t>
            </w:r>
            <w:r>
              <w:rPr>
                <w:rFonts w:ascii="宋体"/>
                <w:spacing w:val="-20"/>
                <w:sz w:val="18"/>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
              <w:jc w:val="right"/>
              <w:rPr>
                <w:rFonts w:ascii="宋体" w:hAnsi="宋体" w:cs="宋体" w:eastAsia="宋体" w:hint="default"/>
                <w:sz w:val="18"/>
                <w:szCs w:val="18"/>
              </w:rPr>
            </w:pPr>
            <w:r>
              <w:rPr>
                <w:rFonts w:ascii="宋体"/>
                <w:b/>
                <w:spacing w:val="-20"/>
                <w:sz w:val="18"/>
              </w:rPr>
              <w:t>344,614,774.27</w:t>
            </w:r>
            <w:r>
              <w:rPr>
                <w:rFonts w:ascii="宋体"/>
                <w:spacing w:val="-20"/>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-76,429,631.86</w:t>
            </w:r>
            <w:r>
              <w:rPr>
                <w:rFonts w:ascii="宋体"/>
                <w:spacing w:val="-20"/>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2,900,483,223.32</w:t>
            </w:r>
            <w:r>
              <w:rPr>
                <w:rFonts w:ascii="宋体"/>
                <w:spacing w:val="-20"/>
                <w:sz w:val="18"/>
              </w:rPr>
            </w: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加：会计政策变更</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95" w:right="0"/>
              <w:jc w:val="left"/>
              <w:rPr>
                <w:rFonts w:ascii="宋体" w:hAnsi="宋体" w:cs="宋体" w:eastAsia="宋体" w:hint="default"/>
                <w:sz w:val="18"/>
                <w:szCs w:val="18"/>
              </w:rPr>
            </w:pPr>
            <w:r>
              <w:rPr>
                <w:rFonts w:ascii="宋体" w:hAnsi="宋体" w:cs="宋体" w:eastAsia="宋体" w:hint="default"/>
                <w:spacing w:val="-34"/>
                <w:sz w:val="18"/>
                <w:szCs w:val="18"/>
              </w:rPr>
              <w:t>前期差错更正</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95" w:right="0"/>
              <w:jc w:val="left"/>
              <w:rPr>
                <w:rFonts w:ascii="宋体" w:hAnsi="宋体" w:cs="宋体" w:eastAsia="宋体" w:hint="default"/>
                <w:sz w:val="18"/>
                <w:szCs w:val="18"/>
              </w:rPr>
            </w:pPr>
            <w:r>
              <w:rPr>
                <w:rFonts w:ascii="宋体" w:hAnsi="宋体" w:cs="宋体" w:eastAsia="宋体" w:hint="default"/>
                <w:spacing w:val="-39"/>
                <w:sz w:val="18"/>
                <w:szCs w:val="18"/>
              </w:rPr>
              <w:t>其他</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二、本年年初余额</w:t>
            </w:r>
            <w:r>
              <w:rPr>
                <w:rFonts w:ascii="宋体" w:hAnsi="宋体" w:cs="宋体" w:eastAsia="宋体" w:hint="default"/>
                <w:spacing w:val="-36"/>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
              <w:jc w:val="right"/>
              <w:rPr>
                <w:rFonts w:ascii="宋体" w:hAnsi="宋体" w:cs="宋体" w:eastAsia="宋体" w:hint="default"/>
                <w:sz w:val="18"/>
                <w:szCs w:val="18"/>
              </w:rPr>
            </w:pPr>
            <w:r>
              <w:rPr>
                <w:rFonts w:ascii="宋体"/>
                <w:b/>
                <w:spacing w:val="-20"/>
                <w:sz w:val="18"/>
              </w:rPr>
              <w:t>1,308,704,194.91</w:t>
            </w:r>
            <w:r>
              <w:rPr>
                <w:rFonts w:ascii="宋体"/>
                <w:spacing w:val="-20"/>
                <w:sz w:val="18"/>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
              <w:jc w:val="right"/>
              <w:rPr>
                <w:rFonts w:ascii="宋体" w:hAnsi="宋体" w:cs="宋体" w:eastAsia="宋体" w:hint="default"/>
                <w:sz w:val="18"/>
                <w:szCs w:val="18"/>
              </w:rPr>
            </w:pPr>
            <w:r>
              <w:rPr>
                <w:rFonts w:ascii="宋体"/>
                <w:b/>
                <w:spacing w:val="-20"/>
                <w:sz w:val="18"/>
              </w:rPr>
              <w:t>344,614,774.27</w:t>
            </w:r>
            <w:r>
              <w:rPr>
                <w:rFonts w:ascii="宋体"/>
                <w:spacing w:val="-20"/>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-76,429,631.86</w:t>
            </w:r>
            <w:r>
              <w:rPr>
                <w:rFonts w:ascii="宋体"/>
                <w:spacing w:val="-20"/>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b/>
                <w:spacing w:val="-20"/>
                <w:sz w:val="18"/>
              </w:rPr>
              <w:t>2,900,483,223.32</w:t>
            </w:r>
            <w:r>
              <w:rPr>
                <w:rFonts w:ascii="宋体"/>
                <w:spacing w:val="-20"/>
                <w:sz w:val="18"/>
              </w:rPr>
            </w: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 w:right="-3"/>
              <w:jc w:val="left"/>
              <w:rPr>
                <w:rFonts w:ascii="宋体" w:hAnsi="宋体" w:cs="宋体" w:eastAsia="宋体" w:hint="default"/>
                <w:sz w:val="18"/>
                <w:szCs w:val="18"/>
              </w:rPr>
            </w:pPr>
            <w:r>
              <w:rPr>
                <w:rFonts w:ascii="宋体" w:hAnsi="宋体" w:cs="宋体" w:eastAsia="宋体" w:hint="default"/>
                <w:b/>
                <w:bCs/>
                <w:spacing w:val="-39"/>
                <w:sz w:val="18"/>
                <w:szCs w:val="18"/>
              </w:rPr>
              <w:t>三、本年增减变动金额（减少以“－”号填列）</w:t>
            </w:r>
            <w:r>
              <w:rPr>
                <w:rFonts w:ascii="宋体" w:hAnsi="宋体" w:cs="宋体" w:eastAsia="宋体" w:hint="default"/>
                <w:spacing w:val="-39"/>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5"/>
              <w:jc w:val="right"/>
              <w:rPr>
                <w:rFonts w:ascii="宋体" w:hAnsi="宋体" w:cs="宋体" w:eastAsia="宋体" w:hint="default"/>
                <w:sz w:val="18"/>
                <w:szCs w:val="18"/>
              </w:rPr>
            </w:pPr>
            <w:r>
              <w:rPr>
                <w:rFonts w:ascii="宋体"/>
                <w:b/>
                <w:spacing w:val="-19"/>
                <w:sz w:val="18"/>
              </w:rPr>
              <w:t>50,680.62</w:t>
            </w:r>
            <w:r>
              <w:rPr>
                <w:rFonts w:ascii="宋体"/>
                <w:spacing w:val="-19"/>
                <w:sz w:val="18"/>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
              <w:jc w:val="right"/>
              <w:rPr>
                <w:rFonts w:ascii="宋体" w:hAnsi="宋体" w:cs="宋体" w:eastAsia="宋体" w:hint="default"/>
                <w:sz w:val="18"/>
                <w:szCs w:val="18"/>
              </w:rPr>
            </w:pPr>
            <w:r>
              <w:rPr>
                <w:rFonts w:ascii="宋体"/>
                <w:b/>
                <w:spacing w:val="-19"/>
                <w:sz w:val="18"/>
              </w:rPr>
              <w:t>289,795.23</w:t>
            </w:r>
            <w:r>
              <w:rPr>
                <w:rFonts w:ascii="宋体"/>
                <w:spacing w:val="-19"/>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19"/>
                <w:sz w:val="18"/>
              </w:rPr>
              <w:t>2,608,157.06</w:t>
            </w:r>
            <w:r>
              <w:rPr>
                <w:rFonts w:ascii="宋体"/>
                <w:spacing w:val="-19"/>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19"/>
                <w:sz w:val="18"/>
              </w:rPr>
              <w:t>2,948,632.91</w:t>
            </w:r>
            <w:r>
              <w:rPr>
                <w:rFonts w:ascii="宋体"/>
                <w:spacing w:val="-19"/>
                <w:sz w:val="18"/>
              </w:rPr>
            </w: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6"/>
                <w:sz w:val="18"/>
                <w:szCs w:val="18"/>
              </w:rPr>
              <w:t>（一）综合收益总额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2,897,952.29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2,897,952.29</w:t>
            </w: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（二）股东投入和减少资本</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5"/>
              <w:jc w:val="right"/>
              <w:rPr>
                <w:rFonts w:ascii="宋体" w:hAnsi="宋体" w:cs="宋体" w:eastAsia="宋体" w:hint="default"/>
                <w:sz w:val="18"/>
                <w:szCs w:val="18"/>
              </w:rPr>
            </w:pPr>
            <w:r>
              <w:rPr>
                <w:rFonts w:ascii="宋体"/>
                <w:spacing w:val="-18"/>
                <w:sz w:val="18"/>
              </w:rPr>
              <w:t>50,680.62</w:t>
            </w: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8"/>
                <w:sz w:val="18"/>
              </w:rPr>
              <w:t>50,680.62</w:t>
            </w: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1.</w:t>
            </w:r>
            <w:r>
              <w:rPr>
                <w:rFonts w:ascii="宋体" w:hAnsi="宋体" w:cs="宋体" w:eastAsia="宋体" w:hint="default"/>
                <w:spacing w:val="-32"/>
                <w:sz w:val="18"/>
                <w:szCs w:val="18"/>
              </w:rPr>
              <w:t>股东投入普通股</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2</w:t>
            </w:r>
            <w:r>
              <w:rPr>
                <w:rFonts w:ascii="宋体" w:hAnsi="宋体" w:cs="宋体" w:eastAsia="宋体" w:hint="default"/>
                <w:spacing w:val="-37"/>
                <w:sz w:val="18"/>
                <w:szCs w:val="18"/>
              </w:rPr>
              <w:t>．其他权益工具持有者投入资本</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3.</w:t>
            </w:r>
            <w:r>
              <w:rPr>
                <w:rFonts w:ascii="宋体" w:hAnsi="宋体" w:cs="宋体" w:eastAsia="宋体" w:hint="default"/>
                <w:spacing w:val="-35"/>
                <w:sz w:val="18"/>
                <w:szCs w:val="18"/>
              </w:rPr>
              <w:t>股份支付计入股东权益的金额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5"/>
              <w:jc w:val="right"/>
              <w:rPr>
                <w:rFonts w:ascii="宋体" w:hAnsi="宋体" w:cs="宋体" w:eastAsia="宋体" w:hint="default"/>
                <w:sz w:val="18"/>
                <w:szCs w:val="18"/>
              </w:rPr>
            </w:pPr>
            <w:r>
              <w:rPr>
                <w:rFonts w:ascii="宋体"/>
                <w:spacing w:val="-18"/>
                <w:sz w:val="18"/>
              </w:rPr>
              <w:t>50,680.62</w:t>
            </w: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8"/>
                <w:sz w:val="18"/>
              </w:rPr>
              <w:t>50,680.62</w:t>
            </w: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（三）利润分配</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
              <w:jc w:val="right"/>
              <w:rPr>
                <w:rFonts w:ascii="宋体" w:hAnsi="宋体" w:cs="宋体" w:eastAsia="宋体" w:hint="default"/>
                <w:sz w:val="18"/>
                <w:szCs w:val="18"/>
              </w:rPr>
            </w:pPr>
            <w:r>
              <w:rPr>
                <w:rFonts w:ascii="宋体"/>
                <w:spacing w:val="-19"/>
                <w:sz w:val="18"/>
              </w:rPr>
              <w:t>289,795.23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-289,795.23</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1.</w:t>
            </w:r>
            <w:r>
              <w:rPr>
                <w:rFonts w:ascii="宋体" w:hAnsi="宋体" w:cs="宋体" w:eastAsia="宋体" w:hint="default"/>
                <w:spacing w:val="-31"/>
                <w:sz w:val="18"/>
                <w:szCs w:val="18"/>
              </w:rPr>
              <w:t>提取盈余公积</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
              <w:jc w:val="right"/>
              <w:rPr>
                <w:rFonts w:ascii="宋体" w:hAnsi="宋体" w:cs="宋体" w:eastAsia="宋体" w:hint="default"/>
                <w:sz w:val="18"/>
                <w:szCs w:val="18"/>
              </w:rPr>
            </w:pPr>
            <w:r>
              <w:rPr>
                <w:rFonts w:ascii="宋体"/>
                <w:spacing w:val="-19"/>
                <w:sz w:val="18"/>
              </w:rPr>
              <w:t>289,795.23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spacing w:val="-19"/>
                <w:sz w:val="18"/>
              </w:rPr>
              <w:t>-289,795.23</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2.</w:t>
            </w:r>
            <w:r>
              <w:rPr>
                <w:rFonts w:ascii="宋体" w:hAnsi="宋体" w:cs="宋体" w:eastAsia="宋体" w:hint="default"/>
                <w:spacing w:val="-31"/>
                <w:sz w:val="18"/>
                <w:szCs w:val="18"/>
              </w:rPr>
              <w:t>对股东的分配</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3.</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7"/>
                <w:sz w:val="18"/>
                <w:szCs w:val="18"/>
              </w:rPr>
              <w:t>（四）股东权益内部结转</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1.</w:t>
            </w:r>
            <w:r>
              <w:rPr>
                <w:rFonts w:ascii="宋体" w:hAnsi="宋体" w:cs="宋体" w:eastAsia="宋体" w:hint="default"/>
                <w:spacing w:val="-33"/>
                <w:sz w:val="18"/>
                <w:szCs w:val="18"/>
              </w:rPr>
              <w:t>资本公积转增股本</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2.</w:t>
            </w:r>
            <w:r>
              <w:rPr>
                <w:rFonts w:ascii="宋体" w:hAnsi="宋体" w:cs="宋体" w:eastAsia="宋体" w:hint="default"/>
                <w:spacing w:val="-33"/>
                <w:sz w:val="18"/>
                <w:szCs w:val="18"/>
              </w:rPr>
              <w:t>盈余公积转增股本</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3"/>
                <w:sz w:val="18"/>
                <w:szCs w:val="18"/>
              </w:rPr>
              <w:t>3.</w:t>
            </w:r>
            <w:r>
              <w:rPr>
                <w:rFonts w:ascii="宋体" w:hAnsi="宋体" w:cs="宋体" w:eastAsia="宋体" w:hint="default"/>
                <w:spacing w:val="-33"/>
                <w:sz w:val="18"/>
                <w:szCs w:val="18"/>
              </w:rPr>
              <w:t>盈余公积弥补亏损</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1"/>
                <w:sz w:val="18"/>
                <w:szCs w:val="18"/>
              </w:rPr>
              <w:t>4.</w:t>
            </w:r>
            <w:r>
              <w:rPr>
                <w:rFonts w:ascii="宋体" w:hAnsi="宋体" w:cs="宋体" w:eastAsia="宋体" w:hint="default"/>
                <w:spacing w:val="-31"/>
                <w:sz w:val="18"/>
                <w:szCs w:val="18"/>
              </w:rPr>
              <w:t>其他</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5"/>
                <w:sz w:val="18"/>
                <w:szCs w:val="18"/>
              </w:rPr>
              <w:t>（五）专项储备</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1.</w:t>
            </w:r>
            <w:r>
              <w:rPr>
                <w:rFonts w:ascii="宋体" w:hAnsi="宋体" w:cs="宋体" w:eastAsia="宋体" w:hint="default"/>
                <w:spacing w:val="-27"/>
                <w:sz w:val="18"/>
                <w:szCs w:val="18"/>
              </w:rPr>
              <w:t>本年提取</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6" w:right="0"/>
              <w:jc w:val="left"/>
              <w:rPr>
                <w:rFonts w:ascii="宋体" w:hAnsi="宋体" w:cs="宋体" w:eastAsia="宋体" w:hint="default"/>
                <w:sz w:val="18"/>
                <w:szCs w:val="18"/>
              </w:rPr>
            </w:pPr>
            <w:r>
              <w:rPr>
                <w:rFonts w:ascii="宋体" w:hAnsi="宋体" w:cs="宋体" w:eastAsia="宋体" w:hint="default"/>
                <w:spacing w:val="-27"/>
                <w:sz w:val="18"/>
                <w:szCs w:val="18"/>
              </w:rPr>
              <w:t>2.</w:t>
            </w:r>
            <w:r>
              <w:rPr>
                <w:rFonts w:ascii="宋体" w:hAnsi="宋体" w:cs="宋体" w:eastAsia="宋体" w:hint="default"/>
                <w:spacing w:val="-27"/>
                <w:sz w:val="18"/>
                <w:szCs w:val="18"/>
              </w:rPr>
              <w:t>本年使用</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pacing w:val="-32"/>
                <w:sz w:val="18"/>
                <w:szCs w:val="18"/>
              </w:rPr>
              <w:t>（六）其他</w:t>
            </w:r>
          </w:p>
        </w:tc>
        <w:tc>
          <w:tcPr>
            <w:tcW w:w="158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b/>
                <w:bCs/>
                <w:spacing w:val="-36"/>
                <w:sz w:val="18"/>
                <w:szCs w:val="18"/>
              </w:rPr>
              <w:t>四、本年年末余额</w:t>
            </w:r>
            <w:r>
              <w:rPr>
                <w:rFonts w:ascii="宋体" w:hAnsi="宋体" w:cs="宋体" w:eastAsia="宋体" w:hint="default"/>
                <w:spacing w:val="-36"/>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1,323,593,886.00</w:t>
            </w:r>
            <w:r>
              <w:rPr>
                <w:rFonts w:ascii="宋体"/>
                <w:spacing w:val="-20"/>
                <w:sz w:val="18"/>
              </w:rPr>
            </w:r>
          </w:p>
        </w:tc>
        <w:tc>
          <w:tcPr>
            <w:tcW w:w="61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5"/>
              <w:jc w:val="right"/>
              <w:rPr>
                <w:rFonts w:ascii="宋体" w:hAnsi="宋体" w:cs="宋体" w:eastAsia="宋体" w:hint="default"/>
                <w:sz w:val="18"/>
                <w:szCs w:val="18"/>
              </w:rPr>
            </w:pPr>
            <w:r>
              <w:rPr>
                <w:rFonts w:ascii="宋体"/>
                <w:b/>
                <w:spacing w:val="-20"/>
                <w:sz w:val="18"/>
              </w:rPr>
              <w:t>1,308,754,875.53</w:t>
            </w:r>
            <w:r>
              <w:rPr>
                <w:rFonts w:ascii="宋体"/>
                <w:spacing w:val="-20"/>
                <w:sz w:val="18"/>
              </w:rPr>
            </w:r>
          </w:p>
        </w:tc>
        <w:tc>
          <w:tcPr>
            <w:tcW w:w="88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
              <w:jc w:val="right"/>
              <w:rPr>
                <w:rFonts w:ascii="宋体" w:hAnsi="宋体" w:cs="宋体" w:eastAsia="宋体" w:hint="default"/>
                <w:sz w:val="18"/>
                <w:szCs w:val="18"/>
              </w:rPr>
            </w:pPr>
            <w:r>
              <w:rPr>
                <w:rFonts w:ascii="宋体"/>
                <w:b/>
                <w:spacing w:val="-20"/>
                <w:sz w:val="18"/>
              </w:rPr>
              <w:t>344,904,569.50</w:t>
            </w:r>
            <w:r>
              <w:rPr>
                <w:rFonts w:ascii="宋体"/>
                <w:spacing w:val="-20"/>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-73,821,474.80</w:t>
            </w:r>
            <w:r>
              <w:rPr>
                <w:rFonts w:ascii="宋体"/>
                <w:spacing w:val="-20"/>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3"/>
              <w:jc w:val="right"/>
              <w:rPr>
                <w:rFonts w:ascii="宋体" w:hAnsi="宋体" w:cs="宋体" w:eastAsia="宋体" w:hint="default"/>
                <w:sz w:val="18"/>
                <w:szCs w:val="18"/>
              </w:rPr>
            </w:pPr>
            <w:r>
              <w:rPr>
                <w:rFonts w:ascii="宋体"/>
                <w:b/>
                <w:spacing w:val="-20"/>
                <w:sz w:val="18"/>
              </w:rPr>
              <w:t>2,903,431,856.23</w:t>
            </w:r>
            <w:r>
              <w:rPr>
                <w:rFonts w:ascii="宋体"/>
                <w:spacing w:val="-20"/>
                <w:sz w:val="18"/>
              </w:rPr>
            </w:r>
          </w:p>
        </w:tc>
      </w:tr>
    </w:tbl>
    <w:p>
      <w:pPr>
        <w:tabs>
          <w:tab w:pos="5981" w:val="left" w:leader="none"/>
          <w:tab w:pos="12582" w:val="left" w:leader="none"/>
        </w:tabs>
        <w:spacing w:before="67"/>
        <w:ind w:left="379"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法定代表人：杨军</w:t>
        <w:tab/>
        <w:t>主管会计工作负责人：彭海朝</w:t>
        <w:tab/>
      </w:r>
      <w:r>
        <w:rPr>
          <w:rFonts w:ascii="宋体" w:hAnsi="宋体" w:cs="宋体" w:eastAsia="宋体" w:hint="default"/>
          <w:sz w:val="20"/>
          <w:szCs w:val="20"/>
        </w:rPr>
        <w:t>会计机构负责人：宋艳艳</w:t>
      </w:r>
    </w:p>
    <w:p>
      <w:pPr>
        <w:spacing w:after="0"/>
        <w:jc w:val="left"/>
        <w:rPr>
          <w:rFonts w:ascii="宋体" w:hAnsi="宋体" w:cs="宋体" w:eastAsia="宋体" w:hint="default"/>
          <w:sz w:val="20"/>
          <w:szCs w:val="20"/>
        </w:rPr>
        <w:sectPr>
          <w:pgSz w:w="16840" w:h="11910" w:orient="landscape"/>
          <w:pgMar w:header="1141" w:footer="980" w:top="1880" w:bottom="1160" w:left="840" w:right="84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1"/>
          <w:szCs w:val="11"/>
        </w:rPr>
      </w:pPr>
    </w:p>
    <w:p>
      <w:pPr>
        <w:spacing w:line="422" w:lineRule="auto" w:before="32"/>
        <w:ind w:left="559" w:right="0" w:firstLine="2"/>
        <w:jc w:val="left"/>
        <w:rPr>
          <w:rFonts w:ascii="宋体" w:hAnsi="宋体" w:cs="宋体" w:eastAsia="宋体" w:hint="default"/>
          <w:sz w:val="22"/>
          <w:szCs w:val="22"/>
        </w:rPr>
      </w:pPr>
      <w:r>
        <w:rPr>
          <w:rFonts w:ascii="宋体" w:hAnsi="宋体" w:cs="宋体" w:eastAsia="宋体" w:hint="default"/>
          <w:b/>
          <w:bCs/>
          <w:sz w:val="22"/>
          <w:szCs w:val="22"/>
        </w:rPr>
        <w:t>一、公司的基本情况</w:t>
      </w:r>
      <w:r>
        <w:rPr>
          <w:rFonts w:ascii="宋体" w:hAnsi="宋体" w:cs="宋体" w:eastAsia="宋体" w:hint="default"/>
          <w:b/>
          <w:bCs/>
          <w:w w:val="99"/>
          <w:sz w:val="22"/>
          <w:szCs w:val="22"/>
        </w:rPr>
        <w:t> </w:t>
      </w:r>
      <w:r>
        <w:rPr>
          <w:rFonts w:ascii="宋体" w:hAnsi="宋体" w:cs="宋体" w:eastAsia="宋体" w:hint="default"/>
          <w:spacing w:val="-6"/>
          <w:sz w:val="22"/>
          <w:szCs w:val="22"/>
        </w:rPr>
        <w:t>中国长城计算机深圳股份有限公司（以下简称本公司，在包含子公司时简称本集团）</w:t>
      </w:r>
    </w:p>
    <w:p>
      <w:pPr>
        <w:pStyle w:val="Heading7"/>
        <w:spacing w:line="224" w:lineRule="exact" w:before="0"/>
        <w:ind w:right="0"/>
        <w:jc w:val="both"/>
      </w:pPr>
      <w:r>
        <w:rPr>
          <w:spacing w:val="-3"/>
        </w:rPr>
        <w:t>为一家在中华人民共和国成立的股份有限公司，系由中电长城计算机集团公司（原名为</w:t>
      </w:r>
    </w:p>
    <w:p>
      <w:pPr>
        <w:pStyle w:val="Heading7"/>
        <w:spacing w:line="240" w:lineRule="auto" w:before="101"/>
        <w:ind w:right="0"/>
        <w:jc w:val="both"/>
      </w:pPr>
      <w:r>
        <w:rPr>
          <w:spacing w:val="-3"/>
        </w:rPr>
        <w:t>中国长城计算机集团公司）独家发起重组设立，成立于</w:t>
      </w:r>
      <w:r>
        <w:rPr>
          <w:spacing w:val="-47"/>
        </w:rPr>
        <w:t> </w:t>
      </w:r>
      <w:r>
        <w:rPr>
          <w:rFonts w:ascii="宋体" w:hAnsi="宋体" w:cs="宋体" w:eastAsia="宋体" w:hint="default"/>
        </w:rPr>
        <w:t>1997</w:t>
      </w:r>
      <w:r>
        <w:rPr>
          <w:rFonts w:ascii="宋体" w:hAnsi="宋体" w:cs="宋体" w:eastAsia="宋体" w:hint="default"/>
          <w:spacing w:val="-52"/>
        </w:rPr>
        <w:t> </w:t>
      </w:r>
      <w:r>
        <w:rPr/>
        <w:t>年</w:t>
      </w:r>
      <w:r>
        <w:rPr>
          <w:spacing w:val="-48"/>
        </w:rPr>
        <w:t> </w:t>
      </w:r>
      <w:r>
        <w:rPr>
          <w:rFonts w:ascii="宋体" w:hAnsi="宋体" w:cs="宋体" w:eastAsia="宋体" w:hint="default"/>
        </w:rPr>
        <w:t>6</w:t>
      </w:r>
      <w:r>
        <w:rPr>
          <w:rFonts w:ascii="宋体" w:hAnsi="宋体" w:cs="宋体" w:eastAsia="宋体" w:hint="default"/>
          <w:spacing w:val="-52"/>
        </w:rPr>
        <w:t> </w:t>
      </w:r>
      <w:r>
        <w:rPr/>
        <w:t>月</w:t>
      </w:r>
      <w:r>
        <w:rPr>
          <w:spacing w:val="-48"/>
        </w:rPr>
        <w:t> </w:t>
      </w:r>
      <w:r>
        <w:rPr>
          <w:rFonts w:ascii="宋体" w:hAnsi="宋体" w:cs="宋体" w:eastAsia="宋体" w:hint="default"/>
        </w:rPr>
        <w:t>19</w:t>
      </w:r>
      <w:r>
        <w:rPr>
          <w:rFonts w:ascii="宋体" w:hAnsi="宋体" w:cs="宋体" w:eastAsia="宋体" w:hint="default"/>
          <w:spacing w:val="-48"/>
        </w:rPr>
        <w:t> </w:t>
      </w:r>
      <w:r>
        <w:rPr>
          <w:spacing w:val="-4"/>
        </w:rPr>
        <w:t>日。持有注册号</w:t>
      </w:r>
    </w:p>
    <w:p>
      <w:pPr>
        <w:pStyle w:val="Heading7"/>
        <w:spacing w:line="324" w:lineRule="auto" w:before="103"/>
        <w:ind w:right="375"/>
        <w:jc w:val="both"/>
      </w:pPr>
      <w:r>
        <w:rPr/>
        <w:t>为</w:t>
      </w:r>
      <w:r>
        <w:rPr>
          <w:spacing w:val="-43"/>
        </w:rPr>
        <w:t> </w:t>
      </w:r>
      <w:r>
        <w:rPr>
          <w:rFonts w:ascii="宋体" w:hAnsi="宋体" w:cs="宋体" w:eastAsia="宋体" w:hint="default"/>
        </w:rPr>
        <w:t>440301103219923</w:t>
      </w:r>
      <w:r>
        <w:rPr>
          <w:rFonts w:ascii="宋体" w:hAnsi="宋体" w:cs="宋体" w:eastAsia="宋体" w:hint="default"/>
          <w:spacing w:val="-43"/>
        </w:rPr>
        <w:t> </w:t>
      </w:r>
      <w:r>
        <w:rPr>
          <w:spacing w:val="-3"/>
        </w:rPr>
        <w:t>之企业法人营业执照，法定代表人为：杨军，注册地址为：深圳市</w:t>
      </w:r>
      <w:r>
        <w:rPr>
          <w:spacing w:val="-107"/>
        </w:rPr>
        <w:t> </w:t>
      </w:r>
      <w:r>
        <w:rPr>
          <w:spacing w:val="-107"/>
        </w:rPr>
      </w:r>
      <w:r>
        <w:rPr/>
        <w:t>南山区科技园长城计算机大厦，所属行业：计算机及相关设备制造业。</w:t>
      </w:r>
    </w:p>
    <w:p>
      <w:pPr>
        <w:pStyle w:val="Heading7"/>
        <w:spacing w:line="324" w:lineRule="auto" w:before="103"/>
        <w:ind w:right="373" w:firstLine="439"/>
        <w:jc w:val="both"/>
      </w:pPr>
      <w:r>
        <w:rPr/>
        <w:t>经中国证券监督管理委员会</w:t>
      </w:r>
      <w:r>
        <w:rPr>
          <w:spacing w:val="-51"/>
        </w:rPr>
        <w:t> </w:t>
      </w:r>
      <w:r>
        <w:rPr>
          <w:rFonts w:ascii="宋体" w:hAnsi="宋体" w:cs="宋体" w:eastAsia="宋体" w:hint="default"/>
        </w:rPr>
        <w:t>1997</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4</w:t>
      </w:r>
      <w:r>
        <w:rPr>
          <w:rFonts w:ascii="宋体" w:hAnsi="宋体" w:cs="宋体" w:eastAsia="宋体" w:hint="default"/>
          <w:spacing w:val="-54"/>
        </w:rPr>
        <w:t> </w:t>
      </w:r>
      <w:r>
        <w:rPr>
          <w:spacing w:val="-4"/>
        </w:rPr>
        <w:t>日“证监发字</w:t>
      </w:r>
      <w:r>
        <w:rPr>
          <w:rFonts w:ascii="宋体" w:hAnsi="宋体" w:cs="宋体" w:eastAsia="宋体" w:hint="default"/>
          <w:spacing w:val="-4"/>
        </w:rPr>
        <w:t>[1997]309</w:t>
      </w:r>
      <w:r>
        <w:rPr>
          <w:rFonts w:ascii="宋体" w:hAnsi="宋体" w:cs="宋体" w:eastAsia="宋体" w:hint="default"/>
          <w:spacing w:val="-51"/>
        </w:rPr>
        <w:t> </w:t>
      </w:r>
      <w:r>
        <w:rPr>
          <w:spacing w:val="-12"/>
        </w:rPr>
        <w:t>号”文批准，本</w:t>
      </w:r>
      <w:r>
        <w:rPr>
          <w:w w:val="100"/>
        </w:rPr>
        <w:t> </w:t>
      </w:r>
      <w:r>
        <w:rPr/>
        <w:t>公司首次向社会公开发行人民币普通股（</w:t>
      </w:r>
      <w:r>
        <w:rPr>
          <w:rFonts w:ascii="宋体" w:hAnsi="宋体" w:cs="宋体" w:eastAsia="宋体" w:hint="default"/>
        </w:rPr>
        <w:t>A</w:t>
      </w:r>
      <w:r>
        <w:rPr>
          <w:rFonts w:ascii="宋体" w:hAnsi="宋体" w:cs="宋体" w:eastAsia="宋体" w:hint="default"/>
          <w:spacing w:val="-55"/>
        </w:rPr>
        <w:t> </w:t>
      </w:r>
      <w:r>
        <w:rPr>
          <w:spacing w:val="-3"/>
        </w:rPr>
        <w:t>股）</w:t>
      </w:r>
      <w:r>
        <w:rPr>
          <w:rFonts w:ascii="宋体" w:hAnsi="宋体" w:cs="宋体" w:eastAsia="宋体" w:hint="default"/>
          <w:spacing w:val="-3"/>
        </w:rPr>
        <w:t>5,700</w:t>
      </w:r>
      <w:r>
        <w:rPr>
          <w:rFonts w:ascii="宋体" w:hAnsi="宋体" w:cs="宋体" w:eastAsia="宋体" w:hint="default"/>
          <w:spacing w:val="-55"/>
        </w:rPr>
        <w:t> </w:t>
      </w:r>
      <w:r>
        <w:rPr>
          <w:spacing w:val="-3"/>
        </w:rPr>
        <w:t>万股，每股发行价格</w:t>
      </w:r>
      <w:r>
        <w:rPr>
          <w:spacing w:val="-55"/>
        </w:rPr>
        <w:t> </w:t>
      </w:r>
      <w:r>
        <w:rPr>
          <w:rFonts w:ascii="宋体" w:hAnsi="宋体" w:cs="宋体" w:eastAsia="宋体" w:hint="default"/>
        </w:rPr>
        <w:t>6.58</w:t>
      </w:r>
      <w:r>
        <w:rPr>
          <w:rFonts w:ascii="宋体" w:hAnsi="宋体" w:cs="宋体" w:eastAsia="宋体" w:hint="default"/>
          <w:spacing w:val="-55"/>
        </w:rPr>
        <w:t> </w:t>
      </w:r>
      <w:r>
        <w:rPr>
          <w:spacing w:val="-5"/>
        </w:rPr>
        <w:t>元，并</w:t>
      </w:r>
      <w:r>
        <w:rPr>
          <w:w w:val="100"/>
        </w:rPr>
        <w:t> 于</w:t>
      </w:r>
      <w:r>
        <w:rPr>
          <w:spacing w:val="-55"/>
          <w:w w:val="100"/>
        </w:rPr>
        <w:t> </w:t>
      </w:r>
      <w:r>
        <w:rPr>
          <w:rFonts w:ascii="宋体" w:hAnsi="宋体" w:cs="宋体" w:eastAsia="宋体" w:hint="default"/>
          <w:w w:val="100"/>
        </w:rPr>
        <w:t>1997</w:t>
      </w:r>
      <w:r>
        <w:rPr>
          <w:rFonts w:ascii="宋体" w:hAnsi="宋体" w:cs="宋体" w:eastAsia="宋体" w:hint="default"/>
          <w:spacing w:val="-55"/>
          <w:w w:val="100"/>
        </w:rPr>
        <w:t> </w:t>
      </w:r>
      <w:r>
        <w:rPr>
          <w:w w:val="100"/>
        </w:rPr>
        <w:t>年</w:t>
      </w:r>
      <w:r>
        <w:rPr>
          <w:spacing w:val="-58"/>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w w:val="100"/>
        </w:rPr>
        <w:t>26</w:t>
      </w:r>
      <w:r>
        <w:rPr>
          <w:rFonts w:ascii="宋体" w:hAnsi="宋体" w:cs="宋体" w:eastAsia="宋体" w:hint="default"/>
          <w:spacing w:val="-58"/>
          <w:w w:val="100"/>
        </w:rPr>
        <w:t> </w:t>
      </w:r>
      <w:r>
        <w:rPr>
          <w:spacing w:val="-1"/>
          <w:w w:val="100"/>
        </w:rPr>
        <w:t>日在深圳证券交易所挂牌交易（股票简称长城电脑，代码</w:t>
      </w:r>
      <w:r>
        <w:rPr>
          <w:spacing w:val="-53"/>
          <w:w w:val="100"/>
        </w:rPr>
        <w:t> </w:t>
      </w:r>
      <w:r>
        <w:rPr>
          <w:rFonts w:ascii="宋体" w:hAnsi="宋体" w:cs="宋体" w:eastAsia="宋体" w:hint="default"/>
          <w:spacing w:val="-29"/>
          <w:w w:val="100"/>
        </w:rPr>
        <w:t>000066</w:t>
      </w:r>
      <w:r>
        <w:rPr>
          <w:spacing w:val="-29"/>
          <w:w w:val="100"/>
        </w:rPr>
        <w:t>）。</w:t>
      </w:r>
      <w:r>
        <w:rPr>
          <w:w w:val="100"/>
        </w:rPr>
      </w:r>
    </w:p>
    <w:p>
      <w:pPr>
        <w:pStyle w:val="Heading7"/>
        <w:spacing w:line="388" w:lineRule="auto" w:before="27"/>
        <w:ind w:left="559" w:right="368" w:hanging="440"/>
        <w:jc w:val="left"/>
      </w:pPr>
      <w:r>
        <w:rPr/>
        <w:t>首次公开发行股票后，本公司总股本变更为</w:t>
      </w:r>
      <w:r>
        <w:rPr>
          <w:spacing w:val="-56"/>
        </w:rPr>
        <w:t> </w:t>
      </w:r>
      <w:r>
        <w:rPr>
          <w:rFonts w:ascii="宋体" w:hAnsi="宋体" w:cs="宋体" w:eastAsia="宋体" w:hint="default"/>
        </w:rPr>
        <w:t>15,855</w:t>
      </w:r>
      <w:r>
        <w:rPr>
          <w:rFonts w:ascii="宋体" w:hAnsi="宋体" w:cs="宋体" w:eastAsia="宋体" w:hint="default"/>
          <w:spacing w:val="-56"/>
        </w:rPr>
        <w:t> </w:t>
      </w:r>
      <w:r>
        <w:rPr/>
        <w:t>万股。</w:t>
      </w:r>
      <w:r>
        <w:rPr>
          <w:w w:val="100"/>
        </w:rPr>
        <w:t> </w:t>
      </w:r>
      <w:r>
        <w:rPr>
          <w:spacing w:val="-3"/>
        </w:rPr>
        <w:t>根据国有资产管理局“国资企发</w:t>
      </w:r>
      <w:r>
        <w:rPr>
          <w:rFonts w:ascii="宋体" w:hAnsi="宋体" w:cs="宋体" w:eastAsia="宋体" w:hint="default"/>
          <w:spacing w:val="-3"/>
        </w:rPr>
        <w:t>[1998]35</w:t>
      </w:r>
      <w:r>
        <w:rPr>
          <w:rFonts w:ascii="宋体" w:hAnsi="宋体" w:cs="宋体" w:eastAsia="宋体" w:hint="default"/>
          <w:spacing w:val="-15"/>
        </w:rPr>
        <w:t> </w:t>
      </w:r>
      <w:r>
        <w:rPr>
          <w:spacing w:val="-5"/>
        </w:rPr>
        <w:t>号”文件批准，中电长城计算机集团公司</w:t>
      </w:r>
    </w:p>
    <w:p>
      <w:pPr>
        <w:pStyle w:val="Heading7"/>
        <w:spacing w:line="255" w:lineRule="exact" w:before="0"/>
        <w:ind w:right="0"/>
        <w:jc w:val="both"/>
      </w:pPr>
      <w:r>
        <w:rPr/>
        <w:t>于</w:t>
      </w:r>
      <w:r>
        <w:rPr>
          <w:spacing w:val="-66"/>
        </w:rPr>
        <w:t> </w:t>
      </w:r>
      <w:r>
        <w:rPr>
          <w:rFonts w:ascii="宋体" w:hAnsi="宋体" w:cs="宋体" w:eastAsia="宋体" w:hint="default"/>
        </w:rPr>
        <w:t>1998</w:t>
      </w:r>
      <w:r>
        <w:rPr>
          <w:rFonts w:ascii="宋体" w:hAnsi="宋体" w:cs="宋体" w:eastAsia="宋体" w:hint="default"/>
          <w:spacing w:val="-66"/>
        </w:rPr>
        <w:t> </w:t>
      </w:r>
      <w:r>
        <w:rPr/>
        <w:t>年</w:t>
      </w:r>
      <w:r>
        <w:rPr>
          <w:spacing w:val="-66"/>
        </w:rPr>
        <w:t> </w:t>
      </w:r>
      <w:r>
        <w:rPr>
          <w:rFonts w:ascii="宋体" w:hAnsi="宋体" w:cs="宋体" w:eastAsia="宋体" w:hint="default"/>
        </w:rPr>
        <w:t>3</w:t>
      </w:r>
      <w:r>
        <w:rPr>
          <w:rFonts w:ascii="宋体" w:hAnsi="宋体" w:cs="宋体" w:eastAsia="宋体" w:hint="default"/>
          <w:spacing w:val="-66"/>
        </w:rPr>
        <w:t> </w:t>
      </w:r>
      <w:r>
        <w:rPr/>
        <w:t>月</w:t>
      </w:r>
      <w:r>
        <w:rPr>
          <w:spacing w:val="-66"/>
        </w:rPr>
        <w:t> </w:t>
      </w:r>
      <w:r>
        <w:rPr>
          <w:rFonts w:ascii="宋体" w:hAnsi="宋体" w:cs="宋体" w:eastAsia="宋体" w:hint="default"/>
        </w:rPr>
        <w:t>20</w:t>
      </w:r>
      <w:r>
        <w:rPr>
          <w:rFonts w:ascii="宋体" w:hAnsi="宋体" w:cs="宋体" w:eastAsia="宋体" w:hint="default"/>
          <w:spacing w:val="-66"/>
        </w:rPr>
        <w:t> </w:t>
      </w:r>
      <w:r>
        <w:rPr/>
        <w:t>日将其持有的本公司全部股权连同其在深圳开发科技股份有限公司及</w:t>
      </w:r>
    </w:p>
    <w:p>
      <w:pPr>
        <w:pStyle w:val="Heading7"/>
        <w:spacing w:line="324" w:lineRule="auto" w:before="103"/>
        <w:ind w:right="376"/>
        <w:jc w:val="both"/>
      </w:pPr>
      <w:r>
        <w:rPr>
          <w:spacing w:val="-3"/>
        </w:rPr>
        <w:t>深圳开发磁记录有限公司持有的全部股权及有关负债纳入股份制改组范围，独家发起设</w:t>
      </w:r>
      <w:r>
        <w:rPr>
          <w:spacing w:val="-57"/>
        </w:rPr>
        <w:t> </w:t>
      </w:r>
      <w:r>
        <w:rPr>
          <w:spacing w:val="-57"/>
        </w:rPr>
      </w:r>
      <w:r>
        <w:rPr/>
        <w:t>立长城科技股份有限公司，并于</w:t>
      </w:r>
      <w:r>
        <w:rPr>
          <w:spacing w:val="-46"/>
        </w:rPr>
        <w:t> </w:t>
      </w:r>
      <w:r>
        <w:rPr>
          <w:rFonts w:ascii="宋体" w:hAnsi="宋体" w:cs="宋体" w:eastAsia="宋体" w:hint="default"/>
        </w:rPr>
        <w:t>1999</w:t>
      </w:r>
      <w:r>
        <w:rPr>
          <w:rFonts w:ascii="宋体" w:hAnsi="宋体" w:cs="宋体" w:eastAsia="宋体" w:hint="default"/>
          <w:spacing w:val="-49"/>
        </w:rPr>
        <w:t> </w:t>
      </w:r>
      <w:r>
        <w:rPr/>
        <w:t>年</w:t>
      </w:r>
      <w:r>
        <w:rPr>
          <w:spacing w:val="-47"/>
        </w:rPr>
        <w:t> </w:t>
      </w:r>
      <w:r>
        <w:rPr>
          <w:rFonts w:ascii="宋体" w:hAnsi="宋体" w:cs="宋体" w:eastAsia="宋体" w:hint="default"/>
        </w:rPr>
        <w:t>8</w:t>
      </w:r>
      <w:r>
        <w:rPr>
          <w:rFonts w:ascii="宋体" w:hAnsi="宋体" w:cs="宋体" w:eastAsia="宋体" w:hint="default"/>
          <w:spacing w:val="-47"/>
        </w:rPr>
        <w:t> </w:t>
      </w:r>
      <w:r>
        <w:rPr/>
        <w:t>月</w:t>
      </w:r>
      <w:r>
        <w:rPr>
          <w:spacing w:val="-49"/>
        </w:rPr>
        <w:t> </w:t>
      </w:r>
      <w:r>
        <w:rPr>
          <w:rFonts w:ascii="宋体" w:hAnsi="宋体" w:cs="宋体" w:eastAsia="宋体" w:hint="default"/>
        </w:rPr>
        <w:t>5</w:t>
      </w:r>
      <w:r>
        <w:rPr>
          <w:rFonts w:ascii="宋体" w:hAnsi="宋体" w:cs="宋体" w:eastAsia="宋体" w:hint="default"/>
          <w:spacing w:val="-47"/>
        </w:rPr>
        <w:t> </w:t>
      </w:r>
      <w:r>
        <w:rPr/>
        <w:t>日在香港联交所上市。经过上述股权重</w:t>
      </w:r>
      <w:r>
        <w:rPr>
          <w:w w:val="100"/>
        </w:rPr>
        <w:t> </w:t>
      </w:r>
      <w:r>
        <w:rPr/>
        <w:t>组，本集团的国有法人股股权由长城科技股份有限公司持有。</w:t>
      </w:r>
    </w:p>
    <w:p>
      <w:pPr>
        <w:pStyle w:val="Heading7"/>
        <w:spacing w:line="240" w:lineRule="auto" w:before="100"/>
        <w:ind w:left="559" w:right="0"/>
        <w:jc w:val="left"/>
      </w:pPr>
      <w:r>
        <w:rPr>
          <w:rFonts w:ascii="宋体" w:hAnsi="宋体" w:cs="宋体" w:eastAsia="宋体" w:hint="default"/>
        </w:rPr>
        <w:t>1998</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spacing w:val="-10"/>
        </w:rPr>
        <w:t>月，经本公司</w:t>
      </w:r>
      <w:r>
        <w:rPr>
          <w:spacing w:val="-52"/>
        </w:rPr>
        <w:t> </w:t>
      </w:r>
      <w:r>
        <w:rPr>
          <w:rFonts w:ascii="宋体" w:hAnsi="宋体" w:cs="宋体" w:eastAsia="宋体" w:hint="default"/>
        </w:rPr>
        <w:t>1997</w:t>
      </w:r>
      <w:r>
        <w:rPr>
          <w:rFonts w:ascii="宋体" w:hAnsi="宋体" w:cs="宋体" w:eastAsia="宋体" w:hint="default"/>
          <w:spacing w:val="-52"/>
        </w:rPr>
        <w:t> </w:t>
      </w:r>
      <w:r>
        <w:rPr>
          <w:spacing w:val="-5"/>
        </w:rPr>
        <w:t>年度股东大会决议，本公司实施</w:t>
      </w:r>
      <w:r>
        <w:rPr>
          <w:spacing w:val="-52"/>
        </w:rPr>
        <w:t> </w:t>
      </w:r>
      <w:r>
        <w:rPr>
          <w:rFonts w:ascii="宋体" w:hAnsi="宋体" w:cs="宋体" w:eastAsia="宋体" w:hint="default"/>
        </w:rPr>
        <w:t>1997</w:t>
      </w:r>
      <w:r>
        <w:rPr>
          <w:rFonts w:ascii="宋体" w:hAnsi="宋体" w:cs="宋体" w:eastAsia="宋体" w:hint="default"/>
          <w:spacing w:val="-55"/>
        </w:rPr>
        <w:t> </w:t>
      </w:r>
      <w:r>
        <w:rPr/>
        <w:t>年度利润分配和</w:t>
      </w:r>
    </w:p>
    <w:p>
      <w:pPr>
        <w:pStyle w:val="Heading7"/>
        <w:spacing w:line="240" w:lineRule="auto" w:before="103"/>
        <w:ind w:right="0"/>
        <w:jc w:val="both"/>
        <w:rPr>
          <w:rFonts w:ascii="宋体" w:hAnsi="宋体" w:cs="宋体" w:eastAsia="宋体" w:hint="default"/>
        </w:rPr>
      </w:pPr>
      <w:r>
        <w:rPr/>
        <w:t>资本公积金转增股本方案，向全体股东每</w:t>
      </w:r>
      <w:r>
        <w:rPr>
          <w:spacing w:val="-33"/>
        </w:rPr>
        <w:t> </w:t>
      </w:r>
      <w:r>
        <w:rPr>
          <w:rFonts w:ascii="宋体" w:hAnsi="宋体" w:cs="宋体" w:eastAsia="宋体" w:hint="default"/>
        </w:rPr>
        <w:t>10</w:t>
      </w:r>
      <w:r>
        <w:rPr>
          <w:rFonts w:ascii="宋体" w:hAnsi="宋体" w:cs="宋体" w:eastAsia="宋体" w:hint="default"/>
          <w:spacing w:val="-36"/>
        </w:rPr>
        <w:t> </w:t>
      </w:r>
      <w:r>
        <w:rPr/>
        <w:t>股转增资本公积金</w:t>
      </w:r>
      <w:r>
        <w:rPr>
          <w:spacing w:val="-33"/>
        </w:rPr>
        <w:t> </w:t>
      </w:r>
      <w:r>
        <w:rPr>
          <w:rFonts w:ascii="宋体" w:hAnsi="宋体" w:cs="宋体" w:eastAsia="宋体" w:hint="default"/>
        </w:rPr>
        <w:t>3</w:t>
      </w:r>
      <w:r>
        <w:rPr>
          <w:rFonts w:ascii="宋体" w:hAnsi="宋体" w:cs="宋体" w:eastAsia="宋体" w:hint="default"/>
          <w:spacing w:val="-34"/>
        </w:rPr>
        <w:t> </w:t>
      </w:r>
      <w:r>
        <w:rPr/>
        <w:t>股并派发现金股利</w:t>
      </w:r>
      <w:r>
        <w:rPr>
          <w:spacing w:val="-35"/>
        </w:rPr>
        <w:t> </w:t>
      </w:r>
      <w:r>
        <w:rPr>
          <w:rFonts w:ascii="宋体" w:hAnsi="宋体" w:cs="宋体" w:eastAsia="宋体" w:hint="default"/>
        </w:rPr>
        <w:t>1</w:t>
      </w:r>
    </w:p>
    <w:p>
      <w:pPr>
        <w:pStyle w:val="Heading7"/>
        <w:spacing w:line="240" w:lineRule="auto" w:before="103"/>
        <w:ind w:right="0"/>
        <w:jc w:val="both"/>
      </w:pPr>
      <w:r>
        <w:rPr>
          <w:w w:val="100"/>
        </w:rPr>
        <w:t>元（含税</w:t>
      </w:r>
      <w:r>
        <w:rPr>
          <w:spacing w:val="-113"/>
          <w:w w:val="100"/>
        </w:rPr>
        <w:t>）</w:t>
      </w:r>
      <w:r>
        <w:rPr>
          <w:w w:val="100"/>
        </w:rPr>
        <w:t>，转</w:t>
      </w:r>
      <w:r>
        <w:rPr>
          <w:spacing w:val="-3"/>
          <w:w w:val="100"/>
        </w:rPr>
        <w:t>增</w:t>
      </w:r>
      <w:r>
        <w:rPr>
          <w:w w:val="100"/>
        </w:rPr>
        <w:t>后的</w:t>
      </w:r>
      <w:r>
        <w:rPr>
          <w:spacing w:val="-3"/>
          <w:w w:val="100"/>
        </w:rPr>
        <w:t>股</w:t>
      </w:r>
      <w:r>
        <w:rPr>
          <w:w w:val="100"/>
        </w:rPr>
        <w:t>本为</w:t>
      </w:r>
      <w:r>
        <w:rPr>
          <w:spacing w:val="-55"/>
        </w:rPr>
        <w:t> </w:t>
      </w:r>
      <w:r>
        <w:rPr>
          <w:rFonts w:ascii="宋体" w:hAnsi="宋体" w:cs="宋体" w:eastAsia="宋体" w:hint="default"/>
          <w:w w:val="100"/>
        </w:rPr>
        <w:t>20,</w:t>
      </w:r>
      <w:r>
        <w:rPr>
          <w:rFonts w:ascii="宋体" w:hAnsi="宋体" w:cs="宋体" w:eastAsia="宋体" w:hint="default"/>
          <w:spacing w:val="-3"/>
          <w:w w:val="100"/>
        </w:rPr>
        <w:t>6</w:t>
      </w:r>
      <w:r>
        <w:rPr>
          <w:rFonts w:ascii="宋体" w:hAnsi="宋体" w:cs="宋体" w:eastAsia="宋体" w:hint="default"/>
          <w:w w:val="100"/>
        </w:rPr>
        <w:t>11.50</w:t>
      </w:r>
      <w:r>
        <w:rPr>
          <w:rFonts w:ascii="宋体" w:hAnsi="宋体" w:cs="宋体" w:eastAsia="宋体" w:hint="default"/>
          <w:spacing w:val="-58"/>
        </w:rPr>
        <w:t> </w:t>
      </w:r>
      <w:r>
        <w:rPr>
          <w:w w:val="100"/>
        </w:rPr>
        <w:t>万股。</w:t>
      </w:r>
    </w:p>
    <w:p>
      <w:pPr>
        <w:pStyle w:val="Heading7"/>
        <w:spacing w:line="240" w:lineRule="auto" w:before="178"/>
        <w:ind w:left="559" w:right="0"/>
        <w:jc w:val="left"/>
      </w:pPr>
      <w:r>
        <w:rPr>
          <w:rFonts w:ascii="宋体" w:hAnsi="宋体" w:cs="宋体" w:eastAsia="宋体" w:hint="default"/>
        </w:rPr>
        <w:t>1999</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spacing w:val="-10"/>
        </w:rPr>
        <w:t>月，经本公司</w:t>
      </w:r>
      <w:r>
        <w:rPr>
          <w:spacing w:val="-52"/>
        </w:rPr>
        <w:t> </w:t>
      </w:r>
      <w:r>
        <w:rPr>
          <w:rFonts w:ascii="宋体" w:hAnsi="宋体" w:cs="宋体" w:eastAsia="宋体" w:hint="default"/>
        </w:rPr>
        <w:t>1998</w:t>
      </w:r>
      <w:r>
        <w:rPr>
          <w:rFonts w:ascii="宋体" w:hAnsi="宋体" w:cs="宋体" w:eastAsia="宋体" w:hint="default"/>
          <w:spacing w:val="-52"/>
        </w:rPr>
        <w:t> </w:t>
      </w:r>
      <w:r>
        <w:rPr>
          <w:spacing w:val="-5"/>
        </w:rPr>
        <w:t>年度股东大会决议，本公司实施</w:t>
      </w:r>
      <w:r>
        <w:rPr>
          <w:spacing w:val="-52"/>
        </w:rPr>
        <w:t> </w:t>
      </w:r>
      <w:r>
        <w:rPr>
          <w:rFonts w:ascii="宋体" w:hAnsi="宋体" w:cs="宋体" w:eastAsia="宋体" w:hint="default"/>
        </w:rPr>
        <w:t>1998</w:t>
      </w:r>
      <w:r>
        <w:rPr>
          <w:rFonts w:ascii="宋体" w:hAnsi="宋体" w:cs="宋体" w:eastAsia="宋体" w:hint="default"/>
          <w:spacing w:val="-55"/>
        </w:rPr>
        <w:t> </w:t>
      </w:r>
      <w:r>
        <w:rPr/>
        <w:t>年度利润分配和</w:t>
      </w:r>
    </w:p>
    <w:p>
      <w:pPr>
        <w:pStyle w:val="Heading7"/>
        <w:spacing w:line="240" w:lineRule="auto" w:before="103"/>
        <w:ind w:right="0"/>
        <w:jc w:val="both"/>
        <w:rPr>
          <w:rFonts w:ascii="宋体" w:hAnsi="宋体" w:cs="宋体" w:eastAsia="宋体" w:hint="default"/>
        </w:rPr>
      </w:pPr>
      <w:r>
        <w:rPr/>
        <w:t>资本公积金转增股本方案，向全体股东每</w:t>
      </w:r>
      <w:r>
        <w:rPr>
          <w:spacing w:val="-33"/>
        </w:rPr>
        <w:t> </w:t>
      </w:r>
      <w:r>
        <w:rPr>
          <w:rFonts w:ascii="宋体" w:hAnsi="宋体" w:cs="宋体" w:eastAsia="宋体" w:hint="default"/>
        </w:rPr>
        <w:t>10</w:t>
      </w:r>
      <w:r>
        <w:rPr>
          <w:rFonts w:ascii="宋体" w:hAnsi="宋体" w:cs="宋体" w:eastAsia="宋体" w:hint="default"/>
          <w:spacing w:val="-36"/>
        </w:rPr>
        <w:t> </w:t>
      </w:r>
      <w:r>
        <w:rPr/>
        <w:t>股转增资本公积金</w:t>
      </w:r>
      <w:r>
        <w:rPr>
          <w:spacing w:val="-33"/>
        </w:rPr>
        <w:t> </w:t>
      </w:r>
      <w:r>
        <w:rPr>
          <w:rFonts w:ascii="宋体" w:hAnsi="宋体" w:cs="宋体" w:eastAsia="宋体" w:hint="default"/>
        </w:rPr>
        <w:t>4</w:t>
      </w:r>
      <w:r>
        <w:rPr>
          <w:rFonts w:ascii="宋体" w:hAnsi="宋体" w:cs="宋体" w:eastAsia="宋体" w:hint="default"/>
          <w:spacing w:val="-34"/>
        </w:rPr>
        <w:t> </w:t>
      </w:r>
      <w:r>
        <w:rPr/>
        <w:t>股并派发现金股利</w:t>
      </w:r>
      <w:r>
        <w:rPr>
          <w:spacing w:val="-35"/>
        </w:rPr>
        <w:t> </w:t>
      </w:r>
      <w:r>
        <w:rPr>
          <w:rFonts w:ascii="宋体" w:hAnsi="宋体" w:cs="宋体" w:eastAsia="宋体" w:hint="default"/>
        </w:rPr>
        <w:t>1</w:t>
      </w:r>
    </w:p>
    <w:p>
      <w:pPr>
        <w:pStyle w:val="Heading7"/>
        <w:spacing w:line="240" w:lineRule="auto" w:before="103"/>
        <w:ind w:right="0"/>
        <w:jc w:val="both"/>
      </w:pPr>
      <w:r>
        <w:rPr>
          <w:w w:val="100"/>
        </w:rPr>
        <w:t>元（含税</w:t>
      </w:r>
      <w:r>
        <w:rPr>
          <w:spacing w:val="-113"/>
          <w:w w:val="100"/>
        </w:rPr>
        <w:t>）</w:t>
      </w:r>
      <w:r>
        <w:rPr>
          <w:w w:val="100"/>
        </w:rPr>
        <w:t>，转</w:t>
      </w:r>
      <w:r>
        <w:rPr>
          <w:spacing w:val="-3"/>
          <w:w w:val="100"/>
        </w:rPr>
        <w:t>增</w:t>
      </w:r>
      <w:r>
        <w:rPr>
          <w:w w:val="100"/>
        </w:rPr>
        <w:t>后的</w:t>
      </w:r>
      <w:r>
        <w:rPr>
          <w:spacing w:val="-3"/>
          <w:w w:val="100"/>
        </w:rPr>
        <w:t>股</w:t>
      </w:r>
      <w:r>
        <w:rPr>
          <w:w w:val="100"/>
        </w:rPr>
        <w:t>本为</w:t>
      </w:r>
      <w:r>
        <w:rPr>
          <w:spacing w:val="-55"/>
        </w:rPr>
        <w:t> </w:t>
      </w:r>
      <w:r>
        <w:rPr>
          <w:rFonts w:ascii="宋体" w:hAnsi="宋体" w:cs="宋体" w:eastAsia="宋体" w:hint="default"/>
          <w:w w:val="100"/>
        </w:rPr>
        <w:t>28,</w:t>
      </w:r>
      <w:r>
        <w:rPr>
          <w:rFonts w:ascii="宋体" w:hAnsi="宋体" w:cs="宋体" w:eastAsia="宋体" w:hint="default"/>
          <w:spacing w:val="-3"/>
          <w:w w:val="100"/>
        </w:rPr>
        <w:t>8</w:t>
      </w:r>
      <w:r>
        <w:rPr>
          <w:rFonts w:ascii="宋体" w:hAnsi="宋体" w:cs="宋体" w:eastAsia="宋体" w:hint="default"/>
          <w:w w:val="100"/>
        </w:rPr>
        <w:t>56.10</w:t>
      </w:r>
      <w:r>
        <w:rPr>
          <w:rFonts w:ascii="宋体" w:hAnsi="宋体" w:cs="宋体" w:eastAsia="宋体" w:hint="default"/>
          <w:spacing w:val="-58"/>
        </w:rPr>
        <w:t> </w:t>
      </w:r>
      <w:r>
        <w:rPr>
          <w:w w:val="100"/>
        </w:rPr>
        <w:t>万股。</w:t>
      </w:r>
    </w:p>
    <w:p>
      <w:pPr>
        <w:pStyle w:val="Heading7"/>
        <w:spacing w:line="240" w:lineRule="auto" w:before="177"/>
        <w:ind w:left="559" w:right="0"/>
        <w:jc w:val="left"/>
        <w:rPr>
          <w:rFonts w:ascii="宋体" w:hAnsi="宋体" w:cs="宋体" w:eastAsia="宋体" w:hint="default"/>
        </w:rPr>
      </w:pPr>
      <w:r>
        <w:rPr>
          <w:rFonts w:ascii="宋体" w:hAnsi="宋体" w:cs="宋体" w:eastAsia="宋体" w:hint="default"/>
        </w:rPr>
        <w:t>2000</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52"/>
        </w:rPr>
        <w:t> </w:t>
      </w:r>
      <w:r>
        <w:rPr>
          <w:spacing w:val="-4"/>
        </w:rPr>
        <w:t>月，经中国证监会“证监上字</w:t>
      </w:r>
      <w:r>
        <w:rPr>
          <w:rFonts w:ascii="宋体" w:hAnsi="宋体" w:cs="宋体" w:eastAsia="宋体" w:hint="default"/>
          <w:spacing w:val="-4"/>
        </w:rPr>
        <w:t>[1999]151</w:t>
      </w:r>
      <w:r>
        <w:rPr>
          <w:rFonts w:ascii="宋体" w:hAnsi="宋体" w:cs="宋体" w:eastAsia="宋体" w:hint="default"/>
          <w:spacing w:val="-51"/>
        </w:rPr>
        <w:t> </w:t>
      </w:r>
      <w:r>
        <w:rPr>
          <w:spacing w:val="-7"/>
        </w:rPr>
        <w:t>号”文核准，本公司于</w:t>
      </w:r>
      <w:r>
        <w:rPr>
          <w:spacing w:val="-47"/>
        </w:rPr>
        <w:t> </w:t>
      </w:r>
      <w:r>
        <w:rPr>
          <w:rFonts w:ascii="宋体" w:hAnsi="宋体" w:cs="宋体" w:eastAsia="宋体" w:hint="default"/>
        </w:rPr>
        <w:t>2000</w:t>
      </w:r>
      <w:r>
        <w:rPr>
          <w:rFonts w:ascii="宋体" w:hAnsi="宋体" w:cs="宋体" w:eastAsia="宋体" w:hint="default"/>
          <w:spacing w:val="-48"/>
        </w:rPr>
        <w:t> </w:t>
      </w:r>
      <w:r>
        <w:rPr/>
        <w:t>年</w:t>
      </w:r>
      <w:r>
        <w:rPr>
          <w:spacing w:val="-48"/>
        </w:rPr>
        <w:t> </w:t>
      </w:r>
      <w:r>
        <w:rPr>
          <w:rFonts w:ascii="宋体" w:hAnsi="宋体" w:cs="宋体" w:eastAsia="宋体" w:hint="default"/>
        </w:rPr>
        <w:t>1</w:t>
      </w:r>
    </w:p>
    <w:p>
      <w:pPr>
        <w:pStyle w:val="Heading7"/>
        <w:spacing w:line="240" w:lineRule="auto" w:before="103"/>
        <w:ind w:right="0"/>
        <w:jc w:val="both"/>
        <w:rPr>
          <w:rFonts w:ascii="宋体" w:hAnsi="宋体" w:cs="宋体" w:eastAsia="宋体" w:hint="default"/>
        </w:rPr>
      </w:pPr>
      <w:r>
        <w:rPr/>
        <w:t>月以</w:t>
      </w:r>
      <w:r>
        <w:rPr>
          <w:spacing w:val="-43"/>
        </w:rPr>
        <w:t> </w:t>
      </w:r>
      <w:r>
        <w:rPr>
          <w:rFonts w:ascii="宋体" w:hAnsi="宋体" w:cs="宋体" w:eastAsia="宋体" w:hint="default"/>
        </w:rPr>
        <w:t>1999</w:t>
      </w:r>
      <w:r>
        <w:rPr>
          <w:rFonts w:ascii="宋体" w:hAnsi="宋体" w:cs="宋体" w:eastAsia="宋体" w:hint="default"/>
          <w:spacing w:val="-46"/>
        </w:rPr>
        <w:t> </w:t>
      </w:r>
      <w:r>
        <w:rPr/>
        <w:t>年年末的总股本</w:t>
      </w:r>
      <w:r>
        <w:rPr>
          <w:spacing w:val="-43"/>
        </w:rPr>
        <w:t> </w:t>
      </w:r>
      <w:r>
        <w:rPr>
          <w:rFonts w:ascii="宋体" w:hAnsi="宋体" w:cs="宋体" w:eastAsia="宋体" w:hint="default"/>
        </w:rPr>
        <w:t>28,856.10</w:t>
      </w:r>
      <w:r>
        <w:rPr>
          <w:rFonts w:ascii="宋体" w:hAnsi="宋体" w:cs="宋体" w:eastAsia="宋体" w:hint="default"/>
          <w:spacing w:val="-43"/>
        </w:rPr>
        <w:t> </w:t>
      </w:r>
      <w:r>
        <w:rPr/>
        <w:t>万股为基数，每</w:t>
      </w:r>
      <w:r>
        <w:rPr>
          <w:spacing w:val="-43"/>
        </w:rPr>
        <w:t> </w:t>
      </w:r>
      <w:r>
        <w:rPr>
          <w:rFonts w:ascii="宋体" w:hAnsi="宋体" w:cs="宋体" w:eastAsia="宋体" w:hint="default"/>
        </w:rPr>
        <w:t>10</w:t>
      </w:r>
      <w:r>
        <w:rPr>
          <w:rFonts w:ascii="宋体" w:hAnsi="宋体" w:cs="宋体" w:eastAsia="宋体" w:hint="default"/>
          <w:spacing w:val="-43"/>
        </w:rPr>
        <w:t> </w:t>
      </w:r>
      <w:r>
        <w:rPr/>
        <w:t>股配售</w:t>
      </w:r>
      <w:r>
        <w:rPr>
          <w:spacing w:val="-43"/>
        </w:rPr>
        <w:t> </w:t>
      </w:r>
      <w:r>
        <w:rPr>
          <w:rFonts w:ascii="宋体" w:hAnsi="宋体" w:cs="宋体" w:eastAsia="宋体" w:hint="default"/>
        </w:rPr>
        <w:t>1.64835</w:t>
      </w:r>
      <w:r>
        <w:rPr>
          <w:rFonts w:ascii="宋体" w:hAnsi="宋体" w:cs="宋体" w:eastAsia="宋体" w:hint="default"/>
          <w:spacing w:val="-46"/>
        </w:rPr>
        <w:t> </w:t>
      </w:r>
      <w:r>
        <w:rPr/>
        <w:t>股（按</w:t>
      </w:r>
      <w:r>
        <w:rPr>
          <w:spacing w:val="-43"/>
        </w:rPr>
        <w:t> </w:t>
      </w:r>
      <w:r>
        <w:rPr>
          <w:rFonts w:ascii="宋体" w:hAnsi="宋体" w:cs="宋体" w:eastAsia="宋体" w:hint="default"/>
        </w:rPr>
        <w:t>1997</w:t>
      </w:r>
    </w:p>
    <w:p>
      <w:pPr>
        <w:pStyle w:val="Heading7"/>
        <w:spacing w:line="324" w:lineRule="auto" w:before="103"/>
        <w:ind w:right="376"/>
        <w:jc w:val="both"/>
      </w:pPr>
      <w:r>
        <w:rPr>
          <w:spacing w:val="-1"/>
          <w:w w:val="100"/>
        </w:rPr>
        <w:t>年年末总股本</w:t>
      </w:r>
      <w:r>
        <w:rPr>
          <w:spacing w:val="-47"/>
          <w:w w:val="100"/>
        </w:rPr>
        <w:t> </w:t>
      </w:r>
      <w:r>
        <w:rPr>
          <w:rFonts w:ascii="宋体" w:hAnsi="宋体" w:cs="宋体" w:eastAsia="宋体" w:hint="default"/>
          <w:spacing w:val="-1"/>
          <w:w w:val="100"/>
        </w:rPr>
        <w:t>15,855</w:t>
      </w:r>
      <w:r>
        <w:rPr>
          <w:rFonts w:ascii="宋体" w:hAnsi="宋体" w:cs="宋体" w:eastAsia="宋体" w:hint="default"/>
          <w:spacing w:val="-49"/>
          <w:w w:val="100"/>
        </w:rPr>
        <w:t> </w:t>
      </w:r>
      <w:r>
        <w:rPr>
          <w:spacing w:val="-1"/>
          <w:w w:val="100"/>
        </w:rPr>
        <w:t>万股为基数每</w:t>
      </w:r>
      <w:r>
        <w:rPr>
          <w:spacing w:val="-47"/>
          <w:w w:val="100"/>
        </w:rPr>
        <w:t> </w:t>
      </w:r>
      <w:r>
        <w:rPr>
          <w:rFonts w:ascii="宋体" w:hAnsi="宋体" w:cs="宋体" w:eastAsia="宋体" w:hint="default"/>
          <w:w w:val="100"/>
        </w:rPr>
        <w:t>10</w:t>
      </w:r>
      <w:r>
        <w:rPr>
          <w:rFonts w:ascii="宋体" w:hAnsi="宋体" w:cs="宋体" w:eastAsia="宋体" w:hint="default"/>
          <w:spacing w:val="-49"/>
          <w:w w:val="100"/>
        </w:rPr>
        <w:t> </w:t>
      </w:r>
      <w:r>
        <w:rPr>
          <w:w w:val="100"/>
        </w:rPr>
        <w:t>股配售</w:t>
      </w:r>
      <w:r>
        <w:rPr>
          <w:spacing w:val="-49"/>
          <w:w w:val="100"/>
        </w:rPr>
        <w:t> </w:t>
      </w:r>
      <w:r>
        <w:rPr>
          <w:rFonts w:ascii="宋体" w:hAnsi="宋体" w:cs="宋体" w:eastAsia="宋体" w:hint="default"/>
          <w:w w:val="100"/>
        </w:rPr>
        <w:t>3</w:t>
      </w:r>
      <w:r>
        <w:rPr>
          <w:rFonts w:ascii="宋体" w:hAnsi="宋体" w:cs="宋体" w:eastAsia="宋体" w:hint="default"/>
          <w:spacing w:val="-49"/>
          <w:w w:val="100"/>
        </w:rPr>
        <w:t> </w:t>
      </w:r>
      <w:r>
        <w:rPr>
          <w:spacing w:val="-15"/>
          <w:w w:val="100"/>
        </w:rPr>
        <w:t>股），配股价格为</w:t>
      </w:r>
      <w:r>
        <w:rPr>
          <w:spacing w:val="-47"/>
          <w:w w:val="100"/>
        </w:rPr>
        <w:t> </w:t>
      </w:r>
      <w:r>
        <w:rPr>
          <w:rFonts w:ascii="宋体" w:hAnsi="宋体" w:cs="宋体" w:eastAsia="宋体" w:hint="default"/>
          <w:w w:val="100"/>
        </w:rPr>
        <w:t>12</w:t>
      </w:r>
      <w:r>
        <w:rPr>
          <w:rFonts w:ascii="宋体" w:hAnsi="宋体" w:cs="宋体" w:eastAsia="宋体" w:hint="default"/>
          <w:spacing w:val="-47"/>
          <w:w w:val="100"/>
        </w:rPr>
        <w:t> </w:t>
      </w:r>
      <w:r>
        <w:rPr>
          <w:spacing w:val="-2"/>
          <w:w w:val="100"/>
        </w:rPr>
        <w:t>元</w:t>
      </w:r>
      <w:r>
        <w:rPr>
          <w:rFonts w:ascii="宋体" w:hAnsi="宋体" w:cs="宋体" w:eastAsia="宋体" w:hint="default"/>
          <w:spacing w:val="-2"/>
          <w:w w:val="100"/>
        </w:rPr>
        <w:t>/</w:t>
      </w:r>
      <w:r>
        <w:rPr>
          <w:spacing w:val="-2"/>
          <w:w w:val="100"/>
        </w:rPr>
        <w:t>股。由于法人</w:t>
      </w:r>
      <w:r>
        <w:rPr>
          <w:w w:val="100"/>
        </w:rPr>
        <w:t> </w:t>
      </w:r>
      <w:r>
        <w:rPr>
          <w:spacing w:val="-3"/>
        </w:rPr>
        <w:t>股股东长城科技股份有限公司承诺全部放弃应配股份且不予转让，实际向社会公众股和</w:t>
      </w:r>
      <w:r>
        <w:rPr>
          <w:spacing w:val="-58"/>
        </w:rPr>
        <w:t> </w:t>
      </w:r>
      <w:r>
        <w:rPr>
          <w:spacing w:val="-58"/>
        </w:rPr>
      </w:r>
      <w:r>
        <w:rPr/>
        <w:t>高管股配售</w:t>
      </w:r>
      <w:r>
        <w:rPr>
          <w:spacing w:val="-56"/>
        </w:rPr>
        <w:t> </w:t>
      </w:r>
      <w:r>
        <w:rPr>
          <w:rFonts w:ascii="宋体" w:hAnsi="宋体" w:cs="宋体" w:eastAsia="宋体" w:hint="default"/>
        </w:rPr>
        <w:t>1,710</w:t>
      </w:r>
      <w:r>
        <w:rPr>
          <w:rFonts w:ascii="宋体" w:hAnsi="宋体" w:cs="宋体" w:eastAsia="宋体" w:hint="default"/>
          <w:spacing w:val="-56"/>
        </w:rPr>
        <w:t> </w:t>
      </w:r>
      <w:r>
        <w:rPr/>
        <w:t>万股，配售后本公司总股本增至</w:t>
      </w:r>
      <w:r>
        <w:rPr>
          <w:spacing w:val="-55"/>
        </w:rPr>
        <w:t> </w:t>
      </w:r>
      <w:r>
        <w:rPr>
          <w:rFonts w:ascii="宋体" w:hAnsi="宋体" w:cs="宋体" w:eastAsia="宋体" w:hint="default"/>
        </w:rPr>
        <w:t>30,566.10</w:t>
      </w:r>
      <w:r>
        <w:rPr>
          <w:rFonts w:ascii="宋体" w:hAnsi="宋体" w:cs="宋体" w:eastAsia="宋体" w:hint="default"/>
          <w:spacing w:val="-56"/>
        </w:rPr>
        <w:t> </w:t>
      </w:r>
      <w:r>
        <w:rPr/>
        <w:t>万股。</w:t>
      </w:r>
    </w:p>
    <w:p>
      <w:pPr>
        <w:pStyle w:val="Heading7"/>
        <w:spacing w:line="240" w:lineRule="auto" w:before="100"/>
        <w:ind w:left="559" w:right="0"/>
        <w:jc w:val="left"/>
      </w:pPr>
      <w:r>
        <w:rPr>
          <w:rFonts w:ascii="宋体" w:hAnsi="宋体" w:cs="宋体" w:eastAsia="宋体" w:hint="default"/>
        </w:rPr>
        <w:t>2000</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spacing w:val="-10"/>
        </w:rPr>
        <w:t>月，经本公司</w:t>
      </w:r>
      <w:r>
        <w:rPr>
          <w:spacing w:val="-52"/>
        </w:rPr>
        <w:t> </w:t>
      </w:r>
      <w:r>
        <w:rPr>
          <w:rFonts w:ascii="宋体" w:hAnsi="宋体" w:cs="宋体" w:eastAsia="宋体" w:hint="default"/>
        </w:rPr>
        <w:t>1999</w:t>
      </w:r>
      <w:r>
        <w:rPr>
          <w:rFonts w:ascii="宋体" w:hAnsi="宋体" w:cs="宋体" w:eastAsia="宋体" w:hint="default"/>
          <w:spacing w:val="-52"/>
        </w:rPr>
        <w:t> </w:t>
      </w:r>
      <w:r>
        <w:rPr>
          <w:spacing w:val="-5"/>
        </w:rPr>
        <w:t>年度股东大会决议，本公司实施</w:t>
      </w:r>
      <w:r>
        <w:rPr>
          <w:spacing w:val="-52"/>
        </w:rPr>
        <w:t> </w:t>
      </w:r>
      <w:r>
        <w:rPr>
          <w:rFonts w:ascii="宋体" w:hAnsi="宋体" w:cs="宋体" w:eastAsia="宋体" w:hint="default"/>
        </w:rPr>
        <w:t>1999</w:t>
      </w:r>
      <w:r>
        <w:rPr>
          <w:rFonts w:ascii="宋体" w:hAnsi="宋体" w:cs="宋体" w:eastAsia="宋体" w:hint="default"/>
          <w:spacing w:val="-55"/>
        </w:rPr>
        <w:t> </w:t>
      </w:r>
      <w:r>
        <w:rPr/>
        <w:t>年度利润分配和</w:t>
      </w:r>
    </w:p>
    <w:p>
      <w:pPr>
        <w:pStyle w:val="Heading7"/>
        <w:spacing w:line="240" w:lineRule="auto" w:before="104"/>
        <w:ind w:right="0"/>
        <w:jc w:val="both"/>
        <w:rPr>
          <w:rFonts w:ascii="宋体" w:hAnsi="宋体" w:cs="宋体" w:eastAsia="宋体" w:hint="default"/>
        </w:rPr>
      </w:pPr>
      <w:r>
        <w:rPr/>
        <w:t>资本公积金转增股本方案，向全体股东每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股转增资本公积金</w:t>
      </w:r>
      <w:r>
        <w:rPr>
          <w:spacing w:val="-56"/>
        </w:rPr>
        <w:t> </w:t>
      </w:r>
      <w:r>
        <w:rPr>
          <w:rFonts w:ascii="宋体" w:hAnsi="宋体" w:cs="宋体" w:eastAsia="宋体" w:hint="default"/>
        </w:rPr>
        <w:t>3</w:t>
      </w:r>
      <w:r>
        <w:rPr>
          <w:rFonts w:ascii="宋体" w:hAnsi="宋体" w:cs="宋体" w:eastAsia="宋体" w:hint="default"/>
          <w:spacing w:val="-56"/>
        </w:rPr>
        <w:t> </w:t>
      </w:r>
      <w:r>
        <w:rPr/>
        <w:t>股，每</w:t>
      </w:r>
      <w:r>
        <w:rPr>
          <w:spacing w:val="-56"/>
        </w:rPr>
        <w:t> </w:t>
      </w:r>
      <w:r>
        <w:rPr>
          <w:rFonts w:ascii="宋体" w:hAnsi="宋体" w:cs="宋体" w:eastAsia="宋体" w:hint="default"/>
        </w:rPr>
        <w:t>10</w:t>
      </w:r>
      <w:r>
        <w:rPr>
          <w:rFonts w:ascii="宋体" w:hAnsi="宋体" w:cs="宋体" w:eastAsia="宋体" w:hint="default"/>
          <w:spacing w:val="-56"/>
        </w:rPr>
        <w:t> </w:t>
      </w:r>
      <w:r>
        <w:rPr/>
        <w:t>股送红股</w:t>
      </w:r>
      <w:r>
        <w:rPr>
          <w:spacing w:val="-56"/>
        </w:rPr>
        <w:t> </w:t>
      </w:r>
      <w:r>
        <w:rPr>
          <w:rFonts w:ascii="宋体" w:hAnsi="宋体" w:cs="宋体" w:eastAsia="宋体" w:hint="default"/>
        </w:rPr>
        <w:t>2</w:t>
      </w:r>
    </w:p>
    <w:p>
      <w:pPr>
        <w:pStyle w:val="Heading7"/>
        <w:spacing w:line="240" w:lineRule="auto" w:before="103"/>
        <w:ind w:right="0"/>
        <w:jc w:val="both"/>
      </w:pPr>
      <w:r>
        <w:rPr>
          <w:w w:val="100"/>
        </w:rPr>
        <w:t>股并派</w:t>
      </w:r>
      <w:r>
        <w:rPr>
          <w:spacing w:val="-3"/>
          <w:w w:val="100"/>
        </w:rPr>
        <w:t>发</w:t>
      </w:r>
      <w:r>
        <w:rPr>
          <w:w w:val="100"/>
        </w:rPr>
        <w:t>现金</w:t>
      </w:r>
      <w:r>
        <w:rPr>
          <w:spacing w:val="-3"/>
          <w:w w:val="100"/>
        </w:rPr>
        <w:t>股</w:t>
      </w:r>
      <w:r>
        <w:rPr>
          <w:w w:val="100"/>
        </w:rPr>
        <w:t>利</w:t>
      </w:r>
      <w:r>
        <w:rPr>
          <w:spacing w:val="-55"/>
        </w:rPr>
        <w:t> </w:t>
      </w:r>
      <w:r>
        <w:rPr>
          <w:rFonts w:ascii="宋体" w:hAnsi="宋体" w:cs="宋体" w:eastAsia="宋体" w:hint="default"/>
          <w:w w:val="100"/>
        </w:rPr>
        <w:t>2</w:t>
      </w:r>
      <w:r>
        <w:rPr>
          <w:rFonts w:ascii="宋体" w:hAnsi="宋体" w:cs="宋体" w:eastAsia="宋体" w:hint="default"/>
          <w:spacing w:val="-55"/>
        </w:rPr>
        <w:t> </w:t>
      </w:r>
      <w:r>
        <w:rPr>
          <w:spacing w:val="-3"/>
          <w:w w:val="100"/>
        </w:rPr>
        <w:t>元（</w:t>
      </w:r>
      <w:r>
        <w:rPr>
          <w:w w:val="100"/>
        </w:rPr>
        <w:t>含税</w:t>
      </w:r>
      <w:r>
        <w:rPr>
          <w:spacing w:val="-111"/>
          <w:w w:val="100"/>
        </w:rPr>
        <w:t>）</w:t>
      </w:r>
      <w:r>
        <w:rPr>
          <w:w w:val="100"/>
        </w:rPr>
        <w:t>。</w:t>
      </w:r>
      <w:r>
        <w:rPr>
          <w:spacing w:val="-3"/>
          <w:w w:val="100"/>
        </w:rPr>
        <w:t>本</w:t>
      </w:r>
      <w:r>
        <w:rPr>
          <w:w w:val="100"/>
        </w:rPr>
        <w:t>次转</w:t>
      </w:r>
      <w:r>
        <w:rPr>
          <w:spacing w:val="-3"/>
          <w:w w:val="100"/>
        </w:rPr>
        <w:t>增</w:t>
      </w:r>
      <w:r>
        <w:rPr>
          <w:w w:val="100"/>
        </w:rPr>
        <w:t>后本</w:t>
      </w:r>
      <w:r>
        <w:rPr>
          <w:spacing w:val="-3"/>
          <w:w w:val="100"/>
        </w:rPr>
        <w:t>公</w:t>
      </w:r>
      <w:r>
        <w:rPr>
          <w:w w:val="100"/>
        </w:rPr>
        <w:t>司的股</w:t>
      </w:r>
      <w:r>
        <w:rPr>
          <w:spacing w:val="-3"/>
          <w:w w:val="100"/>
        </w:rPr>
        <w:t>本</w:t>
      </w:r>
      <w:r>
        <w:rPr>
          <w:w w:val="100"/>
        </w:rPr>
        <w:t>总额为</w:t>
      </w:r>
      <w:r>
        <w:rPr>
          <w:spacing w:val="-57"/>
        </w:rPr>
        <w:t> </w:t>
      </w:r>
      <w:r>
        <w:rPr>
          <w:rFonts w:ascii="宋体" w:hAnsi="宋体" w:cs="宋体" w:eastAsia="宋体" w:hint="default"/>
          <w:w w:val="100"/>
        </w:rPr>
        <w:t>45,84</w:t>
      </w:r>
      <w:r>
        <w:rPr>
          <w:rFonts w:ascii="宋体" w:hAnsi="宋体" w:cs="宋体" w:eastAsia="宋体" w:hint="default"/>
          <w:spacing w:val="-3"/>
          <w:w w:val="100"/>
        </w:rPr>
        <w:t>9.</w:t>
      </w:r>
      <w:r>
        <w:rPr>
          <w:rFonts w:ascii="宋体" w:hAnsi="宋体" w:cs="宋体" w:eastAsia="宋体" w:hint="default"/>
          <w:w w:val="100"/>
        </w:rPr>
        <w:t>15</w:t>
      </w:r>
      <w:r>
        <w:rPr>
          <w:rFonts w:ascii="宋体" w:hAnsi="宋体" w:cs="宋体" w:eastAsia="宋体" w:hint="default"/>
          <w:spacing w:val="-55"/>
        </w:rPr>
        <w:t> </w:t>
      </w:r>
      <w:r>
        <w:rPr>
          <w:w w:val="100"/>
        </w:rPr>
        <w:t>万元。</w:t>
      </w:r>
    </w:p>
    <w:p>
      <w:pPr>
        <w:pStyle w:val="Heading7"/>
        <w:spacing w:line="240" w:lineRule="auto" w:before="177"/>
        <w:ind w:left="559" w:right="0"/>
        <w:jc w:val="left"/>
      </w:pP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8"/>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日，经本公司</w:t>
      </w:r>
      <w:r>
        <w:rPr>
          <w:spacing w:val="-54"/>
        </w:rPr>
        <w:t> </w:t>
      </w:r>
      <w:r>
        <w:rPr>
          <w:rFonts w:ascii="宋体" w:hAnsi="宋体" w:cs="宋体" w:eastAsia="宋体" w:hint="default"/>
        </w:rPr>
        <w:t>2007</w:t>
      </w:r>
      <w:r>
        <w:rPr>
          <w:rFonts w:ascii="宋体" w:hAnsi="宋体" w:cs="宋体" w:eastAsia="宋体" w:hint="default"/>
          <w:spacing w:val="-58"/>
        </w:rPr>
        <w:t> </w:t>
      </w:r>
      <w:r>
        <w:rPr/>
        <w:t>年度股东大会审议通过</w:t>
      </w:r>
      <w:r>
        <w:rPr>
          <w:spacing w:val="-57"/>
        </w:rPr>
        <w:t> </w:t>
      </w:r>
      <w:r>
        <w:rPr>
          <w:rFonts w:ascii="宋体" w:hAnsi="宋体" w:cs="宋体" w:eastAsia="宋体" w:hint="default"/>
        </w:rPr>
        <w:t>2007</w:t>
      </w:r>
      <w:r>
        <w:rPr>
          <w:rFonts w:ascii="宋体" w:hAnsi="宋体" w:cs="宋体" w:eastAsia="宋体" w:hint="default"/>
          <w:spacing w:val="-54"/>
        </w:rPr>
        <w:t> </w:t>
      </w:r>
      <w:r>
        <w:rPr/>
        <w:t>年度利润分配和股</w:t>
      </w:r>
    </w:p>
    <w:p>
      <w:pPr>
        <w:pStyle w:val="Heading7"/>
        <w:spacing w:line="240" w:lineRule="auto" w:before="103"/>
        <w:ind w:right="0"/>
        <w:jc w:val="both"/>
        <w:rPr>
          <w:rFonts w:ascii="宋体" w:hAnsi="宋体" w:cs="宋体" w:eastAsia="宋体" w:hint="default"/>
        </w:rPr>
      </w:pPr>
      <w:r>
        <w:rPr/>
        <w:t>票股利转增股本方案，以</w:t>
      </w:r>
      <w:r>
        <w:rPr>
          <w:spacing w:val="-55"/>
        </w:rPr>
        <w:t> </w:t>
      </w:r>
      <w:r>
        <w:rPr>
          <w:rFonts w:ascii="宋体" w:hAnsi="宋体" w:cs="宋体" w:eastAsia="宋体" w:hint="default"/>
        </w:rPr>
        <w:t>2007</w:t>
      </w:r>
      <w:r>
        <w:rPr>
          <w:rFonts w:ascii="宋体" w:hAnsi="宋体" w:cs="宋体" w:eastAsia="宋体" w:hint="default"/>
          <w:spacing w:val="-55"/>
        </w:rPr>
        <w:t> </w:t>
      </w:r>
      <w:r>
        <w:rPr/>
        <w:t>年年末总股本</w:t>
      </w:r>
      <w:r>
        <w:rPr>
          <w:spacing w:val="-55"/>
        </w:rPr>
        <w:t> </w:t>
      </w:r>
      <w:r>
        <w:rPr>
          <w:rFonts w:ascii="宋体" w:hAnsi="宋体" w:cs="宋体" w:eastAsia="宋体" w:hint="default"/>
        </w:rPr>
        <w:t>458,491,500</w:t>
      </w:r>
      <w:r>
        <w:rPr>
          <w:rFonts w:ascii="宋体" w:hAnsi="宋体" w:cs="宋体" w:eastAsia="宋体" w:hint="default"/>
          <w:spacing w:val="-57"/>
        </w:rPr>
        <w:t> </w:t>
      </w:r>
      <w:r>
        <w:rPr/>
        <w:t>股为基数，向全体股东每</w:t>
      </w:r>
      <w:r>
        <w:rPr>
          <w:spacing w:val="-55"/>
        </w:rPr>
        <w:t> </w:t>
      </w:r>
      <w:r>
        <w:rPr>
          <w:rFonts w:ascii="宋体" w:hAnsi="宋体" w:cs="宋体" w:eastAsia="宋体" w:hint="default"/>
        </w:rPr>
        <w:t>10</w:t>
      </w:r>
    </w:p>
    <w:p>
      <w:pPr>
        <w:pStyle w:val="Heading7"/>
        <w:spacing w:line="240" w:lineRule="auto" w:before="103"/>
        <w:ind w:right="0"/>
        <w:jc w:val="both"/>
      </w:pPr>
      <w:r>
        <w:rPr>
          <w:w w:val="100"/>
        </w:rPr>
        <w:t>股送红股</w:t>
      </w:r>
      <w:r>
        <w:rPr>
          <w:spacing w:val="-58"/>
        </w:rPr>
        <w:t> </w:t>
      </w:r>
      <w:r>
        <w:rPr>
          <w:rFonts w:ascii="宋体" w:hAnsi="宋体" w:cs="宋体" w:eastAsia="宋体" w:hint="default"/>
          <w:w w:val="100"/>
        </w:rPr>
        <w:t>2</w:t>
      </w:r>
      <w:r>
        <w:rPr>
          <w:rFonts w:ascii="宋体" w:hAnsi="宋体" w:cs="宋体" w:eastAsia="宋体" w:hint="default"/>
          <w:spacing w:val="-55"/>
        </w:rPr>
        <w:t> </w:t>
      </w:r>
      <w:r>
        <w:rPr>
          <w:w w:val="100"/>
        </w:rPr>
        <w:t>股</w:t>
      </w:r>
      <w:r>
        <w:rPr>
          <w:spacing w:val="-3"/>
          <w:w w:val="100"/>
        </w:rPr>
        <w:t>并</w:t>
      </w:r>
      <w:r>
        <w:rPr>
          <w:w w:val="100"/>
        </w:rPr>
        <w:t>派发</w:t>
      </w:r>
      <w:r>
        <w:rPr>
          <w:spacing w:val="-3"/>
          <w:w w:val="100"/>
        </w:rPr>
        <w:t>现金</w:t>
      </w:r>
      <w:r>
        <w:rPr>
          <w:w w:val="100"/>
        </w:rPr>
        <w:t>股利</w:t>
      </w:r>
      <w:r>
        <w:rPr>
          <w:spacing w:val="-55"/>
        </w:rPr>
        <w:t> </w:t>
      </w:r>
      <w:r>
        <w:rPr>
          <w:rFonts w:ascii="宋体" w:hAnsi="宋体" w:cs="宋体" w:eastAsia="宋体" w:hint="default"/>
          <w:w w:val="100"/>
        </w:rPr>
        <w:t>0.23</w:t>
      </w:r>
      <w:r>
        <w:rPr>
          <w:rFonts w:ascii="宋体" w:hAnsi="宋体" w:cs="宋体" w:eastAsia="宋体" w:hint="default"/>
          <w:spacing w:val="-58"/>
        </w:rPr>
        <w:t> </w:t>
      </w:r>
      <w:r>
        <w:rPr>
          <w:w w:val="100"/>
        </w:rPr>
        <w:t>元人</w:t>
      </w:r>
      <w:r>
        <w:rPr>
          <w:spacing w:val="-3"/>
          <w:w w:val="100"/>
        </w:rPr>
        <w:t>民</w:t>
      </w:r>
      <w:r>
        <w:rPr>
          <w:spacing w:val="-27"/>
          <w:w w:val="100"/>
        </w:rPr>
        <w:t>币</w:t>
      </w:r>
      <w:r>
        <w:rPr>
          <w:spacing w:val="-3"/>
          <w:w w:val="100"/>
        </w:rPr>
        <w:t>（含</w:t>
      </w:r>
      <w:r>
        <w:rPr>
          <w:w w:val="100"/>
        </w:rPr>
        <w:t>税</w:t>
      </w:r>
      <w:r>
        <w:rPr>
          <w:spacing w:val="-111"/>
          <w:w w:val="100"/>
        </w:rPr>
        <w:t>）</w:t>
      </w:r>
      <w:r>
        <w:rPr>
          <w:spacing w:val="-27"/>
          <w:w w:val="100"/>
        </w:rPr>
        <w:t>。</w:t>
      </w:r>
      <w:r>
        <w:rPr>
          <w:spacing w:val="-3"/>
          <w:w w:val="100"/>
        </w:rPr>
        <w:t>本</w:t>
      </w:r>
      <w:r>
        <w:rPr>
          <w:w w:val="100"/>
        </w:rPr>
        <w:t>次转</w:t>
      </w:r>
      <w:r>
        <w:rPr>
          <w:spacing w:val="-3"/>
          <w:w w:val="100"/>
        </w:rPr>
        <w:t>增</w:t>
      </w:r>
      <w:r>
        <w:rPr>
          <w:w w:val="100"/>
        </w:rPr>
        <w:t>后本</w:t>
      </w:r>
      <w:r>
        <w:rPr>
          <w:spacing w:val="-3"/>
          <w:w w:val="100"/>
        </w:rPr>
        <w:t>公司</w:t>
      </w:r>
      <w:r>
        <w:rPr>
          <w:w w:val="100"/>
        </w:rPr>
        <w:t>的股本</w:t>
      </w:r>
      <w:r>
        <w:rPr>
          <w:spacing w:val="-3"/>
          <w:w w:val="100"/>
        </w:rPr>
        <w:t>总</w:t>
      </w:r>
      <w:r>
        <w:rPr>
          <w:w w:val="100"/>
        </w:rPr>
        <w:t>额为</w:t>
      </w:r>
    </w:p>
    <w:p>
      <w:pPr>
        <w:pStyle w:val="Heading7"/>
        <w:spacing w:line="240" w:lineRule="auto" w:before="101"/>
        <w:ind w:right="0"/>
        <w:jc w:val="both"/>
      </w:pPr>
      <w:r>
        <w:rPr>
          <w:rFonts w:ascii="宋体" w:hAnsi="宋体" w:cs="宋体" w:eastAsia="宋体" w:hint="default"/>
        </w:rPr>
        <w:t>55,018.98</w:t>
      </w:r>
      <w:r>
        <w:rPr>
          <w:rFonts w:ascii="宋体" w:hAnsi="宋体" w:cs="宋体" w:eastAsia="宋体" w:hint="default"/>
          <w:spacing w:val="-55"/>
        </w:rPr>
        <w:t> </w:t>
      </w:r>
      <w:r>
        <w:rPr/>
        <w:t>万元。</w:t>
      </w:r>
    </w:p>
    <w:p>
      <w:pPr>
        <w:spacing w:after="0" w:line="240" w:lineRule="auto"/>
        <w:jc w:val="both"/>
        <w:sectPr>
          <w:headerReference w:type="default" r:id="rId42"/>
          <w:footerReference w:type="default" r:id="rId43"/>
          <w:pgSz w:w="11910" w:h="16840"/>
          <w:pgMar w:header="881" w:footer="980" w:top="1600" w:bottom="1160" w:left="1680" w:right="1420"/>
          <w:pgNumType w:start="13"/>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79" w:right="0"/>
        <w:jc w:val="left"/>
      </w:pPr>
      <w:r>
        <w:rPr>
          <w:rFonts w:ascii="宋体" w:hAnsi="宋体" w:cs="宋体" w:eastAsia="宋体" w:hint="default"/>
          <w:w w:val="100"/>
        </w:rPr>
        <w:t>2010</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17</w:t>
      </w:r>
      <w:r>
        <w:rPr>
          <w:rFonts w:ascii="宋体" w:hAnsi="宋体" w:cs="宋体" w:eastAsia="宋体" w:hint="default"/>
          <w:spacing w:val="-58"/>
        </w:rPr>
        <w:t> </w:t>
      </w:r>
      <w:r>
        <w:rPr>
          <w:w w:val="100"/>
        </w:rPr>
        <w:t>日</w:t>
      </w:r>
      <w:r>
        <w:rPr>
          <w:spacing w:val="-111"/>
          <w:w w:val="100"/>
        </w:rPr>
        <w:t>，</w:t>
      </w:r>
      <w:r>
        <w:rPr>
          <w:w w:val="100"/>
        </w:rPr>
        <w:t>经</w:t>
      </w:r>
      <w:r>
        <w:rPr>
          <w:spacing w:val="-3"/>
          <w:w w:val="100"/>
        </w:rPr>
        <w:t>本</w:t>
      </w:r>
      <w:r>
        <w:rPr>
          <w:w w:val="100"/>
        </w:rPr>
        <w:t>公司</w:t>
      </w:r>
      <w:r>
        <w:rPr>
          <w:spacing w:val="-55"/>
        </w:rPr>
        <w:t> </w:t>
      </w:r>
      <w:r>
        <w:rPr>
          <w:rFonts w:ascii="宋体" w:hAnsi="宋体" w:cs="宋体" w:eastAsia="宋体" w:hint="default"/>
          <w:w w:val="100"/>
        </w:rPr>
        <w:t>2009</w:t>
      </w:r>
      <w:r>
        <w:rPr>
          <w:rFonts w:ascii="宋体" w:hAnsi="宋体" w:cs="宋体" w:eastAsia="宋体" w:hint="default"/>
          <w:spacing w:val="-58"/>
        </w:rPr>
        <w:t> </w:t>
      </w:r>
      <w:r>
        <w:rPr>
          <w:w w:val="100"/>
        </w:rPr>
        <w:t>年度</w:t>
      </w:r>
      <w:r>
        <w:rPr>
          <w:spacing w:val="-3"/>
          <w:w w:val="100"/>
        </w:rPr>
        <w:t>股</w:t>
      </w:r>
      <w:r>
        <w:rPr>
          <w:w w:val="100"/>
        </w:rPr>
        <w:t>东大</w:t>
      </w:r>
      <w:r>
        <w:rPr>
          <w:spacing w:val="-3"/>
          <w:w w:val="100"/>
        </w:rPr>
        <w:t>会</w:t>
      </w:r>
      <w:r>
        <w:rPr>
          <w:w w:val="100"/>
        </w:rPr>
        <w:t>审议通过</w:t>
      </w:r>
      <w:r>
        <w:rPr>
          <w:spacing w:val="-57"/>
        </w:rPr>
        <w:t> </w:t>
      </w:r>
      <w:r>
        <w:rPr>
          <w:rFonts w:ascii="宋体" w:hAnsi="宋体" w:cs="宋体" w:eastAsia="宋体" w:hint="default"/>
          <w:w w:val="100"/>
        </w:rPr>
        <w:t>2009</w:t>
      </w:r>
      <w:r>
        <w:rPr>
          <w:rFonts w:ascii="宋体" w:hAnsi="宋体" w:cs="宋体" w:eastAsia="宋体" w:hint="default"/>
          <w:spacing w:val="-55"/>
        </w:rPr>
        <w:t> </w:t>
      </w:r>
      <w:r>
        <w:rPr>
          <w:spacing w:val="-3"/>
          <w:w w:val="100"/>
        </w:rPr>
        <w:t>年</w:t>
      </w:r>
      <w:r>
        <w:rPr>
          <w:w w:val="100"/>
        </w:rPr>
        <w:t>度利</w:t>
      </w:r>
      <w:r>
        <w:rPr>
          <w:spacing w:val="-3"/>
          <w:w w:val="100"/>
        </w:rPr>
        <w:t>润</w:t>
      </w:r>
      <w:r>
        <w:rPr>
          <w:w w:val="100"/>
        </w:rPr>
        <w:t>分配方案，</w:t>
      </w:r>
    </w:p>
    <w:p>
      <w:pPr>
        <w:pStyle w:val="Heading7"/>
        <w:spacing w:line="240" w:lineRule="auto" w:before="103"/>
        <w:ind w:left="240" w:right="0"/>
        <w:jc w:val="left"/>
      </w:pPr>
      <w:r>
        <w:rPr/>
        <w:t>以</w:t>
      </w:r>
      <w:r>
        <w:rPr>
          <w:spacing w:val="-53"/>
        </w:rPr>
        <w:t> </w:t>
      </w:r>
      <w:r>
        <w:rPr>
          <w:rFonts w:ascii="宋体" w:hAnsi="宋体" w:cs="宋体" w:eastAsia="宋体" w:hint="default"/>
        </w:rPr>
        <w:t>2009</w:t>
      </w:r>
      <w:r>
        <w:rPr>
          <w:rFonts w:ascii="宋体" w:hAnsi="宋体" w:cs="宋体" w:eastAsia="宋体" w:hint="default"/>
          <w:spacing w:val="-53"/>
        </w:rPr>
        <w:t> </w:t>
      </w:r>
      <w:r>
        <w:rPr/>
        <w:t>年年末总股本</w:t>
      </w:r>
      <w:r>
        <w:rPr>
          <w:spacing w:val="-53"/>
        </w:rPr>
        <w:t> </w:t>
      </w:r>
      <w:r>
        <w:rPr>
          <w:rFonts w:ascii="宋体" w:hAnsi="宋体" w:cs="宋体" w:eastAsia="宋体" w:hint="default"/>
        </w:rPr>
        <w:t>55,018.98</w:t>
      </w:r>
      <w:r>
        <w:rPr>
          <w:rFonts w:ascii="宋体" w:hAnsi="宋体" w:cs="宋体" w:eastAsia="宋体" w:hint="default"/>
          <w:spacing w:val="-56"/>
        </w:rPr>
        <w:t> </w:t>
      </w:r>
      <w:r>
        <w:rPr>
          <w:spacing w:val="-3"/>
        </w:rPr>
        <w:t>万股为基数，向全体股东按每</w:t>
      </w:r>
      <w:r>
        <w:rPr>
          <w:spacing w:val="-53"/>
        </w:rPr>
        <w:t> </w:t>
      </w:r>
      <w:r>
        <w:rPr>
          <w:rFonts w:ascii="宋体" w:hAnsi="宋体" w:cs="宋体" w:eastAsia="宋体" w:hint="default"/>
        </w:rPr>
        <w:t>10</w:t>
      </w:r>
      <w:r>
        <w:rPr>
          <w:rFonts w:ascii="宋体" w:hAnsi="宋体" w:cs="宋体" w:eastAsia="宋体" w:hint="default"/>
          <w:spacing w:val="-56"/>
        </w:rPr>
        <w:t> </w:t>
      </w:r>
      <w:r>
        <w:rPr/>
        <w:t>股送红股</w:t>
      </w:r>
      <w:r>
        <w:rPr>
          <w:spacing w:val="-53"/>
        </w:rPr>
        <w:t> </w:t>
      </w:r>
      <w:r>
        <w:rPr>
          <w:rFonts w:ascii="宋体" w:hAnsi="宋体" w:cs="宋体" w:eastAsia="宋体" w:hint="default"/>
        </w:rPr>
        <w:t>5</w:t>
      </w:r>
      <w:r>
        <w:rPr>
          <w:rFonts w:ascii="宋体" w:hAnsi="宋体" w:cs="宋体" w:eastAsia="宋体" w:hint="default"/>
          <w:spacing w:val="-53"/>
        </w:rPr>
        <w:t> </w:t>
      </w:r>
      <w:r>
        <w:rPr>
          <w:spacing w:val="-8"/>
        </w:rPr>
        <w:t>股，同时</w:t>
      </w:r>
    </w:p>
    <w:p>
      <w:pPr>
        <w:pStyle w:val="Heading7"/>
        <w:spacing w:line="240" w:lineRule="auto" w:before="103"/>
        <w:ind w:left="240" w:right="0"/>
        <w:jc w:val="left"/>
      </w:pPr>
      <w:r>
        <w:rPr/>
        <w:t>以资本公积金每</w:t>
      </w:r>
      <w:r>
        <w:rPr>
          <w:spacing w:val="-59"/>
        </w:rPr>
        <w:t> </w:t>
      </w: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5</w:t>
      </w:r>
      <w:r>
        <w:rPr>
          <w:rFonts w:ascii="宋体" w:hAnsi="宋体" w:cs="宋体" w:eastAsia="宋体" w:hint="default"/>
          <w:spacing w:val="-56"/>
        </w:rPr>
        <w:t> </w:t>
      </w:r>
      <w:r>
        <w:rPr/>
        <w:t>股。本次转增后本公司的股本总额为</w:t>
      </w:r>
      <w:r>
        <w:rPr>
          <w:spacing w:val="-58"/>
        </w:rPr>
        <w:t> </w:t>
      </w:r>
      <w:r>
        <w:rPr>
          <w:rFonts w:ascii="宋体" w:hAnsi="宋体" w:cs="宋体" w:eastAsia="宋体" w:hint="default"/>
        </w:rPr>
        <w:t>110,037.96</w:t>
      </w:r>
      <w:r>
        <w:rPr>
          <w:rFonts w:ascii="宋体" w:hAnsi="宋体" w:cs="宋体" w:eastAsia="宋体" w:hint="default"/>
          <w:spacing w:val="-56"/>
        </w:rPr>
        <w:t> </w:t>
      </w:r>
      <w:r>
        <w:rPr/>
        <w:t>万元。</w:t>
      </w:r>
    </w:p>
    <w:p>
      <w:pPr>
        <w:pStyle w:val="Heading7"/>
        <w:spacing w:line="326" w:lineRule="auto" w:before="177"/>
        <w:ind w:left="240" w:right="265" w:firstLine="439"/>
        <w:jc w:val="both"/>
      </w:pPr>
      <w:r>
        <w:rPr>
          <w:rFonts w:ascii="宋体" w:hAnsi="宋体" w:cs="宋体" w:eastAsia="宋体" w:hint="default"/>
        </w:rPr>
        <w:t>2010</w:t>
      </w:r>
      <w:r>
        <w:rPr>
          <w:rFonts w:ascii="宋体" w:hAnsi="宋体" w:cs="宋体" w:eastAsia="宋体" w:hint="default"/>
          <w:spacing w:val="-50"/>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16</w:t>
      </w:r>
      <w:r>
        <w:rPr>
          <w:rFonts w:ascii="宋体" w:hAnsi="宋体" w:cs="宋体" w:eastAsia="宋体" w:hint="default"/>
          <w:spacing w:val="-54"/>
        </w:rPr>
        <w:t> </w:t>
      </w:r>
      <w:r>
        <w:rPr>
          <w:spacing w:val="-5"/>
        </w:rPr>
        <w:t>日，根据中国证券监督管理委员会《关于核准中国长城计算机深圳</w:t>
      </w:r>
      <w:r>
        <w:rPr>
          <w:w w:val="100"/>
        </w:rPr>
        <w:t> </w:t>
      </w:r>
      <w:r>
        <w:rPr>
          <w:spacing w:val="-5"/>
          <w:w w:val="100"/>
        </w:rPr>
        <w:t>股份有限公司非公开发行股票的批复》（证监许可</w:t>
      </w:r>
      <w:r>
        <w:rPr>
          <w:rFonts w:ascii="宋体" w:hAnsi="宋体" w:cs="宋体" w:eastAsia="宋体" w:hint="default"/>
          <w:spacing w:val="-5"/>
          <w:w w:val="100"/>
        </w:rPr>
        <w:t>[2010]1458</w:t>
      </w:r>
      <w:r>
        <w:rPr>
          <w:rFonts w:ascii="宋体" w:hAnsi="宋体" w:cs="宋体" w:eastAsia="宋体" w:hint="default"/>
          <w:spacing w:val="-45"/>
          <w:w w:val="100"/>
        </w:rPr>
        <w:t> </w:t>
      </w:r>
      <w:r>
        <w:rPr>
          <w:spacing w:val="-2"/>
          <w:w w:val="100"/>
        </w:rPr>
        <w:t>号文）及《关于核准豁免</w:t>
      </w:r>
      <w:r>
        <w:rPr>
          <w:spacing w:val="-86"/>
          <w:w w:val="100"/>
        </w:rPr>
        <w:t> </w:t>
      </w:r>
      <w:r>
        <w:rPr>
          <w:spacing w:val="-86"/>
          <w:w w:val="100"/>
        </w:rPr>
      </w:r>
      <w:r>
        <w:rPr>
          <w:spacing w:val="2"/>
        </w:rPr>
        <w:t>长城科技股份有限公司及一致行动人要约收购中国长城计算机深圳股份有限公司股份</w:t>
      </w:r>
      <w:r>
        <w:rPr>
          <w:spacing w:val="-39"/>
        </w:rPr>
        <w:t> </w:t>
      </w:r>
      <w:r>
        <w:rPr>
          <w:spacing w:val="-39"/>
        </w:rPr>
      </w:r>
      <w:r>
        <w:rPr>
          <w:spacing w:val="-6"/>
          <w:w w:val="100"/>
        </w:rPr>
        <w:t>义务的批复》（证监许可</w:t>
      </w:r>
      <w:r>
        <w:rPr>
          <w:rFonts w:ascii="宋体" w:hAnsi="宋体" w:cs="宋体" w:eastAsia="宋体" w:hint="default"/>
          <w:spacing w:val="-6"/>
          <w:w w:val="100"/>
        </w:rPr>
        <w:t>[2010]1459</w:t>
      </w:r>
      <w:r>
        <w:rPr>
          <w:rFonts w:ascii="宋体" w:hAnsi="宋体" w:cs="宋体" w:eastAsia="宋体" w:hint="default"/>
          <w:spacing w:val="-56"/>
          <w:w w:val="100"/>
        </w:rPr>
        <w:t> </w:t>
      </w:r>
      <w:r>
        <w:rPr>
          <w:spacing w:val="-1"/>
          <w:w w:val="100"/>
        </w:rPr>
        <w:t>号文）核准，本公司非公开发行</w:t>
      </w:r>
      <w:r>
        <w:rPr>
          <w:spacing w:val="-53"/>
          <w:w w:val="100"/>
        </w:rPr>
        <w:t> </w:t>
      </w:r>
      <w:r>
        <w:rPr>
          <w:rFonts w:ascii="宋体" w:hAnsi="宋体" w:cs="宋体" w:eastAsia="宋体" w:hint="default"/>
          <w:spacing w:val="-1"/>
          <w:w w:val="100"/>
        </w:rPr>
        <w:t>223,214,286</w:t>
      </w:r>
      <w:r>
        <w:rPr>
          <w:rFonts w:ascii="宋体" w:hAnsi="宋体" w:cs="宋体" w:eastAsia="宋体" w:hint="default"/>
          <w:spacing w:val="-53"/>
          <w:w w:val="100"/>
        </w:rPr>
        <w:t> </w:t>
      </w:r>
      <w:r>
        <w:rPr>
          <w:spacing w:val="-3"/>
          <w:w w:val="100"/>
        </w:rPr>
        <w:t>股人</w:t>
      </w:r>
      <w:r>
        <w:rPr>
          <w:spacing w:val="-105"/>
          <w:w w:val="100"/>
        </w:rPr>
        <w:t> </w:t>
      </w:r>
      <w:r>
        <w:rPr>
          <w:spacing w:val="-7"/>
        </w:rPr>
        <w:t>民币普通股，发行价格每股人民币</w:t>
      </w:r>
      <w:r>
        <w:rPr>
          <w:spacing w:val="-48"/>
        </w:rPr>
        <w:t> </w:t>
      </w:r>
      <w:r>
        <w:rPr>
          <w:rFonts w:ascii="宋体" w:hAnsi="宋体" w:cs="宋体" w:eastAsia="宋体" w:hint="default"/>
        </w:rPr>
        <w:t>4.48</w:t>
      </w:r>
      <w:r>
        <w:rPr>
          <w:rFonts w:ascii="宋体" w:hAnsi="宋体" w:cs="宋体" w:eastAsia="宋体" w:hint="default"/>
          <w:spacing w:val="-46"/>
        </w:rPr>
        <w:t> </w:t>
      </w:r>
      <w:r>
        <w:rPr>
          <w:spacing w:val="-9"/>
        </w:rPr>
        <w:t>元，募集资金总额人民币</w:t>
      </w:r>
      <w:r>
        <w:rPr>
          <w:spacing w:val="-46"/>
        </w:rPr>
        <w:t> </w:t>
      </w:r>
      <w:r>
        <w:rPr>
          <w:rFonts w:ascii="宋体" w:hAnsi="宋体" w:cs="宋体" w:eastAsia="宋体" w:hint="default"/>
        </w:rPr>
        <w:t>1,000,000,001.28</w:t>
      </w:r>
      <w:r>
        <w:rPr>
          <w:rFonts w:ascii="宋体" w:hAnsi="宋体" w:cs="宋体" w:eastAsia="宋体" w:hint="default"/>
          <w:spacing w:val="-48"/>
        </w:rPr>
        <w:t> </w:t>
      </w:r>
      <w:r>
        <w:rPr/>
        <w:t>元，</w:t>
      </w:r>
    </w:p>
    <w:p>
      <w:pPr>
        <w:pStyle w:val="Heading7"/>
        <w:spacing w:line="326" w:lineRule="auto" w:before="21"/>
        <w:ind w:left="240" w:right="0"/>
        <w:jc w:val="left"/>
      </w:pPr>
      <w:r>
        <w:rPr>
          <w:spacing w:val="6"/>
        </w:rPr>
        <w:t>扣除承销费、律师费等发行费用人民币</w:t>
      </w:r>
      <w:r>
        <w:rPr>
          <w:spacing w:val="47"/>
        </w:rPr>
        <w:t> </w:t>
      </w:r>
      <w:r>
        <w:rPr>
          <w:rFonts w:ascii="宋体" w:hAnsi="宋体" w:cs="宋体" w:eastAsia="宋体" w:hint="default"/>
        </w:rPr>
        <w:t>18,945,000.00</w:t>
      </w:r>
      <w:r>
        <w:rPr>
          <w:rFonts w:ascii="宋体" w:hAnsi="宋体" w:cs="宋体" w:eastAsia="宋体" w:hint="default"/>
          <w:spacing w:val="40"/>
        </w:rPr>
        <w:t> </w:t>
      </w:r>
      <w:r>
        <w:rPr>
          <w:spacing w:val="6"/>
        </w:rPr>
        <w:t>元，募集资金净额为人民币</w:t>
      </w:r>
      <w:r>
        <w:rPr>
          <w:spacing w:val="-106"/>
        </w:rPr>
        <w:t> </w:t>
      </w:r>
      <w:r>
        <w:rPr>
          <w:spacing w:val="-106"/>
        </w:rPr>
      </w:r>
      <w:r>
        <w:rPr>
          <w:rFonts w:ascii="宋体" w:hAnsi="宋体" w:cs="宋体" w:eastAsia="宋体" w:hint="default"/>
        </w:rPr>
        <w:t>981,055,001.28</w:t>
      </w:r>
      <w:r>
        <w:rPr>
          <w:rFonts w:ascii="宋体" w:hAnsi="宋体" w:cs="宋体" w:eastAsia="宋体" w:hint="default"/>
          <w:spacing w:val="38"/>
        </w:rPr>
        <w:t> </w:t>
      </w:r>
      <w:r>
        <w:rPr/>
        <w:t>元</w:t>
      </w:r>
      <w:r>
        <w:rPr>
          <w:spacing w:val="-75"/>
        </w:rPr>
        <w:t> </w:t>
      </w:r>
      <w:r>
        <w:rPr/>
        <w:t>，</w:t>
      </w:r>
      <w:r>
        <w:rPr>
          <w:spacing w:val="-77"/>
        </w:rPr>
        <w:t> </w:t>
      </w:r>
      <w:r>
        <w:rPr/>
        <w:t>其</w:t>
      </w:r>
      <w:r>
        <w:rPr>
          <w:spacing w:val="-76"/>
        </w:rPr>
        <w:t> </w:t>
      </w:r>
      <w:r>
        <w:rPr/>
        <w:t>中</w:t>
      </w:r>
      <w:r>
        <w:rPr>
          <w:spacing w:val="-75"/>
        </w:rPr>
        <w:t> </w:t>
      </w:r>
      <w:r>
        <w:rPr/>
        <w:t>增</w:t>
      </w:r>
      <w:r>
        <w:rPr>
          <w:spacing w:val="-75"/>
        </w:rPr>
        <w:t> </w:t>
      </w:r>
      <w:r>
        <w:rPr/>
        <w:t>加</w:t>
      </w:r>
      <w:r>
        <w:rPr>
          <w:spacing w:val="-77"/>
        </w:rPr>
        <w:t> </w:t>
      </w:r>
      <w:r>
        <w:rPr/>
        <w:t>股</w:t>
      </w:r>
      <w:r>
        <w:rPr>
          <w:spacing w:val="-75"/>
        </w:rPr>
        <w:t> </w:t>
      </w:r>
      <w:r>
        <w:rPr/>
        <w:t>本</w:t>
      </w:r>
      <w:r>
        <w:rPr>
          <w:spacing w:val="-75"/>
        </w:rPr>
        <w:t> </w:t>
      </w:r>
      <w:r>
        <w:rPr/>
        <w:t>人</w:t>
      </w:r>
      <w:r>
        <w:rPr>
          <w:spacing w:val="-77"/>
        </w:rPr>
        <w:t> </w:t>
      </w:r>
      <w:r>
        <w:rPr/>
        <w:t>民</w:t>
      </w:r>
      <w:r>
        <w:rPr>
          <w:spacing w:val="-75"/>
        </w:rPr>
        <w:t> </w:t>
      </w:r>
      <w:r>
        <w:rPr/>
        <w:t>币</w:t>
      </w:r>
      <w:r>
        <w:rPr>
          <w:spacing w:val="37"/>
        </w:rPr>
        <w:t> </w:t>
      </w:r>
      <w:r>
        <w:rPr>
          <w:rFonts w:ascii="宋体" w:hAnsi="宋体" w:cs="宋体" w:eastAsia="宋体" w:hint="default"/>
        </w:rPr>
        <w:t>223,214,286.00</w:t>
      </w:r>
      <w:r>
        <w:rPr>
          <w:rFonts w:ascii="宋体" w:hAnsi="宋体" w:cs="宋体" w:eastAsia="宋体" w:hint="default"/>
          <w:spacing w:val="36"/>
        </w:rPr>
        <w:t> </w:t>
      </w:r>
      <w:r>
        <w:rPr/>
        <w:t>元</w:t>
      </w:r>
      <w:r>
        <w:rPr>
          <w:spacing w:val="-75"/>
        </w:rPr>
        <w:t> </w:t>
      </w:r>
      <w:r>
        <w:rPr/>
        <w:t>，</w:t>
      </w:r>
      <w:r>
        <w:rPr>
          <w:spacing w:val="-75"/>
        </w:rPr>
        <w:t> </w:t>
      </w:r>
      <w:r>
        <w:rPr/>
        <w:t>增</w:t>
      </w:r>
      <w:r>
        <w:rPr>
          <w:spacing w:val="-77"/>
        </w:rPr>
        <w:t> </w:t>
      </w:r>
      <w:r>
        <w:rPr/>
        <w:t>加</w:t>
      </w:r>
      <w:r>
        <w:rPr>
          <w:spacing w:val="-75"/>
        </w:rPr>
        <w:t> </w:t>
      </w:r>
      <w:r>
        <w:rPr/>
        <w:t>资</w:t>
      </w:r>
      <w:r>
        <w:rPr>
          <w:spacing w:val="-75"/>
        </w:rPr>
        <w:t> </w:t>
      </w:r>
      <w:r>
        <w:rPr/>
        <w:t>本</w:t>
      </w:r>
      <w:r>
        <w:rPr>
          <w:spacing w:val="-77"/>
        </w:rPr>
        <w:t> </w:t>
      </w:r>
      <w:r>
        <w:rPr/>
        <w:t>公</w:t>
      </w:r>
      <w:r>
        <w:rPr>
          <w:spacing w:val="-75"/>
        </w:rPr>
        <w:t> </w:t>
      </w:r>
      <w:r>
        <w:rPr/>
        <w:t>积</w:t>
      </w:r>
    </w:p>
    <w:p>
      <w:pPr>
        <w:pStyle w:val="Heading7"/>
        <w:spacing w:line="240" w:lineRule="auto" w:before="22"/>
        <w:ind w:left="240" w:right="0"/>
        <w:jc w:val="left"/>
      </w:pPr>
      <w:r>
        <w:rPr>
          <w:rFonts w:ascii="宋体" w:hAnsi="宋体" w:cs="宋体" w:eastAsia="宋体" w:hint="default"/>
        </w:rPr>
        <w:t>757,840,715.28</w:t>
      </w:r>
      <w:r>
        <w:rPr>
          <w:rFonts w:ascii="宋体" w:hAnsi="宋体" w:cs="宋体" w:eastAsia="宋体" w:hint="default"/>
          <w:spacing w:val="-54"/>
        </w:rPr>
        <w:t> </w:t>
      </w:r>
      <w:r>
        <w:rPr/>
        <w:t>元。</w:t>
      </w:r>
    </w:p>
    <w:p>
      <w:pPr>
        <w:pStyle w:val="Heading7"/>
        <w:spacing w:line="324" w:lineRule="auto" w:before="180"/>
        <w:ind w:left="240" w:right="376" w:firstLine="439"/>
        <w:jc w:val="both"/>
      </w:pPr>
      <w:r>
        <w:rPr>
          <w:w w:val="100"/>
        </w:rPr>
        <w:t>截至</w:t>
      </w:r>
      <w:r>
        <w:rPr>
          <w:spacing w:val="-78"/>
          <w:w w:val="100"/>
        </w:rPr>
        <w:t> </w:t>
      </w:r>
      <w:r>
        <w:rPr>
          <w:rFonts w:ascii="宋体" w:hAnsi="宋体" w:cs="宋体" w:eastAsia="宋体" w:hint="default"/>
          <w:spacing w:val="-1"/>
          <w:w w:val="100"/>
        </w:rPr>
        <w:t>2015</w:t>
      </w:r>
      <w:r>
        <w:rPr>
          <w:rFonts w:ascii="宋体" w:hAnsi="宋体" w:cs="宋体" w:eastAsia="宋体" w:hint="default"/>
          <w:spacing w:val="-78"/>
          <w:w w:val="100"/>
        </w:rPr>
        <w:t> </w:t>
      </w:r>
      <w:r>
        <w:rPr>
          <w:w w:val="100"/>
        </w:rPr>
        <w:t>年</w:t>
      </w:r>
      <w:r>
        <w:rPr>
          <w:spacing w:val="-78"/>
          <w:w w:val="100"/>
        </w:rPr>
        <w:t> </w:t>
      </w:r>
      <w:r>
        <w:rPr>
          <w:rFonts w:ascii="宋体" w:hAnsi="宋体" w:cs="宋体" w:eastAsia="宋体" w:hint="default"/>
          <w:spacing w:val="-2"/>
          <w:w w:val="100"/>
        </w:rPr>
        <w:t>12</w:t>
      </w:r>
      <w:r>
        <w:rPr>
          <w:rFonts w:ascii="宋体" w:hAnsi="宋体" w:cs="宋体" w:eastAsia="宋体" w:hint="default"/>
          <w:spacing w:val="-78"/>
          <w:w w:val="100"/>
        </w:rPr>
        <w:t> </w:t>
      </w:r>
      <w:r>
        <w:rPr>
          <w:w w:val="100"/>
        </w:rPr>
        <w:t>月</w:t>
      </w:r>
      <w:r>
        <w:rPr>
          <w:spacing w:val="-80"/>
          <w:w w:val="100"/>
        </w:rPr>
        <w:t> </w:t>
      </w:r>
      <w:r>
        <w:rPr>
          <w:rFonts w:ascii="宋体" w:hAnsi="宋体" w:cs="宋体" w:eastAsia="宋体" w:hint="default"/>
          <w:w w:val="100"/>
        </w:rPr>
        <w:t>31</w:t>
      </w:r>
      <w:r>
        <w:rPr>
          <w:rFonts w:ascii="宋体" w:hAnsi="宋体" w:cs="宋体" w:eastAsia="宋体" w:hint="default"/>
          <w:spacing w:val="-78"/>
          <w:w w:val="100"/>
        </w:rPr>
        <w:t> </w:t>
      </w:r>
      <w:r>
        <w:rPr>
          <w:spacing w:val="-2"/>
          <w:w w:val="100"/>
        </w:rPr>
        <w:t>日本公司总股本为</w:t>
      </w:r>
      <w:r>
        <w:rPr>
          <w:spacing w:val="-78"/>
          <w:w w:val="100"/>
        </w:rPr>
        <w:t> </w:t>
      </w:r>
      <w:r>
        <w:rPr>
          <w:rFonts w:ascii="宋体" w:hAnsi="宋体" w:cs="宋体" w:eastAsia="宋体" w:hint="default"/>
          <w:spacing w:val="-1"/>
          <w:w w:val="100"/>
        </w:rPr>
        <w:t>132,359.39</w:t>
      </w:r>
      <w:r>
        <w:rPr>
          <w:rFonts w:ascii="宋体" w:hAnsi="宋体" w:cs="宋体" w:eastAsia="宋体" w:hint="default"/>
          <w:spacing w:val="-78"/>
          <w:w w:val="100"/>
        </w:rPr>
        <w:t> </w:t>
      </w:r>
      <w:r>
        <w:rPr>
          <w:spacing w:val="-11"/>
          <w:w w:val="100"/>
        </w:rPr>
        <w:t>万股，其中有限售条件股份</w:t>
      </w:r>
      <w:r>
        <w:rPr>
          <w:spacing w:val="-78"/>
          <w:w w:val="100"/>
        </w:rPr>
        <w:t> </w:t>
      </w:r>
      <w:r>
        <w:rPr>
          <w:rFonts w:ascii="宋体" w:hAnsi="宋体" w:cs="宋体" w:eastAsia="宋体" w:hint="default"/>
          <w:w w:val="100"/>
        </w:rPr>
        <w:t>2.38 </w:t>
      </w:r>
      <w:r>
        <w:rPr/>
        <w:t>万股，占总股本的</w:t>
      </w:r>
      <w:r>
        <w:rPr>
          <w:spacing w:val="-43"/>
        </w:rPr>
        <w:t> </w:t>
      </w:r>
      <w:r>
        <w:rPr>
          <w:rFonts w:ascii="宋体" w:hAnsi="宋体" w:cs="宋体" w:eastAsia="宋体" w:hint="default"/>
        </w:rPr>
        <w:t>0.002%</w:t>
      </w:r>
      <w:r>
        <w:rPr/>
        <w:t>；无限售条件股份</w:t>
      </w:r>
      <w:r>
        <w:rPr>
          <w:spacing w:val="-43"/>
        </w:rPr>
        <w:t> </w:t>
      </w:r>
      <w:r>
        <w:rPr>
          <w:rFonts w:ascii="宋体" w:hAnsi="宋体" w:cs="宋体" w:eastAsia="宋体" w:hint="default"/>
        </w:rPr>
        <w:t>132,357.01</w:t>
      </w:r>
      <w:r>
        <w:rPr>
          <w:rFonts w:ascii="宋体" w:hAnsi="宋体" w:cs="宋体" w:eastAsia="宋体" w:hint="default"/>
          <w:spacing w:val="-45"/>
        </w:rPr>
        <w:t> </w:t>
      </w:r>
      <w:r>
        <w:rPr/>
        <w:t>万股，占总股本的</w:t>
      </w:r>
      <w:r>
        <w:rPr>
          <w:spacing w:val="-42"/>
        </w:rPr>
        <w:t> </w:t>
      </w:r>
      <w:r>
        <w:rPr>
          <w:rFonts w:ascii="宋体" w:hAnsi="宋体" w:cs="宋体" w:eastAsia="宋体" w:hint="default"/>
        </w:rPr>
        <w:t>99.998%</w:t>
      </w:r>
      <w:r>
        <w:rPr/>
        <w:t>，</w:t>
      </w:r>
      <w:r>
        <w:rPr>
          <w:w w:val="100"/>
        </w:rPr>
        <w:t> </w:t>
      </w:r>
      <w:r>
        <w:rPr/>
        <w:t>股本结构如下：</w:t>
      </w:r>
    </w:p>
    <w:tbl>
      <w:tblPr>
        <w:tblW w:w="0" w:type="auto"/>
        <w:jc w:val="left"/>
        <w:tblInd w:w="103" w:type="dxa"/>
        <w:tblLayout w:type="fixed"/>
        <w:tblCellMar>
          <w:top w:w="0" w:type="dxa"/>
          <w:left w:w="0" w:type="dxa"/>
          <w:bottom w:w="0" w:type="dxa"/>
          <w:right w:w="0" w:type="dxa"/>
        </w:tblCellMar>
        <w:tblLook w:val="01E0"/>
      </w:tblPr>
      <w:tblGrid>
        <w:gridCol w:w="3860"/>
        <w:gridCol w:w="1664"/>
        <w:gridCol w:w="1663"/>
        <w:gridCol w:w="1352"/>
      </w:tblGrid>
      <w:tr>
        <w:trPr>
          <w:trHeight w:val="389" w:hRule="exact"/>
        </w:trPr>
        <w:tc>
          <w:tcPr>
            <w:tcW w:w="38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6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16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b/>
                <w:bCs/>
                <w:sz w:val="18"/>
                <w:szCs w:val="18"/>
              </w:rPr>
              <w:t>投入资本额</w:t>
            </w:r>
            <w:r>
              <w:rPr>
                <w:rFonts w:ascii="宋体" w:hAnsi="宋体" w:cs="宋体" w:eastAsia="宋体" w:hint="default"/>
                <w:sz w:val="18"/>
                <w:szCs w:val="18"/>
              </w:rPr>
            </w:r>
          </w:p>
        </w:tc>
        <w:tc>
          <w:tcPr>
            <w:tcW w:w="13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b/>
                <w:bCs/>
                <w:sz w:val="18"/>
                <w:szCs w:val="18"/>
              </w:rPr>
              <w:t>投资比例</w:t>
            </w:r>
            <w:r>
              <w:rPr>
                <w:rFonts w:ascii="宋体" w:hAnsi="宋体" w:cs="宋体" w:eastAsia="宋体" w:hint="default"/>
                <w:sz w:val="18"/>
                <w:szCs w:val="18"/>
              </w:rPr>
            </w:r>
          </w:p>
        </w:tc>
      </w:tr>
      <w:tr>
        <w:trPr>
          <w:trHeight w:val="382"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713,647,921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713,647,921</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53.92%</w:t>
            </w:r>
          </w:p>
        </w:tc>
      </w:tr>
      <w:tr>
        <w:trPr>
          <w:trHeight w:val="379"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境内自然人持股（高管持股）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31,680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31,680</w:t>
            </w:r>
          </w:p>
        </w:tc>
        <w:tc>
          <w:tcPr>
            <w:tcW w:w="1352"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其中：周庚申（董事兼总裁）</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31,680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31,680</w:t>
            </w:r>
          </w:p>
        </w:tc>
        <w:tc>
          <w:tcPr>
            <w:tcW w:w="1352"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社会公众普通股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609,914,285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609,914,285</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46.08%</w:t>
            </w:r>
          </w:p>
        </w:tc>
      </w:tr>
      <w:tr>
        <w:trPr>
          <w:trHeight w:val="392" w:hRule="exact"/>
        </w:trPr>
        <w:tc>
          <w:tcPr>
            <w:tcW w:w="38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1,323,593,886</w:t>
            </w:r>
            <w:r>
              <w:rPr>
                <w:rFonts w:ascii="宋体"/>
                <w:sz w:val="18"/>
              </w:rPr>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1,323,593,886</w:t>
            </w:r>
            <w:r>
              <w:rPr>
                <w:rFonts w:ascii="宋体"/>
                <w:sz w:val="18"/>
              </w:rPr>
            </w:r>
          </w:p>
        </w:tc>
        <w:tc>
          <w:tcPr>
            <w:tcW w:w="13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5"/>
        <w:rPr>
          <w:rFonts w:ascii="宋体" w:hAnsi="宋体" w:cs="宋体" w:eastAsia="宋体" w:hint="default"/>
          <w:sz w:val="5"/>
          <w:szCs w:val="5"/>
        </w:rPr>
      </w:pPr>
    </w:p>
    <w:p>
      <w:pPr>
        <w:pStyle w:val="Heading7"/>
        <w:spacing w:line="326" w:lineRule="auto"/>
        <w:ind w:left="240" w:right="0" w:firstLine="439"/>
        <w:jc w:val="left"/>
      </w:pPr>
      <w:r>
        <w:rPr>
          <w:spacing w:val="-3"/>
        </w:rPr>
        <w:t>本集团属计算机及相关设备制造业，其经营范围为：电子计算机硬件、软件系统及</w:t>
      </w:r>
      <w:r>
        <w:rPr>
          <w:w w:val="100"/>
        </w:rPr>
        <w:t> </w:t>
      </w:r>
      <w:r>
        <w:rPr>
          <w:spacing w:val="-6"/>
        </w:rPr>
        <w:t>网络系统、电子产品、液晶电视、等离子电视、电话机、移动通讯及无线电话机（手机）</w:t>
      </w:r>
      <w:r>
        <w:rPr>
          <w:spacing w:val="-45"/>
        </w:rPr>
        <w:t> </w:t>
      </w:r>
      <w:r>
        <w:rPr>
          <w:spacing w:val="-45"/>
        </w:rPr>
      </w:r>
      <w:r>
        <w:rPr>
          <w:spacing w:val="-3"/>
        </w:rPr>
        <w:t>的技术开发、生产销售及售后服务，并提供相关的技术和咨询服务；投资兴办实业（具</w:t>
      </w:r>
      <w:r>
        <w:rPr>
          <w:spacing w:val="-51"/>
        </w:rPr>
        <w:t> </w:t>
      </w:r>
      <w:r>
        <w:rPr>
          <w:spacing w:val="-51"/>
        </w:rPr>
      </w:r>
      <w:r>
        <w:rPr>
          <w:spacing w:val="-8"/>
          <w:w w:val="100"/>
        </w:rPr>
        <w:t>体项目另行申报）；国内商业、物资供销业（不含专营、专卖、专控商品）；自营进出口</w:t>
      </w:r>
      <w:r>
        <w:rPr>
          <w:spacing w:val="-108"/>
          <w:w w:val="100"/>
        </w:rPr>
        <w:t> </w:t>
      </w:r>
      <w:r>
        <w:rPr>
          <w:spacing w:val="-108"/>
          <w:w w:val="100"/>
        </w:rPr>
      </w:r>
      <w:r>
        <w:rPr>
          <w:spacing w:val="-3"/>
          <w:w w:val="100"/>
        </w:rPr>
        <w:t>业务（具体按深贸营登证字第</w:t>
      </w:r>
      <w:r>
        <w:rPr>
          <w:spacing w:val="-49"/>
          <w:w w:val="100"/>
        </w:rPr>
        <w:t> </w:t>
      </w:r>
      <w:r>
        <w:rPr>
          <w:rFonts w:ascii="宋体" w:hAnsi="宋体" w:cs="宋体" w:eastAsia="宋体" w:hint="default"/>
          <w:w w:val="100"/>
        </w:rPr>
        <w:t>49</w:t>
      </w:r>
      <w:r>
        <w:rPr>
          <w:rFonts w:ascii="宋体" w:hAnsi="宋体" w:cs="宋体" w:eastAsia="宋体" w:hint="default"/>
          <w:spacing w:val="-49"/>
          <w:w w:val="100"/>
        </w:rPr>
        <w:t> </w:t>
      </w:r>
      <w:r>
        <w:rPr>
          <w:spacing w:val="-8"/>
          <w:w w:val="100"/>
        </w:rPr>
        <w:t>号文执行）；经营自行开发的软件及电子出版物；零售</w:t>
      </w:r>
      <w:r>
        <w:rPr>
          <w:spacing w:val="-95"/>
          <w:w w:val="100"/>
        </w:rPr>
        <w:t> </w:t>
      </w:r>
      <w:r>
        <w:rPr>
          <w:spacing w:val="-95"/>
          <w:w w:val="100"/>
        </w:rPr>
      </w:r>
      <w:r>
        <w:rPr/>
        <w:t>各类软件及电子出版物；房屋、设备及固定资产租赁、物业管理及相关服务业务。</w:t>
      </w:r>
    </w:p>
    <w:p>
      <w:pPr>
        <w:pStyle w:val="Heading7"/>
        <w:spacing w:line="326" w:lineRule="auto" w:before="101"/>
        <w:ind w:left="240" w:right="322" w:firstLine="439"/>
        <w:jc w:val="both"/>
      </w:pPr>
      <w:r>
        <w:rPr>
          <w:spacing w:val="-3"/>
          <w:w w:val="100"/>
        </w:rPr>
        <w:t>本公司的母公司为长城科技股份有限公司（以下简称长城科技），最终控制人为中</w:t>
      </w:r>
      <w:r>
        <w:rPr>
          <w:w w:val="100"/>
        </w:rPr>
        <w:t> </w:t>
      </w:r>
      <w:r>
        <w:rPr>
          <w:spacing w:val="-3"/>
          <w:w w:val="100"/>
        </w:rPr>
        <w:t>国电子信息产业集团有限公司（以下简称</w:t>
      </w:r>
      <w:r>
        <w:rPr>
          <w:spacing w:val="-48"/>
          <w:w w:val="100"/>
        </w:rPr>
        <w:t> </w:t>
      </w:r>
      <w:r>
        <w:rPr>
          <w:rFonts w:ascii="宋体" w:hAnsi="宋体" w:cs="宋体" w:eastAsia="宋体" w:hint="default"/>
          <w:spacing w:val="-10"/>
          <w:w w:val="100"/>
        </w:rPr>
        <w:t>CEC</w:t>
      </w:r>
      <w:r>
        <w:rPr>
          <w:spacing w:val="-10"/>
          <w:w w:val="100"/>
        </w:rPr>
        <w:t>）。股东大会是本公司的权力机构，依法行</w:t>
      </w:r>
      <w:r>
        <w:rPr>
          <w:spacing w:val="-101"/>
          <w:w w:val="100"/>
        </w:rPr>
        <w:t> </w:t>
      </w:r>
      <w:r>
        <w:rPr>
          <w:spacing w:val="-101"/>
          <w:w w:val="100"/>
        </w:rPr>
      </w:r>
      <w:r>
        <w:rPr>
          <w:spacing w:val="-1"/>
        </w:rPr>
        <w:t>使公司经营方针、筹资、投资、利润分配等重大事项决议权；董事会对股东大会负责，</w:t>
      </w:r>
      <w:r>
        <w:rPr>
          <w:spacing w:val="-78"/>
        </w:rPr>
        <w:t> </w:t>
      </w:r>
      <w:r>
        <w:rPr>
          <w:spacing w:val="-78"/>
        </w:rPr>
      </w:r>
      <w:r>
        <w:rPr>
          <w:spacing w:val="-3"/>
        </w:rPr>
        <w:t>依法行使公司的经营决策权；经理层负责组织实施股东大会、董事会决议事项，主持企</w:t>
      </w:r>
      <w:r>
        <w:rPr>
          <w:spacing w:val="-56"/>
        </w:rPr>
        <w:t> </w:t>
      </w:r>
      <w:r>
        <w:rPr>
          <w:spacing w:val="-56"/>
        </w:rPr>
      </w:r>
      <w:r>
        <w:rPr/>
        <w:t>业的生产经营管理工作。</w:t>
      </w:r>
    </w:p>
    <w:p>
      <w:pPr>
        <w:pStyle w:val="Heading7"/>
        <w:spacing w:line="326" w:lineRule="auto" w:before="101"/>
        <w:ind w:left="240" w:right="0" w:firstLine="439"/>
        <w:jc w:val="left"/>
      </w:pPr>
      <w:r>
        <w:rPr>
          <w:spacing w:val="-6"/>
        </w:rPr>
        <w:t>本公司的职能管理部门包括：人力资源部、办公室、规划企管部、投资部、财务部、</w:t>
      </w:r>
      <w:r>
        <w:rPr>
          <w:w w:val="100"/>
        </w:rPr>
        <w:t> </w:t>
      </w:r>
      <w:r>
        <w:rPr/>
        <w:t>审计监察室等。</w:t>
      </w:r>
    </w:p>
    <w:p>
      <w:pPr>
        <w:spacing w:after="0" w:line="326" w:lineRule="auto"/>
        <w:jc w:val="left"/>
        <w:sectPr>
          <w:pgSz w:w="11910" w:h="16840"/>
          <w:pgMar w:header="881" w:footer="980" w:top="1600" w:bottom="1160" w:left="1560" w:right="1420"/>
        </w:sectPr>
      </w:pPr>
    </w:p>
    <w:p>
      <w:pPr>
        <w:spacing w:line="240" w:lineRule="auto" w:before="3"/>
        <w:rPr>
          <w:rFonts w:ascii="宋体" w:hAnsi="宋体" w:cs="宋体" w:eastAsia="宋体" w:hint="default"/>
          <w:sz w:val="3"/>
          <w:szCs w:val="3"/>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422" w:lineRule="auto" w:before="22"/>
        <w:ind w:left="799" w:right="36" w:firstLine="2"/>
        <w:jc w:val="left"/>
        <w:rPr>
          <w:rFonts w:ascii="宋体" w:hAnsi="宋体" w:cs="宋体" w:eastAsia="宋体" w:hint="default"/>
          <w:sz w:val="22"/>
          <w:szCs w:val="22"/>
        </w:rPr>
      </w:pPr>
      <w:r>
        <w:rPr>
          <w:rFonts w:ascii="宋体" w:hAnsi="宋体" w:cs="宋体" w:eastAsia="宋体" w:hint="default"/>
          <w:b/>
          <w:bCs/>
          <w:sz w:val="22"/>
          <w:szCs w:val="22"/>
        </w:rPr>
        <w:t>二、合并财务报表范围</w:t>
      </w:r>
      <w:r>
        <w:rPr>
          <w:rFonts w:ascii="宋体" w:hAnsi="宋体" w:cs="宋体" w:eastAsia="宋体" w:hint="default"/>
          <w:b/>
          <w:bCs/>
          <w:w w:val="99"/>
          <w:sz w:val="22"/>
          <w:szCs w:val="22"/>
        </w:rPr>
        <w:t> </w:t>
      </w:r>
      <w:r>
        <w:rPr>
          <w:rFonts w:ascii="宋体" w:hAnsi="宋体" w:cs="宋体" w:eastAsia="宋体" w:hint="default"/>
          <w:spacing w:val="-6"/>
          <w:w w:val="100"/>
          <w:sz w:val="22"/>
          <w:szCs w:val="22"/>
        </w:rPr>
        <w:t>1</w:t>
      </w:r>
      <w:r>
        <w:rPr>
          <w:rFonts w:ascii="宋体" w:hAnsi="宋体" w:cs="宋体" w:eastAsia="宋体" w:hint="default"/>
          <w:spacing w:val="-6"/>
          <w:w w:val="100"/>
          <w:sz w:val="22"/>
          <w:szCs w:val="22"/>
        </w:rPr>
        <w:t>、本集团合并财务报表范围包括冠捷科技有限公司（含下属子公司）（以下简称冠</w:t>
      </w:r>
    </w:p>
    <w:p>
      <w:pPr>
        <w:pStyle w:val="Heading7"/>
        <w:spacing w:line="224" w:lineRule="exact" w:before="0"/>
        <w:ind w:left="360" w:right="0"/>
        <w:jc w:val="both"/>
      </w:pPr>
      <w:r>
        <w:rPr>
          <w:w w:val="100"/>
        </w:rPr>
        <w:t>捷科技</w:t>
      </w:r>
      <w:r>
        <w:rPr>
          <w:spacing w:val="-111"/>
          <w:w w:val="100"/>
        </w:rPr>
        <w:t>）</w:t>
      </w:r>
      <w:r>
        <w:rPr>
          <w:spacing w:val="-34"/>
          <w:w w:val="100"/>
        </w:rPr>
        <w:t>、</w:t>
      </w:r>
      <w:r>
        <w:rPr>
          <w:spacing w:val="-3"/>
          <w:w w:val="100"/>
        </w:rPr>
        <w:t>中</w:t>
      </w:r>
      <w:r>
        <w:rPr>
          <w:w w:val="100"/>
        </w:rPr>
        <w:t>国长</w:t>
      </w:r>
      <w:r>
        <w:rPr>
          <w:spacing w:val="-3"/>
          <w:w w:val="100"/>
        </w:rPr>
        <w:t>城</w:t>
      </w:r>
      <w:r>
        <w:rPr>
          <w:w w:val="100"/>
        </w:rPr>
        <w:t>计</w:t>
      </w:r>
      <w:r>
        <w:rPr>
          <w:spacing w:val="-3"/>
          <w:w w:val="100"/>
        </w:rPr>
        <w:t>算</w:t>
      </w:r>
      <w:r>
        <w:rPr>
          <w:spacing w:val="-34"/>
          <w:w w:val="100"/>
        </w:rPr>
        <w:t>机</w:t>
      </w:r>
      <w:r>
        <w:rPr>
          <w:w w:val="100"/>
        </w:rPr>
        <w:t>（香港</w:t>
      </w:r>
      <w:r>
        <w:rPr>
          <w:spacing w:val="-34"/>
          <w:w w:val="100"/>
        </w:rPr>
        <w:t>）</w:t>
      </w:r>
      <w:r>
        <w:rPr>
          <w:spacing w:val="-3"/>
          <w:w w:val="100"/>
        </w:rPr>
        <w:t>控</w:t>
      </w:r>
      <w:r>
        <w:rPr>
          <w:w w:val="100"/>
        </w:rPr>
        <w:t>股有</w:t>
      </w:r>
      <w:r>
        <w:rPr>
          <w:spacing w:val="-3"/>
          <w:w w:val="100"/>
        </w:rPr>
        <w:t>限</w:t>
      </w:r>
      <w:r>
        <w:rPr>
          <w:w w:val="100"/>
        </w:rPr>
        <w:t>公</w:t>
      </w:r>
      <w:r>
        <w:rPr>
          <w:spacing w:val="-36"/>
          <w:w w:val="100"/>
        </w:rPr>
        <w:t>司</w:t>
      </w:r>
      <w:r>
        <w:rPr>
          <w:w w:val="100"/>
        </w:rPr>
        <w:t>（含下属</w:t>
      </w:r>
      <w:r>
        <w:rPr>
          <w:spacing w:val="-3"/>
          <w:w w:val="100"/>
        </w:rPr>
        <w:t>子</w:t>
      </w:r>
      <w:r>
        <w:rPr>
          <w:w w:val="100"/>
        </w:rPr>
        <w:t>公司</w:t>
      </w:r>
      <w:r>
        <w:rPr>
          <w:spacing w:val="-144"/>
          <w:w w:val="100"/>
        </w:rPr>
        <w:t>）</w:t>
      </w:r>
      <w:r>
        <w:rPr>
          <w:w w:val="100"/>
        </w:rPr>
        <w:t>（</w:t>
      </w:r>
      <w:r>
        <w:rPr>
          <w:spacing w:val="-3"/>
          <w:w w:val="100"/>
        </w:rPr>
        <w:t>以下</w:t>
      </w:r>
      <w:r>
        <w:rPr>
          <w:w w:val="100"/>
        </w:rPr>
        <w:t>简称长</w:t>
      </w:r>
      <w:r>
        <w:rPr>
          <w:spacing w:val="-3"/>
          <w:w w:val="100"/>
        </w:rPr>
        <w:t>城</w:t>
      </w:r>
      <w:r>
        <w:rPr>
          <w:w w:val="100"/>
        </w:rPr>
        <w:t>香港）</w:t>
      </w:r>
    </w:p>
    <w:p>
      <w:pPr>
        <w:pStyle w:val="Heading7"/>
        <w:spacing w:line="324" w:lineRule="auto" w:before="101"/>
        <w:ind w:left="360" w:right="374"/>
        <w:jc w:val="both"/>
      </w:pPr>
      <w:r>
        <w:rPr/>
        <w:t>等</w:t>
      </w:r>
      <w:r>
        <w:rPr>
          <w:spacing w:val="-34"/>
        </w:rPr>
        <w:t> </w:t>
      </w:r>
      <w:r>
        <w:rPr>
          <w:rFonts w:ascii="宋体" w:hAnsi="宋体" w:cs="宋体" w:eastAsia="宋体" w:hint="default"/>
        </w:rPr>
        <w:t>7</w:t>
      </w:r>
      <w:r>
        <w:rPr>
          <w:rFonts w:ascii="宋体" w:hAnsi="宋体" w:cs="宋体" w:eastAsia="宋体" w:hint="default"/>
          <w:spacing w:val="-34"/>
        </w:rPr>
        <w:t> </w:t>
      </w:r>
      <w:r>
        <w:rPr>
          <w:spacing w:val="-3"/>
        </w:rPr>
        <w:t>家公司。与上年相比，本年新设立湖南长城计算机系统有限公司（以下简称湖南长</w:t>
      </w:r>
      <w:r>
        <w:rPr>
          <w:spacing w:val="-105"/>
        </w:rPr>
        <w:t> </w:t>
      </w:r>
      <w:r>
        <w:rPr>
          <w:spacing w:val="-105"/>
        </w:rPr>
      </w:r>
      <w:r>
        <w:rPr>
          <w:spacing w:val="-3"/>
          <w:w w:val="100"/>
        </w:rPr>
        <w:t>城），子公司深圳中电长城能源有限公司（以下简称中电长城能源）本年注册成立子公</w:t>
      </w:r>
      <w:r>
        <w:rPr>
          <w:spacing w:val="-84"/>
          <w:w w:val="100"/>
        </w:rPr>
        <w:t> </w:t>
      </w:r>
      <w:r>
        <w:rPr>
          <w:spacing w:val="-84"/>
          <w:w w:val="100"/>
        </w:rPr>
      </w:r>
      <w:r>
        <w:rPr/>
        <w:t>司江西分宜中长电力有限公司。</w:t>
      </w:r>
    </w:p>
    <w:p>
      <w:pPr>
        <w:pStyle w:val="Heading7"/>
        <w:spacing w:line="324" w:lineRule="auto" w:before="103"/>
        <w:ind w:left="360" w:right="371" w:firstLine="439"/>
        <w:jc w:val="both"/>
      </w:pPr>
      <w:r>
        <w:rPr>
          <w:spacing w:val="-3"/>
        </w:rPr>
        <w:t>本年子公司冠捷科技因同一控制下企业合并增加深圳桑菲消费通信有限公司（以下</w:t>
      </w:r>
      <w:r>
        <w:rPr>
          <w:w w:val="100"/>
        </w:rPr>
        <w:t> </w:t>
      </w:r>
      <w:r>
        <w:rPr>
          <w:spacing w:val="-8"/>
          <w:w w:val="100"/>
        </w:rPr>
        <w:t>简称桑菲通信）、因丧失控股权减少</w:t>
      </w:r>
      <w:r>
        <w:rPr>
          <w:spacing w:val="-52"/>
          <w:w w:val="100"/>
        </w:rPr>
        <w:t> </w:t>
      </w:r>
      <w:r>
        <w:rPr>
          <w:rFonts w:ascii="宋体" w:hAnsi="宋体" w:cs="宋体" w:eastAsia="宋体" w:hint="default"/>
          <w:spacing w:val="-1"/>
          <w:w w:val="100"/>
        </w:rPr>
        <w:t>TPV-INVENTA</w:t>
      </w:r>
      <w:r>
        <w:rPr>
          <w:rFonts w:ascii="宋体" w:hAnsi="宋体" w:cs="宋体" w:eastAsia="宋体" w:hint="default"/>
          <w:spacing w:val="-52"/>
          <w:w w:val="100"/>
        </w:rPr>
        <w:t> </w:t>
      </w:r>
      <w:r>
        <w:rPr>
          <w:rFonts w:ascii="宋体" w:hAnsi="宋体" w:cs="宋体" w:eastAsia="宋体" w:hint="default"/>
          <w:w w:val="100"/>
        </w:rPr>
        <w:t>Holding</w:t>
      </w:r>
      <w:r>
        <w:rPr>
          <w:rFonts w:ascii="宋体" w:hAnsi="宋体" w:cs="宋体" w:eastAsia="宋体" w:hint="default"/>
          <w:spacing w:val="-52"/>
          <w:w w:val="100"/>
        </w:rPr>
        <w:t> </w:t>
      </w:r>
      <w:r>
        <w:rPr>
          <w:rFonts w:ascii="宋体" w:hAnsi="宋体" w:cs="宋体" w:eastAsia="宋体" w:hint="default"/>
          <w:spacing w:val="-1"/>
          <w:w w:val="100"/>
        </w:rPr>
        <w:t>Limited</w:t>
      </w:r>
      <w:r>
        <w:rPr>
          <w:spacing w:val="-1"/>
          <w:w w:val="100"/>
        </w:rPr>
        <w:t>（英冠达控股有限公</w:t>
      </w:r>
      <w:r>
        <w:rPr>
          <w:w w:val="100"/>
        </w:rPr>
        <w:t> </w:t>
      </w:r>
      <w:r>
        <w:rPr>
          <w:spacing w:val="-11"/>
          <w:w w:val="100"/>
        </w:rPr>
        <w:t>司，以下简称英冠达）。</w:t>
      </w:r>
    </w:p>
    <w:p>
      <w:pPr>
        <w:pStyle w:val="Heading7"/>
        <w:spacing w:line="391" w:lineRule="auto" w:before="103"/>
        <w:ind w:left="799" w:right="1603"/>
        <w:jc w:val="left"/>
      </w:pPr>
      <w:r>
        <w:rPr>
          <w:spacing w:val="-2"/>
        </w:rPr>
        <w:t>详见本附注“八、在其他主体中的权益”相关内容。</w:t>
      </w:r>
      <w:r>
        <w:rPr>
          <w:spacing w:val="-70"/>
        </w:rPr>
        <w:t> </w:t>
      </w:r>
      <w:r>
        <w:rPr>
          <w:spacing w:val="-70"/>
        </w:rPr>
      </w:r>
      <w:r>
        <w:rPr>
          <w:rFonts w:ascii="宋体" w:hAnsi="宋体" w:cs="宋体" w:eastAsia="宋体" w:hint="default"/>
        </w:rPr>
        <w:t>2</w:t>
      </w:r>
      <w:r>
        <w:rPr/>
        <w:t>、外币报表折算</w:t>
      </w:r>
    </w:p>
    <w:p>
      <w:pPr>
        <w:pStyle w:val="Heading7"/>
        <w:spacing w:line="240" w:lineRule="auto" w:before="41"/>
        <w:ind w:left="799" w:right="36"/>
        <w:jc w:val="left"/>
      </w:pPr>
      <w:r>
        <w:rPr/>
        <w:t>本集团本年有 </w:t>
      </w:r>
      <w:r>
        <w:rPr>
          <w:rFonts w:ascii="宋体" w:hAnsi="宋体" w:cs="宋体" w:eastAsia="宋体" w:hint="default"/>
        </w:rPr>
        <w:t>2</w:t>
      </w:r>
      <w:r>
        <w:rPr>
          <w:rFonts w:ascii="宋体" w:hAnsi="宋体" w:cs="宋体" w:eastAsia="宋体" w:hint="default"/>
          <w:spacing w:val="-85"/>
        </w:rPr>
        <w:t> </w:t>
      </w:r>
      <w:r>
        <w:rPr>
          <w:spacing w:val="-3"/>
        </w:rPr>
        <w:t>家二级境外经营子公司长城香港和冠捷科技，按照《企业会计准则</w:t>
      </w:r>
    </w:p>
    <w:p>
      <w:pPr>
        <w:pStyle w:val="Heading7"/>
        <w:spacing w:line="240" w:lineRule="auto" w:before="103"/>
        <w:ind w:left="360" w:right="0"/>
        <w:jc w:val="both"/>
      </w:pPr>
      <w:r>
        <w:rPr/>
        <w:t>第</w:t>
      </w:r>
      <w:r>
        <w:rPr>
          <w:spacing w:val="-58"/>
        </w:rPr>
        <w:t> </w:t>
      </w:r>
      <w:r>
        <w:rPr>
          <w:rFonts w:ascii="宋体" w:hAnsi="宋体" w:cs="宋体" w:eastAsia="宋体" w:hint="default"/>
        </w:rPr>
        <w:t>19</w:t>
      </w:r>
      <w:r>
        <w:rPr>
          <w:rFonts w:ascii="宋体" w:hAnsi="宋体" w:cs="宋体" w:eastAsia="宋体" w:hint="default"/>
          <w:spacing w:val="-58"/>
        </w:rPr>
        <w:t> </w:t>
      </w:r>
      <w:r>
        <w:rPr/>
        <w:t>号</w:t>
      </w:r>
      <w:r>
        <w:rPr>
          <w:rFonts w:ascii="宋体" w:hAnsi="宋体" w:cs="宋体" w:eastAsia="宋体" w:hint="default"/>
        </w:rPr>
        <w:t>-</w:t>
      </w:r>
      <w:r>
        <w:rPr/>
        <w:t>外币折算》规定对境外经营子公司外币报表进行了折算，折算汇率选择如下：</w:t>
      </w:r>
    </w:p>
    <w:p>
      <w:pPr>
        <w:spacing w:line="240" w:lineRule="auto" w:before="6"/>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757"/>
        <w:gridCol w:w="1729"/>
        <w:gridCol w:w="2062"/>
        <w:gridCol w:w="1589"/>
        <w:gridCol w:w="1618"/>
      </w:tblGrid>
      <w:tr>
        <w:trPr>
          <w:trHeight w:val="487" w:hRule="exact"/>
        </w:trPr>
        <w:tc>
          <w:tcPr>
            <w:tcW w:w="17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b/>
                <w:bCs/>
                <w:sz w:val="18"/>
                <w:szCs w:val="18"/>
              </w:rPr>
              <w:t>境外经营子公司</w:t>
            </w:r>
            <w:r>
              <w:rPr>
                <w:rFonts w:ascii="宋体" w:hAnsi="宋体" w:cs="宋体" w:eastAsia="宋体" w:hint="default"/>
                <w:sz w:val="18"/>
                <w:szCs w:val="18"/>
              </w:rPr>
            </w:r>
          </w:p>
        </w:tc>
        <w:tc>
          <w:tcPr>
            <w:tcW w:w="17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225" w:right="0"/>
              <w:jc w:val="left"/>
              <w:rPr>
                <w:rFonts w:ascii="宋体" w:hAnsi="宋体" w:cs="宋体" w:eastAsia="宋体" w:hint="default"/>
                <w:sz w:val="18"/>
                <w:szCs w:val="18"/>
              </w:rPr>
            </w:pPr>
            <w:r>
              <w:rPr>
                <w:rFonts w:ascii="宋体" w:hAnsi="宋体" w:cs="宋体" w:eastAsia="宋体" w:hint="default"/>
                <w:b/>
                <w:bCs/>
                <w:sz w:val="18"/>
                <w:szCs w:val="18"/>
              </w:rPr>
              <w:t>资产、负债项目</w:t>
            </w:r>
            <w:r>
              <w:rPr>
                <w:rFonts w:ascii="宋体" w:hAnsi="宋体" w:cs="宋体" w:eastAsia="宋体" w:hint="default"/>
                <w:sz w:val="18"/>
                <w:szCs w:val="18"/>
              </w:rPr>
            </w:r>
          </w:p>
        </w:tc>
        <w:tc>
          <w:tcPr>
            <w:tcW w:w="206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除“未分配利润”外</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所有者权益项目</w:t>
            </w:r>
            <w:r>
              <w:rPr>
                <w:rFonts w:ascii="宋体" w:hAnsi="宋体" w:cs="宋体" w:eastAsia="宋体" w:hint="default"/>
                <w:sz w:val="18"/>
                <w:szCs w:val="18"/>
              </w:rPr>
            </w:r>
          </w:p>
        </w:tc>
        <w:tc>
          <w:tcPr>
            <w:tcW w:w="15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156"/>
              <w:jc w:val="right"/>
              <w:rPr>
                <w:rFonts w:ascii="宋体" w:hAnsi="宋体" w:cs="宋体" w:eastAsia="宋体" w:hint="default"/>
                <w:sz w:val="18"/>
                <w:szCs w:val="18"/>
              </w:rPr>
            </w:pPr>
            <w:r>
              <w:rPr>
                <w:rFonts w:ascii="宋体" w:hAnsi="宋体" w:cs="宋体" w:eastAsia="宋体" w:hint="default"/>
                <w:b/>
                <w:bCs/>
                <w:w w:val="95"/>
                <w:sz w:val="18"/>
                <w:szCs w:val="18"/>
              </w:rPr>
              <w:t>收入、费用项目</w:t>
            </w:r>
            <w:r>
              <w:rPr>
                <w:rFonts w:ascii="宋体" w:hAnsi="宋体" w:cs="宋体" w:eastAsia="宋体" w:hint="default"/>
                <w:sz w:val="18"/>
                <w:szCs w:val="18"/>
              </w:rPr>
            </w:r>
          </w:p>
        </w:tc>
        <w:tc>
          <w:tcPr>
            <w:tcW w:w="1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170" w:right="0"/>
              <w:jc w:val="left"/>
              <w:rPr>
                <w:rFonts w:ascii="宋体" w:hAnsi="宋体" w:cs="宋体" w:eastAsia="宋体" w:hint="default"/>
                <w:sz w:val="18"/>
                <w:szCs w:val="18"/>
              </w:rPr>
            </w:pPr>
            <w:r>
              <w:rPr>
                <w:rFonts w:ascii="宋体" w:hAnsi="宋体" w:cs="宋体" w:eastAsia="宋体" w:hint="default"/>
                <w:b/>
                <w:bCs/>
                <w:sz w:val="18"/>
                <w:szCs w:val="18"/>
              </w:rPr>
              <w:t>现金流量表项目</w:t>
            </w:r>
            <w:r>
              <w:rPr>
                <w:rFonts w:ascii="宋体" w:hAnsi="宋体" w:cs="宋体" w:eastAsia="宋体" w:hint="default"/>
                <w:sz w:val="18"/>
                <w:szCs w:val="18"/>
              </w:rPr>
            </w:r>
          </w:p>
        </w:tc>
      </w:tr>
      <w:tr>
        <w:trPr>
          <w:trHeight w:val="298" w:hRule="exact"/>
        </w:trPr>
        <w:tc>
          <w:tcPr>
            <w:tcW w:w="175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长城香港</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0.83778</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发生时的即期汇率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0.80387</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z w:val="18"/>
              </w:rPr>
              <w:t>0.80387</w:t>
            </w:r>
          </w:p>
        </w:tc>
      </w:tr>
      <w:tr>
        <w:trPr>
          <w:trHeight w:val="310" w:hRule="exact"/>
        </w:trPr>
        <w:tc>
          <w:tcPr>
            <w:tcW w:w="17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left="19" w:right="0"/>
              <w:jc w:val="center"/>
              <w:rPr>
                <w:rFonts w:ascii="宋体" w:hAnsi="宋体" w:cs="宋体" w:eastAsia="宋体" w:hint="default"/>
                <w:sz w:val="18"/>
                <w:szCs w:val="18"/>
              </w:rPr>
            </w:pPr>
            <w:r>
              <w:rPr>
                <w:rFonts w:ascii="宋体" w:hAnsi="宋体" w:cs="宋体" w:eastAsia="宋体" w:hint="default"/>
                <w:sz w:val="18"/>
                <w:szCs w:val="18"/>
              </w:rPr>
              <w:t>冠捷科技</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z w:val="18"/>
              </w:rPr>
              <w:t>6.49360</w:t>
            </w:r>
          </w:p>
        </w:tc>
        <w:tc>
          <w:tcPr>
            <w:tcW w:w="20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发生时的即期汇率</w:t>
            </w: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z w:val="18"/>
              </w:rPr>
              <w:t>6.24025</w:t>
            </w:r>
          </w:p>
        </w:tc>
        <w:tc>
          <w:tcPr>
            <w:tcW w:w="1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z w:val="18"/>
              </w:rPr>
              <w:t>6.24025</w:t>
            </w:r>
          </w:p>
        </w:tc>
      </w:tr>
    </w:tbl>
    <w:p>
      <w:pPr>
        <w:spacing w:line="240" w:lineRule="auto" w:before="8"/>
        <w:rPr>
          <w:rFonts w:ascii="宋体" w:hAnsi="宋体" w:cs="宋体" w:eastAsia="宋体" w:hint="default"/>
          <w:sz w:val="13"/>
          <w:szCs w:val="13"/>
        </w:rPr>
      </w:pPr>
    </w:p>
    <w:p>
      <w:pPr>
        <w:spacing w:line="422" w:lineRule="auto" w:before="32"/>
        <w:ind w:left="799" w:right="5795" w:firstLine="2"/>
        <w:jc w:val="left"/>
        <w:rPr>
          <w:rFonts w:ascii="宋体" w:hAnsi="宋体" w:cs="宋体" w:eastAsia="宋体" w:hint="default"/>
          <w:sz w:val="22"/>
          <w:szCs w:val="22"/>
        </w:rPr>
      </w:pPr>
      <w:r>
        <w:rPr>
          <w:rFonts w:ascii="宋体" w:hAnsi="宋体" w:cs="宋体" w:eastAsia="宋体" w:hint="default"/>
          <w:b/>
          <w:bCs/>
          <w:sz w:val="22"/>
          <w:szCs w:val="22"/>
        </w:rPr>
        <w:t>三、财务报表的编制基础</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、编制基础</w:t>
      </w:r>
    </w:p>
    <w:p>
      <w:pPr>
        <w:pStyle w:val="Heading7"/>
        <w:spacing w:line="324" w:lineRule="auto" w:before="13"/>
        <w:ind w:left="360" w:right="372" w:firstLine="439"/>
        <w:jc w:val="both"/>
      </w:pPr>
      <w:r>
        <w:rPr>
          <w:spacing w:val="-3"/>
        </w:rPr>
        <w:t>本集团财务报表以持续经营为基础，根据实际发生的交易和事项，按照财政部颁布</w:t>
      </w:r>
      <w:r>
        <w:rPr>
          <w:w w:val="100"/>
        </w:rPr>
        <w:t> </w:t>
      </w:r>
      <w:r>
        <w:rPr>
          <w:spacing w:val="-3"/>
        </w:rPr>
        <w:t>的《企业会计准则》及相关规定，并基于本附注“四、重要会计政策及会计估计”所述</w:t>
      </w:r>
      <w:r>
        <w:rPr>
          <w:spacing w:val="-52"/>
        </w:rPr>
        <w:t> </w:t>
      </w:r>
      <w:r>
        <w:rPr>
          <w:spacing w:val="-52"/>
        </w:rPr>
      </w:r>
      <w:r>
        <w:rPr/>
        <w:t>会计政策和会计估计编制。</w:t>
      </w:r>
    </w:p>
    <w:p>
      <w:pPr>
        <w:pStyle w:val="Heading7"/>
        <w:spacing w:line="391" w:lineRule="auto" w:before="103"/>
        <w:ind w:left="799" w:right="36"/>
        <w:jc w:val="left"/>
      </w:pPr>
      <w:r>
        <w:rPr>
          <w:rFonts w:ascii="宋体" w:hAnsi="宋体" w:cs="宋体" w:eastAsia="宋体" w:hint="default"/>
        </w:rPr>
        <w:t>2</w:t>
      </w:r>
      <w:r>
        <w:rPr/>
        <w:t>、持续经营</w:t>
      </w:r>
      <w:r>
        <w:rPr>
          <w:w w:val="100"/>
        </w:rPr>
        <w:t> </w:t>
      </w:r>
      <w:r>
        <w:rPr>
          <w:spacing w:val="-3"/>
        </w:rPr>
        <w:t>根据本集团的预算、现金流量预测及可用的银行授信额度，公司董事认为可以合理</w:t>
      </w:r>
    </w:p>
    <w:p>
      <w:pPr>
        <w:pStyle w:val="Heading7"/>
        <w:spacing w:line="253" w:lineRule="exact" w:before="0"/>
        <w:ind w:left="360" w:right="36"/>
        <w:jc w:val="left"/>
      </w:pPr>
      <w:r>
        <w:rPr/>
        <w:t>预期本集团未来 </w:t>
      </w:r>
      <w:r>
        <w:rPr>
          <w:rFonts w:ascii="宋体" w:hAnsi="宋体" w:cs="宋体" w:eastAsia="宋体" w:hint="default"/>
        </w:rPr>
        <w:t>12</w:t>
      </w:r>
      <w:r>
        <w:rPr>
          <w:rFonts w:ascii="宋体" w:hAnsi="宋体" w:cs="宋体" w:eastAsia="宋体" w:hint="default"/>
          <w:spacing w:val="-63"/>
        </w:rPr>
        <w:t> </w:t>
      </w:r>
      <w:r>
        <w:rPr/>
        <w:t>个月拥有充裕资源以继续经营现有业务，以及可以于需要时履行财</w:t>
      </w:r>
    </w:p>
    <w:p>
      <w:pPr>
        <w:spacing w:line="487" w:lineRule="auto" w:before="101"/>
        <w:ind w:left="801" w:right="645" w:hanging="442"/>
        <w:jc w:val="left"/>
        <w:rPr>
          <w:rFonts w:ascii="宋体" w:hAnsi="宋体" w:cs="宋体" w:eastAsia="宋体" w:hint="default"/>
          <w:sz w:val="22"/>
          <w:szCs w:val="22"/>
        </w:rPr>
      </w:pPr>
      <w:r>
        <w:rPr>
          <w:rFonts w:ascii="宋体" w:hAnsi="宋体" w:cs="宋体" w:eastAsia="宋体" w:hint="default"/>
          <w:sz w:val="22"/>
          <w:szCs w:val="22"/>
        </w:rPr>
        <w:t>务责任，因此本集团采用持续经营假设编制截至</w:t>
      </w:r>
      <w:r>
        <w:rPr>
          <w:rFonts w:ascii="宋体" w:hAnsi="宋体" w:cs="宋体" w:eastAsia="宋体" w:hint="default"/>
          <w:spacing w:val="-57"/>
          <w:sz w:val="22"/>
          <w:szCs w:val="22"/>
        </w:rPr>
        <w:t> </w:t>
      </w:r>
      <w:r>
        <w:rPr>
          <w:rFonts w:ascii="宋体" w:hAnsi="宋体" w:cs="宋体" w:eastAsia="宋体" w:hint="default"/>
          <w:sz w:val="22"/>
          <w:szCs w:val="22"/>
        </w:rPr>
        <w:t>2015</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日止的财务报表。</w:t>
      </w:r>
      <w:r>
        <w:rPr>
          <w:rFonts w:ascii="宋体" w:hAnsi="宋体" w:cs="宋体" w:eastAsia="宋体" w:hint="default"/>
          <w:w w:val="100"/>
          <w:sz w:val="22"/>
          <w:szCs w:val="22"/>
        </w:rPr>
        <w:t> </w:t>
      </w:r>
      <w:r>
        <w:rPr>
          <w:rFonts w:ascii="宋体" w:hAnsi="宋体" w:cs="宋体" w:eastAsia="宋体" w:hint="default"/>
          <w:b/>
          <w:bCs/>
          <w:sz w:val="22"/>
          <w:szCs w:val="22"/>
        </w:rPr>
        <w:t>四、重要会计政策及会计估计</w:t>
      </w:r>
      <w:r>
        <w:rPr>
          <w:rFonts w:ascii="宋体" w:hAnsi="宋体" w:cs="宋体" w:eastAsia="宋体" w:hint="default"/>
          <w:sz w:val="22"/>
          <w:szCs w:val="22"/>
        </w:rPr>
      </w:r>
    </w:p>
    <w:p>
      <w:pPr>
        <w:pStyle w:val="Heading7"/>
        <w:spacing w:line="391" w:lineRule="auto" w:before="0"/>
        <w:ind w:left="799" w:right="36"/>
        <w:jc w:val="left"/>
      </w:pPr>
      <w:r>
        <w:rPr>
          <w:rFonts w:ascii="宋体" w:hAnsi="宋体" w:cs="宋体" w:eastAsia="宋体" w:hint="default"/>
        </w:rPr>
        <w:t>1</w:t>
      </w:r>
      <w:r>
        <w:rPr/>
        <w:t>、遵循企业会计准则的声明</w:t>
      </w:r>
      <w:r>
        <w:rPr>
          <w:w w:val="100"/>
        </w:rPr>
        <w:t> </w:t>
      </w:r>
      <w:r>
        <w:rPr>
          <w:spacing w:val="-3"/>
        </w:rPr>
        <w:t>本公司编制的财务报表符合企业会计准则的要求，真实、完整地反映了本公司及本</w:t>
      </w:r>
    </w:p>
    <w:p>
      <w:pPr>
        <w:pStyle w:val="Heading7"/>
        <w:spacing w:line="253" w:lineRule="exact" w:before="0"/>
        <w:ind w:left="360" w:right="36"/>
        <w:jc w:val="left"/>
      </w:pPr>
      <w:r>
        <w:rPr/>
        <w:t>集团的财务状况、经营成果和现金流量等有关信息。</w:t>
      </w:r>
    </w:p>
    <w:p>
      <w:pPr>
        <w:pStyle w:val="Heading7"/>
        <w:spacing w:line="240" w:lineRule="auto" w:before="177"/>
        <w:ind w:left="799" w:right="36"/>
        <w:jc w:val="left"/>
      </w:pPr>
      <w:r>
        <w:rPr>
          <w:rFonts w:ascii="宋体" w:hAnsi="宋体" w:cs="宋体" w:eastAsia="宋体" w:hint="default"/>
        </w:rPr>
        <w:t>2</w:t>
      </w:r>
      <w:r>
        <w:rPr/>
        <w:t>、会计期间</w:t>
      </w:r>
    </w:p>
    <w:p>
      <w:pPr>
        <w:pStyle w:val="Heading7"/>
        <w:spacing w:line="240" w:lineRule="auto" w:before="180"/>
        <w:ind w:left="799" w:right="36"/>
        <w:jc w:val="left"/>
      </w:pPr>
      <w:r>
        <w:rPr/>
        <w:t>本集团的会计期间为公历</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spacing w:val="-3"/>
        </w:rPr>
        <w:t>日。</w:t>
      </w:r>
      <w:r>
        <w:rPr/>
      </w:r>
    </w:p>
    <w:p>
      <w:pPr>
        <w:spacing w:after="0" w:line="240" w:lineRule="auto"/>
        <w:jc w:val="left"/>
        <w:sectPr>
          <w:pgSz w:w="11910" w:h="16840"/>
          <w:pgMar w:header="881" w:footer="980" w:top="1600" w:bottom="1160" w:left="144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91" w:lineRule="auto" w:before="0"/>
        <w:ind w:left="559" w:right="5477"/>
        <w:jc w:val="left"/>
      </w:pPr>
      <w:r>
        <w:rPr>
          <w:rFonts w:ascii="宋体" w:hAnsi="宋体" w:cs="宋体" w:eastAsia="宋体" w:hint="default"/>
        </w:rPr>
        <w:t>3</w:t>
      </w:r>
      <w:r>
        <w:rPr/>
        <w:t>、营业周期</w:t>
      </w:r>
      <w:r>
        <w:rPr>
          <w:w w:val="100"/>
        </w:rPr>
        <w:t> </w:t>
      </w:r>
      <w:r>
        <w:rPr/>
        <w:t>本集团营业周期为</w:t>
      </w:r>
      <w:r>
        <w:rPr>
          <w:spacing w:val="-55"/>
        </w:rPr>
        <w:t> </w:t>
      </w:r>
      <w:r>
        <w:rPr>
          <w:rFonts w:ascii="宋体" w:hAnsi="宋体" w:cs="宋体" w:eastAsia="宋体" w:hint="default"/>
        </w:rPr>
        <w:t>12</w:t>
      </w:r>
      <w:r>
        <w:rPr>
          <w:rFonts w:ascii="宋体" w:hAnsi="宋体" w:cs="宋体" w:eastAsia="宋体" w:hint="default"/>
          <w:spacing w:val="-55"/>
        </w:rPr>
        <w:t> </w:t>
      </w:r>
      <w:r>
        <w:rPr/>
        <w:t>个月。</w:t>
      </w:r>
      <w:r>
        <w:rPr>
          <w:w w:val="100"/>
        </w:rPr>
        <w:t> </w:t>
      </w:r>
      <w:r>
        <w:rPr>
          <w:rFonts w:ascii="宋体" w:hAnsi="宋体" w:cs="宋体" w:eastAsia="宋体" w:hint="default"/>
        </w:rPr>
        <w:t>4</w:t>
      </w:r>
      <w:r>
        <w:rPr/>
        <w:t>、记账本位币</w:t>
      </w:r>
    </w:p>
    <w:p>
      <w:pPr>
        <w:pStyle w:val="Heading7"/>
        <w:spacing w:line="326" w:lineRule="auto" w:before="41"/>
        <w:ind w:right="371" w:firstLine="439"/>
        <w:jc w:val="both"/>
      </w:pPr>
      <w:r>
        <w:rPr>
          <w:spacing w:val="-3"/>
        </w:rPr>
        <w:t>本集团除长城香港、冠捷科技外均以人民币作为记账本位币。长城香港及其子公司</w:t>
      </w:r>
      <w:r>
        <w:rPr>
          <w:w w:val="100"/>
        </w:rPr>
        <w:t> </w:t>
      </w:r>
      <w:r>
        <w:rPr>
          <w:spacing w:val="-3"/>
          <w:w w:val="100"/>
        </w:rPr>
        <w:t>柏怡国际控股有限公司（含下属子公司）（以下简称柏怡控股）根据其经营所处的主要</w:t>
      </w:r>
      <w:r>
        <w:rPr>
          <w:spacing w:val="-83"/>
          <w:w w:val="100"/>
        </w:rPr>
        <w:t> </w:t>
      </w:r>
      <w:r>
        <w:rPr>
          <w:spacing w:val="-83"/>
          <w:w w:val="100"/>
        </w:rPr>
      </w:r>
      <w:r>
        <w:rPr>
          <w:spacing w:val="14"/>
        </w:rPr>
        <w:t>经济环境以港币作为记账本位币，冠捷科技和长城香港之子公司</w:t>
      </w:r>
      <w:r>
        <w:rPr>
          <w:spacing w:val="47"/>
        </w:rPr>
        <w:t> </w:t>
      </w:r>
      <w:r>
        <w:rPr>
          <w:rFonts w:ascii="宋体" w:hAnsi="宋体" w:cs="宋体" w:eastAsia="宋体" w:hint="default"/>
        </w:rPr>
        <w:t>Perfect</w:t>
      </w:r>
      <w:r>
        <w:rPr>
          <w:rFonts w:ascii="宋体" w:hAnsi="宋体" w:cs="宋体" w:eastAsia="宋体" w:hint="default"/>
          <w:spacing w:val="40"/>
        </w:rPr>
        <w:t> </w:t>
      </w:r>
      <w:r>
        <w:rPr>
          <w:rFonts w:ascii="宋体" w:hAnsi="宋体" w:cs="宋体" w:eastAsia="宋体" w:hint="default"/>
        </w:rPr>
        <w:t>Galaxy</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International Limited</w:t>
      </w:r>
      <w:r>
        <w:rPr/>
        <w:t>（以下简称 </w:t>
      </w:r>
      <w:r>
        <w:rPr>
          <w:rFonts w:ascii="宋体" w:hAnsi="宋体" w:cs="宋体" w:eastAsia="宋体" w:hint="default"/>
        </w:rPr>
        <w:t>Perfect</w:t>
      </w:r>
      <w:r>
        <w:rPr>
          <w:rFonts w:ascii="宋体" w:hAnsi="宋体" w:cs="宋体" w:eastAsia="宋体" w:hint="default"/>
          <w:spacing w:val="-55"/>
        </w:rPr>
        <w:t> </w:t>
      </w:r>
      <w:r>
        <w:rPr>
          <w:rFonts w:ascii="宋体" w:hAnsi="宋体" w:cs="宋体" w:eastAsia="宋体" w:hint="default"/>
        </w:rPr>
        <w:t>Galaxy</w:t>
      </w:r>
      <w:r>
        <w:rPr/>
        <w:t>）根据其经营所处的主要经济环境</w:t>
      </w:r>
      <w:r>
        <w:rPr>
          <w:w w:val="100"/>
        </w:rPr>
        <w:t> </w:t>
      </w:r>
      <w:r>
        <w:rPr/>
        <w:t>以美元作为记账本位币。</w:t>
      </w:r>
    </w:p>
    <w:p>
      <w:pPr>
        <w:pStyle w:val="Heading7"/>
        <w:spacing w:line="391" w:lineRule="auto" w:before="98"/>
        <w:ind w:left="559" w:right="0"/>
        <w:jc w:val="left"/>
      </w:pPr>
      <w:r>
        <w:rPr>
          <w:rFonts w:ascii="宋体" w:hAnsi="宋体" w:cs="宋体" w:eastAsia="宋体" w:hint="default"/>
        </w:rPr>
        <w:t>5</w:t>
      </w:r>
      <w:r>
        <w:rPr/>
        <w:t>、同一控制下和非同一控制下企业合并的会计处理方法</w:t>
      </w:r>
      <w:r>
        <w:rPr>
          <w:w w:val="100"/>
        </w:rPr>
        <w:t> </w:t>
      </w:r>
      <w:r>
        <w:rPr>
          <w:spacing w:val="-3"/>
        </w:rPr>
        <w:t>本集团作为合并方，在同一控制下企业合并中取得的资产和负债，在合并日按被合</w:t>
      </w:r>
    </w:p>
    <w:p>
      <w:pPr>
        <w:pStyle w:val="Heading7"/>
        <w:spacing w:line="253" w:lineRule="exact" w:before="0"/>
        <w:ind w:right="0"/>
        <w:jc w:val="both"/>
      </w:pPr>
      <w:r>
        <w:rPr>
          <w:spacing w:val="-3"/>
        </w:rPr>
        <w:t>并方在最终控制方合并报表中的账面价值计量。取得的净资产账面价值与支付的合并对</w:t>
      </w:r>
    </w:p>
    <w:p>
      <w:pPr>
        <w:pStyle w:val="Heading7"/>
        <w:spacing w:line="388" w:lineRule="auto" w:before="103"/>
        <w:ind w:left="559" w:right="0" w:hanging="440"/>
        <w:jc w:val="left"/>
      </w:pPr>
      <w:r>
        <w:rPr/>
        <w:t>价账面价值的差额，调整资本公积；资本公积不足冲减的，调整留存收益。</w:t>
      </w:r>
      <w:r>
        <w:rPr>
          <w:w w:val="100"/>
        </w:rPr>
        <w:t> </w:t>
      </w:r>
      <w:r>
        <w:rPr>
          <w:spacing w:val="-3"/>
        </w:rPr>
        <w:t>在非同一控制下企业合并中取得的被购买方可辨认资产、负债及或有负债在收购日</w:t>
      </w:r>
    </w:p>
    <w:p>
      <w:pPr>
        <w:pStyle w:val="Heading7"/>
        <w:spacing w:line="255" w:lineRule="exact" w:before="0"/>
        <w:ind w:right="0"/>
        <w:jc w:val="both"/>
      </w:pPr>
      <w:r>
        <w:rPr>
          <w:spacing w:val="-3"/>
        </w:rPr>
        <w:t>以公允价值计量。合并成本为本集团在购买日为取得对被购买方的控制权而支付的现金</w:t>
      </w:r>
    </w:p>
    <w:p>
      <w:pPr>
        <w:pStyle w:val="Heading7"/>
        <w:spacing w:line="324" w:lineRule="auto" w:before="103"/>
        <w:ind w:right="375"/>
        <w:jc w:val="both"/>
      </w:pPr>
      <w:r>
        <w:rPr>
          <w:spacing w:val="-3"/>
        </w:rPr>
        <w:t>或非现金资产、发行或承担的负债、发行的权益性证券等的公允价值以及在企业合并中</w:t>
      </w:r>
      <w:r>
        <w:rPr>
          <w:spacing w:val="-59"/>
        </w:rPr>
        <w:t> </w:t>
      </w:r>
      <w:r>
        <w:rPr>
          <w:spacing w:val="-59"/>
        </w:rPr>
      </w:r>
      <w:r>
        <w:rPr>
          <w:spacing w:val="-3"/>
        </w:rPr>
        <w:t>发生的各项直接相关费用之和（通过多次交易分步实现的企业合并，其合并成本为每一</w:t>
      </w:r>
      <w:r>
        <w:rPr>
          <w:spacing w:val="-59"/>
        </w:rPr>
        <w:t> </w:t>
      </w:r>
      <w:r>
        <w:rPr>
          <w:spacing w:val="-59"/>
        </w:rPr>
      </w:r>
      <w:r>
        <w:rPr>
          <w:spacing w:val="-3"/>
          <w:w w:val="100"/>
        </w:rPr>
        <w:t>单项交易的成本之和）。合并成本大于合并中取得的被购买方可辨认净资产公允价值份</w:t>
      </w:r>
      <w:r>
        <w:rPr>
          <w:spacing w:val="-83"/>
          <w:w w:val="100"/>
        </w:rPr>
        <w:t> </w:t>
      </w:r>
      <w:r>
        <w:rPr>
          <w:spacing w:val="-83"/>
          <w:w w:val="100"/>
        </w:rPr>
      </w:r>
      <w:r>
        <w:rPr>
          <w:spacing w:val="-3"/>
        </w:rPr>
        <w:t>额的差额，确认为商誉；合并成本小于合并中取得的被购买方可辨认净资产公允价值份</w:t>
      </w:r>
      <w:r>
        <w:rPr>
          <w:spacing w:val="-58"/>
        </w:rPr>
        <w:t> </w:t>
      </w:r>
      <w:r>
        <w:rPr>
          <w:spacing w:val="-58"/>
        </w:rPr>
      </w:r>
      <w:r>
        <w:rPr>
          <w:spacing w:val="-3"/>
        </w:rPr>
        <w:t>额的，首先对合并中取得的各项可辨认资产、负债及或有负债的公允价值、以及合并对</w:t>
      </w:r>
      <w:r>
        <w:rPr>
          <w:spacing w:val="-56"/>
        </w:rPr>
        <w:t> </w:t>
      </w:r>
      <w:r>
        <w:rPr>
          <w:spacing w:val="-56"/>
        </w:rPr>
      </w:r>
      <w:r>
        <w:rPr>
          <w:spacing w:val="-3"/>
        </w:rPr>
        <w:t>价的非现金资产或发行的权益性证券等的公允价值进行复核，经复核后，合并成本仍小</w:t>
      </w:r>
      <w:r>
        <w:rPr>
          <w:spacing w:val="-59"/>
        </w:rPr>
        <w:t> </w:t>
      </w:r>
      <w:r>
        <w:rPr>
          <w:spacing w:val="-59"/>
        </w:rPr>
      </w:r>
      <w:r>
        <w:rPr>
          <w:spacing w:val="-3"/>
        </w:rPr>
        <w:t>于合并中取得的被购买方可辨认净资产公允价值份额的，将其差额计入合并本期营业外</w:t>
      </w:r>
      <w:r>
        <w:rPr>
          <w:spacing w:val="-58"/>
        </w:rPr>
        <w:t> </w:t>
      </w:r>
      <w:r>
        <w:rPr>
          <w:spacing w:val="-58"/>
        </w:rPr>
      </w:r>
      <w:r>
        <w:rPr/>
        <w:t>收入。</w:t>
      </w:r>
    </w:p>
    <w:p>
      <w:pPr>
        <w:pStyle w:val="Heading7"/>
        <w:spacing w:line="391" w:lineRule="auto" w:before="103"/>
        <w:ind w:left="559" w:right="0"/>
        <w:jc w:val="left"/>
      </w:pPr>
      <w:r>
        <w:rPr>
          <w:rFonts w:ascii="宋体" w:hAnsi="宋体" w:cs="宋体" w:eastAsia="宋体" w:hint="default"/>
        </w:rPr>
        <w:t>6</w:t>
      </w:r>
      <w:r>
        <w:rPr/>
        <w:t>、合并财务报表的编制方法</w:t>
      </w:r>
      <w:r>
        <w:rPr>
          <w:w w:val="100"/>
        </w:rPr>
        <w:t> </w:t>
      </w:r>
      <w:r>
        <w:rPr/>
        <w:t>本集团将所有控制的子公司及结构化主体纳入合并财务报表范围。</w:t>
      </w:r>
      <w:r>
        <w:rPr>
          <w:w w:val="100"/>
        </w:rPr>
        <w:t> </w:t>
      </w:r>
      <w:r>
        <w:rPr>
          <w:spacing w:val="-3"/>
        </w:rPr>
        <w:t>在编制合并财务报表时，子公司与本公司采用的会计政策或会计期间不一致的，按</w:t>
      </w:r>
    </w:p>
    <w:p>
      <w:pPr>
        <w:pStyle w:val="Heading7"/>
        <w:spacing w:line="253" w:lineRule="exact" w:before="0"/>
        <w:ind w:right="0"/>
        <w:jc w:val="both"/>
      </w:pPr>
      <w:r>
        <w:rPr/>
        <w:t>照本公司的会计政策或会计期间对子公司财务报表进行必要的调整。</w:t>
      </w:r>
    </w:p>
    <w:p>
      <w:pPr>
        <w:pStyle w:val="Heading7"/>
        <w:spacing w:line="326" w:lineRule="auto" w:before="177"/>
        <w:ind w:right="322" w:firstLine="439"/>
        <w:jc w:val="right"/>
      </w:pPr>
      <w:r>
        <w:rPr>
          <w:spacing w:val="-3"/>
        </w:rPr>
        <w:t>合并范围内的所有重大内部交易、往来余额及未实现利润在合并报表编制时予以抵</w:t>
      </w:r>
      <w:r>
        <w:rPr>
          <w:w w:val="100"/>
        </w:rPr>
        <w:t> </w:t>
      </w:r>
      <w:r>
        <w:rPr>
          <w:spacing w:val="-3"/>
        </w:rPr>
        <w:t>销。子公司的所有者权益中不属于母公司的份额以及本年净损益、其他综合收益及综合</w:t>
      </w:r>
      <w:r>
        <w:rPr>
          <w:w w:val="100"/>
        </w:rPr>
        <w:t> </w:t>
      </w:r>
      <w:r>
        <w:rPr>
          <w:spacing w:val="-3"/>
        </w:rPr>
        <w:t>收益总额中属于少数股东权益的份额，分别在合并财务报表“少数股东权益、少数股东</w:t>
      </w:r>
      <w:r>
        <w:rPr>
          <w:w w:val="100"/>
        </w:rPr>
        <w:t> </w:t>
      </w:r>
      <w:r>
        <w:rPr>
          <w:spacing w:val="-1"/>
        </w:rPr>
        <w:t>损益、归属于少数股东的其他综合收益及归属于少数股东的综合收益总额”项目列示。</w:t>
      </w:r>
    </w:p>
    <w:p>
      <w:pPr>
        <w:pStyle w:val="Heading7"/>
        <w:spacing w:line="324" w:lineRule="auto" w:before="101"/>
        <w:ind w:right="375" w:firstLine="439"/>
        <w:jc w:val="both"/>
      </w:pPr>
      <w:r>
        <w:rPr>
          <w:spacing w:val="-3"/>
        </w:rPr>
        <w:t>对于同一控制下企业合并取得的子公司，其经营成果和现金流量自合并本年年初纳</w:t>
      </w:r>
      <w:r>
        <w:rPr>
          <w:w w:val="100"/>
        </w:rPr>
        <w:t> </w:t>
      </w:r>
      <w:r>
        <w:rPr>
          <w:spacing w:val="-3"/>
        </w:rPr>
        <w:t>入合并财务报表。编制比较合并财务报表时，对上年财务报表的相关项目进行调整，视</w:t>
      </w:r>
      <w:r>
        <w:rPr>
          <w:spacing w:val="-56"/>
        </w:rPr>
        <w:t> </w:t>
      </w:r>
      <w:r>
        <w:rPr>
          <w:spacing w:val="-56"/>
        </w:rPr>
      </w:r>
      <w:r>
        <w:rPr/>
        <w:t>同合并后形成的报告主体自最终控制方开始控制时点起一直存在。</w:t>
      </w:r>
    </w:p>
    <w:p>
      <w:pPr>
        <w:spacing w:after="0" w:line="324"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right="322" w:firstLine="439"/>
        <w:jc w:val="both"/>
      </w:pPr>
      <w:r>
        <w:rPr>
          <w:spacing w:val="-3"/>
        </w:rPr>
        <w:t>对于非同一控制下企业合并取得子公司，经营成果和现金流量自本集团取得控制权</w:t>
      </w:r>
      <w:r>
        <w:rPr>
          <w:w w:val="100"/>
        </w:rPr>
        <w:t> </w:t>
      </w:r>
      <w:r>
        <w:rPr>
          <w:spacing w:val="-1"/>
        </w:rPr>
        <w:t>之日起纳入合并财务报表。在编制合并财务报表时，以购买日确定的各项可辨认资产、</w:t>
      </w:r>
      <w:r>
        <w:rPr>
          <w:spacing w:val="-78"/>
        </w:rPr>
        <w:t> </w:t>
      </w:r>
      <w:r>
        <w:rPr>
          <w:spacing w:val="-78"/>
        </w:rPr>
      </w:r>
      <w:r>
        <w:rPr/>
        <w:t>负债及或有负债的公允价值为基础对子公司的财务报表进行调整。</w:t>
      </w:r>
    </w:p>
    <w:p>
      <w:pPr>
        <w:pStyle w:val="Heading7"/>
        <w:spacing w:line="326" w:lineRule="auto" w:before="98"/>
        <w:ind w:right="377" w:firstLine="439"/>
        <w:jc w:val="both"/>
      </w:pPr>
      <w:r>
        <w:rPr>
          <w:spacing w:val="-3"/>
        </w:rPr>
        <w:t>本集团在不丧失控制权的情况下部分处置对子公司的长期股权投资，在合并财务报</w:t>
      </w:r>
      <w:r>
        <w:rPr>
          <w:w w:val="100"/>
        </w:rPr>
        <w:t> </w:t>
      </w:r>
      <w:r>
        <w:rPr>
          <w:spacing w:val="-3"/>
        </w:rPr>
        <w:t>表中，处置价款与处置长期股权投资相对应享有子公司自购买日或合并日开始持续计算</w:t>
      </w:r>
      <w:r>
        <w:rPr>
          <w:spacing w:val="-58"/>
        </w:rPr>
        <w:t> </w:t>
      </w:r>
      <w:r>
        <w:rPr>
          <w:spacing w:val="-58"/>
        </w:rPr>
      </w:r>
      <w:r>
        <w:rPr>
          <w:spacing w:val="-3"/>
          <w:w w:val="100"/>
        </w:rPr>
        <w:t>的净资产份额之间的差额，调整资本公积（资本溢价或股本溢价），资本公积不足冲减</w:t>
      </w:r>
      <w:r>
        <w:rPr>
          <w:spacing w:val="-83"/>
          <w:w w:val="100"/>
        </w:rPr>
        <w:t> </w:t>
      </w:r>
      <w:r>
        <w:rPr>
          <w:spacing w:val="-83"/>
          <w:w w:val="100"/>
        </w:rPr>
      </w:r>
      <w:r>
        <w:rPr/>
        <w:t>的，调整留存收益。</w:t>
      </w:r>
    </w:p>
    <w:p>
      <w:pPr>
        <w:pStyle w:val="Heading7"/>
        <w:spacing w:line="326" w:lineRule="auto" w:before="101"/>
        <w:ind w:right="322" w:firstLine="439"/>
        <w:jc w:val="both"/>
      </w:pPr>
      <w:r>
        <w:rPr>
          <w:spacing w:val="-3"/>
        </w:rPr>
        <w:t>本集团因处置部分股权投资等原因丧失了对被投资方的控制权的，在编制合并财务</w:t>
      </w:r>
      <w:r>
        <w:rPr>
          <w:w w:val="100"/>
        </w:rPr>
        <w:t> </w:t>
      </w:r>
      <w:r>
        <w:rPr>
          <w:spacing w:val="-3"/>
        </w:rPr>
        <w:t>报表时，对于剩余股权，按照其在丧失控制权日的公允价值进行重新计量。处置股权取</w:t>
      </w:r>
      <w:r>
        <w:rPr>
          <w:spacing w:val="-59"/>
        </w:rPr>
        <w:t> </w:t>
      </w:r>
      <w:r>
        <w:rPr>
          <w:spacing w:val="-59"/>
        </w:rPr>
      </w:r>
      <w:r>
        <w:rPr>
          <w:spacing w:val="-3"/>
        </w:rPr>
        <w:t>得的对价与剩余股权公允价值之和，减去按原持股比例计算应享有原有子公司自购买日</w:t>
      </w:r>
      <w:r>
        <w:rPr>
          <w:spacing w:val="-57"/>
        </w:rPr>
        <w:t> </w:t>
      </w:r>
      <w:r>
        <w:rPr>
          <w:spacing w:val="-57"/>
        </w:rPr>
      </w:r>
      <w:r>
        <w:rPr>
          <w:spacing w:val="-1"/>
        </w:rPr>
        <w:t>或合并日开始持续计算的净资产的份额之间的差额，计入丧失控制权本年的投资损益，</w:t>
      </w:r>
      <w:r>
        <w:rPr>
          <w:spacing w:val="-78"/>
        </w:rPr>
        <w:t> </w:t>
      </w:r>
      <w:r>
        <w:rPr>
          <w:spacing w:val="-78"/>
        </w:rPr>
      </w:r>
      <w:r>
        <w:rPr>
          <w:spacing w:val="-3"/>
        </w:rPr>
        <w:t>同时冲减商誉。与原有子公司股权投资相关的其他综合收益等，在丧失控制权时转为本</w:t>
      </w:r>
      <w:r>
        <w:rPr>
          <w:spacing w:val="-58"/>
        </w:rPr>
        <w:t> </w:t>
      </w:r>
      <w:r>
        <w:rPr>
          <w:spacing w:val="-58"/>
        </w:rPr>
      </w:r>
      <w:r>
        <w:rPr/>
        <w:t>年投资损益。</w:t>
      </w:r>
    </w:p>
    <w:p>
      <w:pPr>
        <w:pStyle w:val="Heading7"/>
        <w:spacing w:line="326" w:lineRule="auto" w:before="98"/>
        <w:ind w:right="377" w:firstLine="439"/>
        <w:jc w:val="both"/>
      </w:pPr>
      <w:r>
        <w:rPr>
          <w:spacing w:val="-3"/>
        </w:rPr>
        <w:t>本集团通过多次交易分步处置对子公司股权投资直至丧失控制权的，如果处置对子</w:t>
      </w:r>
      <w:r>
        <w:rPr>
          <w:w w:val="100"/>
        </w:rPr>
        <w:t> </w:t>
      </w:r>
      <w:r>
        <w:rPr>
          <w:spacing w:val="-3"/>
        </w:rPr>
        <w:t>公司股权投资直至丧失控制权的各项交易属于“一揽子交易”的，应当将各项交易作为</w:t>
      </w:r>
      <w:r>
        <w:rPr>
          <w:spacing w:val="-59"/>
        </w:rPr>
        <w:t> </w:t>
      </w:r>
      <w:r>
        <w:rPr>
          <w:spacing w:val="-59"/>
        </w:rPr>
      </w:r>
      <w:r>
        <w:rPr>
          <w:spacing w:val="-3"/>
        </w:rPr>
        <w:t>一项处置子公司并丧失控制权的交易进行会计处理；但是，在丧失控制权之前每一次处</w:t>
      </w:r>
      <w:r>
        <w:rPr>
          <w:spacing w:val="-59"/>
        </w:rPr>
        <w:t> </w:t>
      </w:r>
      <w:r>
        <w:rPr>
          <w:spacing w:val="-59"/>
        </w:rPr>
      </w:r>
      <w:r>
        <w:rPr>
          <w:spacing w:val="-3"/>
        </w:rPr>
        <w:t>置价款与处置投资对应的享有该子公司净资产份额的差额，在合并财务报表中确认为其</w:t>
      </w:r>
      <w:r>
        <w:rPr>
          <w:spacing w:val="-58"/>
        </w:rPr>
        <w:t> </w:t>
      </w:r>
      <w:r>
        <w:rPr>
          <w:spacing w:val="-58"/>
        </w:rPr>
      </w:r>
      <w:r>
        <w:rPr/>
        <w:t>他综合收益，在丧失控制权时一并转入丧失控制权本年的投资损益。</w:t>
      </w:r>
    </w:p>
    <w:p>
      <w:pPr>
        <w:pStyle w:val="Heading7"/>
        <w:spacing w:line="379" w:lineRule="auto" w:before="98"/>
        <w:ind w:left="559" w:right="0"/>
        <w:jc w:val="left"/>
      </w:pPr>
      <w:r>
        <w:rPr>
          <w:rFonts w:ascii="宋体" w:hAnsi="宋体" w:cs="宋体" w:eastAsia="宋体" w:hint="default"/>
        </w:rPr>
        <w:t>7</w:t>
      </w:r>
      <w:r>
        <w:rPr/>
        <w:t>、合营安排分类及共同经营会计处理方法</w:t>
      </w:r>
      <w:r>
        <w:rPr>
          <w:w w:val="100"/>
        </w:rPr>
        <w:t> </w:t>
      </w:r>
      <w:r>
        <w:rPr>
          <w:spacing w:val="-3"/>
        </w:rPr>
        <w:t>本集团的合营安排包括共同经营和合营企业。对于共同经营项目，本集团作为共同</w:t>
      </w:r>
    </w:p>
    <w:p>
      <w:pPr>
        <w:pStyle w:val="Heading7"/>
        <w:spacing w:line="264" w:lineRule="exact" w:before="0"/>
        <w:ind w:right="0"/>
        <w:jc w:val="both"/>
      </w:pPr>
      <w:r>
        <w:rPr>
          <w:spacing w:val="-3"/>
        </w:rPr>
        <w:t>经营中的合营方确认单独持有的资产和承担的负债，以及按份额确认持有的资产和承担</w:t>
      </w:r>
    </w:p>
    <w:p>
      <w:pPr>
        <w:pStyle w:val="Heading7"/>
        <w:spacing w:line="324" w:lineRule="auto" w:before="101"/>
        <w:ind w:right="375"/>
        <w:jc w:val="both"/>
      </w:pPr>
      <w:r>
        <w:rPr>
          <w:spacing w:val="-3"/>
        </w:rPr>
        <w:t>的负债，根据相关约定单独或按份额确认相关的收入和费用。与共同经营发生购买、销</w:t>
      </w:r>
      <w:r>
        <w:rPr>
          <w:spacing w:val="-56"/>
        </w:rPr>
        <w:t> </w:t>
      </w:r>
      <w:r>
        <w:rPr>
          <w:spacing w:val="-56"/>
        </w:rPr>
      </w:r>
      <w:r>
        <w:rPr>
          <w:spacing w:val="-3"/>
        </w:rPr>
        <w:t>售不构成业务的资产交易的，仅确认因该交易产生的损益中归属于共同经营其他参与方</w:t>
      </w:r>
      <w:r>
        <w:rPr>
          <w:spacing w:val="-58"/>
        </w:rPr>
        <w:t> </w:t>
      </w:r>
      <w:r>
        <w:rPr>
          <w:spacing w:val="-58"/>
        </w:rPr>
      </w:r>
      <w:r>
        <w:rPr/>
        <w:t>的部分。</w:t>
      </w:r>
    </w:p>
    <w:p>
      <w:pPr>
        <w:pStyle w:val="Heading7"/>
        <w:spacing w:line="379" w:lineRule="auto" w:before="103"/>
        <w:ind w:left="559" w:right="0"/>
        <w:jc w:val="left"/>
      </w:pPr>
      <w:r>
        <w:rPr>
          <w:rFonts w:ascii="宋体" w:hAnsi="宋体" w:cs="宋体" w:eastAsia="宋体" w:hint="default"/>
        </w:rPr>
        <w:t>8</w:t>
      </w:r>
      <w:r>
        <w:rPr/>
        <w:t>、现金及现金等价物</w:t>
      </w:r>
      <w:r>
        <w:rPr>
          <w:w w:val="100"/>
        </w:rPr>
        <w:t> </w:t>
      </w:r>
      <w:r>
        <w:rPr>
          <w:spacing w:val="-3"/>
        </w:rPr>
        <w:t>本集团现金流量表之现金指库存现金以及可以随时用于支付的存款。现金流量表之</w:t>
      </w:r>
    </w:p>
    <w:p>
      <w:pPr>
        <w:pStyle w:val="Heading7"/>
        <w:spacing w:line="261" w:lineRule="exact" w:before="0"/>
        <w:ind w:right="0"/>
        <w:jc w:val="both"/>
      </w:pPr>
      <w:r>
        <w:rPr/>
        <w:t>现金等价物指持有期限不超过 </w:t>
      </w:r>
      <w:r>
        <w:rPr>
          <w:rFonts w:ascii="宋体" w:hAnsi="宋体" w:cs="宋体" w:eastAsia="宋体" w:hint="default"/>
        </w:rPr>
        <w:t>3</w:t>
      </w:r>
      <w:r>
        <w:rPr>
          <w:rFonts w:ascii="宋体" w:hAnsi="宋体" w:cs="宋体" w:eastAsia="宋体" w:hint="default"/>
          <w:spacing w:val="-75"/>
        </w:rPr>
        <w:t> </w:t>
      </w:r>
      <w:r>
        <w:rPr>
          <w:spacing w:val="-4"/>
        </w:rPr>
        <w:t>个月、流动性强、易于转换为已知金额现金且价值变动</w:t>
      </w:r>
    </w:p>
    <w:p>
      <w:pPr>
        <w:pStyle w:val="Heading7"/>
        <w:spacing w:line="391" w:lineRule="auto" w:before="101"/>
        <w:ind w:left="559" w:right="3772" w:hanging="440"/>
        <w:jc w:val="left"/>
      </w:pPr>
      <w:r>
        <w:rPr/>
        <w:t>风险很小的投资。</w:t>
      </w:r>
      <w:r>
        <w:rPr>
          <w:w w:val="100"/>
        </w:rPr>
        <w:t> </w:t>
      </w:r>
      <w:r>
        <w:rPr>
          <w:rFonts w:ascii="宋体" w:hAnsi="宋体" w:cs="宋体" w:eastAsia="宋体" w:hint="default"/>
          <w:spacing w:val="-1"/>
        </w:rPr>
        <w:t>9</w:t>
      </w:r>
      <w:r>
        <w:rPr>
          <w:spacing w:val="-1"/>
        </w:rPr>
        <w:t>、外币业务和外币财务报表折算</w:t>
      </w:r>
    </w:p>
    <w:p>
      <w:pPr>
        <w:pStyle w:val="Heading7"/>
        <w:spacing w:line="376" w:lineRule="auto" w:before="27"/>
        <w:ind w:left="559" w:right="0"/>
        <w:jc w:val="left"/>
      </w:pPr>
      <w:r>
        <w:rPr/>
        <w:t>（</w:t>
      </w:r>
      <w:r>
        <w:rPr>
          <w:rFonts w:ascii="宋体" w:hAnsi="宋体" w:cs="宋体" w:eastAsia="宋体" w:hint="default"/>
        </w:rPr>
        <w:t>1</w:t>
      </w:r>
      <w:r>
        <w:rPr/>
        <w:t>）外币交易</w:t>
      </w:r>
      <w:r>
        <w:rPr>
          <w:spacing w:val="-108"/>
        </w:rPr>
        <w:t> </w:t>
      </w:r>
      <w:r>
        <w:rPr>
          <w:spacing w:val="-108"/>
        </w:rPr>
      </w:r>
      <w:r>
        <w:rPr>
          <w:spacing w:val="-3"/>
        </w:rPr>
        <w:t>本集团外币交易按交易发生日的即期汇率将外币金额折算为人民币金额。于资产负</w:t>
      </w:r>
    </w:p>
    <w:p>
      <w:pPr>
        <w:pStyle w:val="Heading7"/>
        <w:spacing w:line="266" w:lineRule="exact" w:before="0"/>
        <w:ind w:right="0"/>
        <w:jc w:val="both"/>
      </w:pPr>
      <w:r>
        <w:rPr>
          <w:spacing w:val="-3"/>
        </w:rPr>
        <w:t>债表日，外币货币性项目采用资产负债表日的即期汇率折算为人民币，所产生的折算差</w:t>
      </w:r>
    </w:p>
    <w:p>
      <w:pPr>
        <w:pStyle w:val="Heading7"/>
        <w:spacing w:line="240" w:lineRule="auto" w:before="101"/>
        <w:ind w:right="0"/>
        <w:jc w:val="both"/>
      </w:pPr>
      <w:r>
        <w:rPr>
          <w:spacing w:val="2"/>
        </w:rPr>
        <w:t>额除了为购建或生产符合资本化条件的资产而借入的外币专门借款产生的汇兑差额按</w:t>
      </w:r>
    </w:p>
    <w:p>
      <w:pPr>
        <w:spacing w:after="0" w:line="240"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right="0"/>
        <w:jc w:val="both"/>
      </w:pPr>
      <w:r>
        <w:rPr/>
        <w:t>资本化的原则处理外，直接计入当期损益。</w:t>
      </w:r>
    </w:p>
    <w:p>
      <w:pPr>
        <w:pStyle w:val="Heading7"/>
        <w:spacing w:line="391" w:lineRule="auto" w:before="177"/>
        <w:ind w:left="559" w:right="0"/>
        <w:jc w:val="left"/>
      </w:pPr>
      <w:r>
        <w:rPr/>
        <w:t>（</w:t>
      </w:r>
      <w:r>
        <w:rPr>
          <w:rFonts w:ascii="宋体" w:hAnsi="宋体" w:cs="宋体" w:eastAsia="宋体" w:hint="default"/>
        </w:rPr>
        <w:t>2</w:t>
      </w:r>
      <w:r>
        <w:rPr/>
        <w:t>）外币财务报表的折算</w:t>
      </w:r>
      <w:r>
        <w:rPr>
          <w:w w:val="100"/>
        </w:rPr>
        <w:t> </w:t>
      </w:r>
      <w:r>
        <w:rPr>
          <w:spacing w:val="-3"/>
        </w:rPr>
        <w:t>外币资产负债表中资产、负债类项目采用资产负债表日的即期汇率折算；所有者权</w:t>
      </w:r>
    </w:p>
    <w:p>
      <w:pPr>
        <w:pStyle w:val="Heading7"/>
        <w:spacing w:line="253" w:lineRule="exact" w:before="0"/>
        <w:ind w:right="0"/>
        <w:jc w:val="both"/>
      </w:pPr>
      <w:r>
        <w:rPr>
          <w:spacing w:val="-3"/>
        </w:rPr>
        <w:t>益类项目除“未分配利润”外，均按业务发生时的即期汇率折算；利润表中的收入与费</w:t>
      </w:r>
    </w:p>
    <w:p>
      <w:pPr>
        <w:pStyle w:val="Heading7"/>
        <w:spacing w:line="324" w:lineRule="auto" w:before="103"/>
        <w:ind w:right="375"/>
        <w:jc w:val="both"/>
      </w:pPr>
      <w:r>
        <w:rPr>
          <w:spacing w:val="-3"/>
        </w:rPr>
        <w:t>用项目，采用交易发生日的即期汇率折算。上述折算产生的外币报表折算差额，在其他</w:t>
      </w:r>
      <w:r>
        <w:rPr>
          <w:spacing w:val="-56"/>
        </w:rPr>
        <w:t> </w:t>
      </w:r>
      <w:r>
        <w:rPr>
          <w:spacing w:val="-56"/>
        </w:rPr>
      </w:r>
      <w:r>
        <w:rPr>
          <w:spacing w:val="-3"/>
        </w:rPr>
        <w:t>综合收益项目中列示。外币现金流量采用现金流量发生日的即期汇率折算。汇率变动对</w:t>
      </w:r>
      <w:r>
        <w:rPr>
          <w:spacing w:val="-58"/>
        </w:rPr>
        <w:t> </w:t>
      </w:r>
      <w:r>
        <w:rPr>
          <w:spacing w:val="-58"/>
        </w:rPr>
      </w:r>
      <w:r>
        <w:rPr/>
        <w:t>现金的影响额，在现金流量表中单独列示。</w:t>
      </w:r>
    </w:p>
    <w:p>
      <w:pPr>
        <w:pStyle w:val="Heading7"/>
        <w:spacing w:line="391" w:lineRule="auto" w:before="100"/>
        <w:ind w:left="559" w:right="0"/>
        <w:jc w:val="left"/>
      </w:pPr>
      <w:r>
        <w:rPr>
          <w:rFonts w:ascii="宋体" w:hAnsi="宋体" w:cs="宋体" w:eastAsia="宋体" w:hint="default"/>
        </w:rPr>
        <w:t>10</w:t>
      </w:r>
      <w:r>
        <w:rPr/>
        <w:t>、金融资产和金融负债</w:t>
      </w:r>
      <w:r>
        <w:rPr>
          <w:w w:val="100"/>
        </w:rPr>
        <w:t> </w:t>
      </w:r>
      <w:r>
        <w:rPr>
          <w:spacing w:val="-1"/>
        </w:rPr>
        <w:t>本集团成为金融工具合同的一方时确认一项金融资产或金融负债。</w:t>
      </w:r>
    </w:p>
    <w:p>
      <w:pPr>
        <w:pStyle w:val="Heading7"/>
        <w:spacing w:line="391" w:lineRule="auto" w:before="42"/>
        <w:ind w:left="559" w:right="3772"/>
        <w:jc w:val="left"/>
      </w:pPr>
      <w:r>
        <w:rPr/>
        <w:t>（</w:t>
      </w:r>
      <w:r>
        <w:rPr>
          <w:rFonts w:ascii="宋体" w:hAnsi="宋体" w:cs="宋体" w:eastAsia="宋体" w:hint="default"/>
        </w:rPr>
        <w:t>1</w:t>
      </w:r>
      <w:r>
        <w:rPr/>
        <w:t>）金融资产</w:t>
      </w:r>
      <w:r>
        <w:rPr>
          <w:spacing w:val="-108"/>
        </w:rPr>
        <w:t> </w:t>
      </w:r>
      <w:r>
        <w:rPr>
          <w:spacing w:val="-108"/>
        </w:rPr>
      </w:r>
      <w:r>
        <w:rPr>
          <w:rFonts w:ascii="宋体" w:hAnsi="宋体" w:cs="宋体" w:eastAsia="宋体" w:hint="default"/>
          <w:spacing w:val="-1"/>
        </w:rPr>
        <w:t>1</w:t>
      </w:r>
      <w:r>
        <w:rPr>
          <w:spacing w:val="-1"/>
        </w:rPr>
        <w:t>）金融资产分类、确认依据和计量方法</w:t>
      </w:r>
    </w:p>
    <w:p>
      <w:pPr>
        <w:pStyle w:val="Heading7"/>
        <w:spacing w:line="326" w:lineRule="auto" w:before="41"/>
        <w:ind w:right="381" w:firstLine="439"/>
        <w:jc w:val="both"/>
      </w:pPr>
      <w:r>
        <w:rPr>
          <w:spacing w:val="2"/>
        </w:rPr>
        <w:t>本集团按投资目的和经济实质对拥有的金融资产分类为以公允价值计量且其变动</w:t>
      </w:r>
      <w:r>
        <w:rPr>
          <w:w w:val="100"/>
        </w:rPr>
        <w:t> </w:t>
      </w:r>
      <w:r>
        <w:rPr/>
        <w:t>计入当期损益的金融资产、持有至到期投资、应收款项及可供出售金融资产。</w:t>
      </w:r>
    </w:p>
    <w:p>
      <w:pPr>
        <w:pStyle w:val="Heading7"/>
        <w:spacing w:line="326" w:lineRule="auto" w:before="101"/>
        <w:ind w:right="377" w:firstLine="439"/>
        <w:jc w:val="both"/>
      </w:pPr>
      <w:r>
        <w:rPr>
          <w:spacing w:val="-3"/>
        </w:rPr>
        <w:t>以公允价值计量且其变动计入当期损益的金融资产，包括交易性金融资产和在初始</w:t>
      </w:r>
      <w:r>
        <w:rPr>
          <w:w w:val="100"/>
        </w:rPr>
        <w:t> </w:t>
      </w:r>
      <w:r>
        <w:rPr>
          <w:spacing w:val="-3"/>
        </w:rPr>
        <w:t>确认时指定为以公允价值计量且其变动计入当期损益的金融资产。本集团指定的该类金</w:t>
      </w:r>
      <w:r>
        <w:rPr>
          <w:spacing w:val="-58"/>
        </w:rPr>
        <w:t> </w:t>
      </w:r>
      <w:r>
        <w:rPr>
          <w:spacing w:val="-58"/>
        </w:rPr>
      </w:r>
      <w:r>
        <w:rPr>
          <w:spacing w:val="-3"/>
        </w:rPr>
        <w:t>融资产主要包括为短期内出售而持有的金融资产等。对此类金融资产，采用公允价值进</w:t>
      </w:r>
      <w:r>
        <w:rPr>
          <w:spacing w:val="-58"/>
        </w:rPr>
        <w:t> </w:t>
      </w:r>
      <w:r>
        <w:rPr>
          <w:spacing w:val="-58"/>
        </w:rPr>
      </w:r>
      <w:r>
        <w:rPr>
          <w:spacing w:val="-3"/>
        </w:rPr>
        <w:t>行后续计量。公允价值变动计入公允价值变动损益；在资产持有期间所取得的利息或现</w:t>
      </w:r>
      <w:r>
        <w:rPr>
          <w:spacing w:val="-58"/>
        </w:rPr>
        <w:t> </w:t>
      </w:r>
      <w:r>
        <w:rPr>
          <w:spacing w:val="-58"/>
        </w:rPr>
      </w:r>
      <w:r>
        <w:rPr>
          <w:spacing w:val="-3"/>
        </w:rPr>
        <w:t>金股利，确认为投资收益；处置时，其公允价值与初始入账金额之间的差额确认为投资</w:t>
      </w:r>
      <w:r>
        <w:rPr>
          <w:spacing w:val="-59"/>
        </w:rPr>
        <w:t> </w:t>
      </w:r>
      <w:r>
        <w:rPr>
          <w:spacing w:val="-59"/>
        </w:rPr>
      </w:r>
      <w:r>
        <w:rPr/>
        <w:t>损益，同时调整公允价值变动损益。</w:t>
      </w:r>
    </w:p>
    <w:p>
      <w:pPr>
        <w:pStyle w:val="Heading7"/>
        <w:spacing w:line="326" w:lineRule="auto" w:before="98"/>
        <w:ind w:right="375" w:firstLine="439"/>
        <w:jc w:val="both"/>
      </w:pPr>
      <w:r>
        <w:rPr>
          <w:spacing w:val="-3"/>
        </w:rPr>
        <w:t>持有至到期投资，是指到期日固定、回收金额固定或可确定，且本集团有明确意图</w:t>
      </w:r>
      <w:r>
        <w:rPr>
          <w:w w:val="100"/>
        </w:rPr>
        <w:t> </w:t>
      </w:r>
      <w:r>
        <w:rPr>
          <w:spacing w:val="-3"/>
        </w:rPr>
        <w:t>和能力持有至到期的非衍生金融资产。持有至到期投资采用实际利率法，按照摊余成本</w:t>
      </w:r>
      <w:r>
        <w:rPr>
          <w:spacing w:val="-57"/>
        </w:rPr>
        <w:t> </w:t>
      </w:r>
      <w:r>
        <w:rPr>
          <w:spacing w:val="-57"/>
        </w:rPr>
      </w:r>
      <w:r>
        <w:rPr/>
        <w:t>进行后续计量，其摊销或减值以及终止确认产生的利得或损失，均计入当期损益。</w:t>
      </w:r>
    </w:p>
    <w:p>
      <w:pPr>
        <w:pStyle w:val="Heading7"/>
        <w:spacing w:line="326" w:lineRule="auto" w:before="98"/>
        <w:ind w:right="0" w:firstLine="439"/>
        <w:jc w:val="left"/>
      </w:pPr>
      <w:r>
        <w:rPr>
          <w:spacing w:val="-6"/>
        </w:rPr>
        <w:t>应收款项，是指在活跃市场中没有报价，回收金额固定或可确定的非衍生金融资产。</w:t>
      </w:r>
      <w:r>
        <w:rPr>
          <w:w w:val="100"/>
        </w:rPr>
        <w:t> </w:t>
      </w:r>
      <w:r>
        <w:rPr>
          <w:spacing w:val="-3"/>
        </w:rPr>
        <w:t>采用实际利率法，按照摊余成本进行后续计量，其摊销或减值以及终止确认产生的利得</w:t>
      </w:r>
      <w:r>
        <w:rPr>
          <w:spacing w:val="-59"/>
        </w:rPr>
        <w:t> </w:t>
      </w:r>
      <w:r>
        <w:rPr>
          <w:spacing w:val="-59"/>
        </w:rPr>
      </w:r>
      <w:r>
        <w:rPr/>
        <w:t>或损失，均计入当期损益。</w:t>
      </w:r>
    </w:p>
    <w:p>
      <w:pPr>
        <w:pStyle w:val="Heading7"/>
        <w:spacing w:line="326" w:lineRule="auto" w:before="98"/>
        <w:ind w:right="375" w:firstLine="439"/>
        <w:jc w:val="both"/>
      </w:pPr>
      <w:r>
        <w:rPr>
          <w:spacing w:val="-3"/>
        </w:rPr>
        <w:t>可供出售金融资产，是指初始确认时即被指定为可供出售的非衍生金融资产，以及</w:t>
      </w:r>
      <w:r>
        <w:rPr>
          <w:w w:val="100"/>
        </w:rPr>
        <w:t> </w:t>
      </w:r>
      <w:r>
        <w:rPr>
          <w:spacing w:val="-3"/>
        </w:rPr>
        <w:t>未被划分为其他类的金融资产。这类资产中，在活跃市场中没有报价且其公允价值不能</w:t>
      </w:r>
      <w:r>
        <w:rPr>
          <w:spacing w:val="-57"/>
        </w:rPr>
        <w:t> </w:t>
      </w:r>
      <w:r>
        <w:rPr>
          <w:spacing w:val="-57"/>
        </w:rPr>
      </w:r>
      <w:r>
        <w:rPr>
          <w:spacing w:val="2"/>
        </w:rPr>
        <w:t>可靠计量的权益工具投资以及与该权益工具挂钩并须通过交付该权益工具结算的衍生</w:t>
      </w:r>
      <w:r>
        <w:rPr>
          <w:spacing w:val="-39"/>
        </w:rPr>
        <w:t> </w:t>
      </w:r>
      <w:r>
        <w:rPr>
          <w:spacing w:val="-39"/>
        </w:rPr>
      </w:r>
      <w:r>
        <w:rPr>
          <w:spacing w:val="-3"/>
        </w:rPr>
        <w:t>金融资产，按成本进行后续计量；其他存在活跃市场报价或虽没有活跃市场报价但公允</w:t>
      </w:r>
      <w:r>
        <w:rPr>
          <w:spacing w:val="-59"/>
        </w:rPr>
        <w:t> </w:t>
      </w:r>
      <w:r>
        <w:rPr>
          <w:spacing w:val="-59"/>
        </w:rPr>
      </w:r>
      <w:r>
        <w:rPr>
          <w:spacing w:val="-3"/>
        </w:rPr>
        <w:t>价值能够可靠计量的，按公允价值计量，公允价值变动计入其他综合收益。对于此类金</w:t>
      </w:r>
      <w:r>
        <w:rPr>
          <w:spacing w:val="-56"/>
        </w:rPr>
        <w:t> </w:t>
      </w:r>
      <w:r>
        <w:rPr>
          <w:spacing w:val="-56"/>
        </w:rPr>
      </w:r>
      <w:r>
        <w:rPr>
          <w:spacing w:val="-3"/>
        </w:rPr>
        <w:t>融资产采用公允价值进行后续计量，除减值损失及外币货币性金融资产形成的汇兑损益</w:t>
      </w:r>
      <w:r>
        <w:rPr>
          <w:spacing w:val="-58"/>
        </w:rPr>
        <w:t> </w:t>
      </w:r>
      <w:r>
        <w:rPr>
          <w:spacing w:val="-58"/>
        </w:rPr>
      </w:r>
      <w:r>
        <w:rPr>
          <w:spacing w:val="-3"/>
        </w:rPr>
        <w:t>外，可供出售金融资产公允价值变动直接计入股东权益，待该金融资产终止确认时，原</w:t>
      </w:r>
      <w:r>
        <w:rPr>
          <w:spacing w:val="-56"/>
        </w:rPr>
        <w:t> </w:t>
      </w:r>
      <w:r>
        <w:rPr>
          <w:spacing w:val="-56"/>
        </w:rPr>
      </w:r>
      <w:r>
        <w:rPr>
          <w:spacing w:val="-3"/>
        </w:rPr>
        <w:t>直接计入权益的公允价值变动累计额转入当期损益。可供出售债务工具投资在持有期间</w:t>
      </w:r>
    </w:p>
    <w:p>
      <w:pPr>
        <w:spacing w:after="0" w:line="326"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4" w:lineRule="auto" w:before="0"/>
        <w:ind w:right="376"/>
        <w:jc w:val="both"/>
      </w:pPr>
      <w:r>
        <w:rPr>
          <w:spacing w:val="-3"/>
        </w:rPr>
        <w:t>按实际利率法计算的利息，以及被投资单位宣告发放的与可供出售权益工具投资相关的</w:t>
      </w:r>
      <w:r>
        <w:rPr>
          <w:spacing w:val="-58"/>
        </w:rPr>
        <w:t> </w:t>
      </w:r>
      <w:r>
        <w:rPr>
          <w:spacing w:val="-58"/>
        </w:rPr>
      </w:r>
      <w:r>
        <w:rPr>
          <w:spacing w:val="-3"/>
        </w:rPr>
        <w:t>现金股利，作为投资收益计入当期损益。对于在活跃市场中没有报价且其公允价值不能</w:t>
      </w:r>
      <w:r>
        <w:rPr>
          <w:spacing w:val="-57"/>
        </w:rPr>
        <w:t> </w:t>
      </w:r>
      <w:r>
        <w:rPr>
          <w:spacing w:val="-57"/>
        </w:rPr>
      </w:r>
      <w:r>
        <w:rPr/>
        <w:t>可靠计量的权益工具投资，按成本计量。</w:t>
      </w:r>
    </w:p>
    <w:p>
      <w:pPr>
        <w:pStyle w:val="Heading7"/>
        <w:spacing w:line="391" w:lineRule="auto" w:before="100"/>
        <w:ind w:left="559" w:right="0"/>
        <w:jc w:val="left"/>
      </w:pPr>
      <w:r>
        <w:rPr>
          <w:rFonts w:ascii="宋体" w:hAnsi="宋体" w:cs="宋体" w:eastAsia="宋体" w:hint="default"/>
        </w:rPr>
        <w:t>2</w:t>
      </w:r>
      <w:r>
        <w:rPr/>
        <w:t>）金融资产转移的确认依据和计量方法</w:t>
      </w:r>
      <w:r>
        <w:rPr>
          <w:spacing w:val="-108"/>
        </w:rPr>
        <w:t> </w:t>
      </w:r>
      <w:r>
        <w:rPr>
          <w:spacing w:val="-108"/>
        </w:rPr>
      </w:r>
      <w:r>
        <w:rPr>
          <w:spacing w:val="-3"/>
        </w:rPr>
        <w:t>金融资产满足下列条件之一的，予以终止确认：①收取该金融资产现金流量的合同</w:t>
      </w:r>
    </w:p>
    <w:p>
      <w:pPr>
        <w:pStyle w:val="Heading7"/>
        <w:spacing w:line="253" w:lineRule="exact" w:before="0"/>
        <w:ind w:right="0"/>
        <w:jc w:val="both"/>
      </w:pPr>
      <w:r>
        <w:rPr>
          <w:spacing w:val="-3"/>
        </w:rPr>
        <w:t>权利终止；②该金融资产已转移，且本集团将金融资产所有权上几乎所有的风险和报酬</w:t>
      </w:r>
    </w:p>
    <w:p>
      <w:pPr>
        <w:pStyle w:val="Heading7"/>
        <w:spacing w:line="324" w:lineRule="auto" w:before="103"/>
        <w:ind w:right="377"/>
        <w:jc w:val="both"/>
      </w:pPr>
      <w:r>
        <w:rPr>
          <w:spacing w:val="-3"/>
        </w:rPr>
        <w:t>转移给转入方；③该金融资产已转移，虽然本集团既没有转移也没有保留金融资产所有</w:t>
      </w:r>
      <w:r>
        <w:rPr>
          <w:spacing w:val="-58"/>
        </w:rPr>
        <w:t> </w:t>
      </w:r>
      <w:r>
        <w:rPr>
          <w:spacing w:val="-58"/>
        </w:rPr>
      </w:r>
      <w:r>
        <w:rPr/>
        <w:t>权上几乎所有的风险和报酬，但是放弃了对该金融资产控制。</w:t>
      </w:r>
    </w:p>
    <w:p>
      <w:pPr>
        <w:pStyle w:val="Heading7"/>
        <w:spacing w:line="326" w:lineRule="auto" w:before="103"/>
        <w:ind w:right="377" w:firstLine="439"/>
        <w:jc w:val="both"/>
      </w:pPr>
      <w:r>
        <w:rPr>
          <w:spacing w:val="-3"/>
        </w:rPr>
        <w:t>企业既没有转移也没有保留金融资产所有权上几乎所有的风险和报酬，且未放弃对</w:t>
      </w:r>
      <w:r>
        <w:rPr>
          <w:w w:val="100"/>
        </w:rPr>
        <w:t> </w:t>
      </w:r>
      <w:r>
        <w:rPr>
          <w:spacing w:val="-3"/>
        </w:rPr>
        <w:t>该金融资产控制的，则按照其继续涉入所转移金融资产的程度确认有关金融资产，并相</w:t>
      </w:r>
      <w:r>
        <w:rPr>
          <w:spacing w:val="-57"/>
        </w:rPr>
        <w:t> </w:t>
      </w:r>
      <w:r>
        <w:rPr>
          <w:spacing w:val="-57"/>
        </w:rPr>
      </w:r>
      <w:r>
        <w:rPr/>
        <w:t>应确认有关负债。</w:t>
      </w:r>
    </w:p>
    <w:p>
      <w:pPr>
        <w:pStyle w:val="Heading7"/>
        <w:spacing w:line="326" w:lineRule="auto" w:before="101"/>
        <w:ind w:right="322" w:firstLine="439"/>
        <w:jc w:val="right"/>
      </w:pPr>
      <w:r>
        <w:rPr>
          <w:spacing w:val="-3"/>
        </w:rPr>
        <w:t>金融资产整体转移满足终止确认条件的，将所转移金融资产的账面价值，与因转移</w:t>
      </w:r>
      <w:r>
        <w:rPr>
          <w:w w:val="100"/>
        </w:rPr>
        <w:t> </w:t>
      </w:r>
      <w:r>
        <w:rPr>
          <w:spacing w:val="-1"/>
        </w:rPr>
        <w:t>而收到的对价及原计入其他综合收益的公允价值变动累计额之和的差额计入当期损益。</w:t>
      </w:r>
    </w:p>
    <w:p>
      <w:pPr>
        <w:pStyle w:val="Heading7"/>
        <w:spacing w:line="326" w:lineRule="auto" w:before="98"/>
        <w:ind w:right="378" w:firstLine="439"/>
        <w:jc w:val="both"/>
      </w:pPr>
      <w:r>
        <w:rPr>
          <w:spacing w:val="-3"/>
        </w:rPr>
        <w:t>金融资产部分转移满足终止确认条件的，将所转移金融资产整体的账面价值，在终</w:t>
      </w:r>
      <w:r>
        <w:rPr>
          <w:w w:val="100"/>
        </w:rPr>
        <w:t> </w:t>
      </w:r>
      <w:r>
        <w:rPr>
          <w:spacing w:val="-3"/>
        </w:rPr>
        <w:t>止确认部分和未终止确认部分之间，按照各自的相对公允价值进行分摊，并将因转移而</w:t>
      </w:r>
      <w:r>
        <w:rPr>
          <w:spacing w:val="-59"/>
        </w:rPr>
        <w:t> </w:t>
      </w:r>
      <w:r>
        <w:rPr>
          <w:spacing w:val="-59"/>
        </w:rPr>
      </w:r>
      <w:r>
        <w:rPr>
          <w:spacing w:val="2"/>
        </w:rPr>
        <w:t>收到的对价及应分摊至终止确认部分的原计入其他综合收益的公允价值变动累计额之</w:t>
      </w:r>
      <w:r>
        <w:rPr>
          <w:spacing w:val="-39"/>
        </w:rPr>
        <w:t> </w:t>
      </w:r>
      <w:r>
        <w:rPr>
          <w:spacing w:val="-39"/>
        </w:rPr>
      </w:r>
      <w:r>
        <w:rPr/>
        <w:t>和，与分摊的前述账面金额的差额计入当期损益。</w:t>
      </w:r>
    </w:p>
    <w:p>
      <w:pPr>
        <w:pStyle w:val="Heading7"/>
        <w:spacing w:line="391" w:lineRule="auto" w:before="101"/>
        <w:ind w:left="559" w:right="0"/>
        <w:jc w:val="left"/>
      </w:pPr>
      <w:r>
        <w:rPr>
          <w:rFonts w:ascii="宋体" w:hAnsi="宋体" w:cs="宋体" w:eastAsia="宋体" w:hint="default"/>
        </w:rPr>
        <w:t>3</w:t>
      </w:r>
      <w:r>
        <w:rPr/>
        <w:t>）金融资产减值的测试方法及会计处理方法</w:t>
      </w:r>
      <w:r>
        <w:rPr>
          <w:w w:val="100"/>
        </w:rPr>
        <w:t> </w:t>
      </w:r>
      <w:r>
        <w:rPr>
          <w:spacing w:val="-3"/>
        </w:rPr>
        <w:t>除以公允价值计量且其变动计入当期损益的金融资产外，本集团于资产负债表日对</w:t>
      </w:r>
    </w:p>
    <w:p>
      <w:pPr>
        <w:pStyle w:val="Heading7"/>
        <w:spacing w:line="253" w:lineRule="exact" w:before="0"/>
        <w:ind w:right="0"/>
        <w:jc w:val="both"/>
      </w:pPr>
      <w:r>
        <w:rPr>
          <w:spacing w:val="-3"/>
        </w:rPr>
        <w:t>其他金融资产的账面价值进行检查，如果有客观证据表明某项金融资产发生减值的，计</w:t>
      </w:r>
    </w:p>
    <w:p>
      <w:pPr>
        <w:pStyle w:val="Heading7"/>
        <w:spacing w:line="240" w:lineRule="auto" w:before="101"/>
        <w:ind w:right="0"/>
        <w:jc w:val="both"/>
      </w:pPr>
      <w:r>
        <w:rPr/>
        <w:t>提减值准备。</w:t>
      </w:r>
    </w:p>
    <w:p>
      <w:pPr>
        <w:pStyle w:val="Heading7"/>
        <w:spacing w:line="326" w:lineRule="auto" w:before="180"/>
        <w:ind w:right="375" w:firstLine="439"/>
        <w:jc w:val="both"/>
      </w:pPr>
      <w:r>
        <w:rPr>
          <w:spacing w:val="-3"/>
        </w:rPr>
        <w:t>以摊余成本计量的金融资产发生减值时，按预计未来现金流量（不包括尚未发生的</w:t>
      </w:r>
      <w:r>
        <w:rPr>
          <w:w w:val="100"/>
        </w:rPr>
        <w:t> </w:t>
      </w:r>
      <w:r>
        <w:rPr>
          <w:spacing w:val="-3"/>
        </w:rPr>
        <w:t>未来信用损失）现值低于账面价值的差额，计提减值准备。如果有客观证据表明该金融</w:t>
      </w:r>
      <w:r>
        <w:rPr>
          <w:spacing w:val="-57"/>
        </w:rPr>
        <w:t> </w:t>
      </w:r>
      <w:r>
        <w:rPr>
          <w:spacing w:val="-57"/>
        </w:rPr>
      </w:r>
      <w:r>
        <w:rPr>
          <w:spacing w:val="-3"/>
        </w:rPr>
        <w:t>资产价值已恢复，且客观上与确认该损失后发生的事项有关，原确认的减值损失予以转</w:t>
      </w:r>
      <w:r>
        <w:rPr>
          <w:spacing w:val="-59"/>
        </w:rPr>
        <w:t> </w:t>
      </w:r>
      <w:r>
        <w:rPr>
          <w:spacing w:val="-59"/>
        </w:rPr>
      </w:r>
      <w:r>
        <w:rPr/>
        <w:t>回，计入当期损益。</w:t>
      </w:r>
    </w:p>
    <w:p>
      <w:pPr>
        <w:pStyle w:val="Heading7"/>
        <w:spacing w:line="326" w:lineRule="auto" w:before="98"/>
        <w:ind w:right="376" w:firstLine="439"/>
        <w:jc w:val="both"/>
      </w:pPr>
      <w:r>
        <w:rPr>
          <w:spacing w:val="-3"/>
        </w:rPr>
        <w:t>当可供出售金融资产发生减值，原直接计入所有者权益的因公允价值下降形成的累</w:t>
      </w:r>
      <w:r>
        <w:rPr>
          <w:w w:val="100"/>
        </w:rPr>
        <w:t> </w:t>
      </w:r>
      <w:r>
        <w:rPr>
          <w:spacing w:val="-3"/>
        </w:rPr>
        <w:t>计损失予以转出并计入减值损失。对已确认减值损失的可供出售债务工具投资，在期后</w:t>
      </w:r>
      <w:r>
        <w:rPr>
          <w:spacing w:val="-57"/>
        </w:rPr>
        <w:t> </w:t>
      </w:r>
      <w:r>
        <w:rPr>
          <w:spacing w:val="-57"/>
        </w:rPr>
      </w:r>
      <w:r>
        <w:rPr>
          <w:spacing w:val="-3"/>
        </w:rPr>
        <w:t>公允价值上升且客观上与确认原减值损失后发生的事项有关的，原确认的减值损失予以</w:t>
      </w:r>
      <w:r>
        <w:rPr>
          <w:spacing w:val="-58"/>
        </w:rPr>
        <w:t> </w:t>
      </w:r>
      <w:r>
        <w:rPr>
          <w:spacing w:val="-58"/>
        </w:rPr>
      </w:r>
      <w:r>
        <w:rPr>
          <w:spacing w:val="-3"/>
        </w:rPr>
        <w:t>转回并计入当期损益。对已确认减值损失的可供出售权益工具投资，期后公允价值上升</w:t>
      </w:r>
      <w:r>
        <w:rPr>
          <w:spacing w:val="-59"/>
        </w:rPr>
        <w:t> </w:t>
      </w:r>
      <w:r>
        <w:rPr>
          <w:spacing w:val="-59"/>
        </w:rPr>
      </w:r>
      <w:r>
        <w:rPr/>
        <w:t>直接计入所有者权益。</w:t>
      </w:r>
    </w:p>
    <w:p>
      <w:pPr>
        <w:pStyle w:val="Heading7"/>
        <w:spacing w:line="391" w:lineRule="auto" w:before="98"/>
        <w:ind w:left="559" w:right="3772"/>
        <w:jc w:val="left"/>
      </w:pPr>
      <w:r>
        <w:rPr/>
        <w:t>（</w:t>
      </w:r>
      <w:r>
        <w:rPr>
          <w:rFonts w:ascii="宋体" w:hAnsi="宋体" w:cs="宋体" w:eastAsia="宋体" w:hint="default"/>
        </w:rPr>
        <w:t>2</w:t>
      </w:r>
      <w:r>
        <w:rPr/>
        <w:t>）金融负债</w:t>
      </w:r>
      <w:r>
        <w:rPr>
          <w:spacing w:val="-108"/>
        </w:rPr>
        <w:t> </w:t>
      </w:r>
      <w:r>
        <w:rPr>
          <w:spacing w:val="-108"/>
        </w:rPr>
      </w:r>
      <w:r>
        <w:rPr>
          <w:rFonts w:ascii="宋体" w:hAnsi="宋体" w:cs="宋体" w:eastAsia="宋体" w:hint="default"/>
          <w:spacing w:val="-1"/>
        </w:rPr>
        <w:t>1</w:t>
      </w:r>
      <w:r>
        <w:rPr>
          <w:spacing w:val="-1"/>
        </w:rPr>
        <w:t>）金融负债分类、确认依据和计量方法</w:t>
      </w:r>
    </w:p>
    <w:p>
      <w:pPr>
        <w:pStyle w:val="Heading7"/>
        <w:spacing w:line="240" w:lineRule="auto" w:before="41"/>
        <w:ind w:left="559" w:right="0"/>
        <w:jc w:val="left"/>
      </w:pPr>
      <w:r>
        <w:rPr>
          <w:spacing w:val="2"/>
        </w:rPr>
        <w:t>本集团的金融负债于初始确认时分类为以公允价值计量且其变动计入当期损益的</w:t>
      </w:r>
    </w:p>
    <w:p>
      <w:pPr>
        <w:spacing w:after="0" w:line="240" w:lineRule="auto"/>
        <w:jc w:val="left"/>
        <w:sectPr>
          <w:footerReference w:type="default" r:id="rId44"/>
          <w:pgSz w:w="11910" w:h="16840"/>
          <w:pgMar w:footer="980" w:header="881" w:top="1600" w:bottom="1160" w:left="1680" w:right="1420"/>
          <w:pgNumType w:start="19"/>
        </w:sectPr>
      </w:pPr>
    </w:p>
    <w:p>
      <w:pPr>
        <w:spacing w:line="240" w:lineRule="auto" w:before="3"/>
        <w:rPr>
          <w:rFonts w:ascii="宋体" w:hAnsi="宋体" w:cs="宋体" w:eastAsia="宋体" w:hint="default"/>
          <w:sz w:val="3"/>
          <w:szCs w:val="3"/>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88" w:lineRule="auto" w:before="0"/>
        <w:ind w:left="779" w:right="0" w:hanging="440"/>
        <w:jc w:val="left"/>
      </w:pPr>
      <w:r>
        <w:rPr/>
        <w:t>金融负债和其他金融负债。</w:t>
      </w:r>
      <w:r>
        <w:rPr>
          <w:w w:val="100"/>
        </w:rPr>
        <w:t> </w:t>
      </w:r>
      <w:r>
        <w:rPr>
          <w:spacing w:val="-3"/>
        </w:rPr>
        <w:t>以公允价值计量且其变动计入当期损益的金融负债，包括交易性金融负债和初始确</w:t>
      </w:r>
    </w:p>
    <w:p>
      <w:pPr>
        <w:pStyle w:val="Heading7"/>
        <w:spacing w:line="255" w:lineRule="exact" w:before="0"/>
        <w:ind w:left="340" w:right="0"/>
        <w:jc w:val="both"/>
      </w:pPr>
      <w:r>
        <w:rPr>
          <w:spacing w:val="-3"/>
        </w:rPr>
        <w:t>认时指定为以公允价值计量且其变动计入当期损益的金融负债，按照公允价值进行后续</w:t>
      </w:r>
    </w:p>
    <w:p>
      <w:pPr>
        <w:pStyle w:val="Heading7"/>
        <w:spacing w:line="324" w:lineRule="auto" w:before="103"/>
        <w:ind w:left="340" w:right="377"/>
        <w:jc w:val="both"/>
      </w:pPr>
      <w:r>
        <w:rPr>
          <w:spacing w:val="-3"/>
        </w:rPr>
        <w:t>计量，公允价值变动形成的利得或损失以及与该金融负债相关的股利和利息支出计入当</w:t>
      </w:r>
      <w:r>
        <w:rPr>
          <w:spacing w:val="-58"/>
        </w:rPr>
        <w:t> </w:t>
      </w:r>
      <w:r>
        <w:rPr>
          <w:spacing w:val="-58"/>
        </w:rPr>
      </w:r>
      <w:r>
        <w:rPr/>
        <w:t>期损益。</w:t>
      </w:r>
    </w:p>
    <w:p>
      <w:pPr>
        <w:pStyle w:val="Heading7"/>
        <w:spacing w:line="391" w:lineRule="auto" w:before="103"/>
        <w:ind w:left="779" w:right="0"/>
        <w:jc w:val="left"/>
      </w:pPr>
      <w:r>
        <w:rPr/>
        <w:t>其他金融负债采用实际利率法，按照摊余成本进行后续计量。</w:t>
      </w:r>
      <w:r>
        <w:rPr>
          <w:w w:val="100"/>
        </w:rPr>
        <w:t> </w:t>
      </w:r>
      <w:r>
        <w:rPr>
          <w:rFonts w:ascii="宋体" w:hAnsi="宋体" w:cs="宋体" w:eastAsia="宋体" w:hint="default"/>
        </w:rPr>
        <w:t>2</w:t>
      </w:r>
      <w:r>
        <w:rPr/>
        <w:t>）金融负债终止确认条件</w:t>
      </w:r>
      <w:r>
        <w:rPr>
          <w:w w:val="100"/>
        </w:rPr>
        <w:t> </w:t>
      </w:r>
      <w:r>
        <w:rPr>
          <w:spacing w:val="-3"/>
        </w:rPr>
        <w:t>当金融负债的现时义务全部或部分已经解除时，终止确认该金融负债或义务已解除</w:t>
      </w:r>
    </w:p>
    <w:p>
      <w:pPr>
        <w:pStyle w:val="Heading7"/>
        <w:spacing w:line="253" w:lineRule="exact" w:before="0"/>
        <w:ind w:left="340" w:right="0"/>
        <w:jc w:val="both"/>
      </w:pPr>
      <w:r>
        <w:rPr/>
        <w:t>的部分。终止确认部分的账面价值与支付的对价之间的差额，计入当期损益。</w:t>
      </w:r>
    </w:p>
    <w:p>
      <w:pPr>
        <w:pStyle w:val="Heading7"/>
        <w:spacing w:line="391" w:lineRule="auto" w:before="178"/>
        <w:ind w:left="779" w:right="0"/>
        <w:jc w:val="left"/>
      </w:pPr>
      <w:r>
        <w:rPr/>
        <w:t>（</w:t>
      </w:r>
      <w:r>
        <w:rPr>
          <w:rFonts w:ascii="宋体" w:hAnsi="宋体" w:cs="宋体" w:eastAsia="宋体" w:hint="default"/>
        </w:rPr>
        <w:t>3</w:t>
      </w:r>
      <w:r>
        <w:rPr/>
        <w:t>）金融资产和金融负债的公允价值确定方法</w:t>
      </w:r>
      <w:r>
        <w:rPr>
          <w:w w:val="100"/>
        </w:rPr>
        <w:t> </w:t>
      </w:r>
      <w:r>
        <w:rPr>
          <w:spacing w:val="2"/>
        </w:rPr>
        <w:t>本集团以主要市场的价格计量金融资产和金融负债的公允价值，不存在主要市场</w:t>
      </w:r>
    </w:p>
    <w:p>
      <w:pPr>
        <w:pStyle w:val="Heading7"/>
        <w:spacing w:line="253" w:lineRule="exact" w:before="0"/>
        <w:ind w:left="340" w:right="0"/>
        <w:jc w:val="both"/>
      </w:pPr>
      <w:r>
        <w:rPr>
          <w:spacing w:val="-3"/>
        </w:rPr>
        <w:t>的，以最有利市场的价格计量金融资产和金融负债的公允价值，并且采用当时适用并且</w:t>
      </w:r>
    </w:p>
    <w:p>
      <w:pPr>
        <w:pStyle w:val="Heading7"/>
        <w:spacing w:line="324" w:lineRule="auto" w:before="103"/>
        <w:ind w:left="340" w:right="375"/>
        <w:jc w:val="both"/>
      </w:pPr>
      <w:r>
        <w:rPr>
          <w:spacing w:val="-3"/>
        </w:rPr>
        <w:t>有足够可利用数据和其他信息支持的估值技术。公允价值计量所使用的输入值分为三个</w:t>
      </w:r>
      <w:r>
        <w:rPr>
          <w:spacing w:val="-57"/>
        </w:rPr>
        <w:t> </w:t>
      </w:r>
      <w:r>
        <w:rPr>
          <w:spacing w:val="-57"/>
        </w:rPr>
      </w:r>
      <w:r>
        <w:rPr>
          <w:spacing w:val="-3"/>
        </w:rPr>
        <w:t>层次，即第一层次输入值是计量日能够取得的相同资产或负债在活跃市场上未经调整的</w:t>
      </w:r>
      <w:r>
        <w:rPr>
          <w:spacing w:val="-58"/>
        </w:rPr>
        <w:t> </w:t>
      </w:r>
      <w:r>
        <w:rPr>
          <w:spacing w:val="-58"/>
        </w:rPr>
      </w:r>
      <w:r>
        <w:rPr>
          <w:spacing w:val="-3"/>
        </w:rPr>
        <w:t>报价；第二层次输入值是除第一层次输入值外相关资产或负债直接或间接可观察的输入</w:t>
      </w:r>
      <w:r>
        <w:rPr>
          <w:spacing w:val="-58"/>
        </w:rPr>
        <w:t> </w:t>
      </w:r>
      <w:r>
        <w:rPr>
          <w:spacing w:val="-58"/>
        </w:rPr>
      </w:r>
      <w:r>
        <w:rPr>
          <w:spacing w:val="-3"/>
        </w:rPr>
        <w:t>值；第三层次输入值是相关资产或负债的不可观察输入值。本集团优先使用第一层次输</w:t>
      </w:r>
      <w:r>
        <w:rPr>
          <w:spacing w:val="-59"/>
        </w:rPr>
        <w:t> </w:t>
      </w:r>
      <w:r>
        <w:rPr>
          <w:spacing w:val="-59"/>
        </w:rPr>
      </w:r>
      <w:r>
        <w:rPr>
          <w:spacing w:val="-3"/>
        </w:rPr>
        <w:t>入值，最后再使用第三层次输入值。上市公司权益性证券使用第一层次输入值，远期外</w:t>
      </w:r>
      <w:r>
        <w:rPr>
          <w:spacing w:val="-56"/>
        </w:rPr>
        <w:t> </w:t>
      </w:r>
      <w:r>
        <w:rPr>
          <w:spacing w:val="-56"/>
        </w:rPr>
      </w:r>
      <w:r>
        <w:rPr>
          <w:spacing w:val="-3"/>
        </w:rPr>
        <w:t>汇合约、期权合约、货币掉期合约和银行债券投资使用第二层次输入值，非上市股权投</w:t>
      </w:r>
      <w:r>
        <w:rPr>
          <w:spacing w:val="-59"/>
        </w:rPr>
        <w:t> </w:t>
      </w:r>
      <w:r>
        <w:rPr>
          <w:spacing w:val="-59"/>
        </w:rPr>
      </w:r>
      <w:r>
        <w:rPr>
          <w:spacing w:val="-3"/>
        </w:rPr>
        <w:t>资、或有对价和赎回期权使用第三层次输入值。公允价值计量结果所属的层次，由对公</w:t>
      </w:r>
      <w:r>
        <w:rPr>
          <w:spacing w:val="-56"/>
        </w:rPr>
        <w:t> </w:t>
      </w:r>
      <w:r>
        <w:rPr>
          <w:spacing w:val="-56"/>
        </w:rPr>
      </w:r>
      <w:r>
        <w:rPr/>
        <w:t>允价值计量整体而言具有重大意义的输入值所属的最低层次决定。</w:t>
      </w:r>
    </w:p>
    <w:p>
      <w:pPr>
        <w:pStyle w:val="Heading7"/>
        <w:spacing w:line="391" w:lineRule="auto" w:before="103"/>
        <w:ind w:left="779" w:right="0"/>
        <w:jc w:val="left"/>
      </w:pPr>
      <w:r>
        <w:rPr>
          <w:rFonts w:ascii="宋体" w:hAnsi="宋体" w:cs="宋体" w:eastAsia="宋体" w:hint="default"/>
        </w:rPr>
        <w:t>11</w:t>
      </w:r>
      <w:r>
        <w:rPr/>
        <w:t>、应收款项坏账准备</w:t>
      </w:r>
      <w:r>
        <w:rPr>
          <w:spacing w:val="-108"/>
        </w:rPr>
        <w:t> </w:t>
      </w:r>
      <w:r>
        <w:rPr>
          <w:spacing w:val="-108"/>
        </w:rPr>
      </w:r>
      <w:r>
        <w:rPr>
          <w:spacing w:val="-3"/>
        </w:rPr>
        <w:t>本集团将下列情形作为应收款项坏账损失确认标准：债务单位撤销、破产、资不抵</w:t>
      </w:r>
    </w:p>
    <w:p>
      <w:pPr>
        <w:pStyle w:val="Heading7"/>
        <w:spacing w:line="253" w:lineRule="exact" w:before="0"/>
        <w:ind w:left="340" w:right="0"/>
        <w:jc w:val="both"/>
      </w:pPr>
      <w:r>
        <w:rPr>
          <w:spacing w:val="-3"/>
        </w:rPr>
        <w:t>债、现金流量严重不足、发生严重自然灾害等导致停产而在可预见的时间内无法偿付债</w:t>
      </w:r>
    </w:p>
    <w:p>
      <w:pPr>
        <w:pStyle w:val="Heading7"/>
        <w:spacing w:line="326" w:lineRule="auto" w:before="101"/>
        <w:ind w:left="340" w:right="377"/>
        <w:jc w:val="both"/>
      </w:pPr>
      <w:r>
        <w:rPr>
          <w:spacing w:val="-3"/>
        </w:rPr>
        <w:t>务等；债务单位逾期未履行偿债义务超过</w:t>
      </w:r>
      <w:r>
        <w:rPr>
          <w:spacing w:val="-35"/>
        </w:rPr>
        <w:t> </w:t>
      </w:r>
      <w:r>
        <w:rPr>
          <w:rFonts w:ascii="宋体" w:hAnsi="宋体" w:cs="宋体" w:eastAsia="宋体" w:hint="default"/>
        </w:rPr>
        <w:t>3</w:t>
      </w:r>
      <w:r>
        <w:rPr>
          <w:rFonts w:ascii="宋体" w:hAnsi="宋体" w:cs="宋体" w:eastAsia="宋体" w:hint="default"/>
          <w:spacing w:val="-32"/>
        </w:rPr>
        <w:t> </w:t>
      </w:r>
      <w:r>
        <w:rPr>
          <w:spacing w:val="-3"/>
        </w:rPr>
        <w:t>年；其他确凿证据表明确实无法收回或收回</w:t>
      </w:r>
      <w:r>
        <w:rPr>
          <w:spacing w:val="-105"/>
        </w:rPr>
        <w:t> </w:t>
      </w:r>
      <w:r>
        <w:rPr>
          <w:spacing w:val="-105"/>
        </w:rPr>
      </w:r>
      <w:r>
        <w:rPr/>
        <w:t>的可能性不大。</w:t>
      </w:r>
    </w:p>
    <w:p>
      <w:pPr>
        <w:pStyle w:val="Heading7"/>
        <w:spacing w:line="326" w:lineRule="auto" w:before="98"/>
        <w:ind w:left="340" w:right="377" w:firstLine="439"/>
        <w:jc w:val="both"/>
      </w:pPr>
      <w:r>
        <w:rPr>
          <w:spacing w:val="-3"/>
        </w:rPr>
        <w:t>对可能发生的坏账损失采用备抵法核算，期末单独或按组合进行减值测试，计提坏</w:t>
      </w:r>
      <w:r>
        <w:rPr>
          <w:w w:val="100"/>
        </w:rPr>
        <w:t> </w:t>
      </w:r>
      <w:r>
        <w:rPr>
          <w:spacing w:val="-3"/>
        </w:rPr>
        <w:t>账准备，计入当期损益。对于有确凿证据表明确实无法收回的应收款项，经本集团按规</w:t>
      </w:r>
      <w:r>
        <w:rPr>
          <w:spacing w:val="-59"/>
        </w:rPr>
        <w:t> </w:t>
      </w:r>
      <w:r>
        <w:rPr>
          <w:spacing w:val="-59"/>
        </w:rPr>
      </w:r>
      <w:r>
        <w:rPr/>
        <w:t>定程序批准后作为坏账损失，冲销提取的坏账准备。</w:t>
      </w:r>
    </w:p>
    <w:p>
      <w:pPr>
        <w:pStyle w:val="Heading7"/>
        <w:spacing w:line="240" w:lineRule="auto" w:before="99"/>
        <w:ind w:left="779" w:right="0"/>
        <w:jc w:val="left"/>
      </w:pPr>
      <w:r>
        <w:rPr/>
        <w:t>（</w:t>
      </w:r>
      <w:r>
        <w:rPr>
          <w:rFonts w:ascii="宋体" w:hAnsi="宋体" w:cs="宋体" w:eastAsia="宋体" w:hint="default"/>
        </w:rPr>
        <w:t>1</w:t>
      </w:r>
      <w:r>
        <w:rPr/>
        <w:t>）单项金额重大并单独计提坏账准备的应收款项</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922"/>
        <w:gridCol w:w="4818"/>
      </w:tblGrid>
      <w:tr>
        <w:trPr>
          <w:trHeight w:val="679" w:hRule="exact"/>
        </w:trPr>
        <w:tc>
          <w:tcPr>
            <w:tcW w:w="3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万元的</w:t>
            </w:r>
            <w:r>
              <w:rPr>
                <w:rFonts w:ascii="宋体" w:hAnsi="宋体" w:cs="宋体" w:eastAsia="宋体" w:hint="default"/>
                <w:spacing w:val="-3"/>
                <w:sz w:val="18"/>
                <w:szCs w:val="18"/>
              </w:rPr>
              <w:t>应</w:t>
            </w:r>
            <w:r>
              <w:rPr>
                <w:rFonts w:ascii="宋体" w:hAnsi="宋体" w:cs="宋体" w:eastAsia="宋体" w:hint="default"/>
                <w:sz w:val="18"/>
                <w:szCs w:val="18"/>
              </w:rPr>
              <w:t>收帐款视为重大应收款项</w:t>
            </w:r>
            <w:r>
              <w:rPr>
                <w:rFonts w:ascii="宋体" w:hAnsi="宋体" w:cs="宋体" w:eastAsia="宋体" w:hint="default"/>
                <w:spacing w:val="-82"/>
                <w:sz w:val="18"/>
                <w:szCs w:val="18"/>
              </w:rPr>
              <w:t>，</w:t>
            </w:r>
            <w:r>
              <w:rPr>
                <w:rFonts w:ascii="宋体" w:hAnsi="宋体" w:cs="宋体" w:eastAsia="宋体" w:hint="default"/>
                <w:sz w:val="18"/>
                <w:szCs w:val="18"/>
              </w:rPr>
              <w:t>单</w:t>
            </w:r>
          </w:p>
          <w:p>
            <w:pPr>
              <w:pStyle w:val="TableParagraph"/>
              <w:spacing w:line="240" w:lineRule="auto" w:before="55"/>
              <w:ind w:left="105" w:right="0"/>
              <w:jc w:val="left"/>
              <w:rPr>
                <w:rFonts w:ascii="宋体" w:hAnsi="宋体" w:cs="宋体" w:eastAsia="宋体" w:hint="default"/>
                <w:sz w:val="18"/>
                <w:szCs w:val="18"/>
              </w:rPr>
            </w:pPr>
            <w:r>
              <w:rPr>
                <w:rFonts w:ascii="宋体" w:hAnsi="宋体" w:cs="宋体" w:eastAsia="宋体" w:hint="default"/>
                <w:sz w:val="18"/>
                <w:szCs w:val="18"/>
              </w:rPr>
              <w:t>项金额超过</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万元的其他应收款视为重大应收款项</w:t>
            </w:r>
          </w:p>
        </w:tc>
      </w:tr>
      <w:tr>
        <w:trPr>
          <w:trHeight w:val="682" w:hRule="exact"/>
        </w:trPr>
        <w:tc>
          <w:tcPr>
            <w:tcW w:w="3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818" w:type="dxa"/>
            <w:tcBorders>
              <w:top w:val="single" w:sz="2" w:space="0" w:color="000000"/>
              <w:left w:val="single" w:sz="2" w:space="0" w:color="000000"/>
              <w:bottom w:val="single" w:sz="12" w:space="0" w:color="000000"/>
              <w:right w:val="nil" w:sz="6" w:space="0" w:color="auto"/>
            </w:tcBorders>
          </w:tcPr>
          <w:p>
            <w:pPr>
              <w:pStyle w:val="TableParagraph"/>
              <w:spacing w:line="297" w:lineRule="auto" w:before="49"/>
              <w:ind w:left="105" w:right="109"/>
              <w:jc w:val="left"/>
              <w:rPr>
                <w:rFonts w:ascii="宋体" w:hAnsi="宋体" w:cs="宋体" w:eastAsia="宋体" w:hint="default"/>
                <w:sz w:val="18"/>
                <w:szCs w:val="18"/>
              </w:rPr>
            </w:pPr>
            <w:r>
              <w:rPr>
                <w:rFonts w:ascii="宋体" w:hAnsi="宋体" w:cs="宋体" w:eastAsia="宋体" w:hint="default"/>
                <w:spacing w:val="-4"/>
                <w:sz w:val="18"/>
                <w:szCs w:val="18"/>
              </w:rPr>
              <w:t>根据其未来现金流量现值低于其账面价值的差额，计提坏账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r>
    </w:tbl>
    <w:p>
      <w:pPr>
        <w:spacing w:after="0" w:line="297" w:lineRule="auto"/>
        <w:jc w:val="left"/>
        <w:rPr>
          <w:rFonts w:ascii="宋体" w:hAnsi="宋体" w:cs="宋体" w:eastAsia="宋体" w:hint="default"/>
          <w:sz w:val="18"/>
          <w:szCs w:val="18"/>
        </w:rPr>
        <w:sectPr>
          <w:pgSz w:w="11910" w:h="16840"/>
          <w:pgMar w:header="881" w:footer="980" w:top="1600" w:bottom="1160" w:left="1460" w:right="1420"/>
        </w:sectPr>
      </w:pPr>
    </w:p>
    <w:p>
      <w:pPr>
        <w:spacing w:line="240" w:lineRule="auto" w:before="3"/>
        <w:rPr>
          <w:rFonts w:ascii="宋体" w:hAnsi="宋体" w:cs="宋体" w:eastAsia="宋体" w:hint="default"/>
          <w:sz w:val="3"/>
          <w:szCs w:val="3"/>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779" w:right="0"/>
        <w:jc w:val="left"/>
      </w:pPr>
      <w:r>
        <w:rPr/>
        <w:t>（</w:t>
      </w:r>
      <w:r>
        <w:rPr>
          <w:rFonts w:ascii="宋体" w:hAnsi="宋体" w:cs="宋体" w:eastAsia="宋体" w:hint="default"/>
        </w:rPr>
        <w:t>2</w:t>
      </w:r>
      <w:r>
        <w:rPr/>
        <w:t>）按信用风险特征组合计提坏账准备的应收款项</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3922"/>
        <w:gridCol w:w="4818"/>
      </w:tblGrid>
      <w:tr>
        <w:trPr>
          <w:trHeight w:val="487" w:hRule="exact"/>
        </w:trPr>
        <w:tc>
          <w:tcPr>
            <w:tcW w:w="8740" w:type="dxa"/>
            <w:gridSpan w:val="2"/>
            <w:tcBorders>
              <w:top w:val="single" w:sz="12" w:space="0" w:color="000000"/>
              <w:left w:val="nil" w:sz="6" w:space="0" w:color="auto"/>
              <w:bottom w:val="single" w:sz="2" w:space="0" w:color="000000"/>
              <w:right w:val="nil" w:sz="6" w:space="0" w:color="auto"/>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485" w:hRule="exact"/>
        </w:trPr>
        <w:tc>
          <w:tcPr>
            <w:tcW w:w="3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t>采用账龄分析法的应收款项坏账准备计提比例如下：</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525"/>
        <w:gridCol w:w="3108"/>
        <w:gridCol w:w="3106"/>
      </w:tblGrid>
      <w:tr>
        <w:trPr>
          <w:trHeight w:val="389" w:hRule="exact"/>
        </w:trPr>
        <w:tc>
          <w:tcPr>
            <w:tcW w:w="25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2-5</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2-5</w:t>
            </w:r>
          </w:p>
        </w:tc>
      </w:tr>
      <w:tr>
        <w:trPr>
          <w:trHeight w:val="37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w:t>
            </w:r>
          </w:p>
        </w:tc>
      </w:tr>
      <w:tr>
        <w:trPr>
          <w:trHeight w:val="37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30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30</w:t>
            </w:r>
          </w:p>
        </w:tc>
      </w:tr>
      <w:tr>
        <w:trPr>
          <w:trHeight w:val="377"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60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60</w:t>
            </w:r>
          </w:p>
        </w:tc>
      </w:tr>
      <w:tr>
        <w:trPr>
          <w:trHeight w:val="375"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80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80</w:t>
            </w:r>
          </w:p>
        </w:tc>
      </w:tr>
      <w:tr>
        <w:trPr>
          <w:trHeight w:val="386" w:hRule="exact"/>
        </w:trPr>
        <w:tc>
          <w:tcPr>
            <w:tcW w:w="25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w:t>
            </w:r>
          </w:p>
        </w:tc>
        <w:tc>
          <w:tcPr>
            <w:tcW w:w="3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4"/>
          <w:szCs w:val="4"/>
        </w:rPr>
      </w:pPr>
    </w:p>
    <w:p>
      <w:pPr>
        <w:pStyle w:val="Heading7"/>
        <w:spacing w:line="326" w:lineRule="auto"/>
        <w:ind w:left="340" w:right="373" w:firstLine="439"/>
        <w:jc w:val="both"/>
      </w:pPr>
      <w:r>
        <w:rPr/>
        <w:t>本集团对</w:t>
      </w:r>
      <w:r>
        <w:rPr>
          <w:spacing w:val="-51"/>
        </w:rPr>
        <w:t> </w:t>
      </w:r>
      <w:r>
        <w:rPr>
          <w:rFonts w:ascii="宋体" w:hAnsi="宋体" w:cs="宋体" w:eastAsia="宋体" w:hint="default"/>
        </w:rPr>
        <w:t>90</w:t>
      </w:r>
      <w:r>
        <w:rPr>
          <w:rFonts w:ascii="宋体" w:hAnsi="宋体" w:cs="宋体" w:eastAsia="宋体" w:hint="default"/>
          <w:spacing w:val="-49"/>
        </w:rPr>
        <w:t> </w:t>
      </w:r>
      <w:r>
        <w:rPr/>
        <w:t>天以内的应收款项不计提坏账准备，</w:t>
      </w:r>
      <w:r>
        <w:rPr>
          <w:rFonts w:ascii="宋体" w:hAnsi="宋体" w:cs="宋体" w:eastAsia="宋体" w:hint="default"/>
        </w:rPr>
        <w:t>91</w:t>
      </w:r>
      <w:r>
        <w:rPr>
          <w:rFonts w:ascii="宋体" w:hAnsi="宋体" w:cs="宋体" w:eastAsia="宋体" w:hint="default"/>
          <w:spacing w:val="-49"/>
        </w:rPr>
        <w:t> </w:t>
      </w:r>
      <w:r>
        <w:rPr/>
        <w:t>至</w:t>
      </w:r>
      <w:r>
        <w:rPr>
          <w:spacing w:val="-49"/>
        </w:rPr>
        <w:t> </w:t>
      </w:r>
      <w:r>
        <w:rPr>
          <w:rFonts w:ascii="宋体" w:hAnsi="宋体" w:cs="宋体" w:eastAsia="宋体" w:hint="default"/>
        </w:rPr>
        <w:t>180</w:t>
      </w:r>
      <w:r>
        <w:rPr>
          <w:rFonts w:ascii="宋体" w:hAnsi="宋体" w:cs="宋体" w:eastAsia="宋体" w:hint="default"/>
          <w:spacing w:val="-49"/>
        </w:rPr>
        <w:t> </w:t>
      </w:r>
      <w:r>
        <w:rPr/>
        <w:t>天以内、</w:t>
      </w:r>
      <w:r>
        <w:rPr>
          <w:rFonts w:ascii="宋体" w:hAnsi="宋体" w:cs="宋体" w:eastAsia="宋体" w:hint="default"/>
        </w:rPr>
        <w:t>181</w:t>
      </w:r>
      <w:r>
        <w:rPr>
          <w:rFonts w:ascii="宋体" w:hAnsi="宋体" w:cs="宋体" w:eastAsia="宋体" w:hint="default"/>
          <w:spacing w:val="-51"/>
        </w:rPr>
        <w:t> </w:t>
      </w:r>
      <w:r>
        <w:rPr/>
        <w:t>至</w:t>
      </w:r>
      <w:r>
        <w:rPr>
          <w:spacing w:val="-49"/>
        </w:rPr>
        <w:t> </w:t>
      </w:r>
      <w:r>
        <w:rPr>
          <w:rFonts w:ascii="宋体" w:hAnsi="宋体" w:cs="宋体" w:eastAsia="宋体" w:hint="default"/>
        </w:rPr>
        <w:t>365</w:t>
      </w:r>
      <w:r>
        <w:rPr>
          <w:rFonts w:ascii="宋体" w:hAnsi="宋体" w:cs="宋体" w:eastAsia="宋体" w:hint="default"/>
          <w:spacing w:val="-49"/>
        </w:rPr>
        <w:t> </w:t>
      </w:r>
      <w:r>
        <w:rPr/>
        <w:t>天</w:t>
      </w:r>
      <w:r>
        <w:rPr>
          <w:w w:val="100"/>
        </w:rPr>
        <w:t> </w:t>
      </w:r>
      <w:r>
        <w:rPr/>
        <w:t>以内的应收款项分别以</w:t>
      </w:r>
      <w:r>
        <w:rPr>
          <w:spacing w:val="49"/>
        </w:rPr>
        <w:t> </w:t>
      </w:r>
      <w:r>
        <w:rPr>
          <w:rFonts w:ascii="宋体" w:hAnsi="宋体" w:cs="宋体" w:eastAsia="宋体" w:hint="default"/>
        </w:rPr>
        <w:t>2%</w:t>
      </w:r>
      <w:r>
        <w:rPr/>
        <w:t>、</w:t>
      </w:r>
      <w:r>
        <w:rPr>
          <w:rFonts w:ascii="宋体" w:hAnsi="宋体" w:cs="宋体" w:eastAsia="宋体" w:hint="default"/>
        </w:rPr>
        <w:t>5%</w:t>
      </w:r>
      <w:r>
        <w:rPr/>
        <w:t>提取应收款项坏账准备。另外，对于应收账款中账龄在</w:t>
      </w:r>
      <w:r>
        <w:rPr>
          <w:spacing w:val="-105"/>
        </w:rPr>
        <w:t> </w:t>
      </w:r>
      <w:r>
        <w:rPr>
          <w:spacing w:val="-105"/>
        </w:rPr>
      </w:r>
      <w:r>
        <w:rPr>
          <w:rFonts w:ascii="宋体" w:hAnsi="宋体" w:cs="宋体" w:eastAsia="宋体" w:hint="default"/>
        </w:rPr>
        <w:t>181</w:t>
      </w:r>
      <w:r>
        <w:rPr>
          <w:rFonts w:ascii="宋体" w:hAnsi="宋体" w:cs="宋体" w:eastAsia="宋体" w:hint="default"/>
          <w:spacing w:val="-57"/>
        </w:rPr>
        <w:t> </w:t>
      </w:r>
      <w:r>
        <w:rPr/>
        <w:t>至</w:t>
      </w:r>
      <w:r>
        <w:rPr>
          <w:spacing w:val="-57"/>
        </w:rPr>
        <w:t> </w:t>
      </w:r>
      <w:r>
        <w:rPr>
          <w:rFonts w:ascii="宋体" w:hAnsi="宋体" w:cs="宋体" w:eastAsia="宋体" w:hint="default"/>
        </w:rPr>
        <w:t>365</w:t>
      </w:r>
      <w:r>
        <w:rPr>
          <w:rFonts w:ascii="宋体" w:hAnsi="宋体" w:cs="宋体" w:eastAsia="宋体" w:hint="default"/>
          <w:spacing w:val="-57"/>
        </w:rPr>
        <w:t> </w:t>
      </w:r>
      <w:r>
        <w:rPr/>
        <w:t>天并且在半年以上无还款记录的部分，将应收款项坏账准备的计提比例提高</w:t>
      </w:r>
      <w:r>
        <w:rPr>
          <w:w w:val="100"/>
        </w:rPr>
        <w:t> </w:t>
      </w:r>
      <w:r>
        <w:rPr/>
        <w:t>至</w:t>
      </w:r>
      <w:r>
        <w:rPr>
          <w:spacing w:val="-56"/>
        </w:rPr>
        <w:t> </w:t>
      </w:r>
      <w:r>
        <w:rPr>
          <w:rFonts w:ascii="宋体" w:hAnsi="宋体" w:cs="宋体" w:eastAsia="宋体" w:hint="default"/>
        </w:rPr>
        <w:t>50%</w:t>
      </w:r>
      <w:r>
        <w:rPr/>
        <w:t>；对于账龄超过</w:t>
      </w:r>
      <w:r>
        <w:rPr>
          <w:spacing w:val="-56"/>
        </w:rPr>
        <w:t> </w:t>
      </w:r>
      <w:r>
        <w:rPr>
          <w:rFonts w:ascii="宋体" w:hAnsi="宋体" w:cs="宋体" w:eastAsia="宋体" w:hint="default"/>
        </w:rPr>
        <w:t>365</w:t>
      </w:r>
      <w:r>
        <w:rPr>
          <w:rFonts w:ascii="宋体" w:hAnsi="宋体" w:cs="宋体" w:eastAsia="宋体" w:hint="default"/>
          <w:spacing w:val="-56"/>
        </w:rPr>
        <w:t> </w:t>
      </w:r>
      <w:r>
        <w:rPr/>
        <w:t>天并且在一年以上无还款记录的部分，将坏账准备的计提比</w:t>
      </w:r>
      <w:r>
        <w:rPr>
          <w:w w:val="100"/>
        </w:rPr>
        <w:t> </w:t>
      </w:r>
      <w:r>
        <w:rPr/>
        <w:t>例提高至</w:t>
      </w:r>
      <w:r>
        <w:rPr>
          <w:spacing w:val="-53"/>
        </w:rPr>
        <w:t> </w:t>
      </w:r>
      <w:r>
        <w:rPr>
          <w:rFonts w:ascii="宋体" w:hAnsi="宋体" w:cs="宋体" w:eastAsia="宋体" w:hint="default"/>
        </w:rPr>
        <w:t>100%</w:t>
      </w:r>
      <w:r>
        <w:rPr/>
        <w:t>。</w:t>
      </w:r>
    </w:p>
    <w:p>
      <w:pPr>
        <w:pStyle w:val="Heading7"/>
        <w:spacing w:line="240" w:lineRule="auto" w:before="98"/>
        <w:ind w:left="779" w:right="0"/>
        <w:jc w:val="left"/>
      </w:pPr>
      <w:r>
        <w:rPr/>
        <w:t>（</w:t>
      </w:r>
      <w:r>
        <w:rPr>
          <w:rFonts w:ascii="宋体" w:hAnsi="宋体" w:cs="宋体" w:eastAsia="宋体" w:hint="default"/>
        </w:rPr>
        <w:t>3</w:t>
      </w:r>
      <w:r>
        <w:rPr/>
        <w:t>）单项金额不重大但单独计提坏账准备的应收款项</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922"/>
        <w:gridCol w:w="4818"/>
      </w:tblGrid>
      <w:tr>
        <w:trPr>
          <w:trHeight w:val="682" w:hRule="exact"/>
        </w:trPr>
        <w:tc>
          <w:tcPr>
            <w:tcW w:w="3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818"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51"/>
              <w:ind w:left="105" w:right="110"/>
              <w:jc w:val="left"/>
              <w:rPr>
                <w:rFonts w:ascii="宋体" w:hAnsi="宋体" w:cs="宋体" w:eastAsia="宋体" w:hint="default"/>
                <w:sz w:val="18"/>
                <w:szCs w:val="18"/>
              </w:rPr>
            </w:pPr>
            <w:r>
              <w:rPr>
                <w:rFonts w:ascii="宋体" w:hAnsi="宋体" w:cs="宋体" w:eastAsia="宋体" w:hint="default"/>
                <w:spacing w:val="3"/>
                <w:sz w:val="18"/>
                <w:szCs w:val="18"/>
              </w:rPr>
              <w:t>单项金额不重大且按照组合计提坏账准备不能反映其风险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特征的应收款项</w:t>
            </w:r>
          </w:p>
        </w:tc>
      </w:tr>
      <w:tr>
        <w:trPr>
          <w:trHeight w:val="680" w:hRule="exact"/>
        </w:trPr>
        <w:tc>
          <w:tcPr>
            <w:tcW w:w="3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818" w:type="dxa"/>
            <w:tcBorders>
              <w:top w:val="single" w:sz="2" w:space="0" w:color="000000"/>
              <w:left w:val="single" w:sz="2" w:space="0" w:color="000000"/>
              <w:bottom w:val="single" w:sz="12" w:space="0" w:color="000000"/>
              <w:right w:val="nil" w:sz="6" w:space="0" w:color="auto"/>
            </w:tcBorders>
          </w:tcPr>
          <w:p>
            <w:pPr>
              <w:pStyle w:val="TableParagraph"/>
              <w:spacing w:line="295" w:lineRule="auto" w:before="49"/>
              <w:ind w:left="105" w:right="109"/>
              <w:jc w:val="left"/>
              <w:rPr>
                <w:rFonts w:ascii="宋体" w:hAnsi="宋体" w:cs="宋体" w:eastAsia="宋体" w:hint="default"/>
                <w:sz w:val="18"/>
                <w:szCs w:val="18"/>
              </w:rPr>
            </w:pPr>
            <w:r>
              <w:rPr>
                <w:rFonts w:ascii="宋体" w:hAnsi="宋体" w:cs="宋体" w:eastAsia="宋体" w:hint="default"/>
                <w:spacing w:val="-4"/>
                <w:sz w:val="18"/>
                <w:szCs w:val="18"/>
              </w:rPr>
              <w:t>根据其未来现金流量现值低于其账面价值的差额，计提坏账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r>
    </w:tbl>
    <w:p>
      <w:pPr>
        <w:spacing w:line="240" w:lineRule="auto" w:before="8"/>
        <w:rPr>
          <w:rFonts w:ascii="宋体" w:hAnsi="宋体" w:cs="宋体" w:eastAsia="宋体" w:hint="default"/>
          <w:sz w:val="4"/>
          <w:szCs w:val="4"/>
        </w:rPr>
      </w:pPr>
    </w:p>
    <w:p>
      <w:pPr>
        <w:pStyle w:val="Heading7"/>
        <w:spacing w:line="391" w:lineRule="auto"/>
        <w:ind w:left="779" w:right="1474"/>
        <w:jc w:val="left"/>
      </w:pPr>
      <w:r>
        <w:rPr>
          <w:rFonts w:ascii="宋体" w:hAnsi="宋体" w:cs="宋体" w:eastAsia="宋体" w:hint="default"/>
        </w:rPr>
        <w:t>12</w:t>
      </w:r>
      <w:r>
        <w:rPr/>
        <w:t>、存货</w:t>
      </w:r>
      <w:r>
        <w:rPr>
          <w:spacing w:val="-107"/>
        </w:rPr>
        <w:t> </w:t>
      </w:r>
      <w:r>
        <w:rPr>
          <w:spacing w:val="-1"/>
        </w:rPr>
        <w:t>本集团存货主要包括原材料、产成品、在产品、库存商品等。</w:t>
      </w:r>
    </w:p>
    <w:p>
      <w:pPr>
        <w:pStyle w:val="Heading7"/>
        <w:spacing w:line="324" w:lineRule="auto" w:before="41"/>
        <w:ind w:left="340" w:right="377" w:firstLine="439"/>
        <w:jc w:val="both"/>
      </w:pPr>
      <w:r>
        <w:rPr>
          <w:spacing w:val="-3"/>
        </w:rPr>
        <w:t>存货实行永续盘存制，存货在取得时按实际成本计价；领用或发出存货，采用标准</w:t>
      </w:r>
      <w:r>
        <w:rPr>
          <w:w w:val="100"/>
        </w:rPr>
        <w:t> </w:t>
      </w:r>
      <w:r>
        <w:rPr>
          <w:spacing w:val="-3"/>
        </w:rPr>
        <w:t>成本核算，月末按成本差异率将标准成本调整为实际成本。低值易耗品和包装物采用一</w:t>
      </w:r>
      <w:r>
        <w:rPr>
          <w:spacing w:val="-59"/>
        </w:rPr>
        <w:t> </w:t>
      </w:r>
      <w:r>
        <w:rPr>
          <w:spacing w:val="-59"/>
        </w:rPr>
      </w:r>
      <w:r>
        <w:rPr/>
        <w:t>次转销法进行摊销。</w:t>
      </w:r>
    </w:p>
    <w:p>
      <w:pPr>
        <w:pStyle w:val="Heading7"/>
        <w:spacing w:line="326" w:lineRule="auto" w:before="103"/>
        <w:ind w:left="340" w:right="377" w:firstLine="439"/>
        <w:jc w:val="both"/>
      </w:pPr>
      <w:r>
        <w:rPr>
          <w:spacing w:val="-3"/>
        </w:rPr>
        <w:t>库存商品、在产品和用于出售的材料等直接用于出售的商品存货，其可变现净值按</w:t>
      </w:r>
      <w:r>
        <w:rPr>
          <w:w w:val="100"/>
        </w:rPr>
        <w:t> </w:t>
      </w:r>
      <w:r>
        <w:rPr>
          <w:spacing w:val="-3"/>
        </w:rPr>
        <w:t>该存货的估计售价减去估计的销售费用和相关税费后的金额确定；用于生产而持有的材</w:t>
      </w:r>
      <w:r>
        <w:rPr>
          <w:spacing w:val="-57"/>
        </w:rPr>
        <w:t> </w:t>
      </w:r>
      <w:r>
        <w:rPr>
          <w:spacing w:val="-57"/>
        </w:rPr>
      </w:r>
      <w:r>
        <w:rPr>
          <w:spacing w:val="2"/>
        </w:rPr>
        <w:t>料存货，其可变现净值按所生产的产成品的估计售价减去至完工时估计将要发生的成</w:t>
      </w:r>
      <w:r>
        <w:rPr>
          <w:spacing w:val="-39"/>
        </w:rPr>
        <w:t> </w:t>
      </w:r>
      <w:r>
        <w:rPr>
          <w:spacing w:val="-39"/>
        </w:rPr>
      </w:r>
      <w:r>
        <w:rPr>
          <w:spacing w:val="-3"/>
        </w:rPr>
        <w:t>本、估计的销售费用和相关税费后的金额确定。为执行销售合同或者劳务合同而持有的</w:t>
      </w:r>
      <w:r>
        <w:rPr>
          <w:spacing w:val="-59"/>
        </w:rPr>
        <w:t> </w:t>
      </w:r>
      <w:r>
        <w:rPr>
          <w:spacing w:val="-59"/>
        </w:rPr>
      </w:r>
      <w:r>
        <w:rPr>
          <w:spacing w:val="-3"/>
        </w:rPr>
        <w:t>存货，其可变现净值以合同价格为基础计算；本集团持有存货的数量多于销售合同订购</w:t>
      </w:r>
      <w:r>
        <w:rPr>
          <w:spacing w:val="-57"/>
        </w:rPr>
        <w:t> </w:t>
      </w:r>
      <w:r>
        <w:rPr>
          <w:spacing w:val="-57"/>
        </w:rPr>
      </w:r>
      <w:r>
        <w:rPr/>
        <w:t>数量的，超出部分的存货可变现净值以一般销售价格为基础计算。</w:t>
      </w:r>
    </w:p>
    <w:p>
      <w:pPr>
        <w:pStyle w:val="Heading7"/>
        <w:spacing w:line="240" w:lineRule="auto" w:before="98"/>
        <w:ind w:left="779" w:right="0"/>
        <w:jc w:val="left"/>
      </w:pPr>
      <w:r>
        <w:rPr>
          <w:rFonts w:ascii="宋体" w:hAnsi="宋体" w:cs="宋体" w:eastAsia="宋体" w:hint="default"/>
        </w:rPr>
        <w:t>13</w:t>
      </w:r>
      <w:r>
        <w:rPr/>
        <w:t>、长期股权投资</w:t>
      </w:r>
    </w:p>
    <w:p>
      <w:pPr>
        <w:spacing w:after="0" w:line="240" w:lineRule="auto"/>
        <w:jc w:val="left"/>
        <w:sectPr>
          <w:pgSz w:w="11910" w:h="16840"/>
          <w:pgMar w:header="881" w:footer="980" w:top="1600" w:bottom="1160" w:left="146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right="377" w:firstLine="439"/>
        <w:jc w:val="both"/>
      </w:pPr>
      <w:r>
        <w:rPr>
          <w:spacing w:val="-3"/>
        </w:rPr>
        <w:t>本集团长期股权投资主要是对子公司的投资、对联营企业的投资和对合营企业的投</w:t>
      </w:r>
      <w:r>
        <w:rPr>
          <w:w w:val="100"/>
        </w:rPr>
        <w:t> </w:t>
      </w:r>
      <w:r>
        <w:rPr/>
        <w:t>资。</w:t>
      </w:r>
    </w:p>
    <w:p>
      <w:pPr>
        <w:pStyle w:val="Heading7"/>
        <w:spacing w:line="326" w:lineRule="auto" w:before="101"/>
        <w:ind w:right="377" w:firstLine="439"/>
        <w:jc w:val="both"/>
      </w:pPr>
      <w:r>
        <w:rPr>
          <w:spacing w:val="-3"/>
        </w:rPr>
        <w:t>本集团对共同控制的判断依据是所有参与方或参与方组合集体控制该安排，并且该</w:t>
      </w:r>
      <w:r>
        <w:rPr>
          <w:w w:val="100"/>
        </w:rPr>
        <w:t> </w:t>
      </w:r>
      <w:r>
        <w:rPr/>
        <w:t>安排相关活动的政策必须经过这些集体控制该安排的参与方一致同意。</w:t>
      </w:r>
    </w:p>
    <w:p>
      <w:pPr>
        <w:pStyle w:val="Heading7"/>
        <w:spacing w:line="326" w:lineRule="auto" w:before="98"/>
        <w:ind w:right="0" w:firstLine="439"/>
        <w:jc w:val="left"/>
      </w:pPr>
      <w:r>
        <w:rPr/>
        <w:t>本集团直接或通过子公司间接拥有被投资单位 </w:t>
      </w:r>
      <w:r>
        <w:rPr>
          <w:rFonts w:ascii="宋体" w:hAnsi="宋体" w:cs="宋体" w:eastAsia="宋体" w:hint="default"/>
        </w:rPr>
        <w:t>20%</w:t>
      </w:r>
      <w:r>
        <w:rPr/>
        <w:t>（含）以上但低于</w:t>
      </w:r>
      <w:r>
        <w:rPr>
          <w:spacing w:val="-57"/>
        </w:rPr>
        <w:t> </w:t>
      </w:r>
      <w:r>
        <w:rPr>
          <w:rFonts w:ascii="宋体" w:hAnsi="宋体" w:cs="宋体" w:eastAsia="宋体" w:hint="default"/>
        </w:rPr>
        <w:t>50%</w:t>
      </w:r>
      <w:r>
        <w:rPr/>
        <w:t>的表决权</w:t>
      </w:r>
      <w:r>
        <w:rPr>
          <w:w w:val="100"/>
        </w:rPr>
        <w:t> </w:t>
      </w:r>
      <w:r>
        <w:rPr/>
        <w:t>时，通常认为对被投资单位具有重大影响。持有被投资单位</w:t>
      </w:r>
      <w:r>
        <w:rPr>
          <w:spacing w:val="-56"/>
        </w:rPr>
        <w:t> </w:t>
      </w:r>
      <w:r>
        <w:rPr>
          <w:rFonts w:ascii="宋体" w:hAnsi="宋体" w:cs="宋体" w:eastAsia="宋体" w:hint="default"/>
        </w:rPr>
        <w:t>20%</w:t>
      </w:r>
      <w:r>
        <w:rPr/>
        <w:t>以下表决权的，还需要</w:t>
      </w:r>
      <w:r>
        <w:rPr>
          <w:w w:val="100"/>
        </w:rPr>
        <w:t> </w:t>
      </w:r>
      <w:r>
        <w:rPr>
          <w:spacing w:val="-3"/>
        </w:rPr>
        <w:t>综合考虑在被投资单位的董事会或类似权力机构中派有代表、或参与被投资单位财务和</w:t>
      </w:r>
      <w:r>
        <w:rPr>
          <w:spacing w:val="-58"/>
        </w:rPr>
        <w:t> </w:t>
      </w:r>
      <w:r>
        <w:rPr>
          <w:spacing w:val="-58"/>
        </w:rPr>
      </w:r>
      <w:r>
        <w:rPr>
          <w:spacing w:val="-6"/>
        </w:rPr>
        <w:t>经营政策制定过程、或与被投资单位之间发生重要交易、或向被投资单位派出管理人员、</w:t>
      </w:r>
      <w:r>
        <w:rPr>
          <w:spacing w:val="-48"/>
        </w:rPr>
        <w:t> </w:t>
      </w:r>
      <w:r>
        <w:rPr>
          <w:spacing w:val="-48"/>
        </w:rPr>
      </w:r>
      <w:r>
        <w:rPr/>
        <w:t>或向被投资单位提供关键技术资料等事实和情况判断对被投资单位具有重大影响。</w:t>
      </w:r>
    </w:p>
    <w:p>
      <w:pPr>
        <w:pStyle w:val="Heading7"/>
        <w:spacing w:line="326" w:lineRule="auto" w:before="98"/>
        <w:ind w:right="376" w:firstLine="439"/>
        <w:jc w:val="both"/>
      </w:pPr>
      <w:r>
        <w:rPr>
          <w:spacing w:val="-3"/>
        </w:rPr>
        <w:t>对被投资单位形成控制的，为本集团的子公司。通过同一控制下的企业合并取得的</w:t>
      </w:r>
      <w:r>
        <w:rPr>
          <w:w w:val="100"/>
        </w:rPr>
        <w:t> </w:t>
      </w:r>
      <w:r>
        <w:rPr>
          <w:spacing w:val="-3"/>
        </w:rPr>
        <w:t>长期股权投资，在合并日按照取得被合并方在最终控制方合并报表中净资产的账面价值</w:t>
      </w:r>
      <w:r>
        <w:rPr>
          <w:spacing w:val="-58"/>
        </w:rPr>
        <w:t> </w:t>
      </w:r>
      <w:r>
        <w:rPr>
          <w:spacing w:val="-58"/>
        </w:rPr>
      </w:r>
      <w:r>
        <w:rPr>
          <w:spacing w:val="-3"/>
        </w:rPr>
        <w:t>的份额作为长期股权投资的初始投资成本。被合并方在合并日的净资产账面价值为负数</w:t>
      </w:r>
      <w:r>
        <w:rPr>
          <w:spacing w:val="-58"/>
        </w:rPr>
        <w:t> </w:t>
      </w:r>
      <w:r>
        <w:rPr>
          <w:spacing w:val="-58"/>
        </w:rPr>
      </w:r>
      <w:r>
        <w:rPr/>
        <w:t>的，长期股权投资成本按零确定。</w:t>
      </w:r>
    </w:p>
    <w:p>
      <w:pPr>
        <w:pStyle w:val="Heading7"/>
        <w:spacing w:line="326" w:lineRule="auto" w:before="101"/>
        <w:ind w:right="381" w:firstLine="439"/>
        <w:jc w:val="both"/>
      </w:pPr>
      <w:r>
        <w:rPr>
          <w:spacing w:val="2"/>
        </w:rPr>
        <w:t>通过非同一控制下的企业合并取得的长期股权投资，以合并成本作为初始投资成</w:t>
      </w:r>
      <w:r>
        <w:rPr>
          <w:w w:val="100"/>
        </w:rPr>
        <w:t> </w:t>
      </w:r>
      <w:r>
        <w:rPr/>
        <w:t>本。</w:t>
      </w:r>
    </w:p>
    <w:p>
      <w:pPr>
        <w:pStyle w:val="Heading7"/>
        <w:spacing w:line="326" w:lineRule="auto" w:before="98"/>
        <w:ind w:right="377" w:firstLine="439"/>
        <w:jc w:val="both"/>
      </w:pPr>
      <w:r>
        <w:rPr>
          <w:spacing w:val="-3"/>
        </w:rPr>
        <w:t>除上述通过企业合并取得的长期股权投资外，以支付现金取得的长期股权投资，按</w:t>
      </w:r>
      <w:r>
        <w:rPr>
          <w:w w:val="100"/>
        </w:rPr>
        <w:t> </w:t>
      </w:r>
      <w:r>
        <w:rPr>
          <w:spacing w:val="-3"/>
        </w:rPr>
        <w:t>照实际支付的购买价款作为投资成本；以发行权益性证券取得的长期股权投资，按照发</w:t>
      </w:r>
      <w:r>
        <w:rPr>
          <w:spacing w:val="-58"/>
        </w:rPr>
        <w:t> </w:t>
      </w:r>
      <w:r>
        <w:rPr>
          <w:spacing w:val="-58"/>
        </w:rPr>
      </w:r>
      <w:r>
        <w:rPr>
          <w:spacing w:val="-3"/>
        </w:rPr>
        <w:t>行权益性证券的公允价值作为投资成本；投资者投入的长期股权投资，按照投资合同或</w:t>
      </w:r>
      <w:r>
        <w:rPr>
          <w:spacing w:val="-58"/>
        </w:rPr>
        <w:t> </w:t>
      </w:r>
      <w:r>
        <w:rPr>
          <w:spacing w:val="-58"/>
        </w:rPr>
      </w:r>
      <w:r>
        <w:rPr/>
        <w:t>协议约定的价值作为投资成本。</w:t>
      </w:r>
    </w:p>
    <w:p>
      <w:pPr>
        <w:pStyle w:val="Heading7"/>
        <w:spacing w:line="326" w:lineRule="auto" w:before="101"/>
        <w:ind w:right="381" w:firstLine="439"/>
        <w:jc w:val="both"/>
      </w:pPr>
      <w:r>
        <w:rPr>
          <w:spacing w:val="2"/>
        </w:rPr>
        <w:t>本集团对子公司投资采用成本法核算，对合营企业及联营企业投资采用权益法核</w:t>
      </w:r>
      <w:r>
        <w:rPr>
          <w:w w:val="100"/>
        </w:rPr>
        <w:t> </w:t>
      </w:r>
      <w:r>
        <w:rPr/>
        <w:t>算。</w:t>
      </w:r>
    </w:p>
    <w:p>
      <w:pPr>
        <w:pStyle w:val="Heading7"/>
        <w:spacing w:line="326" w:lineRule="auto" w:before="98"/>
        <w:ind w:right="377" w:firstLine="439"/>
        <w:jc w:val="both"/>
      </w:pPr>
      <w:r>
        <w:rPr>
          <w:spacing w:val="-3"/>
        </w:rPr>
        <w:t>后续计量采用成本法核算的长期股权投资，在追加投资时，按照追加投资支付的成</w:t>
      </w:r>
      <w:r>
        <w:rPr>
          <w:w w:val="100"/>
        </w:rPr>
        <w:t> </w:t>
      </w:r>
      <w:r>
        <w:rPr>
          <w:spacing w:val="-3"/>
        </w:rPr>
        <w:t>本额公允价值及发生的相关交易费用增加长期股权投资成本的账面价值。被投资单位宣</w:t>
      </w:r>
      <w:r>
        <w:rPr>
          <w:spacing w:val="-58"/>
        </w:rPr>
        <w:t> </w:t>
      </w:r>
      <w:r>
        <w:rPr>
          <w:spacing w:val="-58"/>
        </w:rPr>
      </w:r>
      <w:r>
        <w:rPr/>
        <w:t>告分派的现金股利或利润，按照应享有的金额确认为本期投资收益。</w:t>
      </w:r>
    </w:p>
    <w:p>
      <w:pPr>
        <w:pStyle w:val="Heading7"/>
        <w:spacing w:line="326" w:lineRule="auto" w:before="98"/>
        <w:ind w:right="376" w:firstLine="439"/>
        <w:jc w:val="both"/>
      </w:pPr>
      <w:r>
        <w:rPr>
          <w:spacing w:val="-3"/>
        </w:rPr>
        <w:t>后续计量采用权益法核算的长期股权投资，随着被投资单位所有者权益的变动相应</w:t>
      </w:r>
      <w:r>
        <w:rPr>
          <w:w w:val="100"/>
        </w:rPr>
        <w:t> </w:t>
      </w:r>
      <w:r>
        <w:rPr>
          <w:spacing w:val="-3"/>
        </w:rPr>
        <w:t>调整增加或减少长期股权投资的账面价值。其中在确认应享有被投资单位净损益的份额</w:t>
      </w:r>
      <w:r>
        <w:rPr>
          <w:spacing w:val="-58"/>
        </w:rPr>
        <w:t> </w:t>
      </w:r>
      <w:r>
        <w:rPr>
          <w:spacing w:val="-58"/>
        </w:rPr>
      </w:r>
      <w:r>
        <w:rPr>
          <w:spacing w:val="-3"/>
        </w:rPr>
        <w:t>时，以取得投资时被投资单位各项可辨认资产等的公允价值为基础，按照本集团的会计</w:t>
      </w:r>
      <w:r>
        <w:rPr>
          <w:spacing w:val="-57"/>
        </w:rPr>
        <w:t> </w:t>
      </w:r>
      <w:r>
        <w:rPr>
          <w:spacing w:val="-57"/>
        </w:rPr>
      </w:r>
      <w:r>
        <w:rPr>
          <w:spacing w:val="-3"/>
        </w:rPr>
        <w:t>政策及会计期间，并抵销与联营企业及合营企业之间发生的内部交易损益按照持股比例</w:t>
      </w:r>
      <w:r>
        <w:rPr>
          <w:spacing w:val="-58"/>
        </w:rPr>
        <w:t> </w:t>
      </w:r>
      <w:r>
        <w:rPr>
          <w:spacing w:val="-58"/>
        </w:rPr>
      </w:r>
      <w:r>
        <w:rPr/>
        <w:t>计算归属于投资企业的部分，对被投资单位的净利润进行调整后确认。</w:t>
      </w:r>
    </w:p>
    <w:p>
      <w:pPr>
        <w:pStyle w:val="Heading7"/>
        <w:spacing w:line="326" w:lineRule="auto" w:before="98"/>
        <w:ind w:right="375" w:firstLine="439"/>
        <w:jc w:val="both"/>
      </w:pPr>
      <w:r>
        <w:rPr>
          <w:spacing w:val="-3"/>
        </w:rPr>
        <w:t>处置长期股权投资，其账面价值与实际取得价款的差额，计入本期投资收益。采用</w:t>
      </w:r>
      <w:r>
        <w:rPr>
          <w:w w:val="100"/>
        </w:rPr>
        <w:t> </w:t>
      </w:r>
      <w:r>
        <w:rPr>
          <w:spacing w:val="-3"/>
        </w:rPr>
        <w:t>权益法核算的长期股权投资，因被投资单位除净损益以外所有者权益的其他变动而计入</w:t>
      </w:r>
      <w:r>
        <w:rPr>
          <w:spacing w:val="-58"/>
        </w:rPr>
        <w:t> </w:t>
      </w:r>
      <w:r>
        <w:rPr>
          <w:spacing w:val="-58"/>
        </w:rPr>
      </w:r>
      <w:r>
        <w:rPr>
          <w:spacing w:val="-3"/>
        </w:rPr>
        <w:t>所有者权益的，处置该项投资时将原计入所有者权益的部分按相应比例转入本期投资损</w:t>
      </w:r>
      <w:r>
        <w:rPr>
          <w:spacing w:val="-58"/>
        </w:rPr>
        <w:t> </w:t>
      </w:r>
      <w:r>
        <w:rPr>
          <w:spacing w:val="-58"/>
        </w:rPr>
      </w:r>
      <w:r>
        <w:rPr/>
        <w:t>益。</w:t>
      </w:r>
    </w:p>
    <w:p>
      <w:pPr>
        <w:spacing w:after="0" w:line="326"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left="260" w:right="376" w:firstLine="439"/>
        <w:jc w:val="both"/>
      </w:pPr>
      <w:r>
        <w:rPr>
          <w:spacing w:val="-3"/>
        </w:rPr>
        <w:t>因处置部分股权投资等原因丧失了对被投资单位的共同控制或重大影响的，处置后</w:t>
      </w:r>
      <w:r>
        <w:rPr>
          <w:w w:val="100"/>
        </w:rPr>
        <w:t> </w:t>
      </w:r>
      <w:r>
        <w:rPr>
          <w:spacing w:val="-3"/>
        </w:rPr>
        <w:t>的剩余股权改按可供出售金融资产核算，剩余股权在丧失共同控制或重大影响之日的公</w:t>
      </w:r>
      <w:r>
        <w:rPr>
          <w:spacing w:val="-57"/>
        </w:rPr>
        <w:t> </w:t>
      </w:r>
      <w:r>
        <w:rPr>
          <w:spacing w:val="-57"/>
        </w:rPr>
      </w:r>
      <w:r>
        <w:rPr>
          <w:spacing w:val="-3"/>
        </w:rPr>
        <w:t>允价值与账面价值之间的差额计入当期损益。原股权投资因采用权益法核算而确认的其</w:t>
      </w:r>
      <w:r>
        <w:rPr>
          <w:spacing w:val="-58"/>
        </w:rPr>
        <w:t> </w:t>
      </w:r>
      <w:r>
        <w:rPr>
          <w:spacing w:val="-58"/>
        </w:rPr>
      </w:r>
      <w:r>
        <w:rPr>
          <w:spacing w:val="-3"/>
        </w:rPr>
        <w:t>他综合收益，在终止采用权益法核算时采用与被投资单位直接处置相关资产或负债相同</w:t>
      </w:r>
      <w:r>
        <w:rPr>
          <w:spacing w:val="-58"/>
        </w:rPr>
        <w:t> </w:t>
      </w:r>
      <w:r>
        <w:rPr>
          <w:spacing w:val="-58"/>
        </w:rPr>
      </w:r>
      <w:r>
        <w:rPr/>
        <w:t>的基础进行会计处理。</w:t>
      </w:r>
    </w:p>
    <w:p>
      <w:pPr>
        <w:pStyle w:val="Heading7"/>
        <w:spacing w:line="326" w:lineRule="auto" w:before="98"/>
        <w:ind w:left="260" w:right="322" w:firstLine="439"/>
        <w:jc w:val="both"/>
      </w:pPr>
      <w:r>
        <w:rPr>
          <w:spacing w:val="-3"/>
        </w:rPr>
        <w:t>因处置部分长期股权投资丧失了对被投资单位控制的，处置后的剩余股权能够对被</w:t>
      </w:r>
      <w:r>
        <w:rPr>
          <w:w w:val="100"/>
        </w:rPr>
        <w:t> </w:t>
      </w:r>
      <w:r>
        <w:rPr>
          <w:spacing w:val="-3"/>
        </w:rPr>
        <w:t>投资单位实施共同控制或施加重大影响的，改按权益法核算，处置股权账面价值和处置</w:t>
      </w:r>
      <w:r>
        <w:rPr>
          <w:spacing w:val="-59"/>
        </w:rPr>
        <w:t> </w:t>
      </w:r>
      <w:r>
        <w:rPr>
          <w:spacing w:val="-59"/>
        </w:rPr>
      </w:r>
      <w:r>
        <w:rPr>
          <w:spacing w:val="-1"/>
        </w:rPr>
        <w:t>对价的差额计入投资收益，并对该剩余股权视同自取得时即采用权益法核算进行调整；</w:t>
      </w:r>
      <w:r>
        <w:rPr>
          <w:spacing w:val="-78"/>
        </w:rPr>
        <w:t> </w:t>
      </w:r>
      <w:r>
        <w:rPr>
          <w:spacing w:val="-78"/>
        </w:rPr>
      </w:r>
      <w:r>
        <w:rPr>
          <w:spacing w:val="-3"/>
        </w:rPr>
        <w:t>处置后的剩余股权不能对被投资单位实施共同控制或施加重大影响的，改按可供出售金</w:t>
      </w:r>
      <w:r>
        <w:rPr>
          <w:spacing w:val="-58"/>
        </w:rPr>
        <w:t> </w:t>
      </w:r>
      <w:r>
        <w:rPr>
          <w:spacing w:val="-58"/>
        </w:rPr>
      </w:r>
      <w:r>
        <w:rPr>
          <w:spacing w:val="-1"/>
        </w:rPr>
        <w:t>融资产的有关规定进行会计处理，处置股权账面价值和处置对价的差额计入投资收益，</w:t>
      </w:r>
      <w:r>
        <w:rPr>
          <w:spacing w:val="-78"/>
        </w:rPr>
        <w:t> </w:t>
      </w:r>
      <w:r>
        <w:rPr>
          <w:spacing w:val="-78"/>
        </w:rPr>
      </w:r>
      <w:r>
        <w:rPr/>
        <w:t>剩余股权在丧失控制之日的公允价值与账面价值间的差额计入当期投资损益。</w:t>
      </w:r>
    </w:p>
    <w:p>
      <w:pPr>
        <w:pStyle w:val="Heading7"/>
        <w:spacing w:line="324" w:lineRule="auto" w:before="101"/>
        <w:ind w:left="260" w:right="375" w:firstLine="439"/>
        <w:jc w:val="both"/>
      </w:pPr>
      <w:r>
        <w:rPr>
          <w:spacing w:val="-3"/>
        </w:rPr>
        <w:t>本集团对于分步处置股权至丧失控股权的各项交易不属于“一揽子交易”的，对每</w:t>
      </w:r>
      <w:r>
        <w:rPr>
          <w:w w:val="100"/>
        </w:rPr>
        <w:t> </w:t>
      </w:r>
      <w:r>
        <w:rPr>
          <w:spacing w:val="-3"/>
        </w:rPr>
        <w:t>一项交易分别进行会计处理。属于“一揽子交易”的，将各项交易作为一项处置子公司</w:t>
      </w:r>
      <w:r>
        <w:rPr>
          <w:spacing w:val="-56"/>
        </w:rPr>
        <w:t> </w:t>
      </w:r>
      <w:r>
        <w:rPr>
          <w:spacing w:val="-56"/>
        </w:rPr>
      </w:r>
      <w:r>
        <w:rPr>
          <w:spacing w:val="-3"/>
        </w:rPr>
        <w:t>并丧失控制权的交易进行会计处理，但是，在丧失控制权之前每一次交易处置价款与所</w:t>
      </w:r>
      <w:r>
        <w:rPr>
          <w:spacing w:val="-59"/>
        </w:rPr>
        <w:t> </w:t>
      </w:r>
      <w:r>
        <w:rPr>
          <w:spacing w:val="-59"/>
        </w:rPr>
      </w:r>
      <w:r>
        <w:rPr>
          <w:spacing w:val="-3"/>
        </w:rPr>
        <w:t>处置的股权对应的长期股权投资账面价值之间的差额，确认为其他综合收益，到丧失控</w:t>
      </w:r>
      <w:r>
        <w:rPr>
          <w:spacing w:val="-59"/>
        </w:rPr>
        <w:t> </w:t>
      </w:r>
      <w:r>
        <w:rPr>
          <w:spacing w:val="-59"/>
        </w:rPr>
      </w:r>
      <w:r>
        <w:rPr/>
        <w:t>制权时再一并转入丧失控制权的当期损益。</w:t>
      </w:r>
    </w:p>
    <w:p>
      <w:pPr>
        <w:pStyle w:val="Heading7"/>
        <w:spacing w:line="391" w:lineRule="auto" w:before="103"/>
        <w:ind w:left="699" w:right="276"/>
        <w:jc w:val="left"/>
      </w:pPr>
      <w:r>
        <w:rPr>
          <w:rFonts w:ascii="宋体" w:hAnsi="宋体" w:cs="宋体" w:eastAsia="宋体" w:hint="default"/>
        </w:rPr>
        <w:t>14</w:t>
      </w:r>
      <w:r>
        <w:rPr/>
        <w:t>、投资性房地产</w:t>
      </w:r>
      <w:r>
        <w:rPr>
          <w:w w:val="100"/>
        </w:rPr>
        <w:t> </w:t>
      </w:r>
      <w:r>
        <w:rPr>
          <w:spacing w:val="-3"/>
        </w:rPr>
        <w:t>本集团投资性房地产包括已出租房屋建筑物及持有待租的房屋建筑物。采用成本模</w:t>
      </w:r>
    </w:p>
    <w:p>
      <w:pPr>
        <w:pStyle w:val="Heading7"/>
        <w:spacing w:line="253" w:lineRule="exact" w:before="0"/>
        <w:ind w:left="260" w:right="276"/>
        <w:jc w:val="left"/>
      </w:pPr>
      <w:r>
        <w:rPr/>
        <w:t>式计量。</w:t>
      </w:r>
    </w:p>
    <w:p>
      <w:pPr>
        <w:pStyle w:val="Heading7"/>
        <w:spacing w:line="326" w:lineRule="auto" w:before="178"/>
        <w:ind w:left="260" w:right="377" w:firstLine="439"/>
        <w:jc w:val="both"/>
      </w:pPr>
      <w:r>
        <w:rPr>
          <w:spacing w:val="-3"/>
        </w:rPr>
        <w:t>本集团投资性房地产采用平均年限法计提折旧或摊销。各类投资性房地产的预计使</w:t>
      </w:r>
      <w:r>
        <w:rPr>
          <w:w w:val="100"/>
        </w:rPr>
        <w:t> </w:t>
      </w:r>
      <w:r>
        <w:rPr/>
        <w:t>用寿命、净残值率及年折旧（摊销）率如下：</w:t>
      </w:r>
    </w:p>
    <w:tbl>
      <w:tblPr>
        <w:tblW w:w="0" w:type="auto"/>
        <w:jc w:val="left"/>
        <w:tblInd w:w="116" w:type="dxa"/>
        <w:tblLayout w:type="fixed"/>
        <w:tblCellMar>
          <w:top w:w="0" w:type="dxa"/>
          <w:left w:w="0" w:type="dxa"/>
          <w:bottom w:w="0" w:type="dxa"/>
          <w:right w:w="0" w:type="dxa"/>
        </w:tblCellMar>
        <w:tblLook w:val="01E0"/>
      </w:tblPr>
      <w:tblGrid>
        <w:gridCol w:w="2506"/>
        <w:gridCol w:w="2016"/>
        <w:gridCol w:w="2252"/>
        <w:gridCol w:w="1776"/>
      </w:tblGrid>
      <w:tr>
        <w:trPr>
          <w:trHeight w:val="446" w:hRule="exact"/>
        </w:trPr>
        <w:tc>
          <w:tcPr>
            <w:tcW w:w="25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2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2" w:hRule="exact"/>
        </w:trPr>
        <w:tc>
          <w:tcPr>
            <w:tcW w:w="25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40</w:t>
            </w:r>
          </w:p>
        </w:tc>
        <w:tc>
          <w:tcPr>
            <w:tcW w:w="2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0</w:t>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2.5</w:t>
            </w:r>
          </w:p>
        </w:tc>
      </w:tr>
      <w:tr>
        <w:trPr>
          <w:trHeight w:val="446" w:hRule="exact"/>
        </w:trPr>
        <w:tc>
          <w:tcPr>
            <w:tcW w:w="25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35</w:t>
            </w:r>
          </w:p>
        </w:tc>
        <w:tc>
          <w:tcPr>
            <w:tcW w:w="22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0-10</w:t>
            </w:r>
          </w:p>
        </w:tc>
        <w:tc>
          <w:tcPr>
            <w:tcW w:w="1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2.57</w:t>
            </w:r>
            <w:r>
              <w:rPr>
                <w:rFonts w:ascii="宋体" w:hAnsi="宋体" w:cs="宋体" w:eastAsia="宋体" w:hint="default"/>
                <w:sz w:val="18"/>
                <w:szCs w:val="18"/>
              </w:rPr>
              <w:t>－</w:t>
            </w:r>
            <w:r>
              <w:rPr>
                <w:rFonts w:ascii="宋体" w:hAnsi="宋体" w:cs="宋体" w:eastAsia="宋体" w:hint="default"/>
                <w:sz w:val="18"/>
                <w:szCs w:val="18"/>
              </w:rPr>
              <w:t>5.88</w:t>
            </w:r>
          </w:p>
        </w:tc>
      </w:tr>
    </w:tbl>
    <w:p>
      <w:pPr>
        <w:spacing w:line="240" w:lineRule="auto" w:before="3"/>
        <w:rPr>
          <w:rFonts w:ascii="宋体" w:hAnsi="宋体" w:cs="宋体" w:eastAsia="宋体" w:hint="default"/>
          <w:sz w:val="5"/>
          <w:szCs w:val="5"/>
        </w:rPr>
      </w:pPr>
    </w:p>
    <w:p>
      <w:pPr>
        <w:pStyle w:val="Heading7"/>
        <w:spacing w:line="391" w:lineRule="auto"/>
        <w:ind w:left="699" w:right="276"/>
        <w:jc w:val="left"/>
      </w:pPr>
      <w:r>
        <w:rPr>
          <w:rFonts w:ascii="宋体" w:hAnsi="宋体" w:cs="宋体" w:eastAsia="宋体" w:hint="default"/>
        </w:rPr>
        <w:t>15</w:t>
      </w:r>
      <w:r>
        <w:rPr/>
        <w:t>、固定资产</w:t>
      </w:r>
      <w:r>
        <w:rPr>
          <w:w w:val="100"/>
        </w:rPr>
        <w:t> </w:t>
      </w:r>
      <w:r>
        <w:rPr>
          <w:spacing w:val="-3"/>
        </w:rPr>
        <w:t>本集团固定资产是指同时具有以下特征，即为生产商品、提供劳务、出租或经营管</w:t>
      </w:r>
    </w:p>
    <w:p>
      <w:pPr>
        <w:pStyle w:val="Heading7"/>
        <w:spacing w:line="253" w:lineRule="exact" w:before="0"/>
        <w:ind w:left="260" w:right="276"/>
        <w:jc w:val="left"/>
      </w:pPr>
      <w:r>
        <w:rPr/>
        <w:t>理而持有的，使用年限超过一年，单位价值超过</w:t>
      </w:r>
      <w:r>
        <w:rPr>
          <w:spacing w:val="-59"/>
        </w:rPr>
        <w:t> </w:t>
      </w:r>
      <w:r>
        <w:rPr>
          <w:rFonts w:ascii="宋体" w:hAnsi="宋体" w:cs="宋体" w:eastAsia="宋体" w:hint="default"/>
        </w:rPr>
        <w:t>2,000</w:t>
      </w:r>
      <w:r>
        <w:rPr>
          <w:rFonts w:ascii="宋体" w:hAnsi="宋体" w:cs="宋体" w:eastAsia="宋体" w:hint="default"/>
          <w:spacing w:val="-57"/>
        </w:rPr>
        <w:t> </w:t>
      </w:r>
      <w:r>
        <w:rPr/>
        <w:t>元的有形资产。</w:t>
      </w:r>
    </w:p>
    <w:p>
      <w:pPr>
        <w:pStyle w:val="Heading7"/>
        <w:spacing w:line="326" w:lineRule="auto" w:before="180"/>
        <w:ind w:left="260" w:right="267" w:firstLine="439"/>
        <w:jc w:val="both"/>
      </w:pPr>
      <w:r>
        <w:rPr>
          <w:spacing w:val="-3"/>
        </w:rPr>
        <w:t>固定资产在与其有关的经济利益很可能流入本集团、且其成本能够可靠计量时予以</w:t>
      </w:r>
      <w:r>
        <w:rPr>
          <w:w w:val="100"/>
        </w:rPr>
        <w:t> </w:t>
      </w:r>
      <w:r>
        <w:rPr>
          <w:spacing w:val="-6"/>
        </w:rPr>
        <w:t>确认。本集团固定资产包括房屋建筑物、机器设备、运输设备、电子及办公设备和其他。</w:t>
      </w:r>
    </w:p>
    <w:p>
      <w:pPr>
        <w:pStyle w:val="Heading7"/>
        <w:spacing w:line="326" w:lineRule="auto" w:before="98"/>
        <w:ind w:left="260" w:right="322" w:firstLine="439"/>
        <w:jc w:val="both"/>
      </w:pPr>
      <w:r>
        <w:rPr>
          <w:spacing w:val="-3"/>
        </w:rPr>
        <w:t>除已提足折旧仍继续使用的固定资产和单独计价入账的土地外，本集团对所有固定</w:t>
      </w:r>
      <w:r>
        <w:rPr>
          <w:w w:val="100"/>
        </w:rPr>
        <w:t> </w:t>
      </w:r>
      <w:r>
        <w:rPr>
          <w:spacing w:val="-3"/>
        </w:rPr>
        <w:t>资产计提折旧。计提折旧时采用平均年限法，并根据用途分别计入相关资产的成本或当</w:t>
      </w:r>
      <w:r>
        <w:rPr>
          <w:spacing w:val="-58"/>
        </w:rPr>
        <w:t> </w:t>
      </w:r>
      <w:r>
        <w:rPr>
          <w:spacing w:val="-58"/>
        </w:rPr>
      </w:r>
      <w:r>
        <w:rPr>
          <w:spacing w:val="-1"/>
        </w:rPr>
        <w:t>期损益。除冠捷科技外本集团固定资产的分类折旧年限、预计净残值率、折旧率如下：</w:t>
      </w:r>
    </w:p>
    <w:p>
      <w:pPr>
        <w:spacing w:after="0" w:line="326" w:lineRule="auto"/>
        <w:jc w:val="both"/>
        <w:sectPr>
          <w:pgSz w:w="11910" w:h="16840"/>
          <w:pgMar w:header="881" w:footer="980" w:top="1600" w:bottom="1160" w:left="1540" w:right="1420"/>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94"/>
        <w:gridCol w:w="1921"/>
        <w:gridCol w:w="1920"/>
        <w:gridCol w:w="1920"/>
        <w:gridCol w:w="1680"/>
        <w:gridCol w:w="162"/>
      </w:tblGrid>
      <w:tr>
        <w:trPr>
          <w:trHeight w:val="383"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3"/>
              <w:ind w:left="1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2" w:type="dxa"/>
            <w:vMerge w:val="restart"/>
            <w:tcBorders>
              <w:top w:val="single" w:sz="6" w:space="0" w:color="000000"/>
              <w:left w:val="nil" w:sz="6" w:space="0" w:color="auto"/>
              <w:right w:val="nil" w:sz="6" w:space="0" w:color="auto"/>
            </w:tcBorders>
          </w:tcPr>
          <w:p>
            <w:pPr/>
          </w:p>
        </w:tc>
      </w:tr>
      <w:tr>
        <w:trPr>
          <w:trHeight w:val="382"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1</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2.57</w:t>
            </w:r>
          </w:p>
        </w:tc>
        <w:tc>
          <w:tcPr>
            <w:tcW w:w="162" w:type="dxa"/>
            <w:vMerge/>
            <w:tcBorders>
              <w:left w:val="nil" w:sz="6" w:space="0" w:color="auto"/>
              <w:right w:val="nil" w:sz="6" w:space="0" w:color="auto"/>
            </w:tcBorders>
          </w:tcPr>
          <w:p>
            <w:pPr/>
          </w:p>
        </w:tc>
      </w:tr>
      <w:tr>
        <w:trPr>
          <w:trHeight w:val="37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18"/>
                <w:szCs w:val="18"/>
              </w:rPr>
            </w:pPr>
            <w:r>
              <w:rPr>
                <w:rFonts w:ascii="宋体"/>
                <w:sz w:val="18"/>
              </w:rPr>
              <w:t>2</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9.50</w:t>
            </w:r>
          </w:p>
        </w:tc>
        <w:tc>
          <w:tcPr>
            <w:tcW w:w="162" w:type="dxa"/>
            <w:vMerge/>
            <w:tcBorders>
              <w:left w:val="nil" w:sz="6" w:space="0" w:color="auto"/>
              <w:right w:val="nil" w:sz="6" w:space="0" w:color="auto"/>
            </w:tcBorders>
          </w:tcPr>
          <w:p>
            <w:pPr/>
          </w:p>
        </w:tc>
      </w:tr>
      <w:tr>
        <w:trPr>
          <w:trHeight w:val="37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18"/>
                <w:szCs w:val="18"/>
              </w:rPr>
            </w:pPr>
            <w:r>
              <w:rPr>
                <w:rFonts w:ascii="宋体"/>
                <w:sz w:val="18"/>
              </w:rPr>
              <w:t>3</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15.83</w:t>
            </w:r>
          </w:p>
        </w:tc>
        <w:tc>
          <w:tcPr>
            <w:tcW w:w="162" w:type="dxa"/>
            <w:vMerge/>
            <w:tcBorders>
              <w:left w:val="nil" w:sz="6" w:space="0" w:color="auto"/>
              <w:right w:val="nil" w:sz="6" w:space="0" w:color="auto"/>
            </w:tcBorders>
          </w:tcPr>
          <w:p>
            <w:pPr/>
          </w:p>
        </w:tc>
      </w:tr>
      <w:tr>
        <w:trPr>
          <w:trHeight w:val="37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18"/>
                <w:szCs w:val="18"/>
              </w:rPr>
            </w:pPr>
            <w:r>
              <w:rPr>
                <w:rFonts w:ascii="宋体"/>
                <w:sz w:val="18"/>
              </w:rPr>
              <w:t>4</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19</w:t>
            </w:r>
          </w:p>
        </w:tc>
        <w:tc>
          <w:tcPr>
            <w:tcW w:w="162" w:type="dxa"/>
            <w:vMerge/>
            <w:tcBorders>
              <w:left w:val="nil" w:sz="6" w:space="0" w:color="auto"/>
              <w:right w:val="nil" w:sz="6" w:space="0" w:color="auto"/>
            </w:tcBorders>
          </w:tcPr>
          <w:p>
            <w:pPr/>
          </w:p>
        </w:tc>
      </w:tr>
      <w:tr>
        <w:trPr>
          <w:trHeight w:val="391"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5</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w:t>
            </w:r>
          </w:p>
        </w:tc>
        <w:tc>
          <w:tcPr>
            <w:tcW w:w="162" w:type="dxa"/>
            <w:vMerge/>
            <w:tcBorders>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冠捷科技固定资产的分类折旧年限、预计净残值率、折旧率如下：</w:t>
      </w:r>
    </w:p>
    <w:p>
      <w:pPr>
        <w:spacing w:line="240" w:lineRule="auto" w:before="8"/>
        <w:rPr>
          <w:rFonts w:ascii="宋体" w:hAnsi="宋体" w:cs="宋体" w:eastAsia="宋体" w:hint="default"/>
          <w:sz w:val="6"/>
          <w:szCs w:val="6"/>
        </w:rPr>
      </w:pPr>
    </w:p>
    <w:tbl>
      <w:tblPr>
        <w:tblW w:w="0" w:type="auto"/>
        <w:jc w:val="left"/>
        <w:tblInd w:w="211" w:type="dxa"/>
        <w:tblLayout w:type="fixed"/>
        <w:tblCellMar>
          <w:top w:w="0" w:type="dxa"/>
          <w:left w:w="0" w:type="dxa"/>
          <w:bottom w:w="0" w:type="dxa"/>
          <w:right w:w="0" w:type="dxa"/>
        </w:tblCellMar>
        <w:tblLook w:val="01E0"/>
      </w:tblPr>
      <w:tblGrid>
        <w:gridCol w:w="2367"/>
        <w:gridCol w:w="1985"/>
        <w:gridCol w:w="1985"/>
        <w:gridCol w:w="1985"/>
      </w:tblGrid>
      <w:tr>
        <w:trPr>
          <w:trHeight w:val="391" w:hRule="exact"/>
        </w:trPr>
        <w:tc>
          <w:tcPr>
            <w:tcW w:w="23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9"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w:t>
            </w:r>
          </w:p>
        </w:tc>
      </w:tr>
      <w:tr>
        <w:trPr>
          <w:trHeight w:val="379"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10-20</w:t>
            </w:r>
          </w:p>
        </w:tc>
      </w:tr>
      <w:tr>
        <w:trPr>
          <w:trHeight w:val="380"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20-33.33</w:t>
            </w:r>
          </w:p>
        </w:tc>
      </w:tr>
      <w:tr>
        <w:trPr>
          <w:trHeight w:val="382"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20-33.33</w:t>
            </w:r>
          </w:p>
        </w:tc>
      </w:tr>
      <w:tr>
        <w:trPr>
          <w:trHeight w:val="389" w:hRule="exact"/>
        </w:trPr>
        <w:tc>
          <w:tcPr>
            <w:tcW w:w="23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1-5</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0</w:t>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20-100</w:t>
            </w:r>
          </w:p>
        </w:tc>
      </w:tr>
    </w:tbl>
    <w:p>
      <w:pPr>
        <w:spacing w:line="240" w:lineRule="auto" w:before="8"/>
        <w:rPr>
          <w:rFonts w:ascii="宋体" w:hAnsi="宋体" w:cs="宋体" w:eastAsia="宋体" w:hint="default"/>
          <w:sz w:val="4"/>
          <w:szCs w:val="4"/>
        </w:rPr>
      </w:pPr>
    </w:p>
    <w:p>
      <w:pPr>
        <w:pStyle w:val="Heading7"/>
        <w:spacing w:line="326" w:lineRule="auto"/>
        <w:ind w:left="240" w:right="377" w:firstLine="439"/>
        <w:jc w:val="both"/>
      </w:pPr>
      <w:r>
        <w:rPr>
          <w:spacing w:val="-3"/>
        </w:rPr>
        <w:t>本集团于每年年度终了，对固定资产的预计使用寿命、预计净残值和折旧方法进行</w:t>
      </w:r>
      <w:r>
        <w:rPr>
          <w:w w:val="100"/>
        </w:rPr>
        <w:t> </w:t>
      </w:r>
      <w:r>
        <w:rPr/>
        <w:t>复核，如发生改变，则作为会计估计变更处理。</w:t>
      </w:r>
    </w:p>
    <w:p>
      <w:pPr>
        <w:pStyle w:val="Heading7"/>
        <w:spacing w:line="391" w:lineRule="auto" w:before="101"/>
        <w:ind w:left="679" w:right="0"/>
        <w:jc w:val="left"/>
      </w:pPr>
      <w:r>
        <w:rPr>
          <w:rFonts w:ascii="宋体" w:hAnsi="宋体" w:cs="宋体" w:eastAsia="宋体" w:hint="default"/>
        </w:rPr>
        <w:t>16</w:t>
      </w:r>
      <w:r>
        <w:rPr/>
        <w:t>、在建工程</w:t>
      </w:r>
      <w:r>
        <w:rPr>
          <w:w w:val="100"/>
        </w:rPr>
        <w:t> </w:t>
      </w:r>
      <w:r>
        <w:rPr>
          <w:spacing w:val="-3"/>
        </w:rPr>
        <w:t>在建工程按实际发生的成本计量。自营建筑工程按直接材料、直接工资、直接施工</w:t>
      </w:r>
    </w:p>
    <w:p>
      <w:pPr>
        <w:pStyle w:val="Heading7"/>
        <w:spacing w:line="253" w:lineRule="exact" w:before="0"/>
        <w:ind w:left="240" w:right="0"/>
        <w:jc w:val="left"/>
      </w:pPr>
      <w:r>
        <w:rPr>
          <w:spacing w:val="-3"/>
        </w:rPr>
        <w:t>费等计量；出包建筑工程按应支付的工程价款等计量；设备安装工程按所安装设备的价</w:t>
      </w:r>
    </w:p>
    <w:p>
      <w:pPr>
        <w:pStyle w:val="Heading7"/>
        <w:spacing w:line="326" w:lineRule="auto" w:before="101"/>
        <w:ind w:left="240" w:right="0"/>
        <w:jc w:val="left"/>
      </w:pPr>
      <w:r>
        <w:rPr>
          <w:spacing w:val="-3"/>
        </w:rPr>
        <w:t>值、安装费用、工程试运转等所发生的支出等确定工程成本。在建工程成本还包括应当</w:t>
      </w:r>
      <w:r>
        <w:rPr>
          <w:spacing w:val="-59"/>
        </w:rPr>
        <w:t> </w:t>
      </w:r>
      <w:r>
        <w:rPr>
          <w:spacing w:val="-59"/>
        </w:rPr>
      </w:r>
      <w:r>
        <w:rPr/>
        <w:t>资本化的借款费用和汇兑损益。</w:t>
      </w:r>
    </w:p>
    <w:p>
      <w:pPr>
        <w:pStyle w:val="Heading7"/>
        <w:spacing w:line="326" w:lineRule="auto" w:before="98"/>
        <w:ind w:left="240" w:right="325" w:firstLine="439"/>
        <w:jc w:val="both"/>
      </w:pPr>
      <w:r>
        <w:rPr>
          <w:spacing w:val="-1"/>
        </w:rPr>
        <w:t>在建工程在达到预定可使用状态之日起，根据工程预算、造价或工程实际成本等，</w:t>
      </w:r>
      <w:r>
        <w:rPr>
          <w:w w:val="100"/>
        </w:rPr>
        <w:t> </w:t>
      </w:r>
      <w:r>
        <w:rPr>
          <w:spacing w:val="-3"/>
        </w:rPr>
        <w:t>按估计的价值结转固定资产，次月起开始计提折旧，待办理了竣工决算手续后再对固定</w:t>
      </w:r>
      <w:r>
        <w:rPr>
          <w:spacing w:val="-59"/>
        </w:rPr>
        <w:t> </w:t>
      </w:r>
      <w:r>
        <w:rPr>
          <w:spacing w:val="-59"/>
        </w:rPr>
      </w:r>
      <w:r>
        <w:rPr/>
        <w:t>资产原值差异进行调整。</w:t>
      </w:r>
    </w:p>
    <w:p>
      <w:pPr>
        <w:pStyle w:val="Heading7"/>
        <w:spacing w:line="240" w:lineRule="auto" w:before="98"/>
        <w:ind w:left="679" w:right="0"/>
        <w:jc w:val="left"/>
      </w:pPr>
      <w:r>
        <w:rPr>
          <w:rFonts w:ascii="宋体" w:hAnsi="宋体" w:cs="宋体" w:eastAsia="宋体" w:hint="default"/>
        </w:rPr>
        <w:t>17</w:t>
      </w:r>
      <w:r>
        <w:rPr/>
        <w:t>、借款费用</w:t>
      </w:r>
    </w:p>
    <w:p>
      <w:pPr>
        <w:pStyle w:val="Heading7"/>
        <w:spacing w:line="326" w:lineRule="auto" w:before="180"/>
        <w:ind w:left="240" w:right="322" w:firstLine="439"/>
        <w:jc w:val="both"/>
      </w:pPr>
      <w:r>
        <w:rPr/>
        <w:t>发生的可直接归属于需要经过</w:t>
      </w:r>
      <w:r>
        <w:rPr>
          <w:spacing w:val="-83"/>
        </w:rPr>
        <w:t> </w:t>
      </w:r>
      <w:r>
        <w:rPr>
          <w:rFonts w:ascii="宋体" w:hAnsi="宋体" w:cs="宋体" w:eastAsia="宋体" w:hint="default"/>
        </w:rPr>
        <w:t>1</w:t>
      </w:r>
      <w:r>
        <w:rPr>
          <w:rFonts w:ascii="宋体" w:hAnsi="宋体" w:cs="宋体" w:eastAsia="宋体" w:hint="default"/>
          <w:spacing w:val="-85"/>
        </w:rPr>
        <w:t> </w:t>
      </w:r>
      <w:r>
        <w:rPr/>
        <w:t>年以上的购建或者生产活动才能达到预定可使用或</w:t>
      </w:r>
      <w:r>
        <w:rPr>
          <w:w w:val="100"/>
        </w:rPr>
        <w:t> </w:t>
      </w:r>
      <w:r>
        <w:rPr>
          <w:spacing w:val="-1"/>
        </w:rPr>
        <w:t>者可销售状态的固定资产、投资性房地产和存货等的借款费用，在资产支出已经发生、</w:t>
      </w:r>
      <w:r>
        <w:rPr>
          <w:spacing w:val="-78"/>
        </w:rPr>
        <w:t> </w:t>
      </w:r>
      <w:r>
        <w:rPr>
          <w:spacing w:val="-78"/>
        </w:rPr>
      </w:r>
      <w:r>
        <w:rPr>
          <w:spacing w:val="-3"/>
        </w:rPr>
        <w:t>借款费用已经发生、为使资产达到预定可使用或可销售状态所必要的购建或生产活动已</w:t>
      </w:r>
      <w:r>
        <w:rPr>
          <w:spacing w:val="-58"/>
        </w:rPr>
        <w:t> </w:t>
      </w:r>
      <w:r>
        <w:rPr>
          <w:spacing w:val="-58"/>
        </w:rPr>
      </w:r>
      <w:r>
        <w:rPr>
          <w:spacing w:val="-3"/>
        </w:rPr>
        <w:t>经开始时，开始资本化；当购建或生产符合资本化条件的资产达到预定可使用或可销售</w:t>
      </w:r>
      <w:r>
        <w:rPr>
          <w:spacing w:val="-58"/>
        </w:rPr>
        <w:t> </w:t>
      </w:r>
      <w:r>
        <w:rPr>
          <w:spacing w:val="-58"/>
        </w:rPr>
      </w:r>
      <w:r>
        <w:rPr>
          <w:spacing w:val="-3"/>
        </w:rPr>
        <w:t>状态时，停止资本化，其后发生的借款费用计入当期损益。如果符合资本化条件的资产</w:t>
      </w:r>
      <w:r>
        <w:rPr>
          <w:spacing w:val="-59"/>
        </w:rPr>
        <w:t> </w:t>
      </w:r>
      <w:r>
        <w:rPr>
          <w:spacing w:val="-59"/>
        </w:rPr>
      </w:r>
      <w:r>
        <w:rPr/>
        <w:t>在购建或者生产过程中发生非正常中断、且中断时间连续超过</w:t>
      </w:r>
      <w:r>
        <w:rPr>
          <w:spacing w:val="-61"/>
        </w:rPr>
        <w:t> </w:t>
      </w:r>
      <w:r>
        <w:rPr>
          <w:rFonts w:ascii="宋体" w:hAnsi="宋体" w:cs="宋体" w:eastAsia="宋体" w:hint="default"/>
        </w:rPr>
        <w:t>3</w:t>
      </w:r>
      <w:r>
        <w:rPr>
          <w:rFonts w:ascii="宋体" w:hAnsi="宋体" w:cs="宋体" w:eastAsia="宋体" w:hint="default"/>
          <w:spacing w:val="-62"/>
        </w:rPr>
        <w:t> </w:t>
      </w:r>
      <w:r>
        <w:rPr>
          <w:spacing w:val="-4"/>
        </w:rPr>
        <w:t>个月，暂停借款费用的</w:t>
      </w:r>
      <w:r>
        <w:rPr>
          <w:w w:val="100"/>
        </w:rPr>
        <w:t> </w:t>
      </w:r>
      <w:r>
        <w:rPr/>
        <w:t>资本化，直至资产的购建或生产活动重新开始。</w:t>
      </w:r>
    </w:p>
    <w:p>
      <w:pPr>
        <w:pStyle w:val="Heading7"/>
        <w:spacing w:line="326" w:lineRule="auto" w:before="98"/>
        <w:ind w:left="240" w:right="376" w:firstLine="439"/>
        <w:jc w:val="both"/>
      </w:pPr>
      <w:r>
        <w:rPr>
          <w:spacing w:val="-3"/>
        </w:rPr>
        <w:t>专门借款本年实际发生的利息费用，扣除尚未动用的借款资金存入银行取得的利息</w:t>
      </w:r>
      <w:r>
        <w:rPr>
          <w:w w:val="100"/>
        </w:rPr>
        <w:t> </w:t>
      </w:r>
      <w:r>
        <w:rPr>
          <w:spacing w:val="-3"/>
        </w:rPr>
        <w:t>收入或进行暂时性投资取得的投资收益后的金额予以资本化；一般借款根据累计资产支</w:t>
      </w:r>
    </w:p>
    <w:p>
      <w:pPr>
        <w:spacing w:after="0" w:line="326" w:lineRule="auto"/>
        <w:jc w:val="both"/>
        <w:sectPr>
          <w:pgSz w:w="11910" w:h="16840"/>
          <w:pgMar w:header="881" w:footer="980" w:top="1600" w:bottom="1160" w:left="1560" w:right="142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4" w:lineRule="auto" w:before="0"/>
        <w:ind w:left="240" w:right="0"/>
        <w:jc w:val="left"/>
      </w:pPr>
      <w:r>
        <w:rPr>
          <w:spacing w:val="-3"/>
        </w:rPr>
        <w:t>出超过专门借款部分的资产支出加权平均数乘以所占用一般借款的资本化率，确定资本</w:t>
      </w:r>
      <w:r>
        <w:rPr>
          <w:spacing w:val="-58"/>
        </w:rPr>
        <w:t> </w:t>
      </w:r>
      <w:r>
        <w:rPr>
          <w:spacing w:val="-58"/>
        </w:rPr>
      </w:r>
      <w:r>
        <w:rPr/>
        <w:t>化金额。资本化率根据一般借款加权平均利率计算确定。</w:t>
      </w:r>
    </w:p>
    <w:p>
      <w:pPr>
        <w:pStyle w:val="Heading7"/>
        <w:spacing w:line="391" w:lineRule="auto" w:before="103"/>
        <w:ind w:left="679" w:right="0"/>
        <w:jc w:val="left"/>
      </w:pPr>
      <w:r>
        <w:rPr>
          <w:rFonts w:ascii="宋体" w:hAnsi="宋体" w:cs="宋体" w:eastAsia="宋体" w:hint="default"/>
        </w:rPr>
        <w:t>18</w:t>
      </w:r>
      <w:r>
        <w:rPr/>
        <w:t>、无形资产</w:t>
      </w:r>
      <w:r>
        <w:rPr>
          <w:w w:val="100"/>
        </w:rPr>
        <w:t> </w:t>
      </w:r>
      <w:r>
        <w:rPr>
          <w:spacing w:val="-3"/>
        </w:rPr>
        <w:t>本集团无形资产包括土地使用权、商标使用权、特许权使用费、软件等，按取得时</w:t>
      </w:r>
    </w:p>
    <w:p>
      <w:pPr>
        <w:pStyle w:val="Heading7"/>
        <w:spacing w:line="253" w:lineRule="exact" w:before="0"/>
        <w:ind w:left="240" w:right="0"/>
        <w:jc w:val="left"/>
      </w:pPr>
      <w:r>
        <w:rPr>
          <w:spacing w:val="-3"/>
        </w:rPr>
        <w:t>的实际成本计量，其中，购入的无形资产，按实际支付的价款和相关的其他支出作为实</w:t>
      </w:r>
    </w:p>
    <w:p>
      <w:pPr>
        <w:pStyle w:val="Heading7"/>
        <w:spacing w:line="326" w:lineRule="auto" w:before="101"/>
        <w:ind w:left="240" w:right="0"/>
        <w:jc w:val="left"/>
      </w:pPr>
      <w:r>
        <w:rPr>
          <w:spacing w:val="-3"/>
        </w:rPr>
        <w:t>际成本；投资者投入的无形资产，按投资合同或协议约定的价值确定实际成本，但合同</w:t>
      </w:r>
      <w:r>
        <w:rPr>
          <w:spacing w:val="-56"/>
        </w:rPr>
        <w:t> </w:t>
      </w:r>
      <w:r>
        <w:rPr>
          <w:spacing w:val="-56"/>
        </w:rPr>
      </w:r>
      <w:r>
        <w:rPr/>
        <w:t>或协议约定价值不公允的，按公允价值确定实际成本。</w:t>
      </w:r>
    </w:p>
    <w:p>
      <w:pPr>
        <w:pStyle w:val="Heading7"/>
        <w:spacing w:line="326" w:lineRule="auto" w:before="98"/>
        <w:ind w:left="240" w:right="375" w:firstLine="439"/>
        <w:jc w:val="both"/>
      </w:pPr>
      <w:r>
        <w:rPr>
          <w:spacing w:val="-3"/>
        </w:rPr>
        <w:t>除冠捷科技永久保有土地不予摊销外，本集团土地使用权从出让起始日起，按其出</w:t>
      </w:r>
      <w:r>
        <w:rPr>
          <w:w w:val="100"/>
        </w:rPr>
        <w:t> </w:t>
      </w:r>
      <w:r>
        <w:rPr>
          <w:spacing w:val="-3"/>
        </w:rPr>
        <w:t>让期限平均摊销；专利技术、非专利技术和其他无形资产按预计使用期限、合同规定的</w:t>
      </w:r>
      <w:r>
        <w:rPr>
          <w:spacing w:val="-56"/>
        </w:rPr>
        <w:t> </w:t>
      </w:r>
      <w:r>
        <w:rPr>
          <w:spacing w:val="-56"/>
        </w:rPr>
      </w:r>
      <w:r>
        <w:rPr>
          <w:spacing w:val="-3"/>
        </w:rPr>
        <w:t>受益期限和法律规定的有效期限三者中最短者分期平均摊销。摊销金额按其受益对象计</w:t>
      </w:r>
      <w:r>
        <w:rPr>
          <w:spacing w:val="-58"/>
        </w:rPr>
        <w:t> </w:t>
      </w:r>
      <w:r>
        <w:rPr>
          <w:spacing w:val="-58"/>
        </w:rPr>
      </w:r>
      <w:r>
        <w:rPr>
          <w:spacing w:val="-3"/>
        </w:rPr>
        <w:t>入相关资产成本和当期损益。对使用寿命有限的无形资产的预计使用寿命及摊销方法于</w:t>
      </w:r>
      <w:r>
        <w:rPr>
          <w:spacing w:val="-58"/>
        </w:rPr>
        <w:t> </w:t>
      </w:r>
      <w:r>
        <w:rPr>
          <w:spacing w:val="-58"/>
        </w:rPr>
      </w:r>
      <w:r>
        <w:rPr>
          <w:spacing w:val="-3"/>
        </w:rPr>
        <w:t>每年年度终了进行复核，如发生改变，则作为会计估计变更处理。在每个会计期间对使</w:t>
      </w:r>
      <w:r>
        <w:rPr>
          <w:spacing w:val="-55"/>
        </w:rPr>
        <w:t> </w:t>
      </w:r>
      <w:r>
        <w:rPr>
          <w:spacing w:val="-55"/>
        </w:rPr>
      </w:r>
      <w:r>
        <w:rPr>
          <w:spacing w:val="-3"/>
        </w:rPr>
        <w:t>用寿命不确定的无形资产的预计使用寿命进行复核，如有证据表明无形资产的使用寿命</w:t>
      </w:r>
      <w:r>
        <w:rPr>
          <w:spacing w:val="-58"/>
        </w:rPr>
        <w:t> </w:t>
      </w:r>
      <w:r>
        <w:rPr>
          <w:spacing w:val="-58"/>
        </w:rPr>
      </w:r>
      <w:r>
        <w:rPr>
          <w:spacing w:val="-3"/>
        </w:rPr>
        <w:t>是有限的，则估计其使用寿命并在预计使用寿命内摊销。使用寿命有限的无形资产摊销</w:t>
      </w:r>
      <w:r>
        <w:rPr>
          <w:spacing w:val="-57"/>
        </w:rPr>
        <w:t> </w:t>
      </w:r>
      <w:r>
        <w:rPr>
          <w:spacing w:val="-57"/>
        </w:rPr>
      </w:r>
      <w:r>
        <w:rPr/>
        <w:t>方法及年限如下：</w:t>
      </w:r>
    </w:p>
    <w:tbl>
      <w:tblPr>
        <w:tblW w:w="0" w:type="auto"/>
        <w:jc w:val="left"/>
        <w:tblInd w:w="103" w:type="dxa"/>
        <w:tblLayout w:type="fixed"/>
        <w:tblCellMar>
          <w:top w:w="0" w:type="dxa"/>
          <w:left w:w="0" w:type="dxa"/>
          <w:bottom w:w="0" w:type="dxa"/>
          <w:right w:w="0" w:type="dxa"/>
        </w:tblCellMar>
        <w:tblLook w:val="01E0"/>
      </w:tblPr>
      <w:tblGrid>
        <w:gridCol w:w="1094"/>
        <w:gridCol w:w="1921"/>
        <w:gridCol w:w="1920"/>
        <w:gridCol w:w="1920"/>
        <w:gridCol w:w="1680"/>
      </w:tblGrid>
      <w:tr>
        <w:trPr>
          <w:trHeight w:val="386" w:hRule="exact"/>
        </w:trPr>
        <w:tc>
          <w:tcPr>
            <w:tcW w:w="1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折旧寿命（年）</w:t>
            </w:r>
            <w:r>
              <w:rPr>
                <w:rFonts w:ascii="宋体" w:hAnsi="宋体" w:cs="宋体" w:eastAsia="宋体" w:hint="default"/>
                <w:sz w:val="18"/>
                <w:szCs w:val="18"/>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77"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1</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25-70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法定寿命</w:t>
            </w:r>
          </w:p>
        </w:tc>
      </w:tr>
      <w:tr>
        <w:trPr>
          <w:trHeight w:val="37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2</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预计受益期</w:t>
            </w:r>
          </w:p>
        </w:tc>
      </w:tr>
      <w:tr>
        <w:trPr>
          <w:trHeight w:val="374" w:hRule="exact"/>
        </w:trPr>
        <w:tc>
          <w:tcPr>
            <w:tcW w:w="1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3</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特许权使用费</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预计受益期</w:t>
            </w:r>
          </w:p>
        </w:tc>
      </w:tr>
      <w:tr>
        <w:trPr>
          <w:trHeight w:val="389"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4</w:t>
            </w:r>
          </w:p>
        </w:tc>
        <w:tc>
          <w:tcPr>
            <w:tcW w:w="19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1-10</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预计受益期</w:t>
            </w:r>
          </w:p>
        </w:tc>
      </w:tr>
    </w:tbl>
    <w:p>
      <w:pPr>
        <w:spacing w:line="240" w:lineRule="auto" w:before="3"/>
        <w:rPr>
          <w:rFonts w:ascii="宋体" w:hAnsi="宋体" w:cs="宋体" w:eastAsia="宋体" w:hint="default"/>
          <w:sz w:val="5"/>
          <w:szCs w:val="5"/>
        </w:rPr>
      </w:pPr>
    </w:p>
    <w:p>
      <w:pPr>
        <w:pStyle w:val="Heading7"/>
        <w:spacing w:line="391" w:lineRule="auto"/>
        <w:ind w:left="679" w:right="0"/>
        <w:jc w:val="left"/>
      </w:pPr>
      <w:r>
        <w:rPr>
          <w:rFonts w:ascii="宋体" w:hAnsi="宋体" w:cs="宋体" w:eastAsia="宋体" w:hint="default"/>
        </w:rPr>
        <w:t>19</w:t>
      </w:r>
      <w:r>
        <w:rPr/>
        <w:t>、研究与开发</w:t>
      </w:r>
      <w:r>
        <w:rPr>
          <w:spacing w:val="-108"/>
        </w:rPr>
        <w:t> </w:t>
      </w:r>
      <w:r>
        <w:rPr>
          <w:spacing w:val="-108"/>
        </w:rPr>
      </w:r>
      <w:r>
        <w:rPr>
          <w:spacing w:val="2"/>
        </w:rPr>
        <w:t>本集团的研究开发支出根据其性质以及研发活动最终形成无形资产是否具有较大</w:t>
      </w:r>
    </w:p>
    <w:p>
      <w:pPr>
        <w:pStyle w:val="Heading7"/>
        <w:spacing w:line="253" w:lineRule="exact" w:before="0"/>
        <w:ind w:left="240" w:right="0"/>
        <w:jc w:val="left"/>
      </w:pPr>
      <w:r>
        <w:rPr>
          <w:spacing w:val="-3"/>
        </w:rPr>
        <w:t>不确定性，分为研究阶段支出和开发阶段支出。研究阶段的支出，于发生时计入当期损</w:t>
      </w:r>
    </w:p>
    <w:p>
      <w:pPr>
        <w:pStyle w:val="Heading7"/>
        <w:spacing w:line="240" w:lineRule="auto" w:before="101"/>
        <w:ind w:left="240" w:right="0"/>
        <w:jc w:val="left"/>
      </w:pPr>
      <w:r>
        <w:rPr/>
        <w:t>益；开发阶段的支出，同时满足下列条件的，确认为无形资产：</w:t>
      </w:r>
    </w:p>
    <w:p>
      <w:pPr>
        <w:pStyle w:val="Heading7"/>
        <w:spacing w:line="240" w:lineRule="auto" w:before="177"/>
        <w:ind w:left="679" w:right="0"/>
        <w:jc w:val="left"/>
      </w:pPr>
      <w:r>
        <w:rPr/>
        <w:t>（</w:t>
      </w:r>
      <w:r>
        <w:rPr>
          <w:rFonts w:ascii="宋体" w:hAnsi="宋体" w:cs="宋体" w:eastAsia="宋体" w:hint="default"/>
        </w:rPr>
        <w:t>1</w:t>
      </w:r>
      <w:r>
        <w:rPr/>
        <w:t>）完成该无形资产以使其能够使用或出售在技术上具有可行性；</w:t>
      </w:r>
    </w:p>
    <w:p>
      <w:pPr>
        <w:pStyle w:val="Heading7"/>
        <w:spacing w:line="240" w:lineRule="auto" w:before="180"/>
        <w:ind w:left="679" w:right="0"/>
        <w:jc w:val="left"/>
      </w:pPr>
      <w:r>
        <w:rPr/>
        <w:t>（</w:t>
      </w:r>
      <w:r>
        <w:rPr>
          <w:rFonts w:ascii="宋体" w:hAnsi="宋体" w:cs="宋体" w:eastAsia="宋体" w:hint="default"/>
        </w:rPr>
        <w:t>2</w:t>
      </w:r>
      <w:r>
        <w:rPr/>
        <w:t>）具有完成该无形资产并使用或出售的意图；</w:t>
      </w:r>
    </w:p>
    <w:p>
      <w:pPr>
        <w:pStyle w:val="Heading7"/>
        <w:spacing w:line="240" w:lineRule="auto" w:before="180"/>
        <w:ind w:left="679" w:right="0"/>
        <w:jc w:val="left"/>
      </w:pPr>
      <w:r>
        <w:rPr/>
        <w:t>（</w:t>
      </w:r>
      <w:r>
        <w:rPr>
          <w:rFonts w:ascii="宋体" w:hAnsi="宋体" w:cs="宋体" w:eastAsia="宋体" w:hint="default"/>
        </w:rPr>
        <w:t>3</w:t>
      </w:r>
      <w:r>
        <w:rPr/>
        <w:t>）运用该无形资产生产的产品存在市场或无形资产自身存在市场；</w:t>
      </w:r>
    </w:p>
    <w:p>
      <w:pPr>
        <w:pStyle w:val="Heading7"/>
        <w:spacing w:line="326" w:lineRule="auto" w:before="180"/>
        <w:ind w:left="240" w:right="0" w:firstLine="439"/>
        <w:jc w:val="left"/>
      </w:pPr>
      <w:r>
        <w:rPr/>
        <w:t>（</w:t>
      </w:r>
      <w:r>
        <w:rPr>
          <w:rFonts w:ascii="宋体" w:hAnsi="宋体" w:cs="宋体" w:eastAsia="宋体" w:hint="default"/>
        </w:rPr>
        <w:t>4</w:t>
      </w:r>
      <w:r>
        <w:rPr/>
        <w:t>）有足够的技术、财务资源和其他资源支持，以完成该无形资产的开发，并有</w:t>
      </w:r>
      <w:r>
        <w:rPr>
          <w:w w:val="100"/>
        </w:rPr>
        <w:t> </w:t>
      </w:r>
      <w:r>
        <w:rPr/>
        <w:t>能力使用或出售该无形资产；</w:t>
      </w:r>
    </w:p>
    <w:p>
      <w:pPr>
        <w:pStyle w:val="Heading7"/>
        <w:spacing w:line="391" w:lineRule="auto" w:before="101"/>
        <w:ind w:left="679" w:right="0"/>
        <w:jc w:val="left"/>
      </w:pPr>
      <w:r>
        <w:rPr/>
        <w:t>（</w:t>
      </w:r>
      <w:r>
        <w:rPr>
          <w:rFonts w:ascii="宋体" w:hAnsi="宋体" w:cs="宋体" w:eastAsia="宋体" w:hint="default"/>
        </w:rPr>
        <w:t>5</w:t>
      </w:r>
      <w:r>
        <w:rPr/>
        <w:t>）归属于该无形资产开发阶段的支出能够可靠地计量。</w:t>
      </w:r>
      <w:r>
        <w:rPr>
          <w:w w:val="100"/>
        </w:rPr>
        <w:t> </w:t>
      </w:r>
      <w:r>
        <w:rPr>
          <w:spacing w:val="-3"/>
        </w:rPr>
        <w:t>不满足上述条件的开发阶段的支出，于发生时计入当期损益。前期已计入损益的开</w:t>
      </w:r>
    </w:p>
    <w:p>
      <w:pPr>
        <w:pStyle w:val="Heading7"/>
        <w:spacing w:line="253" w:lineRule="exact" w:before="0"/>
        <w:ind w:left="240" w:right="0"/>
        <w:jc w:val="left"/>
      </w:pPr>
      <w:r>
        <w:rPr>
          <w:spacing w:val="-3"/>
        </w:rPr>
        <w:t>发支出在以后期间不再确认为资产。已资本化的开发阶段的支出在资产负债表上列示为</w:t>
      </w:r>
    </w:p>
    <w:p>
      <w:pPr>
        <w:pStyle w:val="Heading7"/>
        <w:spacing w:line="240" w:lineRule="auto" w:before="101"/>
        <w:ind w:left="240" w:right="0"/>
        <w:jc w:val="left"/>
      </w:pPr>
      <w:r>
        <w:rPr/>
        <w:t>开发支出，自该项目达到预定可使用状态之日起转为无形资产列报。</w:t>
      </w:r>
    </w:p>
    <w:p>
      <w:pPr>
        <w:spacing w:after="0" w:line="240" w:lineRule="auto"/>
        <w:jc w:val="left"/>
        <w:sectPr>
          <w:pgSz w:w="11910" w:h="16840"/>
          <w:pgMar w:header="881" w:footer="980" w:top="1600" w:bottom="1160" w:left="156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91" w:lineRule="auto" w:before="0"/>
        <w:ind w:left="559" w:right="0"/>
        <w:jc w:val="left"/>
      </w:pPr>
      <w:r>
        <w:rPr>
          <w:rFonts w:ascii="宋体" w:hAnsi="宋体" w:cs="宋体" w:eastAsia="宋体" w:hint="default"/>
        </w:rPr>
        <w:t>20</w:t>
      </w:r>
      <w:r>
        <w:rPr/>
        <w:t>、长期资产减值</w:t>
      </w:r>
      <w:r>
        <w:rPr>
          <w:w w:val="100"/>
        </w:rPr>
        <w:t> </w:t>
      </w:r>
      <w:r>
        <w:rPr>
          <w:spacing w:val="-1"/>
        </w:rPr>
        <w:t>本集团于每一资产负债表日对长期股权投资、采用成本模式计量的投资性房地产、</w:t>
      </w:r>
    </w:p>
    <w:p>
      <w:pPr>
        <w:pStyle w:val="Heading7"/>
        <w:spacing w:line="253" w:lineRule="exact" w:before="0"/>
        <w:ind w:right="0"/>
        <w:jc w:val="both"/>
      </w:pPr>
      <w:r>
        <w:rPr/>
        <w:t>固定资产、在建工程、使用寿命有限的无形资产等项目进行检查，当存在减值迹象时，</w:t>
      </w:r>
    </w:p>
    <w:p>
      <w:pPr>
        <w:pStyle w:val="Heading7"/>
        <w:spacing w:line="324" w:lineRule="auto" w:before="103"/>
        <w:ind w:right="322"/>
        <w:jc w:val="both"/>
      </w:pPr>
      <w:r>
        <w:rPr>
          <w:spacing w:val="-1"/>
        </w:rPr>
        <w:t>本集团进行减值测试。对商誉和使用寿命不确定的无形资产，无论是否存在减值迹象，</w:t>
      </w:r>
      <w:r>
        <w:rPr>
          <w:spacing w:val="-78"/>
        </w:rPr>
        <w:t> </w:t>
      </w:r>
      <w:r>
        <w:rPr>
          <w:spacing w:val="-78"/>
        </w:rPr>
      </w:r>
      <w:r>
        <w:rPr/>
        <w:t>每年末均进行减值测试。</w:t>
      </w:r>
    </w:p>
    <w:p>
      <w:pPr>
        <w:pStyle w:val="Heading7"/>
        <w:spacing w:line="324" w:lineRule="auto" w:before="103"/>
        <w:ind w:right="374" w:firstLine="439"/>
        <w:jc w:val="both"/>
      </w:pPr>
      <w:r>
        <w:rPr>
          <w:spacing w:val="-3"/>
        </w:rPr>
        <w:t>估计资产的可收回金额以单项资产为基础，如果难以对单项资产的可收回金额进行</w:t>
      </w:r>
      <w:r>
        <w:rPr>
          <w:w w:val="100"/>
        </w:rPr>
        <w:t> </w:t>
      </w:r>
      <w:r>
        <w:rPr>
          <w:spacing w:val="-3"/>
        </w:rPr>
        <w:t>估计的，则以该资产所属的资产组为基础确定资产组的可收回金额。可收回金额为资产</w:t>
      </w:r>
      <w:r>
        <w:rPr>
          <w:spacing w:val="-59"/>
        </w:rPr>
        <w:t> </w:t>
      </w:r>
      <w:r>
        <w:rPr>
          <w:spacing w:val="-59"/>
        </w:rPr>
      </w:r>
      <w:r>
        <w:rPr>
          <w:spacing w:val="2"/>
        </w:rPr>
        <w:t>或者资产组的公允价值减去处置费用后的净额与其预计未来现金流量的现值两者之中</w:t>
      </w:r>
      <w:r>
        <w:rPr>
          <w:spacing w:val="-39"/>
        </w:rPr>
        <w:t> </w:t>
      </w:r>
      <w:r>
        <w:rPr>
          <w:spacing w:val="-39"/>
        </w:rPr>
      </w:r>
      <w:r>
        <w:rPr>
          <w:spacing w:val="-3"/>
        </w:rPr>
        <w:t>的较高者。若该资产的账面价值超过其可收回金额，其差额确认为减值损失，上述资产</w:t>
      </w:r>
      <w:r>
        <w:rPr>
          <w:spacing w:val="-56"/>
        </w:rPr>
        <w:t> </w:t>
      </w:r>
      <w:r>
        <w:rPr>
          <w:spacing w:val="-56"/>
        </w:rPr>
      </w:r>
      <w:r>
        <w:rPr/>
        <w:t>的减值损失一经确认，在以后会计期间不予转回。</w:t>
      </w:r>
    </w:p>
    <w:p>
      <w:pPr>
        <w:pStyle w:val="Heading7"/>
        <w:spacing w:line="391" w:lineRule="auto" w:before="103"/>
        <w:ind w:left="559" w:right="0"/>
        <w:jc w:val="left"/>
      </w:pPr>
      <w:r>
        <w:rPr>
          <w:rFonts w:ascii="宋体" w:hAnsi="宋体" w:cs="宋体" w:eastAsia="宋体" w:hint="default"/>
        </w:rPr>
        <w:t>21</w:t>
      </w:r>
      <w:r>
        <w:rPr/>
        <w:t>、长期待摊费用</w:t>
      </w:r>
      <w:r>
        <w:rPr>
          <w:w w:val="100"/>
        </w:rPr>
        <w:t> </w:t>
      </w:r>
      <w:r>
        <w:rPr>
          <w:spacing w:val="-3"/>
        </w:rPr>
        <w:t>本集团的长期待摊费用包括办公室装修费用、租入固定资产改良支出以及除此之外</w:t>
      </w:r>
    </w:p>
    <w:p>
      <w:pPr>
        <w:pStyle w:val="Heading7"/>
        <w:spacing w:line="253" w:lineRule="exact" w:before="0"/>
        <w:ind w:right="0"/>
        <w:jc w:val="both"/>
      </w:pPr>
      <w:r>
        <w:rPr>
          <w:spacing w:val="-3"/>
        </w:rPr>
        <w:t>受益期超过一年的其他费用。该等费用在受益期内平均摊销，如果长期待摊费用项目不</w:t>
      </w:r>
    </w:p>
    <w:p>
      <w:pPr>
        <w:pStyle w:val="Heading7"/>
        <w:spacing w:line="326" w:lineRule="auto" w:before="101"/>
        <w:ind w:right="377"/>
        <w:jc w:val="both"/>
      </w:pPr>
      <w:r>
        <w:rPr>
          <w:spacing w:val="-3"/>
        </w:rPr>
        <w:t>能使以后会计期间受益，则将尚未摊销的该项目的摊余价值全部转入当期损益。长期待</w:t>
      </w:r>
      <w:r>
        <w:rPr>
          <w:spacing w:val="-58"/>
        </w:rPr>
        <w:t> </w:t>
      </w:r>
      <w:r>
        <w:rPr>
          <w:spacing w:val="-58"/>
        </w:rPr>
      </w:r>
      <w:r>
        <w:rPr/>
        <w:t>摊费用按照预计受益期为限进行摊销。</w:t>
      </w:r>
    </w:p>
    <w:p>
      <w:pPr>
        <w:pStyle w:val="Heading7"/>
        <w:spacing w:line="391" w:lineRule="auto" w:before="98"/>
        <w:ind w:left="559" w:right="0"/>
        <w:jc w:val="left"/>
      </w:pPr>
      <w:r>
        <w:rPr>
          <w:rFonts w:ascii="宋体" w:hAnsi="宋体" w:cs="宋体" w:eastAsia="宋体" w:hint="default"/>
        </w:rPr>
        <w:t>22</w:t>
      </w:r>
      <w:r>
        <w:rPr/>
        <w:t>、职工薪酬</w:t>
      </w:r>
      <w:r>
        <w:rPr>
          <w:w w:val="100"/>
        </w:rPr>
        <w:t> </w:t>
      </w:r>
      <w:r>
        <w:rPr/>
        <w:t>本集团职工薪酬包括短期薪酬、离职后福利、辞退福利和其他长期福利。</w:t>
      </w:r>
      <w:r>
        <w:rPr>
          <w:w w:val="100"/>
        </w:rPr>
        <w:t> </w:t>
      </w:r>
      <w:r>
        <w:rPr>
          <w:spacing w:val="-1"/>
        </w:rPr>
        <w:t>短期薪酬主要包括职工工资、奖金、津贴和补贴等，在职工提供服务的会计期间，</w:t>
      </w:r>
    </w:p>
    <w:p>
      <w:pPr>
        <w:pStyle w:val="Heading7"/>
        <w:spacing w:line="253" w:lineRule="exact" w:before="0"/>
        <w:ind w:right="0"/>
        <w:jc w:val="both"/>
      </w:pPr>
      <w:r>
        <w:rPr/>
        <w:t>将实际发生的短期薪酬确认为负债，并按照受益对象计入当期损益或相关资产成本。</w:t>
      </w:r>
    </w:p>
    <w:p>
      <w:pPr>
        <w:pStyle w:val="Heading7"/>
        <w:spacing w:line="326" w:lineRule="auto" w:before="180"/>
        <w:ind w:right="0" w:firstLine="439"/>
        <w:jc w:val="left"/>
      </w:pPr>
      <w:r>
        <w:rPr>
          <w:spacing w:val="-6"/>
        </w:rPr>
        <w:t>离职后福利主要包括基本养老保险费、失业保险费等，按照公司承担的风险和义务，</w:t>
      </w:r>
      <w:r>
        <w:rPr>
          <w:w w:val="100"/>
        </w:rPr>
        <w:t> </w:t>
      </w:r>
      <w:r>
        <w:rPr/>
        <w:t>分类为设定提存计划、设定受益计划。</w:t>
      </w:r>
    </w:p>
    <w:p>
      <w:pPr>
        <w:pStyle w:val="Heading7"/>
        <w:spacing w:line="391" w:lineRule="auto" w:before="98"/>
        <w:ind w:left="559" w:right="0"/>
        <w:jc w:val="left"/>
      </w:pPr>
      <w:r>
        <w:rPr/>
        <w:t>（</w:t>
      </w:r>
      <w:r>
        <w:rPr>
          <w:rFonts w:ascii="宋体" w:hAnsi="宋体" w:cs="宋体" w:eastAsia="宋体" w:hint="default"/>
        </w:rPr>
        <w:t>1</w:t>
      </w:r>
      <w:r>
        <w:rPr/>
        <w:t>）企业年金（设定提存养老金计划）</w:t>
      </w:r>
      <w:r>
        <w:rPr>
          <w:spacing w:val="-108"/>
        </w:rPr>
        <w:t> </w:t>
      </w:r>
      <w:r>
        <w:rPr>
          <w:spacing w:val="-108"/>
        </w:rPr>
      </w:r>
      <w:r>
        <w:rPr>
          <w:spacing w:val="-3"/>
        </w:rPr>
        <w:t>本公司及本集团子公司冠捷科技在中国大陆、香港、台湾及海外国家参与多项设定</w:t>
      </w:r>
    </w:p>
    <w:p>
      <w:pPr>
        <w:pStyle w:val="Heading7"/>
        <w:spacing w:line="253" w:lineRule="exact" w:before="0"/>
        <w:ind w:right="0"/>
        <w:jc w:val="both"/>
      </w:pPr>
      <w:r>
        <w:rPr>
          <w:spacing w:val="2"/>
          <w:w w:val="100"/>
        </w:rPr>
        <w:t>提</w:t>
      </w:r>
      <w:r>
        <w:rPr>
          <w:w w:val="100"/>
        </w:rPr>
        <w:t>存养</w:t>
      </w:r>
      <w:r>
        <w:rPr>
          <w:spacing w:val="2"/>
          <w:w w:val="100"/>
        </w:rPr>
        <w:t>老</w:t>
      </w:r>
      <w:r>
        <w:rPr>
          <w:w w:val="100"/>
        </w:rPr>
        <w:t>金计划</w:t>
      </w:r>
      <w:r>
        <w:rPr>
          <w:spacing w:val="2"/>
          <w:w w:val="100"/>
        </w:rPr>
        <w:t>（</w:t>
      </w:r>
      <w:r>
        <w:rPr>
          <w:w w:val="100"/>
        </w:rPr>
        <w:t>国内为</w:t>
      </w:r>
      <w:r>
        <w:rPr>
          <w:spacing w:val="2"/>
          <w:w w:val="100"/>
        </w:rPr>
        <w:t>企</w:t>
      </w:r>
      <w:r>
        <w:rPr>
          <w:w w:val="100"/>
        </w:rPr>
        <w:t>业年</w:t>
      </w:r>
      <w:r>
        <w:rPr>
          <w:spacing w:val="2"/>
          <w:w w:val="100"/>
        </w:rPr>
        <w:t>金</w:t>
      </w:r>
      <w:r>
        <w:rPr>
          <w:spacing w:val="-111"/>
          <w:w w:val="100"/>
        </w:rPr>
        <w:t>）</w:t>
      </w:r>
      <w:r>
        <w:rPr>
          <w:w w:val="100"/>
        </w:rPr>
        <w:t>，</w:t>
      </w:r>
      <w:r>
        <w:rPr>
          <w:spacing w:val="2"/>
          <w:w w:val="100"/>
        </w:rPr>
        <w:t>该</w:t>
      </w:r>
      <w:r>
        <w:rPr>
          <w:w w:val="100"/>
        </w:rPr>
        <w:t>计划</w:t>
      </w:r>
      <w:r>
        <w:rPr>
          <w:spacing w:val="2"/>
          <w:w w:val="100"/>
        </w:rPr>
        <w:t>资</w:t>
      </w:r>
      <w:r>
        <w:rPr>
          <w:w w:val="100"/>
        </w:rPr>
        <w:t>产</w:t>
      </w:r>
      <w:r>
        <w:rPr>
          <w:spacing w:val="2"/>
          <w:w w:val="100"/>
        </w:rPr>
        <w:t>与</w:t>
      </w:r>
      <w:r>
        <w:rPr>
          <w:w w:val="100"/>
        </w:rPr>
        <w:t>其他</w:t>
      </w:r>
      <w:r>
        <w:rPr>
          <w:spacing w:val="2"/>
          <w:w w:val="100"/>
        </w:rPr>
        <w:t>资</w:t>
      </w:r>
      <w:r>
        <w:rPr>
          <w:w w:val="100"/>
        </w:rPr>
        <w:t>产分开</w:t>
      </w:r>
      <w:r>
        <w:rPr>
          <w:spacing w:val="2"/>
          <w:w w:val="100"/>
        </w:rPr>
        <w:t>，</w:t>
      </w:r>
      <w:r>
        <w:rPr>
          <w:w w:val="100"/>
        </w:rPr>
        <w:t>由独立</w:t>
      </w:r>
      <w:r>
        <w:rPr>
          <w:spacing w:val="2"/>
          <w:w w:val="100"/>
        </w:rPr>
        <w:t>管</w:t>
      </w:r>
      <w:r>
        <w:rPr>
          <w:w w:val="100"/>
        </w:rPr>
        <w:t>理基</w:t>
      </w:r>
      <w:r>
        <w:rPr>
          <w:spacing w:val="2"/>
          <w:w w:val="100"/>
        </w:rPr>
        <w:t>金</w:t>
      </w:r>
      <w:r>
        <w:rPr>
          <w:w w:val="100"/>
        </w:rPr>
        <w:t>保</w:t>
      </w:r>
    </w:p>
    <w:p>
      <w:pPr>
        <w:pStyle w:val="Heading7"/>
        <w:spacing w:line="240" w:lineRule="auto" w:before="103"/>
        <w:ind w:right="0"/>
        <w:jc w:val="both"/>
      </w:pPr>
      <w:r>
        <w:rPr/>
        <w:t>管。该计划供款按职工薪金若干百分比计算。</w:t>
      </w:r>
    </w:p>
    <w:p>
      <w:pPr>
        <w:pStyle w:val="Heading7"/>
        <w:spacing w:line="391" w:lineRule="auto" w:before="177"/>
        <w:ind w:left="559" w:right="0"/>
        <w:jc w:val="left"/>
      </w:pPr>
      <w:r>
        <w:rPr/>
        <w:t>（</w:t>
      </w:r>
      <w:r>
        <w:rPr>
          <w:rFonts w:ascii="宋体" w:hAnsi="宋体" w:cs="宋体" w:eastAsia="宋体" w:hint="default"/>
        </w:rPr>
        <w:t>2</w:t>
      </w:r>
      <w:r>
        <w:rPr/>
        <w:t>）退休金计划（设定受益计划）</w:t>
      </w:r>
      <w:r>
        <w:rPr>
          <w:w w:val="100"/>
        </w:rPr>
        <w:t> </w:t>
      </w:r>
      <w:r>
        <w:rPr>
          <w:spacing w:val="-3"/>
        </w:rPr>
        <w:t>本集团子公司冠捷科技其中一家台湾子公司按照当地法定条例，参与设定受益退休</w:t>
      </w:r>
    </w:p>
    <w:p>
      <w:pPr>
        <w:pStyle w:val="Heading7"/>
        <w:spacing w:line="253" w:lineRule="exact" w:before="0"/>
        <w:ind w:right="0"/>
        <w:jc w:val="both"/>
      </w:pPr>
      <w:r>
        <w:rPr>
          <w:spacing w:val="-3"/>
        </w:rPr>
        <w:t>金计划。根据该计划，退休金成本采用预计单位贷款法评估：每年由独立精算师作出全</w:t>
      </w:r>
    </w:p>
    <w:p>
      <w:pPr>
        <w:pStyle w:val="Heading7"/>
        <w:spacing w:line="324" w:lineRule="auto" w:before="103"/>
        <w:ind w:right="375"/>
        <w:jc w:val="both"/>
      </w:pPr>
      <w:r>
        <w:rPr>
          <w:spacing w:val="-3"/>
        </w:rPr>
        <w:t>面评估意见，将退休金成本在员工服务期限内有规律的分摊，并计入当期损益。企业应</w:t>
      </w:r>
      <w:r>
        <w:rPr>
          <w:spacing w:val="-56"/>
        </w:rPr>
        <w:t> </w:t>
      </w:r>
      <w:r>
        <w:rPr>
          <w:spacing w:val="-56"/>
        </w:rPr>
      </w:r>
      <w:r>
        <w:rPr>
          <w:spacing w:val="-3"/>
        </w:rPr>
        <w:t>承担的退休金责任按照预计未来现金流出量的现值计算，其对应折现率采用与相关退休</w:t>
      </w:r>
      <w:r>
        <w:rPr>
          <w:spacing w:val="-58"/>
        </w:rPr>
        <w:t> </w:t>
      </w:r>
      <w:r>
        <w:rPr>
          <w:spacing w:val="-58"/>
        </w:rPr>
      </w:r>
      <w:r>
        <w:rPr>
          <w:spacing w:val="-3"/>
        </w:rPr>
        <w:t>金责任到期期限类似的台湾优质固定收益类投资工具的回报率。精算损益按员工平均剩</w:t>
      </w:r>
      <w:r>
        <w:rPr>
          <w:spacing w:val="-58"/>
        </w:rPr>
        <w:t> </w:t>
      </w:r>
      <w:r>
        <w:rPr>
          <w:spacing w:val="-58"/>
        </w:rPr>
      </w:r>
      <w:r>
        <w:rPr/>
        <w:t>余服务期限确认。过往服务成本于归属期间以直线法确认为支出。</w:t>
      </w:r>
    </w:p>
    <w:p>
      <w:pPr>
        <w:spacing w:after="0" w:line="324"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right="377" w:firstLine="439"/>
        <w:jc w:val="both"/>
      </w:pPr>
      <w:r>
        <w:rPr>
          <w:spacing w:val="-3"/>
        </w:rPr>
        <w:t>冠捷科技对设定受益退休金计划供款在应付时确认为员工福利支出。预付供款按照</w:t>
      </w:r>
      <w:r>
        <w:rPr>
          <w:w w:val="100"/>
        </w:rPr>
        <w:t> </w:t>
      </w:r>
      <w:r>
        <w:rPr/>
        <w:t>现金退款或未来款项减少计算确认为资产。</w:t>
      </w:r>
    </w:p>
    <w:p>
      <w:pPr>
        <w:pStyle w:val="Heading7"/>
        <w:spacing w:line="391" w:lineRule="auto" w:before="101"/>
        <w:ind w:left="559" w:right="0"/>
        <w:jc w:val="left"/>
      </w:pPr>
      <w:r>
        <w:rPr/>
        <w:t>（</w:t>
      </w:r>
      <w:r>
        <w:rPr>
          <w:rFonts w:ascii="宋体" w:hAnsi="宋体" w:cs="宋体" w:eastAsia="宋体" w:hint="default"/>
        </w:rPr>
        <w:t>3</w:t>
      </w:r>
      <w:r>
        <w:rPr/>
        <w:t>）利润分享及资金计划</w:t>
      </w:r>
      <w:r>
        <w:rPr>
          <w:w w:val="100"/>
        </w:rPr>
        <w:t> </w:t>
      </w:r>
      <w:r>
        <w:rPr>
          <w:spacing w:val="-3"/>
        </w:rPr>
        <w:t>本公司及本集团子公司冠捷科技，在对股东进行利润分配后，依据特定计算公式确</w:t>
      </w:r>
    </w:p>
    <w:p>
      <w:pPr>
        <w:pStyle w:val="Heading7"/>
        <w:spacing w:line="253" w:lineRule="exact" w:before="0"/>
        <w:ind w:right="0"/>
        <w:jc w:val="left"/>
      </w:pPr>
      <w:r>
        <w:rPr/>
        <w:t>定奖金及利润分享金额，同时确认费用和负债。</w:t>
      </w:r>
    </w:p>
    <w:p>
      <w:pPr>
        <w:pStyle w:val="Heading7"/>
        <w:spacing w:line="326" w:lineRule="auto" w:before="177"/>
        <w:ind w:right="377" w:firstLine="439"/>
        <w:jc w:val="both"/>
      </w:pPr>
      <w:r>
        <w:rPr>
          <w:spacing w:val="-3"/>
        </w:rPr>
        <w:t>辞退福利是由于在职工劳动合同到期之前决定解除与职工的劳动关系，或为鼓励职</w:t>
      </w:r>
      <w:r>
        <w:rPr>
          <w:w w:val="100"/>
        </w:rPr>
        <w:t> </w:t>
      </w:r>
      <w:r>
        <w:rPr>
          <w:spacing w:val="-3"/>
        </w:rPr>
        <w:t>工自愿接受裁减而提出给予补偿的建议，如果本集团已经制定正式的解除劳动关系计划</w:t>
      </w:r>
      <w:r>
        <w:rPr>
          <w:spacing w:val="-58"/>
        </w:rPr>
        <w:t> </w:t>
      </w:r>
      <w:r>
        <w:rPr>
          <w:spacing w:val="-58"/>
        </w:rPr>
      </w:r>
      <w:r>
        <w:rPr>
          <w:spacing w:val="-3"/>
        </w:rPr>
        <w:t>或提出自愿裁减建议，并即将实施，同时本集团不能单方面撤回解除劳动关系计划或裁</w:t>
      </w:r>
      <w:r>
        <w:rPr>
          <w:spacing w:val="-59"/>
        </w:rPr>
        <w:t> </w:t>
      </w:r>
      <w:r>
        <w:rPr>
          <w:spacing w:val="-59"/>
        </w:rPr>
      </w:r>
      <w:r>
        <w:rPr/>
        <w:t>减建议的，确认因解除与职工劳动关系给予补偿产生的预计负债，计入当期损益。</w:t>
      </w:r>
    </w:p>
    <w:p>
      <w:pPr>
        <w:pStyle w:val="Heading7"/>
        <w:spacing w:line="324" w:lineRule="auto" w:before="101"/>
        <w:ind w:right="377" w:firstLine="439"/>
        <w:jc w:val="both"/>
      </w:pPr>
      <w:r>
        <w:rPr>
          <w:spacing w:val="-3"/>
        </w:rPr>
        <w:t>职工内部退休计划采用与上述辞退福利相同的原则处理。本集团将自职工停止提供</w:t>
      </w:r>
      <w:r>
        <w:rPr>
          <w:w w:val="100"/>
        </w:rPr>
        <w:t> </w:t>
      </w:r>
      <w:r>
        <w:rPr>
          <w:spacing w:val="-3"/>
        </w:rPr>
        <w:t>服务日至正常退休日的期间拟支付的内退人员工资和缴纳的社会保险费等，在符合预计</w:t>
      </w:r>
      <w:r>
        <w:rPr>
          <w:spacing w:val="-57"/>
        </w:rPr>
        <w:t> </w:t>
      </w:r>
      <w:r>
        <w:rPr>
          <w:spacing w:val="-57"/>
        </w:rPr>
      </w:r>
      <w:r>
        <w:rPr/>
        <w:t>负债确认条件时，确认为预计负债计入当期损益。</w:t>
      </w:r>
    </w:p>
    <w:p>
      <w:pPr>
        <w:pStyle w:val="Heading7"/>
        <w:spacing w:line="391" w:lineRule="auto" w:before="103"/>
        <w:ind w:left="559" w:right="3772"/>
        <w:jc w:val="left"/>
      </w:pPr>
      <w:r>
        <w:rPr>
          <w:spacing w:val="-1"/>
        </w:rPr>
        <w:t>其他长期福利主要是一年以上的退休金计划。</w:t>
      </w:r>
      <w:r>
        <w:rPr>
          <w:spacing w:val="-92"/>
        </w:rPr>
        <w:t> </w:t>
      </w:r>
      <w:r>
        <w:rPr>
          <w:spacing w:val="-92"/>
        </w:rPr>
      </w:r>
      <w:r>
        <w:rPr>
          <w:rFonts w:ascii="宋体" w:hAnsi="宋体" w:cs="宋体" w:eastAsia="宋体" w:hint="default"/>
        </w:rPr>
        <w:t>23</w:t>
      </w:r>
      <w:r>
        <w:rPr/>
        <w:t>、预计负债</w:t>
      </w:r>
    </w:p>
    <w:p>
      <w:pPr>
        <w:pStyle w:val="Heading7"/>
        <w:spacing w:line="324" w:lineRule="auto" w:before="41"/>
        <w:ind w:right="375" w:firstLine="439"/>
        <w:jc w:val="both"/>
      </w:pPr>
      <w:r>
        <w:rPr>
          <w:spacing w:val="-3"/>
        </w:rPr>
        <w:t>当与对外担保、商业承兑汇票贴现、未决诉讼或仲裁、产品质量保证等或有事项相</w:t>
      </w:r>
      <w:r>
        <w:rPr>
          <w:w w:val="100"/>
        </w:rPr>
        <w:t> </w:t>
      </w:r>
      <w:r>
        <w:rPr>
          <w:spacing w:val="-3"/>
        </w:rPr>
        <w:t>关的业务同时符合以下条件时，本集团将其确认为负债：该义务是本集团承担的现时义</w:t>
      </w:r>
      <w:r>
        <w:rPr>
          <w:spacing w:val="-57"/>
        </w:rPr>
        <w:t> </w:t>
      </w:r>
      <w:r>
        <w:rPr>
          <w:spacing w:val="-57"/>
        </w:rPr>
      </w:r>
      <w:r>
        <w:rPr/>
        <w:t>务；该义务的履行很可能导致经济利益流出企业；该义务的金额能够可靠地计量。</w:t>
      </w:r>
    </w:p>
    <w:p>
      <w:pPr>
        <w:pStyle w:val="Heading7"/>
        <w:spacing w:line="326" w:lineRule="auto" w:before="103"/>
        <w:ind w:right="321" w:firstLine="439"/>
        <w:jc w:val="both"/>
      </w:pPr>
      <w:r>
        <w:rPr>
          <w:spacing w:val="-3"/>
        </w:rPr>
        <w:t>预计负债按照履行相关现时义务所需支出的最佳估计数进行初始计量，并综合考虑</w:t>
      </w:r>
      <w:r>
        <w:rPr>
          <w:w w:val="100"/>
        </w:rPr>
        <w:t> </w:t>
      </w:r>
      <w:r>
        <w:rPr>
          <w:spacing w:val="-1"/>
        </w:rPr>
        <w:t>与或有事项有关的风险、不确定性和货币时间价值等因素。货币时间价值影响重大的，</w:t>
      </w:r>
      <w:r>
        <w:rPr>
          <w:spacing w:val="-77"/>
        </w:rPr>
        <w:t> </w:t>
      </w:r>
      <w:r>
        <w:rPr>
          <w:spacing w:val="-77"/>
        </w:rPr>
      </w:r>
      <w:r>
        <w:rPr>
          <w:spacing w:val="-3"/>
        </w:rPr>
        <w:t>通过对相关未来现金流出进行折现后确定最佳估计数。每个资产负债表日对预计负债的</w:t>
      </w:r>
      <w:r>
        <w:rPr>
          <w:spacing w:val="-58"/>
        </w:rPr>
        <w:t> </w:t>
      </w:r>
      <w:r>
        <w:rPr>
          <w:spacing w:val="-58"/>
        </w:rPr>
      </w:r>
      <w:r>
        <w:rPr/>
        <w:t>账面价值进行复核，如有改变则对账面价值进行调整以反映当前最佳估计数。</w:t>
      </w:r>
    </w:p>
    <w:p>
      <w:pPr>
        <w:pStyle w:val="Heading7"/>
        <w:spacing w:line="391" w:lineRule="auto" w:before="98"/>
        <w:ind w:left="559" w:right="0"/>
        <w:jc w:val="left"/>
      </w:pPr>
      <w:r>
        <w:rPr>
          <w:rFonts w:ascii="宋体" w:hAnsi="宋体" w:cs="宋体" w:eastAsia="宋体" w:hint="default"/>
        </w:rPr>
        <w:t>24</w:t>
      </w:r>
      <w:r>
        <w:rPr/>
        <w:t>、股份支付</w:t>
      </w:r>
      <w:r>
        <w:rPr>
          <w:w w:val="100"/>
        </w:rPr>
        <w:t> </w:t>
      </w:r>
      <w:r>
        <w:rPr>
          <w:spacing w:val="-3"/>
        </w:rPr>
        <w:t>用以换取职工提供服务的以权益结算的股份支付，以授予职工权益工具在授予日的</w:t>
      </w:r>
    </w:p>
    <w:p>
      <w:pPr>
        <w:pStyle w:val="Heading7"/>
        <w:spacing w:line="253" w:lineRule="exact" w:before="0"/>
        <w:ind w:right="0"/>
        <w:jc w:val="left"/>
      </w:pPr>
      <w:r>
        <w:rPr>
          <w:spacing w:val="-3"/>
        </w:rPr>
        <w:t>公允价值计量。该公允价值的金额在完成等待期内的服务或达到规定业绩条件才可行权</w:t>
      </w:r>
    </w:p>
    <w:p>
      <w:pPr>
        <w:pStyle w:val="Heading7"/>
        <w:spacing w:line="324" w:lineRule="auto" w:before="103"/>
        <w:ind w:right="0"/>
        <w:jc w:val="left"/>
      </w:pPr>
      <w:r>
        <w:rPr>
          <w:spacing w:val="-3"/>
        </w:rPr>
        <w:t>的情况下，在等待期内以对可行权权益工具数量的最佳估计为基础，按直线法计算计入</w:t>
      </w:r>
      <w:r>
        <w:rPr>
          <w:spacing w:val="-59"/>
        </w:rPr>
        <w:t> </w:t>
      </w:r>
      <w:r>
        <w:rPr>
          <w:spacing w:val="-59"/>
        </w:rPr>
      </w:r>
      <w:r>
        <w:rPr/>
        <w:t>相关成本或费用，相应增加资本公积。</w:t>
      </w:r>
    </w:p>
    <w:p>
      <w:pPr>
        <w:pStyle w:val="Heading7"/>
        <w:spacing w:line="326" w:lineRule="auto" w:before="103"/>
        <w:ind w:right="0" w:firstLine="439"/>
        <w:jc w:val="left"/>
      </w:pPr>
      <w:r>
        <w:rPr>
          <w:spacing w:val="-3"/>
        </w:rPr>
        <w:t>以现金结算的股份支付，按照本集团承担的以股份或其他权益工具为基础确定的负</w:t>
      </w:r>
      <w:r>
        <w:rPr>
          <w:w w:val="100"/>
        </w:rPr>
        <w:t> </w:t>
      </w:r>
      <w:r>
        <w:rPr>
          <w:spacing w:val="-3"/>
        </w:rPr>
        <w:t>债的公允价值计量。如授予后立即可行权，在授予日以承担负债的公允价值计入相关成</w:t>
      </w:r>
      <w:r>
        <w:rPr>
          <w:spacing w:val="-59"/>
        </w:rPr>
        <w:t> </w:t>
      </w:r>
      <w:r>
        <w:rPr>
          <w:spacing w:val="-59"/>
        </w:rPr>
      </w:r>
      <w:r>
        <w:rPr>
          <w:spacing w:val="-6"/>
        </w:rPr>
        <w:t>本或费用，相应增加负债；如需完成等待期内的服务或达到规定业绩条件以后才可行权，</w:t>
      </w:r>
      <w:r>
        <w:rPr>
          <w:spacing w:val="-48"/>
        </w:rPr>
        <w:t> </w:t>
      </w:r>
      <w:r>
        <w:rPr>
          <w:spacing w:val="-48"/>
        </w:rPr>
      </w:r>
      <w:r>
        <w:rPr>
          <w:spacing w:val="-3"/>
        </w:rPr>
        <w:t>在等待期的每个资产负债表日，以对可行权情况的最佳估计为基础，按照本集团承担负</w:t>
      </w:r>
      <w:r>
        <w:rPr>
          <w:spacing w:val="-58"/>
        </w:rPr>
        <w:t> </w:t>
      </w:r>
      <w:r>
        <w:rPr>
          <w:spacing w:val="-58"/>
        </w:rPr>
      </w:r>
      <w:r>
        <w:rPr/>
        <w:t>债的公允价值金额，将当期取得的服务计入成本或费用，相应调整负债。</w:t>
      </w:r>
    </w:p>
    <w:p>
      <w:pPr>
        <w:pStyle w:val="Heading7"/>
        <w:spacing w:line="326" w:lineRule="auto" w:before="101"/>
        <w:ind w:right="325" w:firstLine="439"/>
        <w:jc w:val="both"/>
      </w:pPr>
      <w:r>
        <w:rPr>
          <w:spacing w:val="-1"/>
        </w:rPr>
        <w:t>在相关负债结算前的每个资产负债表日以及结算日，对负债的公允价值重新计量，</w:t>
      </w:r>
      <w:r>
        <w:rPr>
          <w:w w:val="100"/>
        </w:rPr>
        <w:t> </w:t>
      </w:r>
      <w:r>
        <w:rPr/>
        <w:t>其变动计入当期损益。</w:t>
      </w:r>
    </w:p>
    <w:p>
      <w:pPr>
        <w:spacing w:after="0" w:line="326"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right="376" w:firstLine="439"/>
        <w:jc w:val="both"/>
      </w:pPr>
      <w:r>
        <w:rPr>
          <w:spacing w:val="-3"/>
        </w:rPr>
        <w:t>本集团在等待期内取消所授予权益工具的，作为加速行权处理，即视同剩余等待期</w:t>
      </w:r>
      <w:r>
        <w:rPr>
          <w:w w:val="100"/>
        </w:rPr>
        <w:t> </w:t>
      </w:r>
      <w:r>
        <w:rPr>
          <w:spacing w:val="-3"/>
        </w:rPr>
        <w:t>内的股权支付计划已经全部满足可行权条件，在取消所授予权益工具的本期确认剩余等</w:t>
      </w:r>
      <w:r>
        <w:rPr>
          <w:spacing w:val="-57"/>
        </w:rPr>
        <w:t> </w:t>
      </w:r>
      <w:r>
        <w:rPr>
          <w:spacing w:val="-57"/>
        </w:rPr>
      </w:r>
      <w:r>
        <w:rPr/>
        <w:t>待期内的所有费用。</w:t>
      </w:r>
    </w:p>
    <w:p>
      <w:pPr>
        <w:pStyle w:val="Heading7"/>
        <w:spacing w:line="391" w:lineRule="auto" w:before="98"/>
        <w:ind w:left="559" w:right="0"/>
        <w:jc w:val="left"/>
      </w:pPr>
      <w:r>
        <w:rPr>
          <w:rFonts w:ascii="宋体" w:hAnsi="宋体" w:cs="宋体" w:eastAsia="宋体" w:hint="default"/>
        </w:rPr>
        <w:t>25</w:t>
      </w:r>
      <w:r>
        <w:rPr/>
        <w:t>、收入确认原则和计量方法</w:t>
      </w:r>
      <w:r>
        <w:rPr>
          <w:w w:val="100"/>
        </w:rPr>
        <w:t> </w:t>
      </w:r>
      <w:r>
        <w:rPr>
          <w:spacing w:val="-6"/>
        </w:rPr>
        <w:t>本集团的营业收入主要包括产品销售、租金收入及劳务收入等，收入确认政策如下：</w:t>
      </w:r>
    </w:p>
    <w:p>
      <w:pPr>
        <w:pStyle w:val="Heading7"/>
        <w:spacing w:line="391" w:lineRule="auto" w:before="41"/>
        <w:ind w:left="559" w:right="0"/>
        <w:jc w:val="left"/>
      </w:pPr>
      <w:r>
        <w:rPr/>
        <w:t>（</w:t>
      </w:r>
      <w:r>
        <w:rPr>
          <w:rFonts w:ascii="宋体" w:hAnsi="宋体" w:cs="宋体" w:eastAsia="宋体" w:hint="default"/>
        </w:rPr>
        <w:t>1</w:t>
      </w:r>
      <w:r>
        <w:rPr/>
        <w:t>）产品销售（含材料销售）</w:t>
      </w:r>
      <w:r>
        <w:rPr>
          <w:w w:val="100"/>
        </w:rPr>
        <w:t> </w:t>
      </w:r>
      <w:r>
        <w:rPr>
          <w:spacing w:val="-3"/>
        </w:rPr>
        <w:t>本集团在已将产品所有权上的主要风险和报酬转移给购货方（通常为集团实体向客</w:t>
      </w:r>
    </w:p>
    <w:p>
      <w:pPr>
        <w:pStyle w:val="Heading7"/>
        <w:spacing w:line="253" w:lineRule="exact" w:before="0"/>
        <w:ind w:right="0"/>
        <w:jc w:val="left"/>
      </w:pPr>
      <w:r>
        <w:rPr>
          <w:spacing w:val="2"/>
          <w:w w:val="100"/>
        </w:rPr>
        <w:t>户</w:t>
      </w:r>
      <w:r>
        <w:rPr>
          <w:w w:val="100"/>
        </w:rPr>
        <w:t>交付</w:t>
      </w:r>
      <w:r>
        <w:rPr>
          <w:spacing w:val="2"/>
          <w:w w:val="100"/>
        </w:rPr>
        <w:t>产</w:t>
      </w:r>
      <w:r>
        <w:rPr>
          <w:w w:val="100"/>
        </w:rPr>
        <w:t>品的当</w:t>
      </w:r>
      <w:r>
        <w:rPr>
          <w:spacing w:val="2"/>
          <w:w w:val="100"/>
        </w:rPr>
        <w:t>日</w:t>
      </w:r>
      <w:r>
        <w:rPr>
          <w:spacing w:val="-111"/>
          <w:w w:val="100"/>
        </w:rPr>
        <w:t>）</w:t>
      </w:r>
      <w:r>
        <w:rPr>
          <w:spacing w:val="2"/>
          <w:w w:val="100"/>
        </w:rPr>
        <w:t>、</w:t>
      </w:r>
      <w:r>
        <w:rPr>
          <w:w w:val="100"/>
        </w:rPr>
        <w:t>本</w:t>
      </w:r>
      <w:r>
        <w:rPr>
          <w:spacing w:val="2"/>
          <w:w w:val="100"/>
        </w:rPr>
        <w:t>集</w:t>
      </w:r>
      <w:r>
        <w:rPr>
          <w:w w:val="100"/>
        </w:rPr>
        <w:t>团既</w:t>
      </w:r>
      <w:r>
        <w:rPr>
          <w:spacing w:val="2"/>
          <w:w w:val="100"/>
        </w:rPr>
        <w:t>没</w:t>
      </w:r>
      <w:r>
        <w:rPr>
          <w:w w:val="100"/>
        </w:rPr>
        <w:t>有保留</w:t>
      </w:r>
      <w:r>
        <w:rPr>
          <w:spacing w:val="2"/>
          <w:w w:val="100"/>
        </w:rPr>
        <w:t>通</w:t>
      </w:r>
      <w:r>
        <w:rPr>
          <w:w w:val="100"/>
        </w:rPr>
        <w:t>常与所</w:t>
      </w:r>
      <w:r>
        <w:rPr>
          <w:spacing w:val="2"/>
          <w:w w:val="100"/>
        </w:rPr>
        <w:t>有</w:t>
      </w:r>
      <w:r>
        <w:rPr>
          <w:w w:val="100"/>
        </w:rPr>
        <w:t>权相</w:t>
      </w:r>
      <w:r>
        <w:rPr>
          <w:spacing w:val="2"/>
          <w:w w:val="100"/>
        </w:rPr>
        <w:t>联</w:t>
      </w:r>
      <w:r>
        <w:rPr>
          <w:w w:val="100"/>
        </w:rPr>
        <w:t>系的继</w:t>
      </w:r>
      <w:r>
        <w:rPr>
          <w:spacing w:val="2"/>
          <w:w w:val="100"/>
        </w:rPr>
        <w:t>续</w:t>
      </w:r>
      <w:r>
        <w:rPr>
          <w:w w:val="100"/>
        </w:rPr>
        <w:t>管理权</w:t>
      </w:r>
      <w:r>
        <w:rPr>
          <w:spacing w:val="2"/>
          <w:w w:val="100"/>
        </w:rPr>
        <w:t>、</w:t>
      </w:r>
      <w:r>
        <w:rPr>
          <w:w w:val="100"/>
        </w:rPr>
        <w:t>也没</w:t>
      </w:r>
      <w:r>
        <w:rPr>
          <w:spacing w:val="2"/>
          <w:w w:val="100"/>
        </w:rPr>
        <w:t>有</w:t>
      </w:r>
      <w:r>
        <w:rPr>
          <w:w w:val="100"/>
        </w:rPr>
        <w:t>对</w:t>
      </w:r>
    </w:p>
    <w:p>
      <w:pPr>
        <w:pStyle w:val="Heading7"/>
        <w:spacing w:line="324" w:lineRule="auto" w:before="103"/>
        <w:ind w:right="0"/>
        <w:jc w:val="left"/>
      </w:pPr>
      <w:r>
        <w:rPr>
          <w:spacing w:val="-3"/>
        </w:rPr>
        <w:t>已售出的产品实施有效控制、而客户已接受产品或不存在其他影响客户接受产品的未履</w:t>
      </w:r>
      <w:r>
        <w:rPr>
          <w:spacing w:val="-58"/>
        </w:rPr>
        <w:t> </w:t>
      </w:r>
      <w:r>
        <w:rPr>
          <w:spacing w:val="-58"/>
        </w:rPr>
      </w:r>
      <w:r>
        <w:rPr>
          <w:spacing w:val="-11"/>
          <w:w w:val="100"/>
        </w:rPr>
        <w:t>行责任时确认，根据累计风险估计销售退回及计提产品质量保证（预计负债、保用拨备）。</w:t>
      </w:r>
    </w:p>
    <w:p>
      <w:pPr>
        <w:pStyle w:val="Heading7"/>
        <w:spacing w:line="391" w:lineRule="auto" w:before="103"/>
        <w:ind w:left="559" w:right="0"/>
        <w:jc w:val="left"/>
      </w:pPr>
      <w:r>
        <w:rPr/>
        <w:t>（</w:t>
      </w:r>
      <w:r>
        <w:rPr>
          <w:rFonts w:ascii="宋体" w:hAnsi="宋体" w:cs="宋体" w:eastAsia="宋体" w:hint="default"/>
        </w:rPr>
        <w:t>2</w:t>
      </w:r>
      <w:r>
        <w:rPr/>
        <w:t>）租金收入</w:t>
      </w:r>
      <w:r>
        <w:rPr>
          <w:spacing w:val="-108"/>
        </w:rPr>
        <w:t> </w:t>
      </w:r>
      <w:r>
        <w:rPr>
          <w:spacing w:val="-108"/>
        </w:rPr>
      </w:r>
      <w:r>
        <w:rPr>
          <w:spacing w:val="-2"/>
        </w:rPr>
        <w:t>投资性房地产及固定资产出租收入，按照租赁合同在约定的租赁期限内确认。</w:t>
      </w:r>
    </w:p>
    <w:p>
      <w:pPr>
        <w:pStyle w:val="Heading7"/>
        <w:spacing w:line="391" w:lineRule="auto" w:before="41"/>
        <w:ind w:left="559" w:right="0"/>
        <w:jc w:val="left"/>
      </w:pPr>
      <w:r>
        <w:rPr/>
        <w:t>（</w:t>
      </w:r>
      <w:r>
        <w:rPr>
          <w:rFonts w:ascii="宋体" w:hAnsi="宋体" w:cs="宋体" w:eastAsia="宋体" w:hint="default"/>
        </w:rPr>
        <w:t>3</w:t>
      </w:r>
      <w:r>
        <w:rPr/>
        <w:t>）劳务收入（技术服务及维修服务）</w:t>
      </w:r>
      <w:r>
        <w:rPr>
          <w:spacing w:val="-108"/>
        </w:rPr>
        <w:t> </w:t>
      </w:r>
      <w:r>
        <w:rPr>
          <w:spacing w:val="-108"/>
        </w:rPr>
      </w:r>
      <w:r>
        <w:rPr>
          <w:spacing w:val="2"/>
        </w:rPr>
        <w:t>本集团对外提供的劳务包括技术服务及维修服务，其中技术服务按照合同约定条</w:t>
      </w:r>
    </w:p>
    <w:p>
      <w:pPr>
        <w:pStyle w:val="Heading7"/>
        <w:spacing w:line="253" w:lineRule="exact" w:before="0"/>
        <w:ind w:right="0"/>
        <w:jc w:val="left"/>
      </w:pPr>
      <w:r>
        <w:rPr>
          <w:spacing w:val="-3"/>
        </w:rPr>
        <w:t>款，在提供技术服务后并开具发票后确认收入实现；维修服务在执行维修业务并交付产</w:t>
      </w:r>
    </w:p>
    <w:p>
      <w:pPr>
        <w:pStyle w:val="Heading7"/>
        <w:spacing w:line="391" w:lineRule="auto" w:before="101"/>
        <w:ind w:left="559" w:right="6258" w:hanging="440"/>
        <w:jc w:val="left"/>
      </w:pPr>
      <w:r>
        <w:rPr>
          <w:spacing w:val="-1"/>
        </w:rPr>
        <w:t>品时确认维修服务收入。</w:t>
      </w:r>
      <w:r>
        <w:rPr>
          <w:spacing w:val="-100"/>
        </w:rPr>
        <w:t> </w:t>
      </w:r>
      <w:r>
        <w:rPr>
          <w:spacing w:val="-100"/>
        </w:rPr>
      </w:r>
      <w:r>
        <w:rPr>
          <w:rFonts w:ascii="宋体" w:hAnsi="宋体" w:cs="宋体" w:eastAsia="宋体" w:hint="default"/>
        </w:rPr>
        <w:t>26</w:t>
      </w:r>
      <w:r>
        <w:rPr/>
        <w:t>、政府补助</w:t>
      </w:r>
    </w:p>
    <w:p>
      <w:pPr>
        <w:pStyle w:val="Heading7"/>
        <w:spacing w:line="391" w:lineRule="auto" w:before="41"/>
        <w:ind w:left="559" w:right="0"/>
        <w:jc w:val="left"/>
      </w:pPr>
      <w:r>
        <w:rPr/>
        <w:t>本集团的政府补助包括本集团从政府无偿取得货币性资产或非货币性资产。</w:t>
      </w:r>
      <w:r>
        <w:rPr>
          <w:w w:val="100"/>
        </w:rPr>
        <w:t> </w:t>
      </w:r>
      <w:r>
        <w:rPr>
          <w:spacing w:val="-3"/>
        </w:rPr>
        <w:t>政府补助为货币性资产的，按照实际收到的金额计量，对于按照固定的定额标准拨</w:t>
      </w:r>
    </w:p>
    <w:p>
      <w:pPr>
        <w:pStyle w:val="Heading7"/>
        <w:spacing w:line="253" w:lineRule="exact" w:before="0"/>
        <w:ind w:right="0"/>
        <w:jc w:val="left"/>
      </w:pPr>
      <w:r>
        <w:rPr>
          <w:spacing w:val="-3"/>
        </w:rPr>
        <w:t>付的补助，或对年末有确凿证据表明能够符合财政扶持政策规定的相关条件且预计能够</w:t>
      </w:r>
    </w:p>
    <w:p>
      <w:pPr>
        <w:pStyle w:val="Heading7"/>
        <w:spacing w:line="326" w:lineRule="auto" w:before="101"/>
        <w:ind w:right="0"/>
        <w:jc w:val="left"/>
      </w:pPr>
      <w:r>
        <w:rPr>
          <w:spacing w:val="-3"/>
        </w:rPr>
        <w:t>收到财政扶持资金时，按照应收的金额计量；政府补助为非货币性资产的，按照公允价</w:t>
      </w:r>
      <w:r>
        <w:rPr>
          <w:spacing w:val="-56"/>
        </w:rPr>
        <w:t> </w:t>
      </w:r>
      <w:r>
        <w:rPr>
          <w:spacing w:val="-56"/>
        </w:rPr>
      </w:r>
      <w:r>
        <w:rPr/>
        <w:t>值计量，公允价值不能可靠取得的，按照名义金额（</w:t>
      </w:r>
      <w:r>
        <w:rPr>
          <w:rFonts w:ascii="宋体" w:hAnsi="宋体" w:cs="宋体" w:eastAsia="宋体" w:hint="default"/>
        </w:rPr>
        <w:t>1</w:t>
      </w:r>
      <w:r>
        <w:rPr>
          <w:rFonts w:ascii="宋体" w:hAnsi="宋体" w:cs="宋体" w:eastAsia="宋体" w:hint="default"/>
          <w:spacing w:val="-59"/>
        </w:rPr>
        <w:t> </w:t>
      </w:r>
      <w:r>
        <w:rPr/>
        <w:t>元）计量。</w:t>
      </w:r>
    </w:p>
    <w:p>
      <w:pPr>
        <w:pStyle w:val="Heading7"/>
        <w:spacing w:line="326" w:lineRule="auto" w:before="98"/>
        <w:ind w:right="322" w:firstLine="439"/>
        <w:jc w:val="both"/>
      </w:pPr>
      <w:r>
        <w:rPr>
          <w:spacing w:val="-3"/>
        </w:rPr>
        <w:t>本集团的政府补助分为与资产相关的政府补助和与收益相关的政府补助。与资产相</w:t>
      </w:r>
      <w:r>
        <w:rPr>
          <w:w w:val="100"/>
        </w:rPr>
        <w:t> </w:t>
      </w:r>
      <w:r>
        <w:rPr>
          <w:spacing w:val="-1"/>
        </w:rPr>
        <w:t>关的政府补助，是指本集团取得的、用于购建或以其他方式形成长期资产的政府补助；</w:t>
      </w:r>
      <w:r>
        <w:rPr>
          <w:spacing w:val="-78"/>
        </w:rPr>
        <w:t> </w:t>
      </w:r>
      <w:r>
        <w:rPr>
          <w:spacing w:val="-78"/>
        </w:rPr>
      </w:r>
      <w:r>
        <w:rPr>
          <w:spacing w:val="-3"/>
        </w:rPr>
        <w:t>与收益相关的政府补助，是指除与资产相关的政府补助之外的政府补助。如果政府文件</w:t>
      </w:r>
      <w:r>
        <w:rPr>
          <w:spacing w:val="-58"/>
        </w:rPr>
        <w:t> </w:t>
      </w:r>
      <w:r>
        <w:rPr>
          <w:spacing w:val="-58"/>
        </w:rPr>
      </w:r>
      <w:r>
        <w:rPr/>
        <w:t>中未明确规定补助对象，本集团按照上述原则进行判断。</w:t>
      </w:r>
    </w:p>
    <w:p>
      <w:pPr>
        <w:pStyle w:val="Heading7"/>
        <w:spacing w:line="326" w:lineRule="auto" w:before="101"/>
        <w:ind w:right="322" w:firstLine="439"/>
        <w:jc w:val="both"/>
      </w:pPr>
      <w:r>
        <w:rPr>
          <w:spacing w:val="-3"/>
        </w:rPr>
        <w:t>与资产相关的政府补助确认为递延收益，并在相关资产使用寿命内平均分配计入当</w:t>
      </w:r>
      <w:r>
        <w:rPr>
          <w:w w:val="100"/>
        </w:rPr>
        <w:t> </w:t>
      </w:r>
      <w:r>
        <w:rPr>
          <w:spacing w:val="-3"/>
        </w:rPr>
        <w:t>期损益。与收益相关的政府补助，用于补偿以后期间的相关费用或损失的，确认为递延</w:t>
      </w:r>
      <w:r>
        <w:rPr>
          <w:spacing w:val="-56"/>
        </w:rPr>
        <w:t> </w:t>
      </w:r>
      <w:r>
        <w:rPr>
          <w:spacing w:val="-56"/>
        </w:rPr>
      </w:r>
      <w:r>
        <w:rPr>
          <w:spacing w:val="-1"/>
        </w:rPr>
        <w:t>收益，并在确认相关费用的期间计入当期损益；用于补偿已发生的相关费用或损失的，</w:t>
      </w:r>
      <w:r>
        <w:rPr>
          <w:spacing w:val="-78"/>
        </w:rPr>
        <w:t> </w:t>
      </w:r>
      <w:r>
        <w:rPr>
          <w:spacing w:val="-78"/>
        </w:rPr>
      </w:r>
      <w:r>
        <w:rPr/>
        <w:t>直接计入当期损益。</w:t>
      </w:r>
    </w:p>
    <w:p>
      <w:pPr>
        <w:pStyle w:val="Heading7"/>
        <w:spacing w:line="326" w:lineRule="auto" w:before="98"/>
        <w:ind w:right="378" w:firstLine="439"/>
        <w:jc w:val="both"/>
      </w:pPr>
      <w:r>
        <w:rPr>
          <w:spacing w:val="2"/>
        </w:rPr>
        <w:t>本集团基于自主密码模块项目等项目补贴为与资产相关的政府补助确认为递延收</w:t>
      </w:r>
      <w:r>
        <w:rPr>
          <w:w w:val="100"/>
        </w:rPr>
        <w:t> </w:t>
      </w:r>
      <w:r>
        <w:rPr>
          <w:spacing w:val="-3"/>
        </w:rPr>
        <w:t>益，在相关资产使用寿命内平均分配计入当期损益。子公司冠捷科技收到的波兰政府补</w:t>
      </w:r>
    </w:p>
    <w:p>
      <w:pPr>
        <w:spacing w:after="0" w:line="326"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4" w:lineRule="auto" w:before="0"/>
        <w:ind w:right="0"/>
        <w:jc w:val="left"/>
      </w:pPr>
      <w:r>
        <w:rPr>
          <w:spacing w:val="-6"/>
        </w:rPr>
        <w:t>贴为与收益相关的政府补助，用于补偿以后期间的相关费用或损失的，确认为递延收益，</w:t>
      </w:r>
      <w:r>
        <w:rPr>
          <w:spacing w:val="-48"/>
        </w:rPr>
        <w:t> </w:t>
      </w:r>
      <w:r>
        <w:rPr>
          <w:spacing w:val="-48"/>
        </w:rPr>
      </w:r>
      <w:r>
        <w:rPr>
          <w:spacing w:val="-3"/>
        </w:rPr>
        <w:t>并在确认相关费用的期间计入当期损益；其他补贴为用于补偿已发生的相关费用或损失</w:t>
      </w:r>
      <w:r>
        <w:rPr>
          <w:spacing w:val="-58"/>
        </w:rPr>
        <w:t> </w:t>
      </w:r>
      <w:r>
        <w:rPr>
          <w:spacing w:val="-58"/>
        </w:rPr>
      </w:r>
      <w:r>
        <w:rPr/>
        <w:t>的，直接计入当期损益。</w:t>
      </w:r>
    </w:p>
    <w:p>
      <w:pPr>
        <w:pStyle w:val="Heading7"/>
        <w:spacing w:line="391" w:lineRule="auto" w:before="100"/>
        <w:ind w:left="559" w:right="0"/>
        <w:jc w:val="left"/>
      </w:pPr>
      <w:r>
        <w:rPr>
          <w:rFonts w:ascii="宋体" w:hAnsi="宋体" w:cs="宋体" w:eastAsia="宋体" w:hint="default"/>
        </w:rPr>
        <w:t>27</w:t>
      </w:r>
      <w:r>
        <w:rPr/>
        <w:t>、递延所得税资产和递延所得税负债</w:t>
      </w:r>
      <w:r>
        <w:rPr>
          <w:w w:val="100"/>
        </w:rPr>
        <w:t> </w:t>
      </w:r>
      <w:r>
        <w:rPr>
          <w:spacing w:val="2"/>
        </w:rPr>
        <w:t>本集团递延所得税资产和递延所得税负债根据资产和负债的计税基础与其账面价</w:t>
      </w:r>
    </w:p>
    <w:p>
      <w:pPr>
        <w:pStyle w:val="Heading7"/>
        <w:spacing w:line="253" w:lineRule="exact" w:before="0"/>
        <w:ind w:right="0"/>
        <w:jc w:val="left"/>
      </w:pPr>
      <w:r>
        <w:rPr>
          <w:spacing w:val="-3"/>
        </w:rPr>
        <w:t>值的差额（暂时性差异）计算确认。对于按照税法规定能够于以后年度抵减应纳税所得</w:t>
      </w:r>
    </w:p>
    <w:p>
      <w:pPr>
        <w:pStyle w:val="Heading7"/>
        <w:spacing w:line="326" w:lineRule="auto" w:before="103"/>
        <w:ind w:right="0"/>
        <w:jc w:val="left"/>
      </w:pPr>
      <w:r>
        <w:rPr>
          <w:spacing w:val="-6"/>
        </w:rPr>
        <w:t>额的可抵扣亏损，确认相应的递延所得税资产。对于商誉的初始确认产生的暂时性差异，</w:t>
      </w:r>
      <w:r>
        <w:rPr>
          <w:spacing w:val="-47"/>
        </w:rPr>
        <w:t> </w:t>
      </w:r>
      <w:r>
        <w:rPr>
          <w:spacing w:val="-47"/>
        </w:rPr>
      </w:r>
      <w:r>
        <w:rPr>
          <w:spacing w:val="-3"/>
        </w:rPr>
        <w:t>不确认相应的递延所得税负债。对于既不影响会计利润也不影响应纳税所得额（或可抵</w:t>
      </w:r>
      <w:r>
        <w:rPr>
          <w:spacing w:val="-58"/>
        </w:rPr>
        <w:t> </w:t>
      </w:r>
      <w:r>
        <w:rPr>
          <w:spacing w:val="-58"/>
        </w:rPr>
      </w:r>
      <w:r>
        <w:rPr>
          <w:spacing w:val="-3"/>
        </w:rPr>
        <w:t>扣亏损）的非企业合并的交易中产生的资产或负债的初始确认形成的暂时性差异，不确</w:t>
      </w:r>
      <w:r>
        <w:rPr>
          <w:spacing w:val="-58"/>
        </w:rPr>
        <w:t> </w:t>
      </w:r>
      <w:r>
        <w:rPr>
          <w:spacing w:val="-58"/>
        </w:rPr>
      </w:r>
      <w:r>
        <w:rPr>
          <w:spacing w:val="-3"/>
        </w:rPr>
        <w:t>认相应的递延所得税资产和递延所得税负债。于资产负债表日，递延所得税资产和递延</w:t>
      </w:r>
      <w:r>
        <w:rPr>
          <w:spacing w:val="-57"/>
        </w:rPr>
        <w:t> </w:t>
      </w:r>
      <w:r>
        <w:rPr>
          <w:spacing w:val="-57"/>
        </w:rPr>
      </w:r>
      <w:r>
        <w:rPr/>
        <w:t>所得税负债，按照预期收回该资产或清偿该负债期间的适用税率计量。</w:t>
      </w:r>
    </w:p>
    <w:p>
      <w:pPr>
        <w:pStyle w:val="Heading7"/>
        <w:spacing w:line="326" w:lineRule="auto" w:before="98"/>
        <w:ind w:right="377" w:firstLine="439"/>
        <w:jc w:val="both"/>
      </w:pPr>
      <w:r>
        <w:rPr>
          <w:spacing w:val="-3"/>
        </w:rPr>
        <w:t>本集团以很可能取得用来抵扣可抵扣暂时性差异、可抵扣亏损和税款抵减的未来应</w:t>
      </w:r>
      <w:r>
        <w:rPr>
          <w:w w:val="100"/>
        </w:rPr>
        <w:t> </w:t>
      </w:r>
      <w:r>
        <w:rPr/>
        <w:t>纳税所得额为限，确认递延所得税资产。</w:t>
      </w:r>
    </w:p>
    <w:p>
      <w:pPr>
        <w:pStyle w:val="Heading7"/>
        <w:spacing w:line="391" w:lineRule="auto" w:before="101"/>
        <w:ind w:left="559" w:right="2131"/>
        <w:jc w:val="left"/>
      </w:pPr>
      <w:r>
        <w:rPr>
          <w:rFonts w:ascii="宋体" w:hAnsi="宋体" w:cs="宋体" w:eastAsia="宋体" w:hint="default"/>
        </w:rPr>
        <w:t>28</w:t>
      </w:r>
      <w:r>
        <w:rPr/>
        <w:t>、租赁</w:t>
      </w:r>
      <w:r>
        <w:rPr>
          <w:spacing w:val="-107"/>
        </w:rPr>
        <w:t> </w:t>
      </w:r>
      <w:r>
        <w:rPr>
          <w:spacing w:val="-1"/>
        </w:rPr>
        <w:t>本集团的租赁业务包括房屋土地租赁及固定资产租赁。</w:t>
      </w:r>
    </w:p>
    <w:p>
      <w:pPr>
        <w:pStyle w:val="Heading7"/>
        <w:spacing w:line="324" w:lineRule="auto" w:before="41"/>
        <w:ind w:right="377" w:firstLine="439"/>
        <w:jc w:val="both"/>
      </w:pPr>
      <w:r>
        <w:rPr>
          <w:spacing w:val="-3"/>
        </w:rPr>
        <w:t>本集团作为融资租赁承租方时，在租赁开始日，按租赁开始日租赁资产的公允价值</w:t>
      </w:r>
      <w:r>
        <w:rPr>
          <w:w w:val="100"/>
        </w:rPr>
        <w:t> </w:t>
      </w:r>
      <w:r>
        <w:rPr>
          <w:spacing w:val="-3"/>
        </w:rPr>
        <w:t>与最低租赁付款额的现值两者中较低者，作为融资租入固定资产的入账价值，将最低租</w:t>
      </w:r>
      <w:r>
        <w:rPr>
          <w:spacing w:val="-59"/>
        </w:rPr>
        <w:t> </w:t>
      </w:r>
      <w:r>
        <w:rPr>
          <w:spacing w:val="-59"/>
        </w:rPr>
      </w:r>
      <w:r>
        <w:rPr/>
        <w:t>赁付款额作为长期应付款的入账价值，将两者的差额记录为未确认融资费用。</w:t>
      </w:r>
    </w:p>
    <w:p>
      <w:pPr>
        <w:pStyle w:val="Heading7"/>
        <w:spacing w:line="324" w:lineRule="auto" w:before="103"/>
        <w:ind w:right="376" w:firstLine="439"/>
        <w:jc w:val="both"/>
      </w:pPr>
      <w:r>
        <w:rPr>
          <w:spacing w:val="-3"/>
        </w:rPr>
        <w:t>目前本集团的租赁均为经营租赁，本集团作为经营租赁承租方的租金在租赁期内的</w:t>
      </w:r>
      <w:r>
        <w:rPr>
          <w:w w:val="100"/>
        </w:rPr>
        <w:t> </w:t>
      </w:r>
      <w:r>
        <w:rPr>
          <w:spacing w:val="-3"/>
        </w:rPr>
        <w:t>各个期间按直线法计入相关资产成本或当期损益。本集团作为出租方的租金在租赁期内</w:t>
      </w:r>
      <w:r>
        <w:rPr>
          <w:spacing w:val="-56"/>
        </w:rPr>
        <w:t> </w:t>
      </w:r>
      <w:r>
        <w:rPr>
          <w:spacing w:val="-56"/>
        </w:rPr>
      </w:r>
      <w:r>
        <w:rPr/>
        <w:t>的各个期间按直线法确认为收入。</w:t>
      </w:r>
    </w:p>
    <w:p>
      <w:pPr>
        <w:pStyle w:val="Heading7"/>
        <w:spacing w:line="391" w:lineRule="auto" w:before="103"/>
        <w:ind w:left="559" w:right="2131"/>
        <w:jc w:val="left"/>
      </w:pPr>
      <w:r>
        <w:rPr>
          <w:rFonts w:ascii="宋体" w:hAnsi="宋体" w:cs="宋体" w:eastAsia="宋体" w:hint="default"/>
        </w:rPr>
        <w:t>29</w:t>
      </w:r>
      <w:r>
        <w:rPr/>
        <w:t>、重要会计政策和会计估计变更</w:t>
      </w:r>
      <w:r>
        <w:rPr>
          <w:w w:val="100"/>
        </w:rPr>
        <w:t> </w:t>
      </w:r>
      <w:r>
        <w:rPr>
          <w:spacing w:val="-1"/>
        </w:rPr>
        <w:t>本年度本集团无重要会计政策和会计估计变更。</w:t>
      </w:r>
      <w:r>
        <w:rPr>
          <w:spacing w:val="-91"/>
        </w:rPr>
        <w:t> </w:t>
      </w:r>
      <w:r>
        <w:rPr>
          <w:spacing w:val="-91"/>
        </w:rPr>
      </w:r>
      <w:r>
        <w:rPr>
          <w:rFonts w:ascii="宋体" w:hAnsi="宋体" w:cs="宋体" w:eastAsia="宋体" w:hint="default"/>
        </w:rPr>
        <w:t>30</w:t>
      </w:r>
      <w:r>
        <w:rPr/>
        <w:t>、期初数据调整</w:t>
      </w:r>
    </w:p>
    <w:p>
      <w:pPr>
        <w:pStyle w:val="Heading7"/>
        <w:spacing w:line="324" w:lineRule="auto" w:before="41"/>
        <w:ind w:right="374" w:firstLine="439"/>
        <w:jc w:val="both"/>
      </w:pPr>
      <w:r>
        <w:rPr/>
        <w:t>由于本集团及新纳入合并报表范围的桑菲通信同为</w:t>
      </w:r>
      <w:r>
        <w:rPr>
          <w:spacing w:val="-48"/>
        </w:rPr>
        <w:t> </w:t>
      </w:r>
      <w:r>
        <w:rPr>
          <w:rFonts w:ascii="宋体" w:hAnsi="宋体" w:cs="宋体" w:eastAsia="宋体" w:hint="default"/>
        </w:rPr>
        <w:t>CEC</w:t>
      </w:r>
      <w:r>
        <w:rPr>
          <w:rFonts w:ascii="宋体" w:hAnsi="宋体" w:cs="宋体" w:eastAsia="宋体" w:hint="default"/>
          <w:spacing w:val="-49"/>
        </w:rPr>
        <w:t> </w:t>
      </w:r>
      <w:r>
        <w:rPr>
          <w:spacing w:val="-6"/>
        </w:rPr>
        <w:t>实际控制，因此本集团按照</w:t>
      </w:r>
      <w:r>
        <w:rPr>
          <w:w w:val="100"/>
        </w:rPr>
        <w:t> </w:t>
      </w:r>
      <w:r>
        <w:rPr/>
        <w:t>同一控制下企业合并的相关规定，追溯调整 </w:t>
      </w:r>
      <w:r>
        <w:rPr>
          <w:rFonts w:ascii="宋体" w:hAnsi="宋体" w:cs="宋体" w:eastAsia="宋体" w:hint="default"/>
        </w:rPr>
        <w:t>2015</w:t>
      </w:r>
      <w:r>
        <w:rPr>
          <w:rFonts w:ascii="宋体" w:hAnsi="宋体" w:cs="宋体" w:eastAsia="宋体" w:hint="default"/>
          <w:spacing w:val="-60"/>
        </w:rPr>
        <w:t> </w:t>
      </w:r>
      <w:r>
        <w:rPr/>
        <w:t>年度期初数及上年同期相关财务报表</w:t>
      </w:r>
      <w:r>
        <w:rPr>
          <w:w w:val="100"/>
        </w:rPr>
        <w:t> </w:t>
      </w:r>
      <w:r>
        <w:rPr/>
        <w:t>数据。</w:t>
      </w:r>
    </w:p>
    <w:p>
      <w:pPr>
        <w:pStyle w:val="Heading7"/>
        <w:spacing w:line="326" w:lineRule="auto" w:before="103"/>
        <w:ind w:right="322" w:firstLine="439"/>
        <w:jc w:val="both"/>
      </w:pPr>
      <w:r>
        <w:rPr>
          <w:spacing w:val="-3"/>
        </w:rPr>
        <w:t>根据《企业会计准则》及其相关指南、解释等规定，同一控制下的企业合并，合并</w:t>
      </w:r>
      <w:r>
        <w:rPr>
          <w:w w:val="100"/>
        </w:rPr>
        <w:t> </w:t>
      </w:r>
      <w:r>
        <w:rPr>
          <w:spacing w:val="2"/>
        </w:rPr>
        <w:t>方在合并中取得的净资产的入账价值相对于为进行企业合并支付的对价账面价值之间</w:t>
      </w:r>
      <w:r>
        <w:rPr>
          <w:spacing w:val="-39"/>
        </w:rPr>
        <w:t> </w:t>
      </w:r>
      <w:r>
        <w:rPr>
          <w:spacing w:val="-39"/>
        </w:rPr>
      </w:r>
      <w:r>
        <w:rPr>
          <w:spacing w:val="-3"/>
        </w:rPr>
        <w:t>的差额，应调整资本公积（资本溢价）项目或其他所有者权益项目，在合并当期编制合</w:t>
      </w:r>
      <w:r>
        <w:rPr>
          <w:spacing w:val="-52"/>
        </w:rPr>
        <w:t> </w:t>
      </w:r>
      <w:r>
        <w:rPr>
          <w:spacing w:val="-52"/>
        </w:rPr>
      </w:r>
      <w:r>
        <w:rPr>
          <w:spacing w:val="-1"/>
        </w:rPr>
        <w:t>并财务报表时。应对报表的期初数进行调整。同时应对比较报表的有关项目进行调整。</w:t>
      </w:r>
      <w:r>
        <w:rPr>
          <w:spacing w:val="-78"/>
        </w:rPr>
        <w:t> </w:t>
      </w:r>
      <w:r>
        <w:rPr>
          <w:spacing w:val="-78"/>
        </w:rPr>
      </w:r>
      <w:r>
        <w:rPr>
          <w:spacing w:val="-3"/>
        </w:rPr>
        <w:t>在编制比较报表时，应将被合并方的有关资产、负债并入，同时因合并而增加的净资产</w:t>
      </w:r>
      <w:r>
        <w:rPr>
          <w:spacing w:val="-56"/>
        </w:rPr>
        <w:t> </w:t>
      </w:r>
      <w:r>
        <w:rPr>
          <w:spacing w:val="-56"/>
        </w:rPr>
      </w:r>
      <w:r>
        <w:rPr>
          <w:spacing w:val="-3"/>
          <w:w w:val="100"/>
        </w:rPr>
        <w:t>在比较报表中调整所有者权益项下的资本公积（资本溢价或股本溢价）。对于被合并方</w:t>
      </w:r>
    </w:p>
    <w:p>
      <w:pPr>
        <w:spacing w:after="0" w:line="326" w:lineRule="auto"/>
        <w:jc w:val="both"/>
        <w:sectPr>
          <w:pgSz w:w="11910" w:h="16840"/>
          <w:pgMar w:header="881"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4" w:lineRule="auto" w:before="0"/>
        <w:ind w:left="260" w:right="276"/>
        <w:jc w:val="left"/>
      </w:pPr>
      <w:r>
        <w:rPr>
          <w:spacing w:val="-1"/>
        </w:rPr>
        <w:t>在企业合并前实现的留存收益（盈余公积和未分配利润之和）中归属于合并方的部分，</w:t>
      </w:r>
      <w:r>
        <w:rPr>
          <w:spacing w:val="-78"/>
        </w:rPr>
        <w:t> </w:t>
      </w:r>
      <w:r>
        <w:rPr>
          <w:spacing w:val="-78"/>
        </w:rPr>
      </w:r>
      <w:r>
        <w:rPr/>
        <w:t>自资本公积转入留存收益。</w:t>
      </w:r>
    </w:p>
    <w:p>
      <w:pPr>
        <w:pStyle w:val="Heading7"/>
        <w:spacing w:line="324" w:lineRule="auto" w:before="103"/>
        <w:ind w:left="260" w:right="374" w:firstLine="439"/>
        <w:jc w:val="both"/>
      </w:pPr>
      <w:r>
        <w:rPr/>
        <w:t>本集团按照上述规定，对 </w:t>
      </w:r>
      <w:r>
        <w:rPr>
          <w:rFonts w:ascii="宋体" w:hAnsi="宋体" w:cs="宋体" w:eastAsia="宋体" w:hint="default"/>
        </w:rPr>
        <w:t>2015</w:t>
      </w:r>
      <w:r>
        <w:rPr>
          <w:rFonts w:ascii="宋体" w:hAnsi="宋体" w:cs="宋体" w:eastAsia="宋体" w:hint="default"/>
          <w:spacing w:val="-57"/>
        </w:rPr>
        <w:t> </w:t>
      </w:r>
      <w:r>
        <w:rPr/>
        <w:t>年度资产负债表期初数及上年同期损益进行了追溯</w:t>
      </w:r>
      <w:r>
        <w:rPr>
          <w:w w:val="100"/>
        </w:rPr>
        <w:t> </w:t>
      </w:r>
      <w:r>
        <w:rPr>
          <w:spacing w:val="-5"/>
        </w:rPr>
        <w:t>调整，有关具体资产、负债、权益及损益追溯调整情况详见财务报表补充资料 </w:t>
      </w:r>
      <w:r>
        <w:rPr>
          <w:rFonts w:ascii="宋体" w:hAnsi="宋体" w:cs="宋体" w:eastAsia="宋体" w:hint="default"/>
        </w:rPr>
        <w:t>3.</w:t>
      </w:r>
      <w:r>
        <w:rPr/>
        <w:t>同一控</w:t>
      </w:r>
      <w:r>
        <w:rPr>
          <w:spacing w:val="-105"/>
        </w:rPr>
        <w:t> </w:t>
      </w:r>
      <w:r>
        <w:rPr>
          <w:spacing w:val="-105"/>
        </w:rPr>
      </w:r>
      <w:r>
        <w:rPr/>
        <w:t>制下企业合并期初数追溯调整相关补充资料。</w:t>
      </w:r>
    </w:p>
    <w:p>
      <w:pPr>
        <w:spacing w:line="240" w:lineRule="auto" w:before="11"/>
        <w:rPr>
          <w:rFonts w:ascii="宋体" w:hAnsi="宋体" w:cs="宋体" w:eastAsia="宋体" w:hint="default"/>
          <w:sz w:val="16"/>
          <w:szCs w:val="16"/>
        </w:rPr>
      </w:pPr>
    </w:p>
    <w:p>
      <w:pPr>
        <w:spacing w:line="422" w:lineRule="auto" w:before="0"/>
        <w:ind w:left="699" w:right="6366" w:firstLine="2"/>
        <w:jc w:val="left"/>
        <w:rPr>
          <w:rFonts w:ascii="宋体" w:hAnsi="宋体" w:cs="宋体" w:eastAsia="宋体" w:hint="default"/>
          <w:sz w:val="22"/>
          <w:szCs w:val="22"/>
        </w:rPr>
      </w:pPr>
      <w:r>
        <w:rPr/>
        <w:pict>
          <v:shape style="position:absolute;margin-left:82.823997pt;margin-top:44.047642pt;width:429.7pt;height:171.1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4"/>
                    <w:gridCol w:w="4962"/>
                    <w:gridCol w:w="1575"/>
                  </w:tblGrid>
                  <w:tr>
                    <w:trPr>
                      <w:trHeight w:val="386" w:hRule="exact"/>
                    </w:trPr>
                    <w:tc>
                      <w:tcPr>
                        <w:tcW w:w="20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49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15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747" w:hRule="exact"/>
                    </w:trPr>
                    <w:tc>
                      <w:tcPr>
                        <w:tcW w:w="2014"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962" w:type="dxa"/>
                        <w:tcBorders>
                          <w:top w:val="single" w:sz="2" w:space="0" w:color="000000"/>
                          <w:left w:val="single" w:sz="2" w:space="0" w:color="000000"/>
                          <w:bottom w:val="single" w:sz="2" w:space="0" w:color="000000"/>
                          <w:right w:val="single" w:sz="2" w:space="0" w:color="000000"/>
                        </w:tcBorders>
                      </w:tcPr>
                      <w:p>
                        <w:pPr>
                          <w:pStyle w:val="TableParagraph"/>
                          <w:spacing w:line="379" w:lineRule="auto" w:before="49"/>
                          <w:ind w:left="105" w:right="1068"/>
                          <w:jc w:val="left"/>
                          <w:rPr>
                            <w:rFonts w:ascii="宋体" w:hAnsi="宋体" w:cs="宋体" w:eastAsia="宋体" w:hint="default"/>
                            <w:sz w:val="18"/>
                            <w:szCs w:val="18"/>
                          </w:rPr>
                        </w:pPr>
                        <w:r>
                          <w:rPr>
                            <w:rFonts w:ascii="宋体" w:hAnsi="宋体" w:cs="宋体" w:eastAsia="宋体" w:hint="default"/>
                            <w:sz w:val="18"/>
                            <w:szCs w:val="18"/>
                          </w:rPr>
                          <w:t>应税增值额（应纳税额按应纳税销售额乘以使用 税率扣除本年允许抵扣的进项税后的余额计算）</w:t>
                        </w:r>
                      </w:p>
                    </w:tc>
                    <w:tc>
                      <w:tcPr>
                        <w:tcW w:w="1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17%</w:t>
                        </w:r>
                      </w:p>
                    </w:tc>
                  </w:tr>
                  <w:tr>
                    <w:trPr>
                      <w:trHeight w:val="374" w:hRule="exact"/>
                    </w:trPr>
                    <w:tc>
                      <w:tcPr>
                        <w:tcW w:w="2014" w:type="dxa"/>
                        <w:vMerge/>
                        <w:tcBorders>
                          <w:left w:val="nil" w:sz="6" w:space="0" w:color="auto"/>
                          <w:bottom w:val="single" w:sz="2" w:space="0" w:color="000000"/>
                          <w:right w:val="single" w:sz="2" w:space="0" w:color="000000"/>
                        </w:tcBorders>
                      </w:tcPr>
                      <w:p>
                        <w:pPr/>
                      </w:p>
                    </w:tc>
                    <w:tc>
                      <w:tcPr>
                        <w:tcW w:w="4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应税增值额（技术服务收入）</w:t>
                        </w:r>
                      </w:p>
                    </w:tc>
                    <w:tc>
                      <w:tcPr>
                        <w:tcW w:w="1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6%</w:t>
                        </w:r>
                      </w:p>
                    </w:tc>
                  </w:tr>
                  <w:tr>
                    <w:trPr>
                      <w:trHeight w:val="374"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1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r>
                  <w:tr>
                    <w:trPr>
                      <w:trHeight w:val="374"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实际缴纳的增值税、营业税税额</w:t>
                        </w:r>
                      </w:p>
                    </w:tc>
                    <w:tc>
                      <w:tcPr>
                        <w:tcW w:w="1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7%</w:t>
                        </w:r>
                      </w:p>
                    </w:tc>
                  </w:tr>
                  <w:tr>
                    <w:trPr>
                      <w:trHeight w:val="374"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实际缴纳的增值税、营业税税额</w:t>
                        </w:r>
                      </w:p>
                    </w:tc>
                    <w:tc>
                      <w:tcPr>
                        <w:tcW w:w="1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r>
                  <w:tr>
                    <w:trPr>
                      <w:trHeight w:val="374" w:hRule="exact"/>
                    </w:trPr>
                    <w:tc>
                      <w:tcPr>
                        <w:tcW w:w="20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实际缴纳的增值税、营业税税额</w:t>
                        </w:r>
                      </w:p>
                    </w:tc>
                    <w:tc>
                      <w:tcPr>
                        <w:tcW w:w="1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r>
                  <w:tr>
                    <w:trPr>
                      <w:trHeight w:val="389" w:hRule="exact"/>
                    </w:trPr>
                    <w:tc>
                      <w:tcPr>
                        <w:tcW w:w="20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9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15%-40%</w:t>
                        </w:r>
                      </w:p>
                    </w:tc>
                  </w:tr>
                </w:tbl>
                <w:p>
                  <w:pPr/>
                </w:p>
              </w:txbxContent>
            </v:textbox>
            <w10:wrap type="none"/>
          </v:shape>
        </w:pict>
      </w:r>
      <w:r>
        <w:rPr>
          <w:rFonts w:ascii="宋体" w:hAnsi="宋体" w:cs="宋体" w:eastAsia="宋体" w:hint="default"/>
          <w:b/>
          <w:bCs/>
          <w:sz w:val="22"/>
          <w:szCs w:val="22"/>
        </w:rPr>
        <w:t>五、税项</w:t>
      </w:r>
      <w:r>
        <w:rPr>
          <w:rFonts w:ascii="宋体" w:hAnsi="宋体" w:cs="宋体" w:eastAsia="宋体" w:hint="default"/>
          <w:b/>
          <w:bCs/>
          <w:w w:val="99"/>
          <w:sz w:val="22"/>
          <w:szCs w:val="22"/>
        </w:rPr>
        <w:t> </w:t>
      </w:r>
      <w:r>
        <w:rPr>
          <w:rFonts w:ascii="宋体" w:hAnsi="宋体" w:cs="宋体" w:eastAsia="宋体" w:hint="default"/>
          <w:spacing w:val="-1"/>
          <w:sz w:val="22"/>
          <w:szCs w:val="22"/>
        </w:rPr>
        <w:t>1</w:t>
      </w:r>
      <w:r>
        <w:rPr>
          <w:rFonts w:ascii="宋体" w:hAnsi="宋体" w:cs="宋体" w:eastAsia="宋体" w:hint="default"/>
          <w:spacing w:val="-1"/>
          <w:sz w:val="22"/>
          <w:szCs w:val="22"/>
        </w:rPr>
        <w:t>、主要税种及税率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7"/>
        <w:spacing w:line="240" w:lineRule="auto"/>
        <w:ind w:left="699" w:right="276"/>
        <w:jc w:val="left"/>
      </w:pPr>
      <w:r>
        <w:rPr/>
        <w:t>不同企业所得税税率纳税主体说明：</w:t>
      </w:r>
    </w:p>
    <w:p>
      <w:pPr>
        <w:pStyle w:val="Heading7"/>
        <w:spacing w:line="326" w:lineRule="auto" w:before="180"/>
        <w:ind w:left="260" w:right="376" w:firstLine="439"/>
        <w:jc w:val="both"/>
      </w:pPr>
      <w:r>
        <w:rPr>
          <w:spacing w:val="-5"/>
        </w:rPr>
        <w:t>（</w:t>
      </w:r>
      <w:r>
        <w:rPr>
          <w:rFonts w:ascii="宋体" w:hAnsi="宋体" w:cs="宋体" w:eastAsia="宋体" w:hint="default"/>
          <w:spacing w:val="-5"/>
        </w:rPr>
        <w:t>1</w:t>
      </w:r>
      <w:r>
        <w:rPr>
          <w:spacing w:val="-5"/>
        </w:rPr>
        <w:t>）本公司及部分子公司享受税收优惠，适用</w:t>
      </w:r>
      <w:r>
        <w:rPr>
          <w:spacing w:val="-23"/>
        </w:rPr>
        <w:t> </w:t>
      </w:r>
      <w:r>
        <w:rPr>
          <w:rFonts w:ascii="宋体" w:hAnsi="宋体" w:cs="宋体" w:eastAsia="宋体" w:hint="default"/>
          <w:spacing w:val="-3"/>
        </w:rPr>
        <w:t>15%</w:t>
      </w:r>
      <w:r>
        <w:rPr>
          <w:spacing w:val="-3"/>
        </w:rPr>
        <w:t>的企业所得税税率，详见本附注</w:t>
      </w:r>
      <w:r>
        <w:rPr>
          <w:w w:val="100"/>
        </w:rPr>
        <w:t> </w:t>
      </w:r>
      <w:r>
        <w:rPr/>
        <w:t>“五、</w:t>
      </w:r>
      <w:r>
        <w:rPr>
          <w:rFonts w:ascii="宋体" w:hAnsi="宋体" w:cs="宋体" w:eastAsia="宋体" w:hint="default"/>
        </w:rPr>
        <w:t>2.</w:t>
      </w:r>
      <w:r>
        <w:rPr/>
        <w:t>税收优惠”相关内容；</w:t>
      </w:r>
    </w:p>
    <w:p>
      <w:pPr>
        <w:pStyle w:val="Heading7"/>
        <w:spacing w:line="240" w:lineRule="auto" w:before="101"/>
        <w:ind w:left="699" w:right="276"/>
        <w:jc w:val="left"/>
      </w:pPr>
      <w:r>
        <w:rPr>
          <w:w w:val="100"/>
        </w:rPr>
        <w:t>（</w:t>
      </w:r>
      <w:r>
        <w:rPr>
          <w:rFonts w:ascii="宋体" w:hAnsi="宋体" w:cs="宋体" w:eastAsia="宋体" w:hint="default"/>
          <w:w w:val="100"/>
        </w:rPr>
        <w:t>2</w:t>
      </w:r>
      <w:r>
        <w:rPr>
          <w:w w:val="100"/>
        </w:rPr>
        <w:t>）根</w:t>
      </w:r>
      <w:r>
        <w:rPr>
          <w:spacing w:val="-3"/>
          <w:w w:val="100"/>
        </w:rPr>
        <w:t>据</w:t>
      </w:r>
      <w:r>
        <w:rPr>
          <w:w w:val="100"/>
        </w:rPr>
        <w:t>香港</w:t>
      </w:r>
      <w:r>
        <w:rPr>
          <w:spacing w:val="-3"/>
          <w:w w:val="100"/>
        </w:rPr>
        <w:t>《</w:t>
      </w:r>
      <w:r>
        <w:rPr>
          <w:w w:val="100"/>
        </w:rPr>
        <w:t>税务</w:t>
      </w:r>
      <w:r>
        <w:rPr>
          <w:spacing w:val="-3"/>
          <w:w w:val="100"/>
        </w:rPr>
        <w:t>条</w:t>
      </w:r>
      <w:r>
        <w:rPr>
          <w:w w:val="100"/>
        </w:rPr>
        <w:t>例</w:t>
      </w:r>
      <w:r>
        <w:rPr>
          <w:spacing w:val="-111"/>
          <w:w w:val="100"/>
        </w:rPr>
        <w:t>》</w:t>
      </w:r>
      <w:r>
        <w:rPr>
          <w:w w:val="100"/>
        </w:rPr>
        <w:t>，本</w:t>
      </w:r>
      <w:r>
        <w:rPr>
          <w:spacing w:val="-3"/>
          <w:w w:val="100"/>
        </w:rPr>
        <w:t>公</w:t>
      </w:r>
      <w:r>
        <w:rPr>
          <w:w w:val="100"/>
        </w:rPr>
        <w:t>司之</w:t>
      </w:r>
      <w:r>
        <w:rPr>
          <w:spacing w:val="-3"/>
          <w:w w:val="100"/>
        </w:rPr>
        <w:t>香</w:t>
      </w:r>
      <w:r>
        <w:rPr>
          <w:w w:val="100"/>
        </w:rPr>
        <w:t>港地</w:t>
      </w:r>
      <w:r>
        <w:rPr>
          <w:spacing w:val="-3"/>
          <w:w w:val="100"/>
        </w:rPr>
        <w:t>区</w:t>
      </w:r>
      <w:r>
        <w:rPr>
          <w:w w:val="100"/>
        </w:rPr>
        <w:t>子公司</w:t>
      </w:r>
      <w:r>
        <w:rPr>
          <w:spacing w:val="-3"/>
          <w:w w:val="100"/>
        </w:rPr>
        <w:t>的</w:t>
      </w:r>
      <w:r>
        <w:rPr>
          <w:w w:val="100"/>
        </w:rPr>
        <w:t>利得</w:t>
      </w:r>
      <w:r>
        <w:rPr>
          <w:spacing w:val="-3"/>
          <w:w w:val="100"/>
        </w:rPr>
        <w:t>税</w:t>
      </w:r>
      <w:r>
        <w:rPr>
          <w:w w:val="100"/>
        </w:rPr>
        <w:t>税率是</w:t>
      </w:r>
      <w:r>
        <w:rPr>
          <w:spacing w:val="-56"/>
        </w:rPr>
        <w:t> </w:t>
      </w:r>
      <w:r>
        <w:rPr>
          <w:rFonts w:ascii="宋体" w:hAnsi="宋体" w:cs="宋体" w:eastAsia="宋体" w:hint="default"/>
          <w:spacing w:val="-3"/>
          <w:w w:val="100"/>
        </w:rPr>
        <w:t>1</w:t>
      </w:r>
      <w:r>
        <w:rPr>
          <w:rFonts w:ascii="宋体" w:hAnsi="宋体" w:cs="宋体" w:eastAsia="宋体" w:hint="default"/>
          <w:w w:val="100"/>
        </w:rPr>
        <w:t>6.5%</w:t>
      </w:r>
      <w:r>
        <w:rPr>
          <w:w w:val="100"/>
        </w:rPr>
        <w:t>；</w:t>
      </w:r>
    </w:p>
    <w:p>
      <w:pPr>
        <w:pStyle w:val="Heading7"/>
        <w:spacing w:line="326" w:lineRule="auto" w:before="180"/>
        <w:ind w:left="260" w:right="376" w:firstLine="439"/>
        <w:jc w:val="both"/>
      </w:pPr>
      <w:r>
        <w:rPr>
          <w:spacing w:val="-5"/>
        </w:rPr>
        <w:t>（</w:t>
      </w:r>
      <w:r>
        <w:rPr>
          <w:rFonts w:ascii="宋体" w:hAnsi="宋体" w:cs="宋体" w:eastAsia="宋体" w:hint="default"/>
          <w:spacing w:val="-5"/>
        </w:rPr>
        <w:t>3</w:t>
      </w:r>
      <w:r>
        <w:rPr>
          <w:spacing w:val="-5"/>
        </w:rPr>
        <w:t>）本公司之子公司冠捷科技，根据各纳税主体所在地的税法规定，适用</w:t>
      </w:r>
      <w:r>
        <w:rPr>
          <w:spacing w:val="-14"/>
        </w:rPr>
        <w:t> </w:t>
      </w:r>
      <w:r>
        <w:rPr>
          <w:rFonts w:ascii="宋体" w:hAnsi="宋体" w:cs="宋体" w:eastAsia="宋体" w:hint="default"/>
        </w:rPr>
        <w:t>15%-40%</w:t>
      </w:r>
      <w:r>
        <w:rPr>
          <w:rFonts w:ascii="宋体" w:hAnsi="宋体" w:cs="宋体" w:eastAsia="宋体" w:hint="default"/>
          <w:w w:val="100"/>
        </w:rPr>
        <w:t> </w:t>
      </w:r>
      <w:r>
        <w:rPr/>
        <w:t>的企业所得税税率；</w:t>
      </w:r>
    </w:p>
    <w:p>
      <w:pPr>
        <w:pStyle w:val="Heading7"/>
        <w:spacing w:line="391" w:lineRule="auto" w:before="98"/>
        <w:ind w:left="699" w:right="2455"/>
        <w:jc w:val="left"/>
      </w:pPr>
      <w:r>
        <w:rPr/>
        <w:t>（</w:t>
      </w:r>
      <w:r>
        <w:rPr>
          <w:rFonts w:ascii="宋体" w:hAnsi="宋体" w:cs="宋体" w:eastAsia="宋体" w:hint="default"/>
        </w:rPr>
        <w:t>4</w:t>
      </w:r>
      <w:r>
        <w:rPr/>
        <w:t>）除上述以外的其他子公司适用</w:t>
      </w:r>
      <w:r>
        <w:rPr>
          <w:spacing w:val="-58"/>
        </w:rPr>
        <w:t> </w:t>
      </w:r>
      <w:r>
        <w:rPr>
          <w:rFonts w:ascii="宋体" w:hAnsi="宋体" w:cs="宋体" w:eastAsia="宋体" w:hint="default"/>
        </w:rPr>
        <w:t>25%</w:t>
      </w:r>
      <w:r>
        <w:rPr/>
        <w:t>的企业所得税税率。</w:t>
      </w:r>
      <w:r>
        <w:rPr>
          <w:w w:val="100"/>
        </w:rPr>
        <w:t> </w:t>
      </w:r>
      <w:r>
        <w:rPr>
          <w:rFonts w:ascii="宋体" w:hAnsi="宋体" w:cs="宋体" w:eastAsia="宋体" w:hint="default"/>
        </w:rPr>
        <w:t>2</w:t>
      </w:r>
      <w:r>
        <w:rPr/>
        <w:t>、税收优惠</w:t>
      </w:r>
    </w:p>
    <w:p>
      <w:pPr>
        <w:pStyle w:val="Heading7"/>
        <w:spacing w:line="326" w:lineRule="auto" w:before="41"/>
        <w:ind w:left="260" w:right="374" w:firstLine="439"/>
        <w:jc w:val="both"/>
      </w:pPr>
      <w:r>
        <w:rPr>
          <w:spacing w:val="-5"/>
          <w:w w:val="100"/>
        </w:rPr>
        <w:t>（</w:t>
      </w:r>
      <w:r>
        <w:rPr>
          <w:rFonts w:ascii="宋体" w:hAnsi="宋体" w:cs="宋体" w:eastAsia="宋体" w:hint="default"/>
          <w:spacing w:val="-5"/>
          <w:w w:val="100"/>
        </w:rPr>
        <w:t>1</w:t>
      </w:r>
      <w:r>
        <w:rPr>
          <w:spacing w:val="-5"/>
          <w:w w:val="100"/>
        </w:rPr>
        <w:t>）</w:t>
      </w:r>
      <w:r>
        <w:rPr>
          <w:rFonts w:ascii="宋体" w:hAnsi="宋体" w:cs="宋体" w:eastAsia="宋体" w:hint="default"/>
          <w:spacing w:val="-5"/>
          <w:w w:val="100"/>
        </w:rPr>
        <w:t>2014</w:t>
      </w:r>
      <w:r>
        <w:rPr>
          <w:rFonts w:ascii="宋体" w:hAnsi="宋体" w:cs="宋体" w:eastAsia="宋体" w:hint="default"/>
          <w:spacing w:val="-51"/>
          <w:w w:val="100"/>
        </w:rPr>
        <w:t> </w:t>
      </w:r>
      <w:r>
        <w:rPr>
          <w:spacing w:val="-7"/>
          <w:w w:val="100"/>
        </w:rPr>
        <w:t>年，本公司取得国家税务机关颁发的《高新技术企业证书》（证书编号为</w:t>
      </w:r>
      <w:r>
        <w:rPr>
          <w:w w:val="100"/>
        </w:rPr>
        <w:t> </w:t>
      </w:r>
      <w:r>
        <w:rPr>
          <w:rFonts w:ascii="宋体" w:hAnsi="宋体" w:cs="宋体" w:eastAsia="宋体" w:hint="default"/>
          <w:spacing w:val="-6"/>
          <w:w w:val="100"/>
        </w:rPr>
        <w:t>GF201444200208</w:t>
      </w:r>
      <w:r>
        <w:rPr>
          <w:spacing w:val="-6"/>
          <w:w w:val="100"/>
        </w:rPr>
        <w:t>），该证书的有效期为</w:t>
      </w:r>
      <w:r>
        <w:rPr>
          <w:spacing w:val="-11"/>
          <w:w w:val="100"/>
        </w:rPr>
        <w:t> </w:t>
      </w:r>
      <w:r>
        <w:rPr>
          <w:rFonts w:ascii="宋体" w:hAnsi="宋体" w:cs="宋体" w:eastAsia="宋体" w:hint="default"/>
          <w:w w:val="100"/>
        </w:rPr>
        <w:t>3</w:t>
      </w:r>
      <w:r>
        <w:rPr>
          <w:rFonts w:ascii="宋体" w:hAnsi="宋体" w:cs="宋体" w:eastAsia="宋体" w:hint="default"/>
          <w:spacing w:val="-8"/>
          <w:w w:val="100"/>
        </w:rPr>
        <w:t> </w:t>
      </w:r>
      <w:r>
        <w:rPr>
          <w:spacing w:val="-2"/>
          <w:w w:val="100"/>
        </w:rPr>
        <w:t>年。根据《中华人民共和国企业所得税法》第</w:t>
      </w:r>
      <w:r>
        <w:rPr>
          <w:spacing w:val="-108"/>
          <w:w w:val="100"/>
        </w:rPr>
        <w:t> </w:t>
      </w:r>
      <w:r>
        <w:rPr>
          <w:spacing w:val="-108"/>
          <w:w w:val="100"/>
        </w:rPr>
      </w:r>
      <w:r>
        <w:rPr/>
        <w:t>二十八条的有关规定，</w:t>
      </w:r>
      <w:r>
        <w:rPr>
          <w:rFonts w:ascii="宋体" w:hAnsi="宋体" w:cs="宋体" w:eastAsia="宋体" w:hint="default"/>
        </w:rPr>
        <w:t>2015</w:t>
      </w:r>
      <w:r>
        <w:rPr>
          <w:rFonts w:ascii="宋体" w:hAnsi="宋体" w:cs="宋体" w:eastAsia="宋体" w:hint="default"/>
          <w:spacing w:val="-56"/>
        </w:rPr>
        <w:t> </w:t>
      </w:r>
      <w:r>
        <w:rPr/>
        <w:t>年度本公司适用的企业所得税税率为</w:t>
      </w:r>
      <w:r>
        <w:rPr>
          <w:spacing w:val="-58"/>
        </w:rPr>
        <w:t> </w:t>
      </w:r>
      <w:r>
        <w:rPr>
          <w:rFonts w:ascii="宋体" w:hAnsi="宋体" w:cs="宋体" w:eastAsia="宋体" w:hint="default"/>
        </w:rPr>
        <w:t>15%</w:t>
      </w:r>
      <w:r>
        <w:rPr/>
        <w:t>。</w:t>
      </w:r>
    </w:p>
    <w:p>
      <w:pPr>
        <w:pStyle w:val="Heading7"/>
        <w:spacing w:line="240" w:lineRule="auto" w:before="99"/>
        <w:ind w:left="699" w:right="276"/>
        <w:jc w:val="left"/>
        <w:rPr>
          <w:rFonts w:ascii="宋体" w:hAnsi="宋体" w:cs="宋体" w:eastAsia="宋体" w:hint="default"/>
        </w:rPr>
      </w:pPr>
      <w:r>
        <w:rPr>
          <w:w w:val="100"/>
        </w:rPr>
        <w:t>（</w:t>
      </w:r>
      <w:r>
        <w:rPr>
          <w:rFonts w:ascii="宋体" w:hAnsi="宋体" w:cs="宋体" w:eastAsia="宋体" w:hint="default"/>
          <w:w w:val="100"/>
        </w:rPr>
        <w:t>2</w:t>
      </w:r>
      <w:r>
        <w:rPr>
          <w:spacing w:val="-111"/>
          <w:w w:val="100"/>
        </w:rPr>
        <w:t>）</w:t>
      </w:r>
      <w:r>
        <w:rPr>
          <w:w w:val="100"/>
        </w:rPr>
        <w:t>中</w:t>
      </w:r>
      <w:r>
        <w:rPr>
          <w:spacing w:val="-3"/>
          <w:w w:val="100"/>
        </w:rPr>
        <w:t>电</w:t>
      </w:r>
      <w:r>
        <w:rPr>
          <w:w w:val="100"/>
        </w:rPr>
        <w:t>长城</w:t>
      </w:r>
      <w:r>
        <w:rPr>
          <w:spacing w:val="-3"/>
          <w:w w:val="100"/>
        </w:rPr>
        <w:t>能</w:t>
      </w:r>
      <w:r>
        <w:rPr>
          <w:w w:val="100"/>
        </w:rPr>
        <w:t>源之</w:t>
      </w:r>
      <w:r>
        <w:rPr>
          <w:spacing w:val="-3"/>
          <w:w w:val="100"/>
        </w:rPr>
        <w:t>子公</w:t>
      </w:r>
      <w:r>
        <w:rPr>
          <w:w w:val="100"/>
        </w:rPr>
        <w:t>司</w:t>
      </w:r>
      <w:r>
        <w:rPr>
          <w:spacing w:val="-74"/>
        </w:rPr>
        <w:t> </w:t>
      </w:r>
      <w:r>
        <w:rPr>
          <w:rFonts w:ascii="宋体" w:hAnsi="宋体" w:cs="宋体" w:eastAsia="宋体" w:hint="default"/>
          <w:w w:val="100"/>
        </w:rPr>
        <w:t>Perfect</w:t>
      </w:r>
      <w:r>
        <w:rPr>
          <w:rFonts w:ascii="宋体" w:hAnsi="宋体" w:cs="宋体" w:eastAsia="宋体" w:hint="default"/>
          <w:spacing w:val="-55"/>
        </w:rPr>
        <w:t> </w:t>
      </w:r>
      <w:r>
        <w:rPr>
          <w:rFonts w:ascii="宋体" w:hAnsi="宋体" w:cs="宋体" w:eastAsia="宋体" w:hint="default"/>
          <w:w w:val="100"/>
        </w:rPr>
        <w:t>G</w:t>
      </w:r>
      <w:r>
        <w:rPr>
          <w:rFonts w:ascii="宋体" w:hAnsi="宋体" w:cs="宋体" w:eastAsia="宋体" w:hint="default"/>
          <w:spacing w:val="-3"/>
          <w:w w:val="100"/>
        </w:rPr>
        <w:t>a</w:t>
      </w:r>
      <w:r>
        <w:rPr>
          <w:rFonts w:ascii="宋体" w:hAnsi="宋体" w:cs="宋体" w:eastAsia="宋体" w:hint="default"/>
          <w:w w:val="100"/>
        </w:rPr>
        <w:t>laxy</w:t>
      </w:r>
      <w:r>
        <w:rPr>
          <w:rFonts w:ascii="宋体" w:hAnsi="宋体" w:cs="宋体" w:eastAsia="宋体" w:hint="default"/>
          <w:spacing w:val="-74"/>
        </w:rPr>
        <w:t> </w:t>
      </w:r>
      <w:r>
        <w:rPr>
          <w:w w:val="100"/>
        </w:rPr>
        <w:t>注</w:t>
      </w:r>
      <w:r>
        <w:rPr>
          <w:spacing w:val="-3"/>
          <w:w w:val="100"/>
        </w:rPr>
        <w:t>册地</w:t>
      </w:r>
      <w:r>
        <w:rPr>
          <w:w w:val="100"/>
        </w:rPr>
        <w:t>在</w:t>
      </w:r>
      <w:r>
        <w:rPr>
          <w:spacing w:val="-74"/>
        </w:rPr>
        <w:t> </w:t>
      </w:r>
      <w:r>
        <w:rPr>
          <w:rFonts w:ascii="宋体" w:hAnsi="宋体" w:cs="宋体" w:eastAsia="宋体" w:hint="default"/>
          <w:w w:val="100"/>
        </w:rPr>
        <w:t>BRITISH</w:t>
      </w:r>
      <w:r>
        <w:rPr>
          <w:rFonts w:ascii="宋体" w:hAnsi="宋体" w:cs="宋体" w:eastAsia="宋体" w:hint="default"/>
          <w:spacing w:val="-55"/>
        </w:rPr>
        <w:t> </w:t>
      </w:r>
      <w:r>
        <w:rPr>
          <w:rFonts w:ascii="宋体" w:hAnsi="宋体" w:cs="宋体" w:eastAsia="宋体" w:hint="default"/>
          <w:w w:val="100"/>
        </w:rPr>
        <w:t>V</w:t>
      </w:r>
      <w:r>
        <w:rPr>
          <w:rFonts w:ascii="宋体" w:hAnsi="宋体" w:cs="宋体" w:eastAsia="宋体" w:hint="default"/>
          <w:spacing w:val="-3"/>
          <w:w w:val="100"/>
        </w:rPr>
        <w:t>I</w:t>
      </w:r>
      <w:r>
        <w:rPr>
          <w:rFonts w:ascii="宋体" w:hAnsi="宋体" w:cs="宋体" w:eastAsia="宋体" w:hint="default"/>
          <w:w w:val="100"/>
        </w:rPr>
        <w:t>RGIN</w:t>
      </w:r>
      <w:r>
        <w:rPr>
          <w:rFonts w:ascii="宋体" w:hAnsi="宋体" w:cs="宋体" w:eastAsia="宋体" w:hint="default"/>
          <w:spacing w:val="-55"/>
        </w:rPr>
        <w:t> </w:t>
      </w:r>
      <w:r>
        <w:rPr>
          <w:rFonts w:ascii="宋体" w:hAnsi="宋体" w:cs="宋体" w:eastAsia="宋体" w:hint="default"/>
          <w:spacing w:val="-3"/>
          <w:w w:val="100"/>
        </w:rPr>
        <w:t>I</w:t>
      </w:r>
      <w:r>
        <w:rPr>
          <w:rFonts w:ascii="宋体" w:hAnsi="宋体" w:cs="宋体" w:eastAsia="宋体" w:hint="default"/>
          <w:w w:val="100"/>
        </w:rPr>
        <w:t>SLA</w:t>
      </w:r>
      <w:r>
        <w:rPr>
          <w:rFonts w:ascii="宋体" w:hAnsi="宋体" w:cs="宋体" w:eastAsia="宋体" w:hint="default"/>
          <w:spacing w:val="-3"/>
          <w:w w:val="100"/>
        </w:rPr>
        <w:t>N</w:t>
      </w:r>
      <w:r>
        <w:rPr>
          <w:rFonts w:ascii="宋体" w:hAnsi="宋体" w:cs="宋体" w:eastAsia="宋体" w:hint="default"/>
          <w:w w:val="100"/>
        </w:rPr>
        <w:t>DS-BVI</w:t>
      </w:r>
    </w:p>
    <w:p>
      <w:pPr>
        <w:pStyle w:val="Heading7"/>
        <w:spacing w:line="240" w:lineRule="auto" w:before="103"/>
        <w:ind w:left="260" w:right="276"/>
        <w:jc w:val="left"/>
      </w:pPr>
      <w:r>
        <w:rPr>
          <w:w w:val="100"/>
        </w:rPr>
        <w:t>（英属</w:t>
      </w:r>
      <w:r>
        <w:rPr>
          <w:spacing w:val="-3"/>
          <w:w w:val="100"/>
        </w:rPr>
        <w:t>维</w:t>
      </w:r>
      <w:r>
        <w:rPr>
          <w:w w:val="100"/>
        </w:rPr>
        <w:t>京群岛</w:t>
      </w:r>
      <w:r>
        <w:rPr>
          <w:spacing w:val="-113"/>
          <w:w w:val="100"/>
        </w:rPr>
        <w:t>）</w:t>
      </w:r>
      <w:r>
        <w:rPr>
          <w:w w:val="100"/>
        </w:rPr>
        <w:t>，该</w:t>
      </w:r>
      <w:r>
        <w:rPr>
          <w:spacing w:val="-3"/>
          <w:w w:val="100"/>
        </w:rPr>
        <w:t>岛</w:t>
      </w:r>
      <w:r>
        <w:rPr>
          <w:w w:val="100"/>
        </w:rPr>
        <w:t>屿注册</w:t>
      </w:r>
      <w:r>
        <w:rPr>
          <w:spacing w:val="-3"/>
          <w:w w:val="100"/>
        </w:rPr>
        <w:t>的</w:t>
      </w:r>
      <w:r>
        <w:rPr>
          <w:w w:val="100"/>
        </w:rPr>
        <w:t>海外</w:t>
      </w:r>
      <w:r>
        <w:rPr>
          <w:spacing w:val="-3"/>
          <w:w w:val="100"/>
        </w:rPr>
        <w:t>公</w:t>
      </w:r>
      <w:r>
        <w:rPr>
          <w:w w:val="100"/>
        </w:rPr>
        <w:t>司不</w:t>
      </w:r>
      <w:r>
        <w:rPr>
          <w:spacing w:val="-3"/>
          <w:w w:val="100"/>
        </w:rPr>
        <w:t>用缴</w:t>
      </w:r>
      <w:r>
        <w:rPr>
          <w:w w:val="100"/>
        </w:rPr>
        <w:t>纳增值</w:t>
      </w:r>
      <w:r>
        <w:rPr>
          <w:spacing w:val="-3"/>
          <w:w w:val="100"/>
        </w:rPr>
        <w:t>税</w:t>
      </w:r>
      <w:r>
        <w:rPr>
          <w:w w:val="100"/>
        </w:rPr>
        <w:t>、所</w:t>
      </w:r>
      <w:r>
        <w:rPr>
          <w:spacing w:val="-3"/>
          <w:w w:val="100"/>
        </w:rPr>
        <w:t>得</w:t>
      </w:r>
      <w:r>
        <w:rPr>
          <w:w w:val="100"/>
        </w:rPr>
        <w:t>税等</w:t>
      </w:r>
      <w:r>
        <w:rPr>
          <w:spacing w:val="-3"/>
          <w:w w:val="100"/>
        </w:rPr>
        <w:t>税费</w:t>
      </w:r>
      <w:r>
        <w:rPr>
          <w:w w:val="100"/>
        </w:rPr>
        <w:t>。</w:t>
      </w:r>
    </w:p>
    <w:p>
      <w:pPr>
        <w:pStyle w:val="Heading7"/>
        <w:spacing w:line="324" w:lineRule="auto" w:before="180"/>
        <w:ind w:left="260" w:right="375" w:firstLine="439"/>
        <w:jc w:val="both"/>
      </w:pPr>
      <w:r>
        <w:rPr/>
        <w:t>（</w:t>
      </w:r>
      <w:r>
        <w:rPr>
          <w:rFonts w:ascii="宋体" w:hAnsi="宋体" w:cs="宋体" w:eastAsia="宋体" w:hint="default"/>
        </w:rPr>
        <w:t>3</w:t>
      </w:r>
      <w:r>
        <w:rPr/>
        <w:t>）柏怡控股之子公司宝辉科技（龙南）有限公司系设立于赣州市的生产性外商</w:t>
      </w:r>
      <w:r>
        <w:rPr>
          <w:w w:val="100"/>
        </w:rPr>
        <w:t> </w:t>
      </w:r>
      <w:r>
        <w:rPr>
          <w:spacing w:val="-3"/>
        </w:rPr>
        <w:t>投资企业，根据赣州国税局《关于赣州市执行西部大开发税收政策问题的通知》有关政</w:t>
      </w:r>
      <w:r>
        <w:rPr>
          <w:spacing w:val="-56"/>
        </w:rPr>
        <w:t> </w:t>
      </w:r>
      <w:r>
        <w:rPr>
          <w:spacing w:val="-56"/>
        </w:rPr>
      </w:r>
      <w:r>
        <w:rPr>
          <w:spacing w:val="-9"/>
        </w:rPr>
        <w:t>策，自</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6"/>
        </w:rPr>
        <w:t> </w:t>
      </w:r>
      <w:r>
        <w:rPr/>
        <w:t>日至</w:t>
      </w:r>
      <w:r>
        <w:rPr>
          <w:spacing w:val="-53"/>
        </w:rPr>
        <w:t> </w:t>
      </w:r>
      <w:r>
        <w:rPr>
          <w:rFonts w:ascii="宋体" w:hAnsi="宋体" w:cs="宋体" w:eastAsia="宋体" w:hint="default"/>
        </w:rPr>
        <w:t>2020</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spacing w:val="-3"/>
        </w:rPr>
        <w:t>日，对设在赣州市的鼓励类产业的内资企业</w:t>
      </w:r>
    </w:p>
    <w:p>
      <w:pPr>
        <w:spacing w:after="0" w:line="324" w:lineRule="auto"/>
        <w:jc w:val="both"/>
        <w:sectPr>
          <w:pgSz w:w="11910" w:h="16840"/>
          <w:pgMar w:header="881" w:footer="980" w:top="1600" w:bottom="1160" w:left="1540" w:right="142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240" w:right="0"/>
        <w:jc w:val="left"/>
      </w:pPr>
      <w:r>
        <w:rPr/>
        <w:t>和外商投资企业减按</w:t>
      </w:r>
      <w:r>
        <w:rPr>
          <w:spacing w:val="-58"/>
        </w:rPr>
        <w:t> </w:t>
      </w:r>
      <w:r>
        <w:rPr>
          <w:rFonts w:ascii="宋体" w:hAnsi="宋体" w:cs="宋体" w:eastAsia="宋体" w:hint="default"/>
        </w:rPr>
        <w:t>15%</w:t>
      </w:r>
      <w:r>
        <w:rPr/>
        <w:t>的税率征收企业所得税。</w:t>
      </w:r>
    </w:p>
    <w:p>
      <w:pPr>
        <w:pStyle w:val="Heading7"/>
        <w:spacing w:line="240" w:lineRule="auto" w:before="177"/>
        <w:ind w:left="679" w:right="0"/>
        <w:jc w:val="left"/>
      </w:pPr>
      <w:r>
        <w:rPr>
          <w:spacing w:val="-3"/>
        </w:rPr>
        <w:t>（</w:t>
      </w:r>
      <w:r>
        <w:rPr>
          <w:rFonts w:ascii="宋体" w:hAnsi="宋体" w:cs="宋体" w:eastAsia="宋体" w:hint="default"/>
          <w:spacing w:val="-3"/>
        </w:rPr>
        <w:t>4</w:t>
      </w:r>
      <w:r>
        <w:rPr>
          <w:spacing w:val="-3"/>
        </w:rPr>
        <w:t>）冠捷科技之子公司冠捷显示科技（武汉）有限公司取得《高新技术企业证书》</w:t>
      </w:r>
    </w:p>
    <w:p>
      <w:pPr>
        <w:pStyle w:val="Heading7"/>
        <w:spacing w:line="324" w:lineRule="auto" w:before="103"/>
        <w:ind w:left="240" w:right="256"/>
        <w:jc w:val="left"/>
      </w:pPr>
      <w:r>
        <w:rPr>
          <w:spacing w:val="-1"/>
          <w:w w:val="100"/>
        </w:rPr>
        <w:t>（证书编号为</w:t>
      </w:r>
      <w:r>
        <w:rPr>
          <w:spacing w:val="-53"/>
          <w:w w:val="100"/>
        </w:rPr>
        <w:t> </w:t>
      </w:r>
      <w:r>
        <w:rPr>
          <w:rFonts w:ascii="宋体" w:hAnsi="宋体" w:cs="宋体" w:eastAsia="宋体" w:hint="default"/>
          <w:spacing w:val="-7"/>
          <w:w w:val="100"/>
        </w:rPr>
        <w:t>GR201542000019</w:t>
      </w:r>
      <w:r>
        <w:rPr>
          <w:spacing w:val="-7"/>
          <w:w w:val="100"/>
        </w:rPr>
        <w:t>），该证书的有效期为</w:t>
      </w:r>
      <w:r>
        <w:rPr>
          <w:spacing w:val="-53"/>
          <w:w w:val="100"/>
        </w:rPr>
        <w:t> </w:t>
      </w:r>
      <w:r>
        <w:rPr>
          <w:rFonts w:ascii="宋体" w:hAnsi="宋体" w:cs="宋体" w:eastAsia="宋体" w:hint="default"/>
          <w:w w:val="100"/>
        </w:rPr>
        <w:t>3</w:t>
      </w:r>
      <w:r>
        <w:rPr>
          <w:rFonts w:ascii="宋体" w:hAnsi="宋体" w:cs="宋体" w:eastAsia="宋体" w:hint="default"/>
          <w:spacing w:val="-53"/>
          <w:w w:val="100"/>
        </w:rPr>
        <w:t> </w:t>
      </w:r>
      <w:r>
        <w:rPr>
          <w:spacing w:val="-5"/>
          <w:w w:val="100"/>
        </w:rPr>
        <w:t>年（</w:t>
      </w:r>
      <w:r>
        <w:rPr>
          <w:rFonts w:ascii="宋体" w:hAnsi="宋体" w:cs="宋体" w:eastAsia="宋体" w:hint="default"/>
          <w:spacing w:val="-5"/>
          <w:w w:val="100"/>
        </w:rPr>
        <w:t>2015</w:t>
      </w:r>
      <w:r>
        <w:rPr>
          <w:rFonts w:ascii="宋体" w:hAnsi="宋体" w:cs="宋体" w:eastAsia="宋体" w:hint="default"/>
          <w:spacing w:val="-56"/>
          <w:w w:val="100"/>
        </w:rPr>
        <w:t> </w:t>
      </w:r>
      <w:r>
        <w:rPr>
          <w:spacing w:val="-1"/>
          <w:w w:val="100"/>
        </w:rPr>
        <w:t>年</w:t>
      </w:r>
      <w:r>
        <w:rPr>
          <w:rFonts w:ascii="宋体" w:hAnsi="宋体" w:cs="宋体" w:eastAsia="宋体" w:hint="default"/>
          <w:spacing w:val="-1"/>
          <w:w w:val="100"/>
        </w:rPr>
        <w:t>-2017</w:t>
      </w:r>
      <w:r>
        <w:rPr>
          <w:rFonts w:ascii="宋体" w:hAnsi="宋体" w:cs="宋体" w:eastAsia="宋体" w:hint="default"/>
          <w:spacing w:val="-53"/>
          <w:w w:val="100"/>
        </w:rPr>
        <w:t> </w:t>
      </w:r>
      <w:r>
        <w:rPr>
          <w:spacing w:val="-25"/>
          <w:w w:val="100"/>
        </w:rPr>
        <w:t>年）。根据《中</w:t>
      </w:r>
      <w:r>
        <w:rPr>
          <w:spacing w:val="-105"/>
          <w:w w:val="100"/>
        </w:rPr>
        <w:t> </w:t>
      </w:r>
      <w:r>
        <w:rPr>
          <w:spacing w:val="-105"/>
          <w:w w:val="100"/>
        </w:rPr>
      </w:r>
      <w:r>
        <w:rPr/>
        <w:t>华人民共和国企业所得税法》第二十八条的有关规定，</w:t>
      </w:r>
      <w:r>
        <w:rPr>
          <w:rFonts w:ascii="宋体" w:hAnsi="宋体" w:cs="宋体" w:eastAsia="宋体" w:hint="default"/>
        </w:rPr>
        <w:t>2015</w:t>
      </w:r>
      <w:r>
        <w:rPr>
          <w:rFonts w:ascii="宋体" w:hAnsi="宋体" w:cs="宋体" w:eastAsia="宋体" w:hint="default"/>
          <w:spacing w:val="-60"/>
        </w:rPr>
        <w:t> </w:t>
      </w:r>
      <w:r>
        <w:rPr/>
        <w:t>年度冠捷显示科技（武汉）</w:t>
      </w:r>
      <w:r>
        <w:rPr>
          <w:w w:val="100"/>
        </w:rPr>
        <w:t> </w:t>
      </w:r>
      <w:r>
        <w:rPr/>
        <w:t>有限公司适用的企业所得税税率为</w:t>
      </w:r>
      <w:r>
        <w:rPr>
          <w:spacing w:val="-55"/>
        </w:rPr>
        <w:t> </w:t>
      </w:r>
      <w:r>
        <w:rPr>
          <w:rFonts w:ascii="宋体" w:hAnsi="宋体" w:cs="宋体" w:eastAsia="宋体" w:hint="default"/>
        </w:rPr>
        <w:t>15%</w:t>
      </w:r>
      <w:r>
        <w:rPr/>
        <w:t>。</w:t>
      </w:r>
    </w:p>
    <w:p>
      <w:pPr>
        <w:pStyle w:val="Heading7"/>
        <w:spacing w:line="326" w:lineRule="auto" w:before="103"/>
        <w:ind w:left="240" w:right="374" w:firstLine="439"/>
        <w:jc w:val="both"/>
      </w:pPr>
      <w:r>
        <w:rPr/>
        <w:t>（</w:t>
      </w:r>
      <w:r>
        <w:rPr>
          <w:rFonts w:ascii="宋体" w:hAnsi="宋体" w:cs="宋体" w:eastAsia="宋体" w:hint="default"/>
        </w:rPr>
        <w:t>5</w:t>
      </w:r>
      <w:r>
        <w:rPr/>
        <w:t>）</w:t>
      </w:r>
      <w:r>
        <w:rPr>
          <w:rFonts w:ascii="宋体" w:hAnsi="宋体" w:cs="宋体" w:eastAsia="宋体" w:hint="default"/>
        </w:rPr>
        <w:t>2013</w:t>
      </w:r>
      <w:r>
        <w:rPr>
          <w:rFonts w:ascii="宋体" w:hAnsi="宋体" w:cs="宋体" w:eastAsia="宋体" w:hint="default"/>
          <w:spacing w:val="-59"/>
        </w:rPr>
        <w:t> </w:t>
      </w:r>
      <w:r>
        <w:rPr/>
        <w:t>年，冠捷科技之子公司冠捷显示科技（厦门）有限公司取得《高新技术</w:t>
      </w:r>
      <w:r>
        <w:rPr>
          <w:w w:val="100"/>
        </w:rPr>
        <w:t> </w:t>
      </w:r>
      <w:r>
        <w:rPr>
          <w:spacing w:val="-14"/>
          <w:w w:val="100"/>
        </w:rPr>
        <w:t>企业证书》（证书编号为</w:t>
      </w:r>
      <w:r>
        <w:rPr>
          <w:spacing w:val="-48"/>
          <w:w w:val="100"/>
        </w:rPr>
        <w:t> </w:t>
      </w:r>
      <w:r>
        <w:rPr>
          <w:rFonts w:ascii="宋体" w:hAnsi="宋体" w:cs="宋体" w:eastAsia="宋体" w:hint="default"/>
          <w:spacing w:val="-7"/>
          <w:w w:val="100"/>
        </w:rPr>
        <w:t>GR201335100007</w:t>
      </w:r>
      <w:r>
        <w:rPr>
          <w:spacing w:val="-7"/>
          <w:w w:val="100"/>
        </w:rPr>
        <w:t>），该证书的有效期为</w:t>
      </w:r>
      <w:r>
        <w:rPr>
          <w:spacing w:val="-48"/>
          <w:w w:val="100"/>
        </w:rPr>
        <w:t> </w:t>
      </w:r>
      <w:r>
        <w:rPr>
          <w:rFonts w:ascii="宋体" w:hAnsi="宋体" w:cs="宋体" w:eastAsia="宋体" w:hint="default"/>
          <w:w w:val="100"/>
        </w:rPr>
        <w:t>3</w:t>
      </w:r>
      <w:r>
        <w:rPr>
          <w:rFonts w:ascii="宋体" w:hAnsi="宋体" w:cs="宋体" w:eastAsia="宋体" w:hint="default"/>
          <w:spacing w:val="-48"/>
          <w:w w:val="100"/>
        </w:rPr>
        <w:t> </w:t>
      </w:r>
      <w:r>
        <w:rPr>
          <w:spacing w:val="-7"/>
          <w:w w:val="100"/>
        </w:rPr>
        <w:t>年。根据《中华人民共</w:t>
      </w:r>
      <w:r>
        <w:rPr>
          <w:spacing w:val="-109"/>
          <w:w w:val="100"/>
        </w:rPr>
        <w:t> </w:t>
      </w:r>
      <w:r>
        <w:rPr>
          <w:spacing w:val="-109"/>
          <w:w w:val="100"/>
        </w:rPr>
      </w:r>
      <w:r>
        <w:rPr>
          <w:spacing w:val="-4"/>
        </w:rPr>
        <w:t>和国企业所得税法》第二十八条的有关规定，</w:t>
      </w:r>
      <w:r>
        <w:rPr>
          <w:rFonts w:ascii="宋体" w:hAnsi="宋体" w:cs="宋体" w:eastAsia="宋体" w:hint="default"/>
          <w:spacing w:val="-4"/>
        </w:rPr>
        <w:t>2015 </w:t>
      </w:r>
      <w:r>
        <w:rPr>
          <w:spacing w:val="-5"/>
        </w:rPr>
        <w:t>年度冠捷显示科技（厦门）有限公司</w:t>
      </w:r>
      <w:r>
        <w:rPr>
          <w:spacing w:val="-99"/>
        </w:rPr>
        <w:t> </w:t>
      </w:r>
      <w:r>
        <w:rPr>
          <w:spacing w:val="-99"/>
        </w:rPr>
      </w:r>
      <w:r>
        <w:rPr/>
        <w:t>适用的企业所得税税率为</w:t>
      </w:r>
      <w:r>
        <w:rPr>
          <w:spacing w:val="-54"/>
        </w:rPr>
        <w:t> </w:t>
      </w:r>
      <w:r>
        <w:rPr>
          <w:rFonts w:ascii="宋体" w:hAnsi="宋体" w:cs="宋体" w:eastAsia="宋体" w:hint="default"/>
        </w:rPr>
        <w:t>15%</w:t>
      </w:r>
      <w:r>
        <w:rPr/>
        <w:t>。</w:t>
      </w:r>
    </w:p>
    <w:p>
      <w:pPr>
        <w:pStyle w:val="Heading7"/>
        <w:spacing w:line="326" w:lineRule="auto" w:before="98"/>
        <w:ind w:left="240" w:right="320" w:firstLine="439"/>
        <w:jc w:val="both"/>
      </w:pPr>
      <w:r>
        <w:rPr/>
        <w:t>（</w:t>
      </w: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57"/>
        </w:rPr>
        <w:t> </w:t>
      </w:r>
      <w:r>
        <w:rPr/>
        <w:t>年，冠捷科技之子公司冠捷显示科技（北海）有限公司申请获得北海市</w:t>
      </w:r>
      <w:r>
        <w:rPr>
          <w:w w:val="100"/>
        </w:rPr>
        <w:t> </w:t>
      </w:r>
      <w:r>
        <w:rPr>
          <w:spacing w:val="-1"/>
        </w:rPr>
        <w:t>国家税务局就西部大开发企业所得税优惠政策的备案（批复文号：桂发改外资【</w:t>
      </w:r>
      <w:r>
        <w:rPr>
          <w:rFonts w:ascii="宋体" w:hAnsi="宋体" w:cs="宋体" w:eastAsia="宋体" w:hint="default"/>
          <w:spacing w:val="-1"/>
        </w:rPr>
        <w:t>2014</w:t>
      </w:r>
      <w:r>
        <w:rPr>
          <w:spacing w:val="-1"/>
        </w:rPr>
        <w:t>】</w:t>
      </w:r>
      <w:r>
        <w:rPr>
          <w:spacing w:val="-75"/>
        </w:rPr>
        <w:t> </w:t>
      </w:r>
      <w:r>
        <w:rPr>
          <w:rFonts w:ascii="宋体" w:hAnsi="宋体" w:cs="宋体" w:eastAsia="宋体" w:hint="default"/>
          <w:w w:val="100"/>
        </w:rPr>
        <w:t>38</w:t>
      </w:r>
      <w:r>
        <w:rPr>
          <w:rFonts w:ascii="宋体" w:hAnsi="宋体" w:cs="宋体" w:eastAsia="宋体" w:hint="default"/>
          <w:spacing w:val="-55"/>
          <w:w w:val="100"/>
        </w:rPr>
        <w:t> </w:t>
      </w:r>
      <w:r>
        <w:rPr>
          <w:spacing w:val="-4"/>
          <w:w w:val="100"/>
        </w:rPr>
        <w:t>号），此税收优惠需每年在北海市国税局备案。根据《西部地区鼓励类产业目录》国</w:t>
      </w:r>
      <w:r>
        <w:rPr>
          <w:w w:val="100"/>
        </w:rPr>
        <w:t> </w:t>
      </w:r>
      <w:r>
        <w:rPr/>
        <w:t>家发展和改革委员会令第</w:t>
      </w:r>
      <w:r>
        <w:rPr>
          <w:spacing w:val="-56"/>
        </w:rPr>
        <w:t> </w:t>
      </w:r>
      <w:r>
        <w:rPr>
          <w:rFonts w:ascii="宋体" w:hAnsi="宋体" w:cs="宋体" w:eastAsia="宋体" w:hint="default"/>
        </w:rPr>
        <w:t>15</w:t>
      </w:r>
      <w:r>
        <w:rPr>
          <w:rFonts w:ascii="宋体" w:hAnsi="宋体" w:cs="宋体" w:eastAsia="宋体" w:hint="default"/>
          <w:spacing w:val="-56"/>
        </w:rPr>
        <w:t> </w:t>
      </w:r>
      <w:r>
        <w:rPr/>
        <w:t>号等相关政策，</w:t>
      </w:r>
      <w:r>
        <w:rPr>
          <w:rFonts w:ascii="宋体" w:hAnsi="宋体" w:cs="宋体" w:eastAsia="宋体" w:hint="default"/>
        </w:rPr>
        <w:t>2015</w:t>
      </w:r>
      <w:r>
        <w:rPr>
          <w:rFonts w:ascii="宋体" w:hAnsi="宋体" w:cs="宋体" w:eastAsia="宋体" w:hint="default"/>
          <w:spacing w:val="-56"/>
        </w:rPr>
        <w:t> </w:t>
      </w:r>
      <w:r>
        <w:rPr/>
        <w:t>年度冠捷显示科技（北海）有限公司</w:t>
      </w:r>
      <w:r>
        <w:rPr>
          <w:w w:val="100"/>
        </w:rPr>
        <w:t> </w:t>
      </w:r>
      <w:r>
        <w:rPr/>
        <w:t>适用的企业所得税税率为</w:t>
      </w:r>
      <w:r>
        <w:rPr>
          <w:spacing w:val="-54"/>
        </w:rPr>
        <w:t> </w:t>
      </w:r>
      <w:r>
        <w:rPr>
          <w:rFonts w:ascii="宋体" w:hAnsi="宋体" w:cs="宋体" w:eastAsia="宋体" w:hint="default"/>
        </w:rPr>
        <w:t>15%</w:t>
      </w:r>
      <w:r>
        <w:rPr/>
        <w:t>。</w:t>
      </w:r>
    </w:p>
    <w:p>
      <w:pPr>
        <w:pStyle w:val="Heading7"/>
        <w:spacing w:line="326" w:lineRule="auto" w:before="98"/>
        <w:ind w:left="240" w:right="374" w:firstLine="439"/>
        <w:jc w:val="both"/>
      </w:pPr>
      <w:r>
        <w:rPr/>
        <w:t>（</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59"/>
        </w:rPr>
        <w:t> </w:t>
      </w:r>
      <w:r>
        <w:rPr/>
        <w:t>年，冠捷科技之子公司冠捷显示科技（中国）有限公司取得《高新技术</w:t>
      </w:r>
      <w:r>
        <w:rPr>
          <w:w w:val="100"/>
        </w:rPr>
        <w:t> </w:t>
      </w:r>
      <w:r>
        <w:rPr>
          <w:spacing w:val="-14"/>
          <w:w w:val="100"/>
        </w:rPr>
        <w:t>企业证书》（证书编号为</w:t>
      </w:r>
      <w:r>
        <w:rPr>
          <w:spacing w:val="-48"/>
          <w:w w:val="100"/>
        </w:rPr>
        <w:t> </w:t>
      </w:r>
      <w:r>
        <w:rPr>
          <w:rFonts w:ascii="宋体" w:hAnsi="宋体" w:cs="宋体" w:eastAsia="宋体" w:hint="default"/>
          <w:spacing w:val="-7"/>
          <w:w w:val="100"/>
        </w:rPr>
        <w:t>GF201511000153</w:t>
      </w:r>
      <w:r>
        <w:rPr>
          <w:spacing w:val="-7"/>
          <w:w w:val="100"/>
        </w:rPr>
        <w:t>），该证书的有效期为</w:t>
      </w:r>
      <w:r>
        <w:rPr>
          <w:spacing w:val="-48"/>
          <w:w w:val="100"/>
        </w:rPr>
        <w:t> </w:t>
      </w:r>
      <w:r>
        <w:rPr>
          <w:rFonts w:ascii="宋体" w:hAnsi="宋体" w:cs="宋体" w:eastAsia="宋体" w:hint="default"/>
          <w:w w:val="100"/>
        </w:rPr>
        <w:t>3</w:t>
      </w:r>
      <w:r>
        <w:rPr>
          <w:rFonts w:ascii="宋体" w:hAnsi="宋体" w:cs="宋体" w:eastAsia="宋体" w:hint="default"/>
          <w:spacing w:val="-48"/>
          <w:w w:val="100"/>
        </w:rPr>
        <w:t> </w:t>
      </w:r>
      <w:r>
        <w:rPr>
          <w:spacing w:val="-7"/>
          <w:w w:val="100"/>
        </w:rPr>
        <w:t>年。根据《中华人民共</w:t>
      </w:r>
      <w:r>
        <w:rPr>
          <w:spacing w:val="-109"/>
          <w:w w:val="100"/>
        </w:rPr>
        <w:t> </w:t>
      </w:r>
      <w:r>
        <w:rPr>
          <w:spacing w:val="-109"/>
          <w:w w:val="100"/>
        </w:rPr>
      </w:r>
      <w:r>
        <w:rPr>
          <w:spacing w:val="-4"/>
        </w:rPr>
        <w:t>和国企业所得税法》第二十八条的有关规定，</w:t>
      </w:r>
      <w:r>
        <w:rPr>
          <w:rFonts w:ascii="宋体" w:hAnsi="宋体" w:cs="宋体" w:eastAsia="宋体" w:hint="default"/>
          <w:spacing w:val="-4"/>
        </w:rPr>
        <w:t>2015 </w:t>
      </w:r>
      <w:r>
        <w:rPr>
          <w:spacing w:val="-5"/>
        </w:rPr>
        <w:t>年度冠捷显示科技（中国）有限公司</w:t>
      </w:r>
      <w:r>
        <w:rPr>
          <w:spacing w:val="-99"/>
        </w:rPr>
        <w:t> </w:t>
      </w:r>
      <w:r>
        <w:rPr>
          <w:spacing w:val="-99"/>
        </w:rPr>
      </w:r>
      <w:r>
        <w:rPr/>
        <w:t>适用的企业所得税税率为</w:t>
      </w:r>
      <w:r>
        <w:rPr>
          <w:spacing w:val="-54"/>
        </w:rPr>
        <w:t> </w:t>
      </w:r>
      <w:r>
        <w:rPr>
          <w:rFonts w:ascii="宋体" w:hAnsi="宋体" w:cs="宋体" w:eastAsia="宋体" w:hint="default"/>
        </w:rPr>
        <w:t>15%</w:t>
      </w:r>
      <w:r>
        <w:rPr/>
        <w:t>。</w:t>
      </w:r>
    </w:p>
    <w:p>
      <w:pPr>
        <w:spacing w:line="240" w:lineRule="auto" w:before="9"/>
        <w:rPr>
          <w:rFonts w:ascii="宋体" w:hAnsi="宋体" w:cs="宋体" w:eastAsia="宋体" w:hint="default"/>
          <w:sz w:val="16"/>
          <w:szCs w:val="16"/>
        </w:rPr>
      </w:pPr>
    </w:p>
    <w:p>
      <w:pPr>
        <w:spacing w:line="422" w:lineRule="auto" w:before="0"/>
        <w:ind w:left="679" w:right="371" w:firstLine="2"/>
        <w:jc w:val="left"/>
        <w:rPr>
          <w:rFonts w:ascii="宋体" w:hAnsi="宋体" w:cs="宋体" w:eastAsia="宋体" w:hint="default"/>
          <w:sz w:val="22"/>
          <w:szCs w:val="22"/>
        </w:rPr>
      </w:pPr>
      <w:r>
        <w:rPr>
          <w:rFonts w:ascii="宋体" w:hAnsi="宋体" w:cs="宋体" w:eastAsia="宋体" w:hint="default"/>
          <w:b/>
          <w:bCs/>
          <w:sz w:val="22"/>
          <w:szCs w:val="22"/>
        </w:rPr>
        <w:t>六、合并财务报表主要项目注释</w:t>
      </w:r>
      <w:r>
        <w:rPr>
          <w:rFonts w:ascii="宋体" w:hAnsi="宋体" w:cs="宋体" w:eastAsia="宋体" w:hint="default"/>
          <w:b/>
          <w:bCs/>
          <w:w w:val="99"/>
          <w:sz w:val="22"/>
          <w:szCs w:val="22"/>
        </w:rPr>
        <w:t> </w:t>
      </w:r>
      <w:r>
        <w:rPr>
          <w:rFonts w:ascii="宋体" w:hAnsi="宋体" w:cs="宋体" w:eastAsia="宋体" w:hint="default"/>
          <w:spacing w:val="-10"/>
          <w:w w:val="100"/>
          <w:sz w:val="22"/>
          <w:szCs w:val="22"/>
        </w:rPr>
        <w:t>下列所披露的财务报表数据，除特别注明之外，“年初”系指</w:t>
      </w:r>
      <w:r>
        <w:rPr>
          <w:rFonts w:ascii="宋体" w:hAnsi="宋体" w:cs="宋体" w:eastAsia="宋体" w:hint="default"/>
          <w:spacing w:val="-57"/>
          <w:w w:val="100"/>
          <w:sz w:val="22"/>
          <w:szCs w:val="22"/>
        </w:rPr>
        <w:t> </w:t>
      </w:r>
      <w:r>
        <w:rPr>
          <w:rFonts w:ascii="宋体" w:hAnsi="宋体" w:cs="宋体" w:eastAsia="宋体" w:hint="default"/>
          <w:w w:val="100"/>
          <w:sz w:val="22"/>
          <w:szCs w:val="22"/>
        </w:rPr>
        <w:t>2015</w:t>
      </w:r>
      <w:r>
        <w:rPr>
          <w:rFonts w:ascii="宋体" w:hAnsi="宋体" w:cs="宋体" w:eastAsia="宋体" w:hint="default"/>
          <w:spacing w:val="-57"/>
          <w:w w:val="100"/>
          <w:sz w:val="22"/>
          <w:szCs w:val="22"/>
        </w:rPr>
        <w:t> </w:t>
      </w:r>
      <w:r>
        <w:rPr>
          <w:rFonts w:ascii="宋体" w:hAnsi="宋体" w:cs="宋体" w:eastAsia="宋体" w:hint="default"/>
          <w:w w:val="100"/>
          <w:sz w:val="22"/>
          <w:szCs w:val="22"/>
        </w:rPr>
        <w:t>年</w:t>
      </w:r>
      <w:r>
        <w:rPr>
          <w:rFonts w:ascii="宋体" w:hAnsi="宋体" w:cs="宋体" w:eastAsia="宋体" w:hint="default"/>
          <w:spacing w:val="-53"/>
          <w:w w:val="100"/>
          <w:sz w:val="22"/>
          <w:szCs w:val="22"/>
        </w:rPr>
        <w:t> </w:t>
      </w:r>
      <w:r>
        <w:rPr>
          <w:rFonts w:ascii="宋体" w:hAnsi="宋体" w:cs="宋体" w:eastAsia="宋体" w:hint="default"/>
          <w:w w:val="100"/>
          <w:sz w:val="22"/>
          <w:szCs w:val="22"/>
        </w:rPr>
        <w:t>1</w:t>
      </w:r>
      <w:r>
        <w:rPr>
          <w:rFonts w:ascii="宋体" w:hAnsi="宋体" w:cs="宋体" w:eastAsia="宋体" w:hint="default"/>
          <w:spacing w:val="-53"/>
          <w:w w:val="100"/>
          <w:sz w:val="22"/>
          <w:szCs w:val="22"/>
        </w:rPr>
        <w:t> </w:t>
      </w:r>
      <w:r>
        <w:rPr>
          <w:rFonts w:ascii="宋体" w:hAnsi="宋体" w:cs="宋体" w:eastAsia="宋体" w:hint="default"/>
          <w:w w:val="100"/>
          <w:sz w:val="22"/>
          <w:szCs w:val="22"/>
        </w:rPr>
        <w:t>月</w:t>
      </w:r>
      <w:r>
        <w:rPr>
          <w:rFonts w:ascii="宋体" w:hAnsi="宋体" w:cs="宋体" w:eastAsia="宋体" w:hint="default"/>
          <w:spacing w:val="-56"/>
          <w:w w:val="100"/>
          <w:sz w:val="22"/>
          <w:szCs w:val="22"/>
        </w:rPr>
        <w:t> </w:t>
      </w:r>
      <w:r>
        <w:rPr>
          <w:rFonts w:ascii="宋体" w:hAnsi="宋体" w:cs="宋体" w:eastAsia="宋体" w:hint="default"/>
          <w:w w:val="100"/>
          <w:sz w:val="22"/>
          <w:szCs w:val="22"/>
        </w:rPr>
        <w:t>1</w:t>
      </w:r>
      <w:r>
        <w:rPr>
          <w:rFonts w:ascii="宋体" w:hAnsi="宋体" w:cs="宋体" w:eastAsia="宋体" w:hint="default"/>
          <w:spacing w:val="-57"/>
          <w:w w:val="100"/>
          <w:sz w:val="22"/>
          <w:szCs w:val="22"/>
        </w:rPr>
        <w:t> </w:t>
      </w:r>
      <w:r>
        <w:rPr>
          <w:rFonts w:ascii="宋体" w:hAnsi="宋体" w:cs="宋体" w:eastAsia="宋体" w:hint="default"/>
          <w:spacing w:val="-38"/>
          <w:w w:val="100"/>
          <w:sz w:val="22"/>
          <w:szCs w:val="22"/>
        </w:rPr>
        <w:t>日，“年</w:t>
      </w:r>
    </w:p>
    <w:p>
      <w:pPr>
        <w:pStyle w:val="Heading7"/>
        <w:spacing w:line="224" w:lineRule="exact" w:before="0"/>
        <w:ind w:left="240" w:right="0"/>
        <w:jc w:val="left"/>
      </w:pPr>
      <w:r>
        <w:rPr>
          <w:spacing w:val="-1"/>
          <w:w w:val="100"/>
        </w:rPr>
        <w:t>末</w:t>
      </w:r>
      <w:r>
        <w:rPr>
          <w:spacing w:val="-12"/>
          <w:w w:val="100"/>
        </w:rPr>
        <w:t>”</w:t>
      </w:r>
      <w:r>
        <w:rPr>
          <w:w w:val="100"/>
        </w:rPr>
        <w:t>系指</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8"/>
        </w:rPr>
        <w:t> </w:t>
      </w:r>
      <w:r>
        <w:rPr>
          <w:w w:val="100"/>
        </w:rPr>
        <w:t>月</w:t>
      </w:r>
      <w:r>
        <w:rPr>
          <w:spacing w:val="-55"/>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5"/>
        </w:rPr>
        <w:t> </w:t>
      </w:r>
      <w:r>
        <w:rPr>
          <w:w w:val="100"/>
        </w:rPr>
        <w:t>日</w:t>
      </w:r>
      <w:r>
        <w:rPr>
          <w:spacing w:val="-123"/>
          <w:w w:val="100"/>
        </w:rPr>
        <w:t>，</w:t>
      </w:r>
      <w:r>
        <w:rPr>
          <w:w w:val="100"/>
        </w:rPr>
        <w:t>“本年</w:t>
      </w:r>
      <w:r>
        <w:rPr>
          <w:spacing w:val="-12"/>
          <w:w w:val="100"/>
        </w:rPr>
        <w:t>”</w:t>
      </w:r>
      <w:r>
        <w:rPr>
          <w:spacing w:val="-3"/>
          <w:w w:val="100"/>
        </w:rPr>
        <w:t>系</w:t>
      </w:r>
      <w:r>
        <w:rPr>
          <w:w w:val="100"/>
        </w:rPr>
        <w:t>指</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7"/>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8"/>
        </w:rPr>
        <w:t> </w:t>
      </w:r>
      <w:r>
        <w:rPr>
          <w:w w:val="100"/>
        </w:rPr>
        <w:t>日至</w:t>
      </w:r>
      <w:r>
        <w:rPr>
          <w:spacing w:val="-55"/>
        </w:rPr>
        <w:t> </w:t>
      </w:r>
      <w:r>
        <w:rPr>
          <w:rFonts w:ascii="宋体" w:hAnsi="宋体" w:cs="宋体" w:eastAsia="宋体" w:hint="default"/>
          <w:w w:val="100"/>
        </w:rPr>
        <w:t>12</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31</w:t>
      </w:r>
      <w:r>
        <w:rPr>
          <w:rFonts w:ascii="宋体" w:hAnsi="宋体" w:cs="宋体" w:eastAsia="宋体" w:hint="default"/>
          <w:spacing w:val="-58"/>
        </w:rPr>
        <w:t> </w:t>
      </w:r>
      <w:r>
        <w:rPr>
          <w:spacing w:val="-3"/>
          <w:w w:val="100"/>
        </w:rPr>
        <w:t>日</w:t>
      </w:r>
      <w:r>
        <w:rPr>
          <w:spacing w:val="-123"/>
          <w:w w:val="100"/>
        </w:rPr>
        <w:t>，</w:t>
      </w:r>
      <w:r>
        <w:rPr>
          <w:w w:val="100"/>
        </w:rPr>
        <w:t>“上年</w:t>
      </w:r>
      <w:r>
        <w:rPr>
          <w:spacing w:val="-12"/>
          <w:w w:val="100"/>
        </w:rPr>
        <w:t>”</w:t>
      </w:r>
      <w:r>
        <w:rPr>
          <w:w w:val="100"/>
        </w:rPr>
        <w:t>系</w:t>
      </w:r>
    </w:p>
    <w:p>
      <w:pPr>
        <w:pStyle w:val="Heading7"/>
        <w:spacing w:line="391" w:lineRule="auto" w:before="101"/>
        <w:ind w:left="679" w:right="3066" w:hanging="440"/>
        <w:jc w:val="left"/>
      </w:pPr>
      <w:r>
        <w:rPr/>
        <w:pict>
          <v:shape style="position:absolute;margin-left:83.183983pt;margin-top:47.177605pt;width:429.1pt;height:115.2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2612"/>
                    <w:gridCol w:w="2614"/>
                  </w:tblGrid>
                  <w:tr>
                    <w:trPr>
                      <w:trHeight w:val="386" w:hRule="exact"/>
                    </w:trPr>
                    <w:tc>
                      <w:tcPr>
                        <w:tcW w:w="33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3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1,426,589.98</w:t>
                        </w: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1,379,405.44</w:t>
                        </w:r>
                      </w:p>
                    </w:tc>
                  </w:tr>
                  <w:tr>
                    <w:trPr>
                      <w:trHeight w:val="377" w:hRule="exact"/>
                    </w:trPr>
                    <w:tc>
                      <w:tcPr>
                        <w:tcW w:w="3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3,662,197,179.46</w:t>
                        </w: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3,614,945,328.23</w:t>
                        </w:r>
                      </w:p>
                    </w:tc>
                  </w:tr>
                  <w:tr>
                    <w:trPr>
                      <w:trHeight w:val="374" w:hRule="exact"/>
                    </w:trPr>
                    <w:tc>
                      <w:tcPr>
                        <w:tcW w:w="3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23,834,758.80</w:t>
                        </w: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24,237,359.00</w:t>
                        </w:r>
                      </w:p>
                    </w:tc>
                  </w:tr>
                  <w:tr>
                    <w:trPr>
                      <w:trHeight w:val="374" w:hRule="exact"/>
                    </w:trPr>
                    <w:tc>
                      <w:tcPr>
                        <w:tcW w:w="3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3,687,458,528.24</w:t>
                        </w:r>
                        <w:r>
                          <w:rPr>
                            <w:rFonts w:ascii="宋体"/>
                            <w:sz w:val="18"/>
                          </w:rPr>
                        </w: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3,640,562,092.67</w:t>
                        </w:r>
                        <w:r>
                          <w:rPr>
                            <w:rFonts w:ascii="宋体"/>
                            <w:sz w:val="18"/>
                          </w:rPr>
                        </w:r>
                      </w:p>
                    </w:tc>
                  </w:tr>
                  <w:tr>
                    <w:trPr>
                      <w:trHeight w:val="389" w:hRule="exact"/>
                    </w:trPr>
                    <w:tc>
                      <w:tcPr>
                        <w:tcW w:w="33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6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1,868,877,830.74</w:t>
                        </w:r>
                      </w:p>
                    </w:tc>
                    <w:tc>
                      <w:tcPr>
                        <w:tcW w:w="26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1,318,854,991.03</w:t>
                        </w:r>
                      </w:p>
                    </w:tc>
                  </w:tr>
                </w:tbl>
                <w:p>
                  <w:pPr/>
                </w:p>
              </w:txbxContent>
            </v:textbox>
            <w10:wrap type="none"/>
          </v:shape>
        </w:pict>
      </w:r>
      <w:r>
        <w:rPr/>
        <w:t>指</w:t>
      </w:r>
      <w:r>
        <w:rPr>
          <w:spacing w:val="-55"/>
        </w:rPr>
        <w:t> </w:t>
      </w:r>
      <w:r>
        <w:rPr>
          <w:rFonts w:ascii="宋体" w:hAnsi="宋体" w:cs="宋体" w:eastAsia="宋体" w:hint="default"/>
        </w:rPr>
        <w:t>2014</w:t>
      </w:r>
      <w:r>
        <w:rPr>
          <w:rFonts w:ascii="宋体" w:hAnsi="宋体" w:cs="宋体" w:eastAsia="宋体" w:hint="default"/>
          <w:spacing w:val="-58"/>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日，货币单位为人民币元。</w:t>
      </w:r>
      <w:r>
        <w:rPr>
          <w:w w:val="100"/>
        </w:rPr>
        <w:t> </w:t>
      </w:r>
      <w:r>
        <w:rPr>
          <w:rFonts w:ascii="宋体" w:hAnsi="宋体" w:cs="宋体" w:eastAsia="宋体" w:hint="default"/>
        </w:rPr>
        <w:t>1</w:t>
      </w:r>
      <w:r>
        <w:rPr/>
        <w:t>、货币资金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7"/>
        <w:spacing w:line="240" w:lineRule="auto"/>
        <w:ind w:left="679" w:right="0"/>
        <w:jc w:val="left"/>
      </w:pPr>
      <w:r>
        <w:rPr/>
        <w:t>截至</w:t>
      </w:r>
      <w:r>
        <w:rPr>
          <w:spacing w:val="-55"/>
        </w:rPr>
        <w:t> </w:t>
      </w:r>
      <w:r>
        <w:rPr>
          <w:rFonts w:ascii="宋体" w:hAnsi="宋体" w:cs="宋体" w:eastAsia="宋体" w:hint="default"/>
        </w:rPr>
        <w:t>2015</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日，使用受限的货币资金明细如下：</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610"/>
        <w:gridCol w:w="1472"/>
        <w:gridCol w:w="2511"/>
        <w:gridCol w:w="2945"/>
      </w:tblGrid>
      <w:tr>
        <w:trPr>
          <w:trHeight w:val="389" w:hRule="exact"/>
        </w:trPr>
        <w:tc>
          <w:tcPr>
            <w:tcW w:w="16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账户性质</w:t>
            </w:r>
            <w:r>
              <w:rPr>
                <w:rFonts w:ascii="宋体" w:hAnsi="宋体" w:cs="宋体" w:eastAsia="宋体" w:hint="default"/>
                <w:sz w:val="18"/>
                <w:szCs w:val="18"/>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5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29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7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质押存款</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欧元</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15" w:right="0"/>
              <w:jc w:val="left"/>
              <w:rPr>
                <w:rFonts w:ascii="宋体" w:hAnsi="宋体" w:cs="宋体" w:eastAsia="宋体" w:hint="default"/>
                <w:sz w:val="18"/>
                <w:szCs w:val="18"/>
              </w:rPr>
            </w:pPr>
            <w:r>
              <w:rPr>
                <w:rFonts w:ascii="宋体"/>
                <w:sz w:val="18"/>
              </w:rPr>
              <w:t>3,359,279.34</w:t>
            </w:r>
          </w:p>
        </w:tc>
        <w:tc>
          <w:tcPr>
            <w:tcW w:w="29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23,834,758.80</w:t>
            </w:r>
          </w:p>
        </w:tc>
      </w:tr>
      <w:tr>
        <w:trPr>
          <w:trHeight w:val="391" w:hRule="exact"/>
        </w:trPr>
        <w:tc>
          <w:tcPr>
            <w:tcW w:w="16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2" w:type="dxa"/>
            <w:tcBorders>
              <w:top w:val="single" w:sz="4" w:space="0" w:color="000000"/>
              <w:left w:val="single" w:sz="4" w:space="0" w:color="000000"/>
              <w:bottom w:val="single" w:sz="12" w:space="0" w:color="000000"/>
              <w:right w:val="single" w:sz="4" w:space="0" w:color="000000"/>
            </w:tcBorders>
          </w:tcPr>
          <w:p>
            <w:pPr/>
          </w:p>
        </w:tc>
        <w:tc>
          <w:tcPr>
            <w:tcW w:w="2511" w:type="dxa"/>
            <w:tcBorders>
              <w:top w:val="single" w:sz="4" w:space="0" w:color="000000"/>
              <w:left w:val="single" w:sz="4" w:space="0" w:color="000000"/>
              <w:bottom w:val="single" w:sz="12" w:space="0" w:color="000000"/>
              <w:right w:val="single" w:sz="4" w:space="0" w:color="000000"/>
            </w:tcBorders>
          </w:tcPr>
          <w:p>
            <w:pPr/>
          </w:p>
        </w:tc>
        <w:tc>
          <w:tcPr>
            <w:tcW w:w="29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b/>
                <w:w w:val="95"/>
                <w:sz w:val="18"/>
              </w:rPr>
              <w:t>23,834,758.80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1" w:footer="980" w:top="1600" w:bottom="1160" w:left="1560" w:right="1420"/>
        </w:sectPr>
      </w:pPr>
    </w:p>
    <w:p>
      <w:pPr>
        <w:spacing w:line="240" w:lineRule="auto" w:before="3"/>
        <w:rPr>
          <w:rFonts w:ascii="宋体" w:hAnsi="宋体" w:cs="宋体" w:eastAsia="宋体" w:hint="default"/>
          <w:sz w:val="3"/>
          <w:szCs w:val="3"/>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779" w:right="0"/>
        <w:jc w:val="left"/>
      </w:pPr>
      <w:r>
        <w:rPr>
          <w:rFonts w:ascii="宋体" w:hAnsi="宋体" w:cs="宋体" w:eastAsia="宋体" w:hint="default"/>
        </w:rPr>
        <w:t>2</w:t>
      </w:r>
      <w:r>
        <w:rPr/>
        <w:t>、以公允价值计量且其变动计入当期损益的金融资产</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3238"/>
        <w:gridCol w:w="2549"/>
        <w:gridCol w:w="2751"/>
      </w:tblGrid>
      <w:tr>
        <w:trPr>
          <w:trHeight w:val="470" w:hRule="exact"/>
        </w:trPr>
        <w:tc>
          <w:tcPr>
            <w:tcW w:w="32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4"/>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4"/>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6" w:hRule="exact"/>
        </w:trPr>
        <w:tc>
          <w:tcPr>
            <w:tcW w:w="3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383,960,074.40</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13,321,063.00</w:t>
            </w:r>
          </w:p>
        </w:tc>
      </w:tr>
      <w:tr>
        <w:trPr>
          <w:trHeight w:val="454" w:hRule="exact"/>
        </w:trPr>
        <w:tc>
          <w:tcPr>
            <w:tcW w:w="3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304"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383,960,074.40</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13,321,063.00</w:t>
            </w:r>
          </w:p>
        </w:tc>
      </w:tr>
      <w:tr>
        <w:trPr>
          <w:trHeight w:val="470" w:hRule="exact"/>
        </w:trPr>
        <w:tc>
          <w:tcPr>
            <w:tcW w:w="3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18"/>
                <w:szCs w:val="18"/>
              </w:rPr>
            </w:pPr>
            <w:r>
              <w:rPr>
                <w:rFonts w:ascii="宋体"/>
                <w:b/>
                <w:w w:val="95"/>
                <w:sz w:val="18"/>
              </w:rPr>
              <w:t>383,960,074.40</w:t>
            </w:r>
            <w:r>
              <w:rPr>
                <w:rFonts w:ascii="宋体"/>
                <w:sz w:val="18"/>
              </w:rPr>
            </w:r>
          </w:p>
        </w:tc>
        <w:tc>
          <w:tcPr>
            <w:tcW w:w="27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18"/>
                <w:szCs w:val="18"/>
              </w:rPr>
            </w:pPr>
            <w:r>
              <w:rPr>
                <w:rFonts w:ascii="宋体"/>
                <w:b/>
                <w:w w:val="95"/>
                <w:sz w:val="18"/>
              </w:rPr>
              <w:t>13,321,063.00</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340" w:right="0" w:firstLine="439"/>
        <w:jc w:val="left"/>
      </w:pPr>
      <w:r>
        <w:rPr>
          <w:spacing w:val="-6"/>
        </w:rPr>
        <w:t>注：年末交易性金融资产大幅增加，主要系子公司冠捷科技为应对汇率下降的影响，</w:t>
      </w:r>
      <w:r>
        <w:rPr>
          <w:w w:val="100"/>
        </w:rPr>
        <w:t> </w:t>
      </w:r>
      <w:r>
        <w:rPr/>
        <w:t>减少外币存款增加交易性金融资产所致。</w:t>
      </w:r>
    </w:p>
    <w:p>
      <w:pPr>
        <w:pStyle w:val="Heading7"/>
        <w:spacing w:line="240" w:lineRule="auto" w:before="98"/>
        <w:ind w:left="779" w:right="0"/>
        <w:jc w:val="left"/>
      </w:pPr>
      <w:r>
        <w:rPr>
          <w:rFonts w:ascii="宋体" w:hAnsi="宋体" w:cs="宋体" w:eastAsia="宋体" w:hint="default"/>
        </w:rPr>
        <w:t>3</w:t>
      </w:r>
      <w:r>
        <w:rPr/>
        <w:t>、衍生金融资产</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3313"/>
        <w:gridCol w:w="2612"/>
        <w:gridCol w:w="2614"/>
      </w:tblGrid>
      <w:tr>
        <w:trPr>
          <w:trHeight w:val="471" w:hRule="exact"/>
        </w:trPr>
        <w:tc>
          <w:tcPr>
            <w:tcW w:w="33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4"/>
              <w:ind w:right="146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6" w:hRule="exact"/>
        </w:trPr>
        <w:tc>
          <w:tcPr>
            <w:tcW w:w="3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26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1,106,022,420.00</w:t>
            </w: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480,586,260.00</w:t>
            </w:r>
          </w:p>
        </w:tc>
      </w:tr>
      <w:tr>
        <w:trPr>
          <w:trHeight w:val="456" w:hRule="exact"/>
        </w:trPr>
        <w:tc>
          <w:tcPr>
            <w:tcW w:w="33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货币互换</w:t>
            </w:r>
          </w:p>
        </w:tc>
        <w:tc>
          <w:tcPr>
            <w:tcW w:w="2612" w:type="dxa"/>
            <w:tcBorders>
              <w:top w:val="single" w:sz="2" w:space="0" w:color="000000"/>
              <w:left w:val="single" w:sz="2" w:space="0" w:color="000000"/>
              <w:bottom w:val="single" w:sz="2" w:space="0" w:color="000000"/>
              <w:right w:val="single" w:sz="2" w:space="0" w:color="000000"/>
            </w:tcBorders>
          </w:tcPr>
          <w:p>
            <w:pPr/>
          </w:p>
        </w:tc>
        <w:tc>
          <w:tcPr>
            <w:tcW w:w="2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64,616,640.00</w:t>
            </w:r>
          </w:p>
        </w:tc>
      </w:tr>
      <w:tr>
        <w:trPr>
          <w:trHeight w:val="468" w:hRule="exact"/>
        </w:trPr>
        <w:tc>
          <w:tcPr>
            <w:tcW w:w="33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right="146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b/>
                <w:w w:val="95"/>
                <w:sz w:val="18"/>
              </w:rPr>
              <w:t>1,106,022,420.00</w:t>
            </w:r>
            <w:r>
              <w:rPr>
                <w:rFonts w:ascii="宋体"/>
                <w:sz w:val="18"/>
              </w:rPr>
            </w:r>
          </w:p>
        </w:tc>
        <w:tc>
          <w:tcPr>
            <w:tcW w:w="26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b/>
                <w:w w:val="95"/>
                <w:sz w:val="18"/>
              </w:rPr>
              <w:t>545,202,900.00</w:t>
            </w:r>
            <w:r>
              <w:rPr>
                <w:rFonts w:ascii="宋体"/>
                <w:sz w:val="18"/>
              </w:rPr>
            </w:r>
          </w:p>
        </w:tc>
      </w:tr>
    </w:tbl>
    <w:p>
      <w:pPr>
        <w:spacing w:line="240" w:lineRule="auto" w:before="8"/>
        <w:rPr>
          <w:rFonts w:ascii="宋体" w:hAnsi="宋体" w:cs="宋体" w:eastAsia="宋体" w:hint="default"/>
          <w:sz w:val="4"/>
          <w:szCs w:val="4"/>
        </w:rPr>
      </w:pPr>
    </w:p>
    <w:p>
      <w:pPr>
        <w:pStyle w:val="Heading7"/>
        <w:spacing w:line="324" w:lineRule="auto"/>
        <w:ind w:left="340" w:right="373" w:firstLine="439"/>
        <w:jc w:val="both"/>
      </w:pPr>
      <w:r>
        <w:rPr>
          <w:spacing w:val="-3"/>
        </w:rPr>
        <w:t>注：因业务需要，本集团开展外汇远期合约和期权业务，会计处理方法主要是在每</w:t>
      </w:r>
      <w:r>
        <w:rPr>
          <w:w w:val="100"/>
        </w:rPr>
        <w:t> </w:t>
      </w:r>
      <w:r>
        <w:rPr>
          <w:spacing w:val="-3"/>
        </w:rPr>
        <w:t>季度根据外部机构提供的衍生工具的公允价值计入到本科目和公允价值变动损益，交割</w:t>
      </w:r>
      <w:r>
        <w:rPr>
          <w:spacing w:val="-58"/>
        </w:rPr>
        <w:t> </w:t>
      </w:r>
      <w:r>
        <w:rPr>
          <w:spacing w:val="-58"/>
        </w:rPr>
      </w:r>
      <w:r>
        <w:rPr/>
        <w:t>时再做转销处理。衍生金融资产较年初增加</w:t>
      </w:r>
      <w:r>
        <w:rPr>
          <w:spacing w:val="-56"/>
        </w:rPr>
        <w:t> </w:t>
      </w:r>
      <w:r>
        <w:rPr>
          <w:rFonts w:ascii="宋体" w:hAnsi="宋体" w:cs="宋体" w:eastAsia="宋体" w:hint="default"/>
        </w:rPr>
        <w:t>56,081.95</w:t>
      </w:r>
      <w:r>
        <w:rPr>
          <w:rFonts w:ascii="宋体" w:hAnsi="宋体" w:cs="宋体" w:eastAsia="宋体" w:hint="default"/>
          <w:spacing w:val="-56"/>
        </w:rPr>
        <w:t> </w:t>
      </w:r>
      <w:r>
        <w:rPr/>
        <w:t>万元，增幅达</w:t>
      </w:r>
      <w:r>
        <w:rPr>
          <w:spacing w:val="-59"/>
        </w:rPr>
        <w:t> </w:t>
      </w:r>
      <w:r>
        <w:rPr>
          <w:rFonts w:ascii="宋体" w:hAnsi="宋体" w:cs="宋体" w:eastAsia="宋体" w:hint="default"/>
        </w:rPr>
        <w:t>102.86%</w:t>
      </w:r>
      <w:r>
        <w:rPr/>
        <w:t>，主要是</w:t>
      </w:r>
      <w:r>
        <w:rPr>
          <w:w w:val="100"/>
        </w:rPr>
        <w:t> </w:t>
      </w:r>
      <w:r>
        <w:rPr>
          <w:spacing w:val="-3"/>
        </w:rPr>
        <w:t>由于本年新增衍生金融工具以及汇率变动，导致年末尚未到期的金融衍生品的公允价值</w:t>
      </w:r>
      <w:r>
        <w:rPr>
          <w:spacing w:val="-57"/>
        </w:rPr>
        <w:t> </w:t>
      </w:r>
      <w:r>
        <w:rPr>
          <w:spacing w:val="-57"/>
        </w:rPr>
      </w:r>
      <w:r>
        <w:rPr/>
        <w:t>较上年末增加。</w:t>
      </w:r>
    </w:p>
    <w:p>
      <w:pPr>
        <w:pStyle w:val="Heading7"/>
        <w:spacing w:line="240" w:lineRule="auto" w:before="103"/>
        <w:ind w:left="779" w:right="0"/>
        <w:jc w:val="left"/>
      </w:pPr>
      <w:r>
        <w:rPr>
          <w:rFonts w:ascii="宋体" w:hAnsi="宋体" w:cs="宋体" w:eastAsia="宋体" w:hint="default"/>
        </w:rPr>
        <w:t>4</w:t>
      </w:r>
      <w:r>
        <w:rPr/>
        <w:t>、应收票据</w:t>
      </w:r>
    </w:p>
    <w:p>
      <w:pPr>
        <w:pStyle w:val="Heading7"/>
        <w:spacing w:line="240" w:lineRule="auto" w:before="180"/>
        <w:ind w:left="779" w:right="0"/>
        <w:jc w:val="left"/>
      </w:pPr>
      <w:r>
        <w:rPr/>
        <w:t>（</w:t>
      </w:r>
      <w:r>
        <w:rPr>
          <w:rFonts w:ascii="宋体" w:hAnsi="宋体" w:cs="宋体" w:eastAsia="宋体" w:hint="default"/>
        </w:rPr>
        <w:t>1</w:t>
      </w:r>
      <w:r>
        <w:rPr/>
        <w:t>）应收票据种类</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2854"/>
        <w:gridCol w:w="2842"/>
        <w:gridCol w:w="2842"/>
      </w:tblGrid>
      <w:tr>
        <w:trPr>
          <w:trHeight w:val="468"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2"/>
              <w:ind w:right="123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3,018,686,460.64</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1,641,537,930.78</w:t>
            </w:r>
          </w:p>
        </w:tc>
      </w:tr>
      <w:tr>
        <w:trPr>
          <w:trHeight w:val="45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24,777,302.58</w:t>
            </w:r>
          </w:p>
        </w:tc>
        <w:tc>
          <w:tcPr>
            <w:tcW w:w="2842"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right="123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b/>
                <w:w w:val="95"/>
                <w:sz w:val="18"/>
              </w:rPr>
              <w:t>3,043,463,763.22</w:t>
            </w:r>
            <w:r>
              <w:rPr>
                <w:rFonts w:ascii="宋体"/>
                <w:sz w:val="18"/>
              </w:rPr>
            </w:r>
          </w:p>
        </w:tc>
        <w:tc>
          <w:tcPr>
            <w:tcW w:w="2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b/>
                <w:w w:val="95"/>
                <w:sz w:val="18"/>
              </w:rPr>
              <w:t>1,641,537,930.78</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340" w:right="0" w:firstLine="439"/>
        <w:jc w:val="left"/>
      </w:pPr>
      <w:r>
        <w:rPr>
          <w:spacing w:val="-3"/>
        </w:rPr>
        <w:t>注：主要系本年下属子公司冠捷科技部分货款改变结算方式，导致年末未到期票据</w:t>
      </w:r>
      <w:r>
        <w:rPr>
          <w:w w:val="100"/>
        </w:rPr>
        <w:t> </w:t>
      </w:r>
      <w:r>
        <w:rPr/>
        <w:t>较年初有大幅度变动。</w:t>
      </w:r>
    </w:p>
    <w:p>
      <w:pPr>
        <w:pStyle w:val="Heading7"/>
        <w:spacing w:line="240" w:lineRule="auto" w:before="98"/>
        <w:ind w:left="779" w:right="0"/>
        <w:jc w:val="left"/>
      </w:pPr>
      <w:r>
        <w:rPr/>
        <w:t>（</w:t>
      </w:r>
      <w:r>
        <w:rPr>
          <w:rFonts w:ascii="宋体" w:hAnsi="宋体" w:cs="宋体" w:eastAsia="宋体" w:hint="default"/>
        </w:rPr>
        <w:t>2</w:t>
      </w:r>
      <w:r>
        <w:rPr/>
        <w:t>）年末已经背书或贴现且在资产负债表日尚未到期的应收票据</w:t>
      </w:r>
    </w:p>
    <w:p>
      <w:pPr>
        <w:spacing w:line="240" w:lineRule="auto" w:before="9"/>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921"/>
        <w:gridCol w:w="2909"/>
        <w:gridCol w:w="2909"/>
      </w:tblGrid>
      <w:tr>
        <w:trPr>
          <w:trHeight w:val="468" w:hRule="exact"/>
        </w:trPr>
        <w:tc>
          <w:tcPr>
            <w:tcW w:w="29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4"/>
              <w:ind w:right="126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4"/>
              <w:ind w:left="729" w:right="0"/>
              <w:jc w:val="left"/>
              <w:rPr>
                <w:rFonts w:ascii="宋体" w:hAnsi="宋体" w:cs="宋体" w:eastAsia="宋体" w:hint="default"/>
                <w:sz w:val="18"/>
                <w:szCs w:val="18"/>
              </w:rPr>
            </w:pPr>
            <w:r>
              <w:rPr>
                <w:rFonts w:ascii="宋体" w:hAnsi="宋体" w:cs="宋体" w:eastAsia="宋体" w:hint="default"/>
                <w:b/>
                <w:bCs/>
                <w:sz w:val="18"/>
                <w:szCs w:val="18"/>
              </w:rPr>
              <w:t>年末终止确认金额</w:t>
            </w:r>
            <w:r>
              <w:rPr>
                <w:rFonts w:ascii="宋体" w:hAnsi="宋体" w:cs="宋体" w:eastAsia="宋体" w:hint="default"/>
                <w:sz w:val="18"/>
                <w:szCs w:val="18"/>
              </w:rPr>
            </w:r>
          </w:p>
        </w:tc>
        <w:tc>
          <w:tcPr>
            <w:tcW w:w="29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4"/>
              <w:ind w:left="638" w:right="0"/>
              <w:jc w:val="left"/>
              <w:rPr>
                <w:rFonts w:ascii="宋体" w:hAnsi="宋体" w:cs="宋体" w:eastAsia="宋体" w:hint="default"/>
                <w:sz w:val="18"/>
                <w:szCs w:val="18"/>
              </w:rPr>
            </w:pPr>
            <w:r>
              <w:rPr>
                <w:rFonts w:ascii="宋体" w:hAnsi="宋体" w:cs="宋体" w:eastAsia="宋体" w:hint="default"/>
                <w:b/>
                <w:bCs/>
                <w:sz w:val="18"/>
                <w:szCs w:val="18"/>
              </w:rPr>
              <w:t>年末未终止确认金额</w:t>
            </w:r>
            <w:r>
              <w:rPr>
                <w:rFonts w:ascii="宋体" w:hAnsi="宋体" w:cs="宋体" w:eastAsia="宋体" w:hint="default"/>
                <w:sz w:val="18"/>
                <w:szCs w:val="18"/>
              </w:rPr>
            </w:r>
          </w:p>
        </w:tc>
      </w:tr>
      <w:tr>
        <w:trPr>
          <w:trHeight w:val="456" w:hRule="exact"/>
        </w:trPr>
        <w:tc>
          <w:tcPr>
            <w:tcW w:w="2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5,232,000.00</w:t>
            </w:r>
          </w:p>
        </w:tc>
        <w:tc>
          <w:tcPr>
            <w:tcW w:w="2909"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29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right="126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b/>
                <w:w w:val="95"/>
                <w:sz w:val="18"/>
              </w:rPr>
              <w:t>5,232,000.00</w:t>
            </w:r>
            <w:r>
              <w:rPr>
                <w:rFonts w:ascii="宋体"/>
                <w:sz w:val="18"/>
              </w:rPr>
            </w:r>
          </w:p>
        </w:tc>
        <w:tc>
          <w:tcPr>
            <w:tcW w:w="290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rFonts w:ascii="宋体" w:hAnsi="宋体" w:cs="宋体" w:eastAsia="宋体" w:hint="default"/>
        </w:rPr>
        <w:t>5</w:t>
      </w:r>
      <w:r>
        <w:rPr/>
        <w:t>、应收账款</w:t>
      </w:r>
    </w:p>
    <w:p>
      <w:pPr>
        <w:spacing w:after="0" w:line="240" w:lineRule="auto"/>
        <w:jc w:val="left"/>
        <w:sectPr>
          <w:pgSz w:w="11910" w:h="16840"/>
          <w:pgMar w:header="881" w:footer="980" w:top="1600" w:bottom="1160" w:left="1460" w:right="1420"/>
        </w:sectPr>
      </w:pPr>
    </w:p>
    <w:p>
      <w:pPr>
        <w:spacing w:line="240" w:lineRule="auto" w:before="3"/>
        <w:rPr>
          <w:rFonts w:ascii="宋体" w:hAnsi="宋体" w:cs="宋体" w:eastAsia="宋体" w:hint="default"/>
          <w:sz w:val="3"/>
          <w:szCs w:val="3"/>
        </w:rPr>
      </w:pPr>
    </w:p>
    <w:p>
      <w:pPr>
        <w:spacing w:line="20" w:lineRule="exact"/>
        <w:ind w:left="4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859" w:right="408"/>
        <w:jc w:val="left"/>
      </w:pPr>
      <w:r>
        <w:rPr/>
        <w:t>（</w:t>
      </w:r>
      <w:r>
        <w:rPr>
          <w:rFonts w:ascii="宋体" w:hAnsi="宋体" w:cs="宋体" w:eastAsia="宋体" w:hint="default"/>
        </w:rPr>
        <w:t>1</w:t>
      </w:r>
      <w:r>
        <w:rPr/>
        <w:t>）应收账款分类</w:t>
      </w:r>
    </w:p>
    <w:p>
      <w:pPr>
        <w:spacing w:line="240" w:lineRule="auto" w:before="8"/>
        <w:rPr>
          <w:rFonts w:ascii="宋体" w:hAnsi="宋体" w:cs="宋体" w:eastAsia="宋体" w:hint="default"/>
          <w:sz w:val="6"/>
          <w:szCs w:val="6"/>
        </w:rPr>
      </w:pPr>
    </w:p>
    <w:tbl>
      <w:tblPr>
        <w:tblW w:w="0" w:type="auto"/>
        <w:jc w:val="left"/>
        <w:tblInd w:w="175" w:type="dxa"/>
        <w:tblLayout w:type="fixed"/>
        <w:tblCellMar>
          <w:top w:w="0" w:type="dxa"/>
          <w:left w:w="0" w:type="dxa"/>
          <w:bottom w:w="0" w:type="dxa"/>
          <w:right w:w="0" w:type="dxa"/>
        </w:tblCellMar>
        <w:tblLook w:val="01E0"/>
      </w:tblPr>
      <w:tblGrid>
        <w:gridCol w:w="2220"/>
        <w:gridCol w:w="1731"/>
        <w:gridCol w:w="708"/>
        <w:gridCol w:w="1560"/>
        <w:gridCol w:w="845"/>
        <w:gridCol w:w="1676"/>
      </w:tblGrid>
      <w:tr>
        <w:trPr>
          <w:trHeight w:val="398" w:hRule="exact"/>
        </w:trPr>
        <w:tc>
          <w:tcPr>
            <w:tcW w:w="222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520"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9" w:hRule="exact"/>
        </w:trPr>
        <w:tc>
          <w:tcPr>
            <w:tcW w:w="2220" w:type="dxa"/>
            <w:vMerge/>
            <w:tcBorders>
              <w:left w:val="nil" w:sz="6" w:space="0" w:color="auto"/>
              <w:right w:val="single" w:sz="4" w:space="0" w:color="000000"/>
            </w:tcBorders>
          </w:tcPr>
          <w:p>
            <w:pPr/>
          </w:p>
        </w:tc>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7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7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672" w:hRule="exact"/>
        </w:trPr>
        <w:tc>
          <w:tcPr>
            <w:tcW w:w="2220" w:type="dxa"/>
            <w:vMerge/>
            <w:tcBorders>
              <w:left w:val="nil" w:sz="6" w:space="0" w:color="auto"/>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55"/>
              <w:ind w:left="1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76" w:type="dxa"/>
            <w:vMerge/>
            <w:tcBorders>
              <w:left w:val="single" w:sz="4" w:space="0" w:color="000000"/>
              <w:bottom w:val="single" w:sz="4" w:space="0" w:color="000000"/>
              <w:right w:val="nil" w:sz="6" w:space="0" w:color="auto"/>
            </w:tcBorders>
          </w:tcPr>
          <w:p>
            <w:pPr/>
          </w:p>
        </w:tc>
      </w:tr>
      <w:tr>
        <w:trPr>
          <w:trHeight w:val="672"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49"/>
              <w:ind w:left="55" w:right="19"/>
              <w:jc w:val="left"/>
              <w:rPr>
                <w:rFonts w:ascii="宋体" w:hAnsi="宋体" w:cs="宋体" w:eastAsia="宋体" w:hint="default"/>
                <w:sz w:val="18"/>
                <w:szCs w:val="18"/>
              </w:rPr>
            </w:pPr>
            <w:r>
              <w:rPr>
                <w:rFonts w:ascii="宋体" w:hAnsi="宋体" w:cs="宋体" w:eastAsia="宋体" w:hint="default"/>
                <w:spacing w:val="14"/>
                <w:sz w:val="18"/>
                <w:szCs w:val="18"/>
              </w:rPr>
              <w:t>单项金额重大并单项计提 </w:t>
            </w:r>
            <w:r>
              <w:rPr>
                <w:rFonts w:ascii="宋体" w:hAnsi="宋体" w:cs="宋体" w:eastAsia="宋体" w:hint="default"/>
                <w:sz w:val="18"/>
                <w:szCs w:val="18"/>
              </w:rPr>
              <w:t>坏账准备的应收账款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206,350,552.00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1.79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155,866,579.36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75.53</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50,483,972.64</w:t>
            </w:r>
          </w:p>
        </w:tc>
      </w:tr>
      <w:tr>
        <w:trPr>
          <w:trHeight w:val="672"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49"/>
              <w:ind w:left="55" w:right="19"/>
              <w:jc w:val="left"/>
              <w:rPr>
                <w:rFonts w:ascii="宋体" w:hAnsi="宋体" w:cs="宋体" w:eastAsia="宋体" w:hint="default"/>
                <w:sz w:val="18"/>
                <w:szCs w:val="18"/>
              </w:rPr>
            </w:pPr>
            <w:r>
              <w:rPr>
                <w:rFonts w:ascii="宋体" w:hAnsi="宋体" w:cs="宋体" w:eastAsia="宋体" w:hint="default"/>
                <w:spacing w:val="14"/>
                <w:sz w:val="18"/>
                <w:szCs w:val="18"/>
              </w:rPr>
              <w:t>按信用风险特征组合计提 </w:t>
            </w:r>
            <w:r>
              <w:rPr>
                <w:rFonts w:ascii="宋体" w:hAnsi="宋体" w:cs="宋体" w:eastAsia="宋体" w:hint="default"/>
                <w:sz w:val="18"/>
                <w:szCs w:val="18"/>
              </w:rPr>
              <w:t>坏账准备的应收账款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11,259,566,556.28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97.64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1,372,008.41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0.01</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11,258,194,547.87</w:t>
            </w:r>
          </w:p>
        </w:tc>
      </w:tr>
      <w:tr>
        <w:trPr>
          <w:trHeight w:val="672"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49"/>
              <w:ind w:left="55" w:right="19"/>
              <w:jc w:val="left"/>
              <w:rPr>
                <w:rFonts w:ascii="宋体" w:hAnsi="宋体" w:cs="宋体" w:eastAsia="宋体" w:hint="default"/>
                <w:sz w:val="18"/>
                <w:szCs w:val="18"/>
              </w:rPr>
            </w:pPr>
            <w:r>
              <w:rPr>
                <w:rFonts w:ascii="宋体" w:hAnsi="宋体" w:cs="宋体" w:eastAsia="宋体" w:hint="default"/>
                <w:spacing w:val="14"/>
                <w:sz w:val="18"/>
                <w:szCs w:val="18"/>
              </w:rPr>
              <w:t>单项金额不重大但单项计 </w:t>
            </w:r>
            <w:r>
              <w:rPr>
                <w:rFonts w:ascii="宋体" w:hAnsi="宋体" w:cs="宋体" w:eastAsia="宋体" w:hint="default"/>
                <w:sz w:val="18"/>
                <w:szCs w:val="18"/>
              </w:rPr>
              <w:t>提坏账准备的应收账款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66,237,961.16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0.57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64,860,712.82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97.92</w:t>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1,377,248.34</w:t>
            </w:r>
          </w:p>
        </w:tc>
      </w:tr>
      <w:tr>
        <w:trPr>
          <w:trHeight w:val="399" w:hRule="exact"/>
        </w:trPr>
        <w:tc>
          <w:tcPr>
            <w:tcW w:w="222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11,532,155,069.44</w:t>
            </w:r>
            <w:r>
              <w:rPr>
                <w:rFonts w:ascii="宋体"/>
                <w:sz w:val="18"/>
              </w:rPr>
            </w:r>
          </w:p>
        </w:tc>
        <w:tc>
          <w:tcPr>
            <w:tcW w:w="7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29"/>
              <w:jc w:val="right"/>
              <w:rPr>
                <w:rFonts w:ascii="宋体" w:hAnsi="宋体" w:cs="宋体" w:eastAsia="宋体" w:hint="default"/>
                <w:sz w:val="18"/>
                <w:szCs w:val="18"/>
              </w:rPr>
            </w:pPr>
            <w:r>
              <w:rPr>
                <w:rFonts w:ascii="宋体"/>
                <w:b/>
                <w:sz w:val="18"/>
              </w:rPr>
              <w:t>100.00</w:t>
            </w:r>
            <w:r>
              <w:rPr>
                <w:rFonts w:ascii="宋体"/>
                <w:sz w:val="18"/>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b/>
                <w:w w:val="95"/>
                <w:sz w:val="18"/>
              </w:rPr>
              <w:t>222,099,300.59</w:t>
            </w:r>
            <w:r>
              <w:rPr>
                <w:rFonts w:ascii="宋体"/>
                <w:sz w:val="18"/>
              </w:rPr>
            </w:r>
          </w:p>
        </w:tc>
        <w:tc>
          <w:tcPr>
            <w:tcW w:w="845" w:type="dxa"/>
            <w:tcBorders>
              <w:top w:val="single" w:sz="4" w:space="0" w:color="000000"/>
              <w:left w:val="single" w:sz="4" w:space="0" w:color="000000"/>
              <w:bottom w:val="single" w:sz="17" w:space="0" w:color="000000"/>
              <w:right w:val="single" w:sz="4" w:space="0" w:color="000000"/>
            </w:tcBorders>
          </w:tcPr>
          <w:p>
            <w:pPr/>
          </w:p>
        </w:tc>
        <w:tc>
          <w:tcPr>
            <w:tcW w:w="167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b/>
                <w:w w:val="95"/>
                <w:sz w:val="18"/>
              </w:rPr>
              <w:t>11,310,055,768.85</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859" w:right="408"/>
        <w:jc w:val="left"/>
      </w:pPr>
      <w:r>
        <w:rPr/>
        <w:t>续表：</w:t>
      </w:r>
    </w:p>
    <w:p>
      <w:pPr>
        <w:spacing w:line="240" w:lineRule="auto" w:before="8"/>
        <w:rPr>
          <w:rFonts w:ascii="宋体" w:hAnsi="宋体" w:cs="宋体" w:eastAsia="宋体" w:hint="default"/>
          <w:sz w:val="6"/>
          <w:szCs w:val="6"/>
        </w:rPr>
      </w:pPr>
    </w:p>
    <w:tbl>
      <w:tblPr>
        <w:tblW w:w="0" w:type="auto"/>
        <w:jc w:val="left"/>
        <w:tblInd w:w="175" w:type="dxa"/>
        <w:tblLayout w:type="fixed"/>
        <w:tblCellMar>
          <w:top w:w="0" w:type="dxa"/>
          <w:left w:w="0" w:type="dxa"/>
          <w:bottom w:w="0" w:type="dxa"/>
          <w:right w:w="0" w:type="dxa"/>
        </w:tblCellMar>
        <w:tblLook w:val="01E0"/>
      </w:tblPr>
      <w:tblGrid>
        <w:gridCol w:w="2220"/>
        <w:gridCol w:w="1731"/>
        <w:gridCol w:w="850"/>
        <w:gridCol w:w="1419"/>
        <w:gridCol w:w="850"/>
        <w:gridCol w:w="1671"/>
      </w:tblGrid>
      <w:tr>
        <w:trPr>
          <w:trHeight w:val="398" w:hRule="exact"/>
        </w:trPr>
        <w:tc>
          <w:tcPr>
            <w:tcW w:w="222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520"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9" w:hRule="exact"/>
        </w:trPr>
        <w:tc>
          <w:tcPr>
            <w:tcW w:w="2220" w:type="dxa"/>
            <w:vMerge/>
            <w:tcBorders>
              <w:left w:val="nil" w:sz="6" w:space="0" w:color="auto"/>
              <w:right w:val="single" w:sz="4" w:space="0" w:color="000000"/>
            </w:tcBorders>
          </w:tcPr>
          <w:p>
            <w:pP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7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6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672" w:hRule="exact"/>
        </w:trPr>
        <w:tc>
          <w:tcPr>
            <w:tcW w:w="2220" w:type="dxa"/>
            <w:vMerge/>
            <w:tcBorders>
              <w:left w:val="nil" w:sz="6" w:space="0" w:color="auto"/>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71" w:type="dxa"/>
            <w:vMerge/>
            <w:tcBorders>
              <w:left w:val="single" w:sz="4" w:space="0" w:color="000000"/>
              <w:bottom w:val="single" w:sz="4" w:space="0" w:color="000000"/>
              <w:right w:val="nil" w:sz="6" w:space="0" w:color="auto"/>
            </w:tcBorders>
          </w:tcPr>
          <w:p>
            <w:pPr/>
          </w:p>
        </w:tc>
      </w:tr>
      <w:tr>
        <w:trPr>
          <w:trHeight w:val="670"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49"/>
              <w:ind w:left="55" w:right="19"/>
              <w:jc w:val="left"/>
              <w:rPr>
                <w:rFonts w:ascii="宋体" w:hAnsi="宋体" w:cs="宋体" w:eastAsia="宋体" w:hint="default"/>
                <w:sz w:val="18"/>
                <w:szCs w:val="18"/>
              </w:rPr>
            </w:pPr>
            <w:r>
              <w:rPr>
                <w:rFonts w:ascii="宋体" w:hAnsi="宋体" w:cs="宋体" w:eastAsia="宋体" w:hint="default"/>
                <w:spacing w:val="14"/>
                <w:sz w:val="18"/>
                <w:szCs w:val="18"/>
              </w:rPr>
              <w:t>单项金额重大并单项计提 </w:t>
            </w:r>
            <w:r>
              <w:rPr>
                <w:rFonts w:ascii="宋体" w:hAnsi="宋体" w:cs="宋体" w:eastAsia="宋体" w:hint="default"/>
                <w:sz w:val="18"/>
                <w:szCs w:val="18"/>
              </w:rPr>
              <w:t>坏账准备的应收账款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356,519,728.56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2.82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222,757,825.78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62.48</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133,761,902.78</w:t>
            </w:r>
          </w:p>
        </w:tc>
      </w:tr>
      <w:tr>
        <w:trPr>
          <w:trHeight w:val="672"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51"/>
              <w:ind w:left="55" w:right="19"/>
              <w:jc w:val="left"/>
              <w:rPr>
                <w:rFonts w:ascii="宋体" w:hAnsi="宋体" w:cs="宋体" w:eastAsia="宋体" w:hint="default"/>
                <w:sz w:val="18"/>
                <w:szCs w:val="18"/>
              </w:rPr>
            </w:pPr>
            <w:r>
              <w:rPr>
                <w:rFonts w:ascii="宋体" w:hAnsi="宋体" w:cs="宋体" w:eastAsia="宋体" w:hint="default"/>
                <w:spacing w:val="14"/>
                <w:sz w:val="18"/>
                <w:szCs w:val="18"/>
              </w:rPr>
              <w:t>按信用风险特征组合计提 </w:t>
            </w:r>
            <w:r>
              <w:rPr>
                <w:rFonts w:ascii="宋体" w:hAnsi="宋体" w:cs="宋体" w:eastAsia="宋体" w:hint="default"/>
                <w:sz w:val="18"/>
                <w:szCs w:val="18"/>
              </w:rPr>
              <w:t>坏账准备的应收账款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12,194,652,384.47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96.48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4,358,991.50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0.04</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12,190,293,392.97</w:t>
            </w:r>
          </w:p>
        </w:tc>
      </w:tr>
      <w:tr>
        <w:trPr>
          <w:trHeight w:val="672" w:hRule="exact"/>
        </w:trPr>
        <w:tc>
          <w:tcPr>
            <w:tcW w:w="2220" w:type="dxa"/>
            <w:tcBorders>
              <w:top w:val="single" w:sz="4" w:space="0" w:color="000000"/>
              <w:left w:val="nil" w:sz="6" w:space="0" w:color="auto"/>
              <w:bottom w:val="single" w:sz="4" w:space="0" w:color="000000"/>
              <w:right w:val="single" w:sz="4" w:space="0" w:color="000000"/>
            </w:tcBorders>
          </w:tcPr>
          <w:p>
            <w:pPr>
              <w:pStyle w:val="TableParagraph"/>
              <w:spacing w:line="297" w:lineRule="auto" w:before="49"/>
              <w:ind w:left="55" w:right="19"/>
              <w:jc w:val="left"/>
              <w:rPr>
                <w:rFonts w:ascii="宋体" w:hAnsi="宋体" w:cs="宋体" w:eastAsia="宋体" w:hint="default"/>
                <w:sz w:val="18"/>
                <w:szCs w:val="18"/>
              </w:rPr>
            </w:pPr>
            <w:r>
              <w:rPr>
                <w:rFonts w:ascii="宋体" w:hAnsi="宋体" w:cs="宋体" w:eastAsia="宋体" w:hint="default"/>
                <w:spacing w:val="14"/>
                <w:sz w:val="18"/>
                <w:szCs w:val="18"/>
              </w:rPr>
              <w:t>单项金额不重大但单项计 </w:t>
            </w:r>
            <w:r>
              <w:rPr>
                <w:rFonts w:ascii="宋体" w:hAnsi="宋体" w:cs="宋体" w:eastAsia="宋体" w:hint="default"/>
                <w:sz w:val="18"/>
                <w:szCs w:val="18"/>
              </w:rPr>
              <w:t>提坏账准备的应收账款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88,646,806.64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0.70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85,720,660.22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8"/>
                <w:szCs w:val="18"/>
              </w:rPr>
            </w:pPr>
            <w:r>
              <w:rPr>
                <w:rFonts w:ascii="宋体"/>
                <w:sz w:val="18"/>
              </w:rPr>
              <w:t>96.70</w:t>
            </w:r>
          </w:p>
        </w:tc>
        <w:tc>
          <w:tcPr>
            <w:tcW w:w="16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2,926,146.42</w:t>
            </w:r>
          </w:p>
        </w:tc>
      </w:tr>
      <w:tr>
        <w:trPr>
          <w:trHeight w:val="398" w:hRule="exact"/>
        </w:trPr>
        <w:tc>
          <w:tcPr>
            <w:tcW w:w="222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12,639,818,919.67</w:t>
            </w:r>
            <w:r>
              <w:rPr>
                <w:rFonts w:ascii="宋体"/>
                <w:sz w:val="18"/>
              </w:rPr>
            </w:r>
          </w:p>
        </w:tc>
        <w:tc>
          <w:tcPr>
            <w:tcW w:w="8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29"/>
              <w:jc w:val="right"/>
              <w:rPr>
                <w:rFonts w:ascii="宋体" w:hAnsi="宋体" w:cs="宋体" w:eastAsia="宋体" w:hint="default"/>
                <w:sz w:val="18"/>
                <w:szCs w:val="18"/>
              </w:rPr>
            </w:pPr>
            <w:r>
              <w:rPr>
                <w:rFonts w:ascii="宋体"/>
                <w:b/>
                <w:sz w:val="18"/>
              </w:rPr>
              <w:t>100.00</w:t>
            </w:r>
            <w:r>
              <w:rPr>
                <w:rFonts w:ascii="宋体"/>
                <w:sz w:val="18"/>
              </w:rPr>
            </w:r>
          </w:p>
        </w:tc>
        <w:tc>
          <w:tcPr>
            <w:tcW w:w="14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312,837,477.50</w:t>
            </w:r>
            <w:r>
              <w:rPr>
                <w:rFonts w:ascii="宋体"/>
                <w:sz w:val="18"/>
              </w:rPr>
            </w:r>
          </w:p>
        </w:tc>
        <w:tc>
          <w:tcPr>
            <w:tcW w:w="850" w:type="dxa"/>
            <w:tcBorders>
              <w:top w:val="single" w:sz="4" w:space="0" w:color="000000"/>
              <w:left w:val="single" w:sz="4" w:space="0" w:color="000000"/>
              <w:bottom w:val="single" w:sz="17" w:space="0" w:color="000000"/>
              <w:right w:val="single" w:sz="4" w:space="0" w:color="000000"/>
            </w:tcBorders>
          </w:tcPr>
          <w:p>
            <w:pPr/>
          </w:p>
        </w:tc>
        <w:tc>
          <w:tcPr>
            <w:tcW w:w="167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b/>
                <w:w w:val="95"/>
                <w:sz w:val="18"/>
              </w:rPr>
              <w:t>12,326,981,442.17</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859" w:right="408"/>
        <w:jc w:val="left"/>
      </w:pPr>
      <w:r>
        <w:rPr>
          <w:rFonts w:ascii="宋体" w:hAnsi="宋体" w:cs="宋体" w:eastAsia="宋体" w:hint="default"/>
        </w:rPr>
        <w:t>1</w:t>
      </w:r>
      <w:r>
        <w:rPr/>
        <w:t>）年末单项金额重大并单独计提坏账准备的应收账款</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78"/>
        <w:gridCol w:w="1632"/>
        <w:gridCol w:w="1539"/>
        <w:gridCol w:w="924"/>
        <w:gridCol w:w="1616"/>
      </w:tblGrid>
      <w:tr>
        <w:trPr>
          <w:trHeight w:val="360" w:hRule="exact"/>
        </w:trPr>
        <w:tc>
          <w:tcPr>
            <w:tcW w:w="317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71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689" w:hRule="exact"/>
        </w:trPr>
        <w:tc>
          <w:tcPr>
            <w:tcW w:w="3178" w:type="dxa"/>
            <w:vMerge/>
            <w:tcBorders>
              <w:left w:val="nil" w:sz="6" w:space="0" w:color="auto"/>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350" w:lineRule="auto" w:before="32"/>
              <w:ind w:left="105" w:right="12" w:firstLine="172"/>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2"/>
                <w:w w:val="99"/>
                <w:sz w:val="18"/>
                <w:szCs w:val="18"/>
              </w:rPr>
              <w:t> </w:t>
            </w:r>
            <w:r>
              <w:rPr>
                <w:rFonts w:ascii="宋体" w:hAnsi="宋体" w:cs="宋体" w:eastAsia="宋体" w:hint="default"/>
                <w:b/>
                <w:bCs/>
                <w:spacing w:val="-3"/>
                <w:sz w:val="18"/>
                <w:szCs w:val="18"/>
              </w:rPr>
              <w:t>比例（</w:t>
            </w:r>
            <w:r>
              <w:rPr>
                <w:rFonts w:ascii="宋体" w:hAnsi="宋体" w:cs="宋体" w:eastAsia="宋体" w:hint="default"/>
                <w:b/>
                <w:bCs/>
                <w:spacing w:val="-3"/>
                <w:sz w:val="18"/>
                <w:szCs w:val="18"/>
              </w:rPr>
              <w:t>%</w:t>
            </w:r>
            <w:r>
              <w:rPr>
                <w:rFonts w:ascii="宋体" w:hAnsi="宋体" w:cs="宋体" w:eastAsia="宋体" w:hint="default"/>
                <w:b/>
                <w:bCs/>
                <w:spacing w:val="-3"/>
                <w:sz w:val="18"/>
                <w:szCs w:val="18"/>
              </w:rPr>
              <w:t>）</w:t>
            </w:r>
            <w:r>
              <w:rPr>
                <w:rFonts w:ascii="宋体" w:hAnsi="宋体" w:cs="宋体" w:eastAsia="宋体" w:hint="default"/>
                <w:spacing w:val="-3"/>
                <w:sz w:val="18"/>
                <w:szCs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629"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Inter</w:t>
            </w:r>
            <w:r>
              <w:rPr>
                <w:rFonts w:ascii="宋体"/>
                <w:spacing w:val="-4"/>
                <w:sz w:val="18"/>
              </w:rPr>
              <w:t> </w:t>
            </w:r>
            <w:r>
              <w:rPr>
                <w:rFonts w:ascii="宋体"/>
                <w:sz w:val="18"/>
              </w:rPr>
              <w:t>Optima</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67,293,176.80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19,792,492.80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29.41</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32"/>
              <w:ind w:left="105" w:right="105"/>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可</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pacing w:val="10"/>
                <w:sz w:val="18"/>
                <w:szCs w:val="18"/>
              </w:rPr>
              <w:t>回金</w:t>
            </w:r>
            <w:r>
              <w:rPr>
                <w:rFonts w:ascii="宋体" w:hAnsi="宋体" w:cs="宋体" w:eastAsia="宋体" w:hint="default"/>
                <w:spacing w:val="-67"/>
                <w:sz w:val="18"/>
                <w:szCs w:val="18"/>
              </w:rPr>
              <w:t> </w:t>
            </w:r>
            <w:r>
              <w:rPr>
                <w:rFonts w:ascii="宋体" w:hAnsi="宋体" w:cs="宋体" w:eastAsia="宋体" w:hint="default"/>
                <w:sz w:val="18"/>
                <w:szCs w:val="18"/>
              </w:rPr>
              <w:t>额</w:t>
            </w:r>
            <w:r>
              <w:rPr>
                <w:rFonts w:ascii="宋体" w:hAnsi="宋体" w:cs="宋体" w:eastAsia="宋体" w:hint="default"/>
                <w:sz w:val="18"/>
                <w:szCs w:val="18"/>
              </w:rPr>
              <w:t> 低于原值</w:t>
            </w:r>
          </w:p>
        </w:tc>
      </w:tr>
      <w:tr>
        <w:trPr>
          <w:trHeight w:val="346"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Elcoteq</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62,260,636.80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62,260,636.80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8"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11,861,278.00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11,861,278.00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9"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Ramakrishna Teletronics TVI</w:t>
            </w:r>
            <w:r>
              <w:rPr>
                <w:rFonts w:ascii="宋体"/>
                <w:spacing w:val="-32"/>
                <w:sz w:val="18"/>
              </w:rPr>
              <w:t> </w:t>
            </w:r>
            <w:r>
              <w:rPr>
                <w:rFonts w:ascii="宋体"/>
                <w:sz w:val="18"/>
              </w:rPr>
              <w:t>INDIA</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10,772,882.40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10,772,882.40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6"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Big Lots,</w:t>
            </w:r>
            <w:r>
              <w:rPr>
                <w:rFonts w:ascii="宋体"/>
                <w:spacing w:val="-5"/>
                <w:sz w:val="18"/>
              </w:rPr>
              <w:t> </w:t>
            </w:r>
            <w:r>
              <w:rPr>
                <w:rFonts w:ascii="宋体"/>
                <w:sz w:val="18"/>
              </w:rPr>
              <w:t>Inc.</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9,603,378.71</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9,603,378.71</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8"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Epi</w:t>
            </w:r>
            <w:r>
              <w:rPr>
                <w:rFonts w:ascii="宋体"/>
                <w:spacing w:val="-2"/>
                <w:sz w:val="18"/>
              </w:rPr>
              <w:t> </w:t>
            </w:r>
            <w:r>
              <w:rPr>
                <w:rFonts w:ascii="宋体"/>
                <w:sz w:val="18"/>
              </w:rPr>
              <w:t>Empresa</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7,876,736.80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7,876,736.80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8"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深圳市广鑫融进出口贸易有限公司</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6,288,540.00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6,288,540.00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6"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Diablotek International</w:t>
            </w:r>
            <w:r>
              <w:rPr>
                <w:rFonts w:ascii="宋体"/>
                <w:spacing w:val="-12"/>
                <w:sz w:val="18"/>
              </w:rPr>
              <w:t> </w:t>
            </w:r>
            <w:r>
              <w:rPr>
                <w:rFonts w:ascii="宋体"/>
                <w:sz w:val="18"/>
              </w:rPr>
              <w:t>Inc.</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5,604,756.39</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5,604,756.39</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60" w:hRule="exact"/>
        </w:trPr>
        <w:tc>
          <w:tcPr>
            <w:tcW w:w="3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上海华清企业发展有限公司</w:t>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5,376,700.80</w:t>
            </w:r>
          </w:p>
        </w:tc>
        <w:tc>
          <w:tcPr>
            <w:tcW w:w="15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5,376,700.80</w:t>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bl>
    <w:p>
      <w:pPr>
        <w:spacing w:after="0" w:line="240" w:lineRule="auto"/>
        <w:jc w:val="left"/>
        <w:rPr>
          <w:rFonts w:ascii="宋体" w:hAnsi="宋体" w:cs="宋体" w:eastAsia="宋体" w:hint="default"/>
          <w:sz w:val="18"/>
          <w:szCs w:val="18"/>
        </w:rPr>
        <w:sectPr>
          <w:pgSz w:w="11910" w:h="16840"/>
          <w:pgMar w:header="881" w:footer="980" w:top="1600" w:bottom="1160" w:left="1380" w:right="1380"/>
        </w:sectPr>
      </w:pPr>
    </w:p>
    <w:p>
      <w:pPr>
        <w:spacing w:line="240" w:lineRule="auto" w:before="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78"/>
        <w:gridCol w:w="1632"/>
        <w:gridCol w:w="1539"/>
        <w:gridCol w:w="924"/>
        <w:gridCol w:w="1616"/>
      </w:tblGrid>
      <w:tr>
        <w:trPr>
          <w:trHeight w:val="360" w:hRule="exact"/>
        </w:trPr>
        <w:tc>
          <w:tcPr>
            <w:tcW w:w="317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71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689" w:hRule="exact"/>
        </w:trPr>
        <w:tc>
          <w:tcPr>
            <w:tcW w:w="3178" w:type="dxa"/>
            <w:vMerge/>
            <w:tcBorders>
              <w:left w:val="nil" w:sz="6" w:space="0" w:color="auto"/>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348" w:lineRule="auto" w:before="32"/>
              <w:ind w:left="105" w:right="12" w:firstLine="172"/>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2"/>
                <w:w w:val="99"/>
                <w:sz w:val="18"/>
                <w:szCs w:val="18"/>
              </w:rPr>
              <w:t> </w:t>
            </w:r>
            <w:r>
              <w:rPr>
                <w:rFonts w:ascii="宋体" w:hAnsi="宋体" w:cs="宋体" w:eastAsia="宋体" w:hint="default"/>
                <w:b/>
                <w:bCs/>
                <w:spacing w:val="-3"/>
                <w:sz w:val="18"/>
                <w:szCs w:val="18"/>
              </w:rPr>
              <w:t>比例（</w:t>
            </w:r>
            <w:r>
              <w:rPr>
                <w:rFonts w:ascii="宋体" w:hAnsi="宋体" w:cs="宋体" w:eastAsia="宋体" w:hint="default"/>
                <w:b/>
                <w:bCs/>
                <w:spacing w:val="-3"/>
                <w:sz w:val="18"/>
                <w:szCs w:val="18"/>
              </w:rPr>
              <w:t>%</w:t>
            </w:r>
            <w:r>
              <w:rPr>
                <w:rFonts w:ascii="宋体" w:hAnsi="宋体" w:cs="宋体" w:eastAsia="宋体" w:hint="default"/>
                <w:b/>
                <w:bCs/>
                <w:spacing w:val="-3"/>
                <w:sz w:val="18"/>
                <w:szCs w:val="18"/>
              </w:rPr>
              <w:t>）</w:t>
            </w:r>
            <w:r>
              <w:rPr>
                <w:rFonts w:ascii="宋体" w:hAnsi="宋体" w:cs="宋体" w:eastAsia="宋体" w:hint="default"/>
                <w:spacing w:val="-3"/>
                <w:sz w:val="18"/>
                <w:szCs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626"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广东德豪锐拓显示技术有限公司</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4,840,875.40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3,025,293.70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62.49</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32"/>
              <w:ind w:left="105" w:right="105"/>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可</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pacing w:val="10"/>
                <w:sz w:val="18"/>
                <w:szCs w:val="18"/>
              </w:rPr>
              <w:t>回金</w:t>
            </w:r>
            <w:r>
              <w:rPr>
                <w:rFonts w:ascii="宋体" w:hAnsi="宋体" w:cs="宋体" w:eastAsia="宋体" w:hint="default"/>
                <w:spacing w:val="-67"/>
                <w:sz w:val="18"/>
                <w:szCs w:val="18"/>
              </w:rPr>
              <w:t> </w:t>
            </w:r>
            <w:r>
              <w:rPr>
                <w:rFonts w:ascii="宋体" w:hAnsi="宋体" w:cs="宋体" w:eastAsia="宋体" w:hint="default"/>
                <w:sz w:val="18"/>
                <w:szCs w:val="18"/>
              </w:rPr>
              <w:t>额</w:t>
            </w:r>
            <w:r>
              <w:rPr>
                <w:rFonts w:ascii="宋体" w:hAnsi="宋体" w:cs="宋体" w:eastAsia="宋体" w:hint="default"/>
                <w:sz w:val="18"/>
                <w:szCs w:val="18"/>
              </w:rPr>
              <w:t> 低于原值</w:t>
            </w:r>
          </w:p>
        </w:tc>
      </w:tr>
      <w:tr>
        <w:trPr>
          <w:trHeight w:val="348"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Zenith Computers</w:t>
            </w:r>
            <w:r>
              <w:rPr>
                <w:rFonts w:ascii="宋体"/>
                <w:spacing w:val="-10"/>
                <w:sz w:val="18"/>
              </w:rPr>
              <w:t> </w:t>
            </w:r>
            <w:r>
              <w:rPr>
                <w:rFonts w:ascii="宋体"/>
                <w:sz w:val="18"/>
              </w:rPr>
              <w:t>Limited</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4,064,993.60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4,064,993.60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8"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北京市金卡迪技术开发有限责任公司</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3,212,039.00</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3,212,039.00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626"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2,746,556.94</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1,578,850.00</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57.48</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83" w:lineRule="auto" w:before="32"/>
              <w:ind w:left="105" w:right="105"/>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可</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pacing w:val="10"/>
                <w:sz w:val="18"/>
                <w:szCs w:val="18"/>
              </w:rPr>
              <w:t>回金</w:t>
            </w:r>
            <w:r>
              <w:rPr>
                <w:rFonts w:ascii="宋体" w:hAnsi="宋体" w:cs="宋体" w:eastAsia="宋体" w:hint="default"/>
                <w:spacing w:val="-67"/>
                <w:sz w:val="18"/>
                <w:szCs w:val="18"/>
              </w:rPr>
              <w:t> </w:t>
            </w:r>
            <w:r>
              <w:rPr>
                <w:rFonts w:ascii="宋体" w:hAnsi="宋体" w:cs="宋体" w:eastAsia="宋体" w:hint="default"/>
                <w:sz w:val="18"/>
                <w:szCs w:val="18"/>
              </w:rPr>
              <w:t>额</w:t>
            </w:r>
            <w:r>
              <w:rPr>
                <w:rFonts w:ascii="宋体" w:hAnsi="宋体" w:cs="宋体" w:eastAsia="宋体" w:hint="default"/>
                <w:sz w:val="18"/>
                <w:szCs w:val="18"/>
              </w:rPr>
              <w:t> 低于原值</w:t>
            </w:r>
          </w:p>
        </w:tc>
      </w:tr>
      <w:tr>
        <w:trPr>
          <w:trHeight w:val="348"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Best Buy Company</w:t>
            </w:r>
            <w:r>
              <w:rPr>
                <w:rFonts w:ascii="宋体"/>
                <w:spacing w:val="-7"/>
                <w:sz w:val="18"/>
              </w:rPr>
              <w:t> </w:t>
            </w:r>
            <w:r>
              <w:rPr>
                <w:rFonts w:ascii="宋体"/>
                <w:sz w:val="18"/>
              </w:rPr>
              <w:t>Inc.</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2,417,471.82</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2,417,471.82</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46" w:hRule="exact"/>
        </w:trPr>
        <w:tc>
          <w:tcPr>
            <w:tcW w:w="3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Pro Com Products</w:t>
            </w:r>
            <w:r>
              <w:rPr>
                <w:rFonts w:ascii="宋体"/>
                <w:spacing w:val="-7"/>
                <w:sz w:val="18"/>
              </w:rPr>
              <w:t> </w:t>
            </w:r>
            <w:r>
              <w:rPr>
                <w:rFonts w:ascii="宋体"/>
                <w:sz w:val="18"/>
              </w:rPr>
              <w:t>Inc.</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2,130,528.54</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2,130,528.54</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pacing w:val="-1"/>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61" w:hRule="exact"/>
        </w:trPr>
        <w:tc>
          <w:tcPr>
            <w:tcW w:w="3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b/>
                <w:w w:val="95"/>
                <w:sz w:val="18"/>
              </w:rPr>
              <w:t>206,350,552.00</w:t>
            </w:r>
            <w:r>
              <w:rPr>
                <w:rFonts w:ascii="宋体"/>
                <w:sz w:val="18"/>
              </w:rPr>
            </w:r>
          </w:p>
        </w:tc>
        <w:tc>
          <w:tcPr>
            <w:tcW w:w="15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b/>
                <w:w w:val="95"/>
                <w:sz w:val="18"/>
              </w:rPr>
              <w:t>155,866,579.36</w:t>
            </w:r>
            <w:r>
              <w:rPr>
                <w:rFonts w:ascii="宋体"/>
                <w:sz w:val="18"/>
              </w:rPr>
            </w:r>
          </w:p>
        </w:tc>
        <w:tc>
          <w:tcPr>
            <w:tcW w:w="924" w:type="dxa"/>
            <w:tcBorders>
              <w:top w:val="single" w:sz="2" w:space="0" w:color="000000"/>
              <w:left w:val="single" w:sz="2" w:space="0" w:color="000000"/>
              <w:bottom w:val="single" w:sz="12" w:space="0" w:color="000000"/>
              <w:right w:val="single" w:sz="2" w:space="0" w:color="000000"/>
            </w:tcBorders>
          </w:tcPr>
          <w:p>
            <w:pPr/>
          </w:p>
        </w:tc>
        <w:tc>
          <w:tcPr>
            <w:tcW w:w="161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859" w:right="408"/>
        <w:jc w:val="left"/>
      </w:pPr>
      <w:r>
        <w:rPr>
          <w:rFonts w:ascii="宋体" w:hAnsi="宋体" w:cs="宋体" w:eastAsia="宋体" w:hint="default"/>
        </w:rPr>
        <w:t>2</w:t>
      </w:r>
      <w:r>
        <w:rPr/>
        <w:t>）组合中，按账龄分析法计提坏账准备的应收账款</w:t>
      </w:r>
    </w:p>
    <w:p>
      <w:pPr>
        <w:spacing w:line="240" w:lineRule="auto" w:before="8"/>
        <w:rPr>
          <w:rFonts w:ascii="宋体" w:hAnsi="宋体" w:cs="宋体" w:eastAsia="宋体" w:hint="default"/>
          <w:sz w:val="6"/>
          <w:szCs w:val="6"/>
        </w:rPr>
      </w:pPr>
    </w:p>
    <w:tbl>
      <w:tblPr>
        <w:tblW w:w="0" w:type="auto"/>
        <w:jc w:val="left"/>
        <w:tblInd w:w="283" w:type="dxa"/>
        <w:tblLayout w:type="fixed"/>
        <w:tblCellMar>
          <w:top w:w="0" w:type="dxa"/>
          <w:left w:w="0" w:type="dxa"/>
          <w:bottom w:w="0" w:type="dxa"/>
          <w:right w:w="0" w:type="dxa"/>
        </w:tblCellMar>
        <w:tblLook w:val="01E0"/>
      </w:tblPr>
      <w:tblGrid>
        <w:gridCol w:w="2936"/>
        <w:gridCol w:w="2309"/>
        <w:gridCol w:w="1661"/>
        <w:gridCol w:w="1633"/>
      </w:tblGrid>
      <w:tr>
        <w:trPr>
          <w:trHeight w:val="391" w:hRule="exact"/>
        </w:trPr>
        <w:tc>
          <w:tcPr>
            <w:tcW w:w="2936"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60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9" w:hRule="exact"/>
        </w:trPr>
        <w:tc>
          <w:tcPr>
            <w:tcW w:w="2936" w:type="dxa"/>
            <w:vMerge/>
            <w:tcBorders>
              <w:left w:val="nil" w:sz="6" w:space="0" w:color="auto"/>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82"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11,257,588,272.33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1,174,180.01</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0.01</w:t>
            </w:r>
          </w:p>
        </w:tc>
      </w:tr>
      <w:tr>
        <w:trPr>
          <w:trHeight w:val="37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0-90</w:t>
            </w:r>
            <w:r>
              <w:rPr>
                <w:rFonts w:ascii="宋体" w:hAnsi="宋体" w:cs="宋体" w:eastAsia="宋体" w:hint="default"/>
                <w:spacing w:val="-45"/>
                <w:sz w:val="18"/>
                <w:szCs w:val="18"/>
              </w:rPr>
              <w:t> </w:t>
            </w:r>
            <w:r>
              <w:rPr>
                <w:rFonts w:ascii="宋体" w:hAnsi="宋体" w:cs="宋体" w:eastAsia="宋体" w:hint="default"/>
                <w:sz w:val="18"/>
                <w:szCs w:val="18"/>
              </w:rPr>
              <w:t>天</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11,205,701,720.82</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90-180</w:t>
            </w:r>
            <w:r>
              <w:rPr>
                <w:rFonts w:ascii="宋体" w:hAnsi="宋体" w:cs="宋体" w:eastAsia="宋体" w:hint="default"/>
                <w:spacing w:val="-45"/>
                <w:sz w:val="18"/>
                <w:szCs w:val="18"/>
              </w:rPr>
              <w:t> </w:t>
            </w:r>
            <w:r>
              <w:rPr>
                <w:rFonts w:ascii="宋体" w:hAnsi="宋体" w:cs="宋体" w:eastAsia="宋体" w:hint="default"/>
                <w:sz w:val="18"/>
                <w:szCs w:val="18"/>
              </w:rPr>
              <w:t>天</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47,338,252.20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946,765.04</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2.00</w:t>
            </w:r>
          </w:p>
        </w:tc>
      </w:tr>
      <w:tr>
        <w:trPr>
          <w:trHeight w:val="37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181-365</w:t>
            </w:r>
            <w:r>
              <w:rPr>
                <w:rFonts w:ascii="宋体" w:hAnsi="宋体" w:cs="宋体" w:eastAsia="宋体" w:hint="default"/>
                <w:spacing w:val="-47"/>
                <w:sz w:val="18"/>
                <w:szCs w:val="18"/>
              </w:rPr>
              <w:t> </w:t>
            </w:r>
            <w:r>
              <w:rPr>
                <w:rFonts w:ascii="宋体" w:hAnsi="宋体" w:cs="宋体" w:eastAsia="宋体" w:hint="default"/>
                <w:sz w:val="18"/>
                <w:szCs w:val="18"/>
              </w:rPr>
              <w:t>天</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4,548,299.31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227,414.97</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5.00</w:t>
            </w:r>
          </w:p>
        </w:tc>
      </w:tr>
      <w:tr>
        <w:trPr>
          <w:trHeight w:val="382"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1,978,283.95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197,828.40</w:t>
            </w:r>
          </w:p>
        </w:tc>
        <w:tc>
          <w:tcPr>
            <w:tcW w:w="1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10.00</w:t>
            </w:r>
          </w:p>
        </w:tc>
      </w:tr>
      <w:tr>
        <w:trPr>
          <w:trHeight w:val="389" w:hRule="exact"/>
        </w:trPr>
        <w:tc>
          <w:tcPr>
            <w:tcW w:w="29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11,259,566,556.28</w:t>
            </w:r>
            <w:r>
              <w:rPr>
                <w:rFonts w:ascii="宋体"/>
                <w:sz w:val="18"/>
              </w:rPr>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b/>
                <w:w w:val="95"/>
                <w:sz w:val="18"/>
              </w:rPr>
              <w:t>1,372,008.41</w:t>
            </w:r>
            <w:r>
              <w:rPr>
                <w:rFonts w:ascii="宋体"/>
                <w:sz w:val="18"/>
              </w:rPr>
            </w:r>
          </w:p>
        </w:tc>
        <w:tc>
          <w:tcPr>
            <w:tcW w:w="163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4"/>
          <w:szCs w:val="4"/>
        </w:rPr>
      </w:pPr>
    </w:p>
    <w:p>
      <w:pPr>
        <w:pStyle w:val="Heading7"/>
        <w:spacing w:line="240" w:lineRule="auto"/>
        <w:ind w:left="859" w:right="408"/>
        <w:jc w:val="left"/>
      </w:pPr>
      <w:r>
        <w:rPr/>
        <w:t>（</w:t>
      </w:r>
      <w:r>
        <w:rPr>
          <w:rFonts w:ascii="宋体" w:hAnsi="宋体" w:cs="宋体" w:eastAsia="宋体" w:hint="default"/>
        </w:rPr>
        <w:t>2</w:t>
      </w:r>
      <w:r>
        <w:rPr/>
        <w:t>）本年计提、转回（或收回）的坏账准备情况</w:t>
      </w:r>
    </w:p>
    <w:p>
      <w:pPr>
        <w:pStyle w:val="Heading7"/>
        <w:spacing w:line="326" w:lineRule="auto" w:before="180"/>
        <w:ind w:left="420" w:right="408" w:firstLine="439"/>
        <w:jc w:val="left"/>
      </w:pPr>
      <w:r>
        <w:rPr/>
        <w:t>本年计提坏账准备</w:t>
      </w:r>
      <w:r>
        <w:rPr>
          <w:spacing w:val="-51"/>
        </w:rPr>
        <w:t> </w:t>
      </w:r>
      <w:r>
        <w:rPr>
          <w:rFonts w:ascii="宋体" w:hAnsi="宋体" w:cs="宋体" w:eastAsia="宋体" w:hint="default"/>
        </w:rPr>
        <w:t>51,187,884.77</w:t>
      </w:r>
      <w:r>
        <w:rPr>
          <w:rFonts w:ascii="宋体" w:hAnsi="宋体" w:cs="宋体" w:eastAsia="宋体" w:hint="default"/>
          <w:spacing w:val="-54"/>
        </w:rPr>
        <w:t> </w:t>
      </w:r>
      <w:r>
        <w:rPr>
          <w:spacing w:val="-8"/>
        </w:rPr>
        <w:t>元，转回</w:t>
      </w:r>
      <w:r>
        <w:rPr>
          <w:spacing w:val="-51"/>
        </w:rPr>
        <w:t> </w:t>
      </w:r>
      <w:r>
        <w:rPr>
          <w:rFonts w:ascii="宋体" w:hAnsi="宋体" w:cs="宋体" w:eastAsia="宋体" w:hint="default"/>
        </w:rPr>
        <w:t>24,835,055.77</w:t>
      </w:r>
      <w:r>
        <w:rPr>
          <w:rFonts w:ascii="宋体" w:hAnsi="宋体" w:cs="宋体" w:eastAsia="宋体" w:hint="default"/>
          <w:spacing w:val="-53"/>
        </w:rPr>
        <w:t> </w:t>
      </w:r>
      <w:r>
        <w:rPr>
          <w:spacing w:val="-4"/>
        </w:rPr>
        <w:t>元，其中本年坏账准备</w:t>
      </w:r>
      <w:r>
        <w:rPr>
          <w:w w:val="100"/>
        </w:rPr>
        <w:t> </w:t>
      </w:r>
      <w:r>
        <w:rPr/>
        <w:t>收回或转回金额重要的：</w:t>
      </w:r>
    </w:p>
    <w:tbl>
      <w:tblPr>
        <w:tblW w:w="0" w:type="auto"/>
        <w:jc w:val="left"/>
        <w:tblInd w:w="348" w:type="dxa"/>
        <w:tblLayout w:type="fixed"/>
        <w:tblCellMar>
          <w:top w:w="0" w:type="dxa"/>
          <w:left w:w="0" w:type="dxa"/>
          <w:bottom w:w="0" w:type="dxa"/>
          <w:right w:w="0" w:type="dxa"/>
        </w:tblCellMar>
        <w:tblLook w:val="01E0"/>
      </w:tblPr>
      <w:tblGrid>
        <w:gridCol w:w="3459"/>
        <w:gridCol w:w="1832"/>
        <w:gridCol w:w="1260"/>
        <w:gridCol w:w="1858"/>
      </w:tblGrid>
      <w:tr>
        <w:trPr>
          <w:trHeight w:val="679" w:hRule="exact"/>
        </w:trPr>
        <w:tc>
          <w:tcPr>
            <w:tcW w:w="34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2"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49"/>
              <w:ind w:left="731" w:right="94" w:hanging="627"/>
              <w:jc w:val="left"/>
              <w:rPr>
                <w:rFonts w:ascii="宋体" w:hAnsi="宋体" w:cs="宋体" w:eastAsia="宋体" w:hint="default"/>
                <w:sz w:val="18"/>
                <w:szCs w:val="18"/>
              </w:rPr>
            </w:pPr>
            <w:r>
              <w:rPr>
                <w:rFonts w:ascii="宋体" w:hAnsi="宋体" w:cs="宋体" w:eastAsia="宋体" w:hint="default"/>
                <w:b/>
                <w:bCs/>
                <w:sz w:val="18"/>
                <w:szCs w:val="18"/>
              </w:rPr>
              <w:t>本年转回（或收回）</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c>
          <w:tcPr>
            <w:tcW w:w="1858"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49"/>
              <w:ind w:left="744" w:right="115" w:hanging="634"/>
              <w:jc w:val="left"/>
              <w:rPr>
                <w:rFonts w:ascii="宋体" w:hAnsi="宋体" w:cs="宋体" w:eastAsia="宋体" w:hint="default"/>
                <w:sz w:val="18"/>
                <w:szCs w:val="18"/>
              </w:rPr>
            </w:pPr>
            <w:r>
              <w:rPr>
                <w:rFonts w:ascii="宋体" w:hAnsi="宋体" w:cs="宋体" w:eastAsia="宋体" w:hint="default"/>
                <w:b/>
                <w:bCs/>
                <w:sz w:val="18"/>
                <w:szCs w:val="18"/>
              </w:rPr>
              <w:t>本年转回（或收回）</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11,294,852.50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焦作市宏瑞教育投资有限公司</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3,367,219.00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sz w:val="18"/>
              </w:rPr>
              <w:t>EPSON ENGINEERING(SHENZHEN)</w:t>
            </w:r>
            <w:r>
              <w:rPr>
                <w:rFonts w:ascii="宋体"/>
                <w:spacing w:val="-11"/>
                <w:sz w:val="18"/>
              </w:rPr>
              <w:t> </w:t>
            </w:r>
            <w:r>
              <w:rPr>
                <w:rFonts w:ascii="宋体"/>
                <w:sz w:val="18"/>
              </w:rPr>
              <w:t>LTD.</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2,412,000.31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7"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衡水市安平县卫民街安平中学</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1,988,269.57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保定市职业技术教育中心</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1,000,000.00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5"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芜湖德豪润达光电科技有限公司</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656,202.50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深圳市邦贝尔电子有限公司</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493,361.80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深圳市锐拓显示技术有限公司</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358,603.00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北京市金卡迪技术开发有限责任公司</w:t>
            </w:r>
          </w:p>
        </w:tc>
        <w:tc>
          <w:tcPr>
            <w:tcW w:w="1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170,000.00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8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89" w:hRule="exact"/>
        </w:trPr>
        <w:tc>
          <w:tcPr>
            <w:tcW w:w="34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21,740,508.68</w:t>
            </w:r>
            <w:r>
              <w:rPr>
                <w:rFonts w:ascii="宋体"/>
                <w:sz w:val="18"/>
              </w:rPr>
            </w:r>
          </w:p>
        </w:tc>
        <w:tc>
          <w:tcPr>
            <w:tcW w:w="1260" w:type="dxa"/>
            <w:tcBorders>
              <w:top w:val="single" w:sz="2" w:space="0" w:color="000000"/>
              <w:left w:val="single" w:sz="2" w:space="0" w:color="000000"/>
              <w:bottom w:val="single" w:sz="12" w:space="0" w:color="000000"/>
              <w:right w:val="single" w:sz="2" w:space="0" w:color="000000"/>
            </w:tcBorders>
          </w:tcPr>
          <w:p>
            <w:pPr/>
          </w:p>
        </w:tc>
        <w:tc>
          <w:tcPr>
            <w:tcW w:w="185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81" w:footer="980" w:top="1600" w:bottom="1160" w:left="1380" w:right="138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99" w:right="276"/>
        <w:jc w:val="left"/>
      </w:pPr>
      <w:r>
        <w:rPr/>
        <w:t>（</w:t>
      </w:r>
      <w:r>
        <w:rPr>
          <w:rFonts w:ascii="宋体" w:hAnsi="宋体" w:cs="宋体" w:eastAsia="宋体" w:hint="default"/>
        </w:rPr>
        <w:t>3</w:t>
      </w:r>
      <w:r>
        <w:rPr/>
        <w:t>）本年实际核销的应收账款</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922"/>
        <w:gridCol w:w="4628"/>
      </w:tblGrid>
      <w:tr>
        <w:trPr>
          <w:trHeight w:val="389" w:hRule="exact"/>
        </w:trPr>
        <w:tc>
          <w:tcPr>
            <w:tcW w:w="3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389" w:hRule="exact"/>
        </w:trPr>
        <w:tc>
          <w:tcPr>
            <w:tcW w:w="3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6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114,952,787.99</w:t>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t>其中重要的应收账款核销情况：</w:t>
      </w:r>
    </w:p>
    <w:p>
      <w:pPr>
        <w:spacing w:line="240" w:lineRule="auto" w:before="8"/>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2885"/>
        <w:gridCol w:w="833"/>
        <w:gridCol w:w="1397"/>
        <w:gridCol w:w="1246"/>
        <w:gridCol w:w="1241"/>
        <w:gridCol w:w="936"/>
      </w:tblGrid>
      <w:tr>
        <w:trPr>
          <w:trHeight w:val="1200" w:hRule="exact"/>
        </w:trPr>
        <w:tc>
          <w:tcPr>
            <w:tcW w:w="288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8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83" w:lineRule="auto"/>
              <w:ind w:left="141" w:right="142"/>
              <w:jc w:val="left"/>
              <w:rPr>
                <w:rFonts w:ascii="宋体" w:hAnsi="宋体" w:cs="宋体" w:eastAsia="宋体" w:hint="default"/>
                <w:sz w:val="18"/>
                <w:szCs w:val="18"/>
              </w:rPr>
            </w:pPr>
            <w:r>
              <w:rPr>
                <w:rFonts w:ascii="宋体" w:hAnsi="宋体" w:cs="宋体" w:eastAsia="宋体" w:hint="default"/>
                <w:b/>
                <w:bCs/>
                <w:sz w:val="18"/>
                <w:szCs w:val="18"/>
              </w:rPr>
              <w:t>应收账</w:t>
            </w:r>
            <w:r>
              <w:rPr>
                <w:rFonts w:ascii="宋体" w:hAnsi="宋体" w:cs="宋体" w:eastAsia="宋体" w:hint="default"/>
                <w:b/>
                <w:bCs/>
                <w:w w:val="99"/>
                <w:sz w:val="18"/>
                <w:szCs w:val="18"/>
              </w:rPr>
              <w:t> </w:t>
            </w:r>
            <w:r>
              <w:rPr>
                <w:rFonts w:ascii="宋体" w:hAnsi="宋体" w:cs="宋体" w:eastAsia="宋体" w:hint="default"/>
                <w:b/>
                <w:bCs/>
                <w:sz w:val="18"/>
                <w:szCs w:val="18"/>
              </w:rPr>
              <w:t>款性质</w:t>
            </w:r>
            <w:r>
              <w:rPr>
                <w:rFonts w:ascii="宋体" w:hAnsi="宋体" w:cs="宋体" w:eastAsia="宋体" w:hint="default"/>
                <w:sz w:val="18"/>
                <w:szCs w:val="18"/>
              </w:rPr>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48" w:lineRule="auto"/>
              <w:ind w:left="513" w:right="513"/>
              <w:jc w:val="center"/>
              <w:rPr>
                <w:rFonts w:ascii="宋体" w:hAnsi="宋体" w:cs="宋体" w:eastAsia="宋体" w:hint="default"/>
                <w:sz w:val="18"/>
                <w:szCs w:val="18"/>
              </w:rPr>
            </w:pPr>
            <w:r>
              <w:rPr>
                <w:rFonts w:ascii="宋体" w:hAnsi="宋体" w:cs="宋体" w:eastAsia="宋体" w:hint="default"/>
                <w:b/>
                <w:bCs/>
                <w:sz w:val="18"/>
                <w:szCs w:val="18"/>
              </w:rPr>
              <w:t>核销</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2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83" w:lineRule="auto"/>
              <w:ind w:left="436" w:right="164" w:hanging="269"/>
              <w:jc w:val="left"/>
              <w:rPr>
                <w:rFonts w:ascii="宋体" w:hAnsi="宋体" w:cs="宋体" w:eastAsia="宋体" w:hint="default"/>
                <w:sz w:val="18"/>
                <w:szCs w:val="18"/>
              </w:rPr>
            </w:pPr>
            <w:r>
              <w:rPr>
                <w:rFonts w:ascii="宋体" w:hAnsi="宋体" w:cs="宋体" w:eastAsia="宋体" w:hint="default"/>
                <w:b/>
                <w:bCs/>
                <w:sz w:val="18"/>
                <w:szCs w:val="18"/>
              </w:rPr>
              <w:t>履行的核销</w:t>
            </w:r>
            <w:r>
              <w:rPr>
                <w:rFonts w:ascii="宋体" w:hAnsi="宋体" w:cs="宋体" w:eastAsia="宋体" w:hint="default"/>
                <w:b/>
                <w:bCs/>
                <w:w w:val="99"/>
                <w:sz w:val="18"/>
                <w:szCs w:val="18"/>
              </w:rPr>
              <w:t> </w:t>
            </w:r>
            <w:r>
              <w:rPr>
                <w:rFonts w:ascii="宋体" w:hAnsi="宋体" w:cs="宋体" w:eastAsia="宋体" w:hint="default"/>
                <w:b/>
                <w:bCs/>
                <w:sz w:val="18"/>
                <w:szCs w:val="18"/>
              </w:rPr>
              <w:t>程序</w:t>
            </w:r>
            <w:r>
              <w:rPr>
                <w:rFonts w:ascii="宋体" w:hAnsi="宋体" w:cs="宋体" w:eastAsia="宋体" w:hint="default"/>
                <w:sz w:val="18"/>
                <w:szCs w:val="18"/>
              </w:rPr>
            </w:r>
          </w:p>
        </w:tc>
        <w:tc>
          <w:tcPr>
            <w:tcW w:w="936" w:type="dxa"/>
            <w:tcBorders>
              <w:top w:val="single" w:sz="12" w:space="0" w:color="000000"/>
              <w:left w:val="single" w:sz="2" w:space="0" w:color="000000"/>
              <w:bottom w:val="single" w:sz="2" w:space="0" w:color="000000"/>
              <w:right w:val="nil" w:sz="6" w:space="0" w:color="auto"/>
            </w:tcBorders>
          </w:tcPr>
          <w:p>
            <w:pPr>
              <w:pStyle w:val="TableParagraph"/>
              <w:spacing w:line="285" w:lineRule="auto" w:before="32"/>
              <w:ind w:left="194" w:right="195"/>
              <w:jc w:val="both"/>
              <w:rPr>
                <w:rFonts w:ascii="宋体" w:hAnsi="宋体" w:cs="宋体" w:eastAsia="宋体" w:hint="default"/>
                <w:sz w:val="18"/>
                <w:szCs w:val="18"/>
              </w:rPr>
            </w:pPr>
            <w:r>
              <w:rPr>
                <w:rFonts w:ascii="宋体" w:hAnsi="宋体" w:cs="宋体" w:eastAsia="宋体" w:hint="default"/>
                <w:b/>
                <w:bCs/>
                <w:sz w:val="18"/>
                <w:szCs w:val="18"/>
              </w:rPr>
              <w:t>款项是</w:t>
            </w:r>
            <w:r>
              <w:rPr>
                <w:rFonts w:ascii="宋体" w:hAnsi="宋体" w:cs="宋体" w:eastAsia="宋体" w:hint="default"/>
                <w:b/>
                <w:bCs/>
                <w:w w:val="99"/>
                <w:sz w:val="18"/>
                <w:szCs w:val="18"/>
              </w:rPr>
              <w:t> </w:t>
            </w:r>
            <w:r>
              <w:rPr>
                <w:rFonts w:ascii="宋体" w:hAnsi="宋体" w:cs="宋体" w:eastAsia="宋体" w:hint="default"/>
                <w:b/>
                <w:bCs/>
                <w:sz w:val="18"/>
                <w:szCs w:val="18"/>
              </w:rPr>
              <w:t>否由关</w:t>
            </w:r>
            <w:r>
              <w:rPr>
                <w:rFonts w:ascii="宋体" w:hAnsi="宋体" w:cs="宋体" w:eastAsia="宋体" w:hint="default"/>
                <w:b/>
                <w:bCs/>
                <w:w w:val="99"/>
                <w:sz w:val="18"/>
                <w:szCs w:val="18"/>
              </w:rPr>
              <w:t> </w:t>
            </w:r>
            <w:r>
              <w:rPr>
                <w:rFonts w:ascii="宋体" w:hAnsi="宋体" w:cs="宋体" w:eastAsia="宋体" w:hint="default"/>
                <w:b/>
                <w:bCs/>
                <w:sz w:val="18"/>
                <w:szCs w:val="18"/>
              </w:rPr>
              <w:t>联交易</w:t>
            </w:r>
            <w:r>
              <w:rPr>
                <w:rFonts w:ascii="宋体" w:hAnsi="宋体" w:cs="宋体" w:eastAsia="宋体" w:hint="default"/>
                <w:b/>
                <w:bCs/>
                <w:w w:val="99"/>
                <w:sz w:val="18"/>
                <w:szCs w:val="18"/>
              </w:rPr>
              <w:t> </w:t>
            </w:r>
            <w:r>
              <w:rPr>
                <w:rFonts w:ascii="宋体" w:hAnsi="宋体" w:cs="宋体" w:eastAsia="宋体" w:hint="default"/>
                <w:b/>
                <w:bCs/>
                <w:sz w:val="18"/>
                <w:szCs w:val="18"/>
              </w:rPr>
              <w:t>产生</w:t>
            </w:r>
            <w:r>
              <w:rPr>
                <w:rFonts w:ascii="宋体" w:hAnsi="宋体" w:cs="宋体" w:eastAsia="宋体" w:hint="default"/>
                <w:sz w:val="18"/>
                <w:szCs w:val="18"/>
              </w:rPr>
            </w:r>
          </w:p>
        </w:tc>
      </w:tr>
      <w:tr>
        <w:trPr>
          <w:trHeight w:val="34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44,823,715.75</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客户破产</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北京工商管理专修学院</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9,417,754.61</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北京长空租赁有限公司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5,546,517.48</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湖南新蓝科技有限责任公司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3,359,717.68</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湖北机械公司（计委）</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3,226,123.81</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3,106,000.00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青岛教委</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2,714,061.00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霆望有限公司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2,674,102.59</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Videosystem</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2,358,814.50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中央粮库项目</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2,071,437.08</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兰州长城信息技术有限公司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1,741,481.50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32"/>
              <w:ind w:left="122" w:right="959"/>
              <w:jc w:val="left"/>
              <w:rPr>
                <w:rFonts w:ascii="宋体" w:hAnsi="宋体" w:cs="宋体" w:eastAsia="宋体" w:hint="default"/>
                <w:sz w:val="18"/>
                <w:szCs w:val="18"/>
              </w:rPr>
            </w:pPr>
            <w:r>
              <w:rPr>
                <w:rFonts w:ascii="宋体"/>
                <w:sz w:val="18"/>
              </w:rPr>
              <w:t>Westinghouse</w:t>
            </w:r>
            <w:r>
              <w:rPr>
                <w:rFonts w:ascii="宋体"/>
                <w:spacing w:val="-8"/>
                <w:sz w:val="18"/>
              </w:rPr>
              <w:t> </w:t>
            </w:r>
            <w:r>
              <w:rPr>
                <w:rFonts w:ascii="宋体"/>
                <w:sz w:val="18"/>
              </w:rPr>
              <w:t>Digital</w:t>
            </w:r>
            <w:r>
              <w:rPr>
                <w:rFonts w:ascii="宋体"/>
                <w:sz w:val="18"/>
              </w:rPr>
              <w:t> Electronics</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1,653,666.25</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K-Bridge</w:t>
            </w:r>
            <w:r>
              <w:rPr>
                <w:rFonts w:ascii="宋体"/>
                <w:spacing w:val="-8"/>
                <w:sz w:val="18"/>
              </w:rPr>
              <w:t> </w:t>
            </w:r>
            <w:r>
              <w:rPr>
                <w:rFonts w:ascii="宋体"/>
                <w:sz w:val="18"/>
              </w:rPr>
              <w:t>Electronics</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1,391,575.75</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北京北方神力电子技术有限公司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1,264,740.00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9"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2"/>
              <w:ind w:left="122" w:right="106"/>
              <w:jc w:val="left"/>
              <w:rPr>
                <w:rFonts w:ascii="宋体" w:hAnsi="宋体" w:cs="宋体" w:eastAsia="宋体" w:hint="default"/>
                <w:sz w:val="18"/>
                <w:szCs w:val="18"/>
              </w:rPr>
            </w:pPr>
            <w:r>
              <w:rPr>
                <w:rFonts w:ascii="宋体" w:hAnsi="宋体" w:cs="宋体" w:eastAsia="宋体" w:hint="default"/>
                <w:spacing w:val="8"/>
                <w:sz w:val="18"/>
                <w:szCs w:val="18"/>
              </w:rPr>
              <w:t>北京市映祺时代电子技术有限公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1,181,219.61</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World Tech Co.,</w:t>
            </w:r>
            <w:r>
              <w:rPr>
                <w:rFonts w:ascii="宋体"/>
                <w:spacing w:val="-8"/>
                <w:sz w:val="18"/>
              </w:rPr>
              <w:t> </w:t>
            </w:r>
            <w:r>
              <w:rPr>
                <w:rFonts w:ascii="宋体"/>
                <w:sz w:val="18"/>
              </w:rPr>
              <w:t>LTD.</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1,160,686.50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四川新蓝电脑有限责任公司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1,149,697.79</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北京宏诚拓业商贸有限公司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1,121,274.89</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28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广州市腾飞电子有限公司</w:t>
            </w:r>
          </w:p>
        </w:tc>
        <w:tc>
          <w:tcPr>
            <w:tcW w:w="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1,098,780.32</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8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33"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b/>
                <w:w w:val="95"/>
                <w:sz w:val="18"/>
              </w:rPr>
              <w:t>91,061,367.11</w:t>
            </w:r>
            <w:r>
              <w:rPr>
                <w:rFonts w:ascii="宋体"/>
                <w:sz w:val="18"/>
              </w:rPr>
            </w:r>
          </w:p>
        </w:tc>
        <w:tc>
          <w:tcPr>
            <w:tcW w:w="1246" w:type="dxa"/>
            <w:tcBorders>
              <w:top w:val="single" w:sz="2" w:space="0" w:color="000000"/>
              <w:left w:val="single" w:sz="2" w:space="0" w:color="000000"/>
              <w:bottom w:val="single" w:sz="12" w:space="0" w:color="000000"/>
              <w:right w:val="single" w:sz="2" w:space="0" w:color="000000"/>
            </w:tcBorders>
          </w:tcPr>
          <w:p>
            <w:pPr/>
          </w:p>
        </w:tc>
        <w:tc>
          <w:tcPr>
            <w:tcW w:w="1241" w:type="dxa"/>
            <w:tcBorders>
              <w:top w:val="single" w:sz="2" w:space="0" w:color="000000"/>
              <w:left w:val="single" w:sz="2" w:space="0" w:color="000000"/>
              <w:bottom w:val="single" w:sz="12" w:space="0" w:color="000000"/>
              <w:right w:val="single" w:sz="2" w:space="0" w:color="000000"/>
            </w:tcBorders>
          </w:tcPr>
          <w:p>
            <w:pPr/>
          </w:p>
        </w:tc>
        <w:tc>
          <w:tcPr>
            <w:tcW w:w="93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t>（</w:t>
      </w:r>
      <w:r>
        <w:rPr>
          <w:rFonts w:ascii="宋体" w:hAnsi="宋体" w:cs="宋体" w:eastAsia="宋体" w:hint="default"/>
        </w:rPr>
        <w:t>4</w:t>
      </w:r>
      <w:r>
        <w:rPr/>
        <w:t>）按欠款方归集的年末余额前五名的应收账款情况</w:t>
      </w:r>
    </w:p>
    <w:p>
      <w:pPr>
        <w:spacing w:line="240" w:lineRule="auto" w:before="8"/>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1586"/>
        <w:gridCol w:w="2125"/>
        <w:gridCol w:w="1368"/>
        <w:gridCol w:w="1968"/>
        <w:gridCol w:w="1491"/>
      </w:tblGrid>
      <w:tr>
        <w:trPr>
          <w:trHeight w:val="641" w:hRule="exact"/>
        </w:trPr>
        <w:tc>
          <w:tcPr>
            <w:tcW w:w="15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68" w:type="dxa"/>
            <w:tcBorders>
              <w:top w:val="single" w:sz="12" w:space="0" w:color="000000"/>
              <w:left w:val="single" w:sz="2" w:space="0" w:color="000000"/>
              <w:bottom w:val="single" w:sz="2" w:space="0" w:color="000000"/>
              <w:right w:val="single" w:sz="2" w:space="0" w:color="000000"/>
            </w:tcBorders>
          </w:tcPr>
          <w:p>
            <w:pPr>
              <w:pStyle w:val="TableParagraph"/>
              <w:spacing w:line="283" w:lineRule="auto" w:before="34"/>
              <w:ind w:left="213" w:right="166" w:hanging="46"/>
              <w:jc w:val="left"/>
              <w:rPr>
                <w:rFonts w:ascii="宋体" w:hAnsi="宋体" w:cs="宋体" w:eastAsia="宋体" w:hint="default"/>
                <w:sz w:val="18"/>
                <w:szCs w:val="18"/>
              </w:rPr>
            </w:pPr>
            <w:r>
              <w:rPr>
                <w:rFonts w:ascii="宋体" w:hAnsi="宋体" w:cs="宋体" w:eastAsia="宋体" w:hint="default"/>
                <w:b/>
                <w:bCs/>
                <w:sz w:val="18"/>
                <w:szCs w:val="18"/>
              </w:rPr>
              <w:t>占应收账款年末余额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91" w:type="dxa"/>
            <w:tcBorders>
              <w:top w:val="single" w:sz="12" w:space="0" w:color="000000"/>
              <w:left w:val="single" w:sz="2" w:space="0" w:color="000000"/>
              <w:bottom w:val="single" w:sz="2" w:space="0" w:color="000000"/>
              <w:right w:val="nil" w:sz="6" w:space="0" w:color="auto"/>
            </w:tcBorders>
          </w:tcPr>
          <w:p>
            <w:pPr>
              <w:pStyle w:val="TableParagraph"/>
              <w:spacing w:line="283" w:lineRule="auto" w:before="34"/>
              <w:ind w:left="653" w:right="111" w:hanging="543"/>
              <w:jc w:val="left"/>
              <w:rPr>
                <w:rFonts w:ascii="宋体" w:hAnsi="宋体" w:cs="宋体" w:eastAsia="宋体" w:hint="default"/>
                <w:sz w:val="18"/>
                <w:szCs w:val="18"/>
              </w:rPr>
            </w:pPr>
            <w:r>
              <w:rPr>
                <w:rFonts w:ascii="宋体" w:hAnsi="宋体" w:cs="宋体" w:eastAsia="宋体" w:hint="default"/>
                <w:b/>
                <w:bCs/>
                <w:sz w:val="18"/>
                <w:szCs w:val="18"/>
              </w:rPr>
              <w:t>坏账准备年末余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49"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A</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spacing w:val="-1"/>
                <w:sz w:val="18"/>
              </w:rPr>
              <w:t>1,790,960,854.40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15.53</w:t>
            </w:r>
          </w:p>
        </w:tc>
        <w:tc>
          <w:tcPr>
            <w:tcW w:w="149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B</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908,292,300.00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7.88</w:t>
            </w:r>
          </w:p>
        </w:tc>
        <w:tc>
          <w:tcPr>
            <w:tcW w:w="1491"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C</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858,356,516.00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7.44</w:t>
            </w:r>
          </w:p>
        </w:tc>
        <w:tc>
          <w:tcPr>
            <w:tcW w:w="1491"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D</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664,912,172.00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5.77</w:t>
            </w:r>
          </w:p>
        </w:tc>
        <w:tc>
          <w:tcPr>
            <w:tcW w:w="149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E</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312,679,827.20</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2.71</w:t>
            </w:r>
          </w:p>
        </w:tc>
        <w:tc>
          <w:tcPr>
            <w:tcW w:w="1491" w:type="dxa"/>
            <w:tcBorders>
              <w:top w:val="single" w:sz="2" w:space="0" w:color="000000"/>
              <w:left w:val="single" w:sz="2" w:space="0" w:color="000000"/>
              <w:bottom w:val="single" w:sz="2" w:space="0" w:color="000000"/>
              <w:right w:val="nil" w:sz="6" w:space="0" w:color="auto"/>
            </w:tcBorders>
          </w:tcPr>
          <w:p>
            <w:pPr/>
          </w:p>
        </w:tc>
      </w:tr>
      <w:tr>
        <w:trPr>
          <w:trHeight w:val="362" w:hRule="exact"/>
        </w:trPr>
        <w:tc>
          <w:tcPr>
            <w:tcW w:w="15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b/>
                <w:w w:val="95"/>
                <w:sz w:val="18"/>
              </w:rPr>
              <w:t>4,535,201,669.60</w:t>
            </w:r>
            <w:r>
              <w:rPr>
                <w:rFonts w:ascii="宋体"/>
                <w:sz w:val="18"/>
              </w:rPr>
            </w:r>
          </w:p>
        </w:tc>
        <w:tc>
          <w:tcPr>
            <w:tcW w:w="1368" w:type="dxa"/>
            <w:tcBorders>
              <w:top w:val="single" w:sz="2" w:space="0" w:color="000000"/>
              <w:left w:val="single" w:sz="2" w:space="0" w:color="000000"/>
              <w:bottom w:val="single" w:sz="12" w:space="0" w:color="000000"/>
              <w:right w:val="single" w:sz="2" w:space="0" w:color="000000"/>
            </w:tcBorders>
          </w:tcPr>
          <w:p>
            <w:pPr/>
          </w:p>
        </w:tc>
        <w:tc>
          <w:tcPr>
            <w:tcW w:w="19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b/>
                <w:sz w:val="18"/>
              </w:rPr>
              <w:t>39.33</w:t>
            </w:r>
            <w:r>
              <w:rPr>
                <w:rFonts w:ascii="宋体"/>
                <w:sz w:val="18"/>
              </w:rPr>
            </w:r>
          </w:p>
        </w:tc>
        <w:tc>
          <w:tcPr>
            <w:tcW w:w="149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81" w:footer="980" w:top="1600" w:bottom="1160" w:left="1540" w:right="142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79" w:right="0"/>
        <w:jc w:val="left"/>
      </w:pPr>
      <w:r>
        <w:rPr/>
        <w:t>（</w:t>
      </w:r>
      <w:r>
        <w:rPr>
          <w:rFonts w:ascii="宋体" w:hAnsi="宋体" w:cs="宋体" w:eastAsia="宋体" w:hint="default"/>
        </w:rPr>
        <w:t>5</w:t>
      </w:r>
      <w:r>
        <w:rPr/>
        <w:t>）因金融资产转移而终止确认的应收账款</w:t>
      </w:r>
    </w:p>
    <w:p>
      <w:pPr>
        <w:spacing w:line="240" w:lineRule="auto" w:before="8"/>
        <w:rPr>
          <w:rFonts w:ascii="宋体" w:hAnsi="宋体" w:cs="宋体" w:eastAsia="宋体" w:hint="default"/>
          <w:sz w:val="6"/>
          <w:szCs w:val="6"/>
        </w:rPr>
      </w:pPr>
    </w:p>
    <w:tbl>
      <w:tblPr>
        <w:tblW w:w="0" w:type="auto"/>
        <w:jc w:val="left"/>
        <w:tblInd w:w="465" w:type="dxa"/>
        <w:tblLayout w:type="fixed"/>
        <w:tblCellMar>
          <w:top w:w="0" w:type="dxa"/>
          <w:left w:w="0" w:type="dxa"/>
          <w:bottom w:w="0" w:type="dxa"/>
          <w:right w:w="0" w:type="dxa"/>
        </w:tblCellMar>
        <w:tblLook w:val="01E0"/>
      </w:tblPr>
      <w:tblGrid>
        <w:gridCol w:w="1594"/>
        <w:gridCol w:w="3474"/>
        <w:gridCol w:w="2746"/>
      </w:tblGrid>
      <w:tr>
        <w:trPr>
          <w:trHeight w:val="391" w:hRule="exact"/>
        </w:trPr>
        <w:tc>
          <w:tcPr>
            <w:tcW w:w="15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4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终止确认金额</w:t>
            </w:r>
            <w:r>
              <w:rPr>
                <w:rFonts w:ascii="宋体" w:hAnsi="宋体" w:cs="宋体" w:eastAsia="宋体" w:hint="default"/>
                <w:sz w:val="18"/>
                <w:szCs w:val="18"/>
              </w:rPr>
            </w:r>
          </w:p>
        </w:tc>
        <w:tc>
          <w:tcPr>
            <w:tcW w:w="27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b/>
                <w:bCs/>
                <w:sz w:val="18"/>
                <w:szCs w:val="18"/>
              </w:rPr>
              <w:t>与终止确认相关的利得和损失</w:t>
            </w:r>
            <w:r>
              <w:rPr>
                <w:rFonts w:ascii="宋体" w:hAnsi="宋体" w:cs="宋体" w:eastAsia="宋体" w:hint="default"/>
                <w:sz w:val="18"/>
                <w:szCs w:val="18"/>
              </w:rPr>
            </w: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F</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388,979,627.20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G</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275,270,197.60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H</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253,841,317.60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I</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167,424,488.80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J</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105,397,621.60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K</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92,332,498.40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L</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79,923,228.80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M</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75,423,164.00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N</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58,916,432.80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O</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46,442,227.20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P</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44,546,096.00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Q</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39,234,331.20</w:t>
            </w:r>
          </w:p>
        </w:tc>
        <w:tc>
          <w:tcPr>
            <w:tcW w:w="2746" w:type="dxa"/>
            <w:tcBorders>
              <w:top w:val="single" w:sz="4" w:space="0" w:color="000000"/>
              <w:left w:val="single" w:sz="4" w:space="0" w:color="000000"/>
              <w:bottom w:val="single" w:sz="4" w:space="0" w:color="000000"/>
              <w:right w:val="nil" w:sz="6" w:space="0" w:color="auto"/>
            </w:tcBorders>
          </w:tcPr>
          <w:p>
            <w:pPr/>
          </w:p>
        </w:tc>
      </w:tr>
      <w:tr>
        <w:trPr>
          <w:trHeight w:val="391" w:hRule="exact"/>
        </w:trPr>
        <w:tc>
          <w:tcPr>
            <w:tcW w:w="15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1,627,731,231.20</w:t>
            </w:r>
            <w:r>
              <w:rPr>
                <w:rFonts w:ascii="宋体"/>
                <w:sz w:val="18"/>
              </w:rPr>
            </w:r>
          </w:p>
        </w:tc>
        <w:tc>
          <w:tcPr>
            <w:tcW w:w="274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6</w:t>
      </w:r>
      <w:r>
        <w:rPr/>
        <w:t>、预付款项</w:t>
      </w:r>
    </w:p>
    <w:p>
      <w:pPr>
        <w:pStyle w:val="Heading7"/>
        <w:spacing w:line="240" w:lineRule="auto" w:before="180"/>
        <w:ind w:left="679" w:right="0"/>
        <w:jc w:val="left"/>
      </w:pPr>
      <w:r>
        <w:rPr/>
        <w:t>（</w:t>
      </w:r>
      <w:r>
        <w:rPr>
          <w:rFonts w:ascii="宋体" w:hAnsi="宋体" w:cs="宋体" w:eastAsia="宋体" w:hint="default"/>
        </w:rPr>
        <w:t>1</w:t>
      </w:r>
      <w:r>
        <w:rPr/>
        <w:t>）预付款项账龄</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301"/>
        <w:gridCol w:w="2144"/>
        <w:gridCol w:w="1661"/>
        <w:gridCol w:w="1800"/>
        <w:gridCol w:w="1632"/>
      </w:tblGrid>
      <w:tr>
        <w:trPr>
          <w:trHeight w:val="386" w:hRule="exact"/>
        </w:trPr>
        <w:tc>
          <w:tcPr>
            <w:tcW w:w="1301"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0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43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1301" w:type="dxa"/>
            <w:vMerge/>
            <w:tcBorders>
              <w:left w:val="nil" w:sz="6" w:space="0" w:color="auto"/>
              <w:bottom w:val="single" w:sz="2" w:space="0" w:color="000000"/>
              <w:right w:val="single" w:sz="2" w:space="0" w:color="000000"/>
            </w:tcBorders>
          </w:tcPr>
          <w:p>
            <w:pPr/>
          </w:p>
        </w:tc>
        <w:tc>
          <w:tcPr>
            <w:tcW w:w="2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7"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242,924,002.37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98.09</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86,523,654.94</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70.44</w:t>
            </w:r>
          </w:p>
        </w:tc>
      </w:tr>
      <w:tr>
        <w:trPr>
          <w:trHeight w:val="37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4,637,489.25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1.87</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36,095,230.93</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29.38</w:t>
            </w:r>
          </w:p>
        </w:tc>
      </w:tr>
      <w:tr>
        <w:trPr>
          <w:trHeight w:val="37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82,600.00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0.03</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210,021.59</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z w:val="18"/>
              </w:rPr>
              <w:t>0.17</w:t>
            </w:r>
          </w:p>
        </w:tc>
      </w:tr>
      <w:tr>
        <w:trPr>
          <w:trHeight w:val="37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1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10,744.57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0.01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10,000.00</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z w:val="18"/>
              </w:rPr>
              <w:t>0.01</w:t>
            </w:r>
          </w:p>
        </w:tc>
      </w:tr>
      <w:tr>
        <w:trPr>
          <w:trHeight w:val="389"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247,654,836.19</w:t>
            </w:r>
            <w:r>
              <w:rPr>
                <w:rFonts w:ascii="宋体"/>
                <w:sz w:val="18"/>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b/>
                <w:sz w:val="18"/>
              </w:rPr>
              <w:t>100.00</w:t>
            </w:r>
            <w:r>
              <w:rPr>
                <w:rFonts w:ascii="宋体"/>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122,838,907.46</w:t>
            </w:r>
            <w:r>
              <w:rPr>
                <w:rFonts w:ascii="宋体"/>
                <w:sz w:val="18"/>
              </w:rPr>
            </w:r>
          </w:p>
        </w:tc>
        <w:tc>
          <w:tcPr>
            <w:tcW w:w="16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w:t>
      </w:r>
      <w:r>
        <w:rPr>
          <w:rFonts w:ascii="宋体" w:hAnsi="宋体" w:cs="宋体" w:eastAsia="宋体" w:hint="default"/>
        </w:rPr>
        <w:t>2</w:t>
      </w:r>
      <w:r>
        <w:rPr/>
        <w:t>）按预付对象归集的年末余额前五名的预付款情况</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548"/>
        <w:gridCol w:w="1836"/>
        <w:gridCol w:w="1097"/>
        <w:gridCol w:w="2057"/>
      </w:tblGrid>
      <w:tr>
        <w:trPr>
          <w:trHeight w:val="679" w:hRule="exact"/>
        </w:trPr>
        <w:tc>
          <w:tcPr>
            <w:tcW w:w="35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57"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49"/>
              <w:ind w:left="348" w:right="123" w:hanging="226"/>
              <w:jc w:val="left"/>
              <w:rPr>
                <w:rFonts w:ascii="宋体" w:hAnsi="宋体" w:cs="宋体" w:eastAsia="宋体" w:hint="default"/>
                <w:sz w:val="18"/>
                <w:szCs w:val="18"/>
              </w:rPr>
            </w:pPr>
            <w:r>
              <w:rPr>
                <w:rFonts w:ascii="宋体" w:hAnsi="宋体" w:cs="宋体" w:eastAsia="宋体" w:hint="default"/>
                <w:b/>
                <w:bCs/>
                <w:sz w:val="18"/>
                <w:szCs w:val="18"/>
              </w:rPr>
              <w:t>占预付款项年末余额合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4" w:hRule="exact"/>
        </w:trPr>
        <w:tc>
          <w:tcPr>
            <w:tcW w:w="3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50,000,000.00</w:t>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20.19</w:t>
            </w:r>
          </w:p>
        </w:tc>
      </w:tr>
      <w:tr>
        <w:trPr>
          <w:trHeight w:val="374" w:hRule="exact"/>
        </w:trPr>
        <w:tc>
          <w:tcPr>
            <w:tcW w:w="3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26,145,351.83</w:t>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10.56</w:t>
            </w:r>
          </w:p>
        </w:tc>
      </w:tr>
      <w:tr>
        <w:trPr>
          <w:trHeight w:val="375" w:hRule="exact"/>
        </w:trPr>
        <w:tc>
          <w:tcPr>
            <w:tcW w:w="3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播思通讯技术（北京）有限公司</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21,281,404.82</w:t>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z w:val="18"/>
              </w:rPr>
              <w:t>8.59</w:t>
            </w:r>
          </w:p>
        </w:tc>
      </w:tr>
      <w:tr>
        <w:trPr>
          <w:trHeight w:val="374" w:hRule="exact"/>
        </w:trPr>
        <w:tc>
          <w:tcPr>
            <w:tcW w:w="3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广州兴银投资有限公司</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17,961,900.84</w:t>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z w:val="18"/>
              </w:rPr>
              <w:t>7.25</w:t>
            </w:r>
          </w:p>
        </w:tc>
      </w:tr>
      <w:tr>
        <w:trPr>
          <w:trHeight w:val="377" w:hRule="exact"/>
        </w:trPr>
        <w:tc>
          <w:tcPr>
            <w:tcW w:w="3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深圳市东方拓宇科技有限公司</w:t>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11,740,450.42</w:t>
            </w:r>
          </w:p>
        </w:tc>
        <w:tc>
          <w:tcPr>
            <w:tcW w:w="10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4.74</w:t>
            </w:r>
          </w:p>
        </w:tc>
      </w:tr>
      <w:tr>
        <w:trPr>
          <w:trHeight w:val="386" w:hRule="exact"/>
        </w:trPr>
        <w:tc>
          <w:tcPr>
            <w:tcW w:w="35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127,129,107.91</w:t>
            </w:r>
            <w:r>
              <w:rPr>
                <w:rFonts w:ascii="宋体"/>
                <w:sz w:val="18"/>
              </w:rPr>
            </w:r>
          </w:p>
        </w:tc>
        <w:tc>
          <w:tcPr>
            <w:tcW w:w="1097" w:type="dxa"/>
            <w:tcBorders>
              <w:top w:val="single" w:sz="2" w:space="0" w:color="000000"/>
              <w:left w:val="single" w:sz="2" w:space="0" w:color="000000"/>
              <w:bottom w:val="single" w:sz="12" w:space="0" w:color="000000"/>
              <w:right w:val="single" w:sz="2" w:space="0" w:color="000000"/>
            </w:tcBorders>
          </w:tcPr>
          <w:p>
            <w:pPr/>
          </w:p>
        </w:tc>
        <w:tc>
          <w:tcPr>
            <w:tcW w:w="20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b/>
                <w:sz w:val="18"/>
              </w:rPr>
              <w:t>51.33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7</w:t>
      </w:r>
      <w:r>
        <w:rPr/>
        <w:t>、其他应收款</w:t>
      </w:r>
    </w:p>
    <w:p>
      <w:pPr>
        <w:pStyle w:val="Heading7"/>
        <w:spacing w:line="240" w:lineRule="auto" w:before="180"/>
        <w:ind w:left="679" w:right="0"/>
        <w:jc w:val="left"/>
      </w:pPr>
      <w:r>
        <w:rPr/>
        <w:t>（</w:t>
      </w:r>
      <w:r>
        <w:rPr>
          <w:rFonts w:ascii="宋体" w:hAnsi="宋体" w:cs="宋体" w:eastAsia="宋体" w:hint="default"/>
        </w:rPr>
        <w:t>1</w:t>
      </w:r>
      <w:r>
        <w:rPr/>
        <w:t>）其他应收款分类</w:t>
      </w:r>
    </w:p>
    <w:p>
      <w:pPr>
        <w:spacing w:after="0" w:line="240" w:lineRule="auto"/>
        <w:jc w:val="left"/>
        <w:sectPr>
          <w:pgSz w:w="11910" w:h="16840"/>
          <w:pgMar w:header="881" w:footer="980" w:top="1600" w:bottom="1160" w:left="1560" w:right="1420"/>
        </w:sectPr>
      </w:pPr>
    </w:p>
    <w:p>
      <w:pPr>
        <w:spacing w:line="240" w:lineRule="auto" w:before="3"/>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165"/>
        <w:gridCol w:w="1577"/>
        <w:gridCol w:w="996"/>
        <w:gridCol w:w="1440"/>
        <w:gridCol w:w="900"/>
        <w:gridCol w:w="1426"/>
        <w:gridCol w:w="177"/>
      </w:tblGrid>
      <w:tr>
        <w:trPr>
          <w:trHeight w:val="452" w:hRule="exact"/>
        </w:trPr>
        <w:tc>
          <w:tcPr>
            <w:tcW w:w="2165"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40"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7" w:type="dxa"/>
            <w:vMerge w:val="restart"/>
            <w:tcBorders>
              <w:top w:val="single" w:sz="6" w:space="0" w:color="000000"/>
              <w:left w:val="nil" w:sz="6" w:space="0" w:color="auto"/>
              <w:right w:val="nil" w:sz="6" w:space="0" w:color="auto"/>
            </w:tcBorders>
          </w:tcPr>
          <w:p>
            <w:pPr/>
          </w:p>
        </w:tc>
      </w:tr>
      <w:tr>
        <w:trPr>
          <w:trHeight w:val="434" w:hRule="exact"/>
        </w:trPr>
        <w:tc>
          <w:tcPr>
            <w:tcW w:w="2165" w:type="dxa"/>
            <w:vMerge/>
            <w:tcBorders>
              <w:left w:val="nil" w:sz="6" w:space="0" w:color="auto"/>
              <w:right w:val="single" w:sz="4" w:space="0" w:color="000000"/>
            </w:tcBorders>
          </w:tcPr>
          <w:p>
            <w:pP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2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77" w:type="dxa"/>
            <w:vMerge/>
            <w:tcBorders>
              <w:left w:val="nil" w:sz="6" w:space="0" w:color="auto"/>
              <w:right w:val="nil" w:sz="6" w:space="0" w:color="auto"/>
            </w:tcBorders>
          </w:tcPr>
          <w:p>
            <w:pPr/>
          </w:p>
        </w:tc>
      </w:tr>
      <w:tr>
        <w:trPr>
          <w:trHeight w:val="749" w:hRule="exact"/>
        </w:trPr>
        <w:tc>
          <w:tcPr>
            <w:tcW w:w="2165" w:type="dxa"/>
            <w:vMerge/>
            <w:tcBorders>
              <w:left w:val="nil" w:sz="6" w:space="0" w:color="auto"/>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6" w:type="dxa"/>
            <w:vMerge/>
            <w:tcBorders>
              <w:left w:val="single" w:sz="4" w:space="0" w:color="000000"/>
              <w:bottom w:val="single" w:sz="4" w:space="0" w:color="000000"/>
              <w:right w:val="nil" w:sz="6" w:space="0" w:color="auto"/>
            </w:tcBorders>
          </w:tcPr>
          <w:p>
            <w:pPr/>
          </w:p>
        </w:tc>
        <w:tc>
          <w:tcPr>
            <w:tcW w:w="177" w:type="dxa"/>
            <w:vMerge/>
            <w:tcBorders>
              <w:left w:val="nil" w:sz="6" w:space="0" w:color="auto"/>
              <w:right w:val="nil" w:sz="6" w:space="0" w:color="auto"/>
            </w:tcBorders>
          </w:tcPr>
          <w:p>
            <w:pPr/>
          </w:p>
        </w:tc>
      </w:tr>
      <w:tr>
        <w:trPr>
          <w:trHeight w:val="751"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0"/>
              <w:ind w:left="55" w:right="33"/>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坏账准备的其他应收款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11,724,458.59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1.92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11,724,458.59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100.00</w:t>
            </w:r>
          </w:p>
        </w:tc>
        <w:tc>
          <w:tcPr>
            <w:tcW w:w="1426" w:type="dxa"/>
            <w:tcBorders>
              <w:top w:val="single" w:sz="4" w:space="0" w:color="000000"/>
              <w:left w:val="single" w:sz="4" w:space="0" w:color="000000"/>
              <w:bottom w:val="single" w:sz="4" w:space="0" w:color="000000"/>
              <w:right w:val="nil" w:sz="6" w:space="0" w:color="auto"/>
            </w:tcBorders>
          </w:tcPr>
          <w:p>
            <w:pPr/>
          </w:p>
        </w:tc>
        <w:tc>
          <w:tcPr>
            <w:tcW w:w="177" w:type="dxa"/>
            <w:vMerge/>
            <w:tcBorders>
              <w:left w:val="nil" w:sz="6" w:space="0" w:color="auto"/>
              <w:right w:val="nil" w:sz="6" w:space="0" w:color="auto"/>
            </w:tcBorders>
          </w:tcPr>
          <w:p>
            <w:pPr/>
          </w:p>
        </w:tc>
      </w:tr>
      <w:tr>
        <w:trPr>
          <w:trHeight w:val="749"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77"/>
              <w:ind w:left="55" w:right="33"/>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坏账准备的其他应收款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593,834,142.80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z w:val="18"/>
              </w:rPr>
              <w:t>97.29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16,057.03</w:t>
            </w:r>
          </w:p>
        </w:tc>
        <w:tc>
          <w:tcPr>
            <w:tcW w:w="90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593,818,085.77</w:t>
            </w:r>
          </w:p>
        </w:tc>
        <w:tc>
          <w:tcPr>
            <w:tcW w:w="177" w:type="dxa"/>
            <w:vMerge/>
            <w:tcBorders>
              <w:left w:val="nil" w:sz="6" w:space="0" w:color="auto"/>
              <w:right w:val="nil" w:sz="6" w:space="0" w:color="auto"/>
            </w:tcBorders>
          </w:tcPr>
          <w:p>
            <w:pPr/>
          </w:p>
        </w:tc>
      </w:tr>
      <w:tr>
        <w:trPr>
          <w:trHeight w:val="749"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321" w:lineRule="auto" w:before="77"/>
              <w:ind w:left="55" w:right="33"/>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提坏账准备的其他应收款</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4,811,174.09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0.79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4,811,174.09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100.00</w:t>
            </w:r>
          </w:p>
        </w:tc>
        <w:tc>
          <w:tcPr>
            <w:tcW w:w="1426" w:type="dxa"/>
            <w:tcBorders>
              <w:top w:val="single" w:sz="4" w:space="0" w:color="000000"/>
              <w:left w:val="single" w:sz="4" w:space="0" w:color="000000"/>
              <w:bottom w:val="single" w:sz="4" w:space="0" w:color="000000"/>
              <w:right w:val="nil" w:sz="6" w:space="0" w:color="auto"/>
            </w:tcBorders>
          </w:tcPr>
          <w:p>
            <w:pPr/>
          </w:p>
        </w:tc>
        <w:tc>
          <w:tcPr>
            <w:tcW w:w="177" w:type="dxa"/>
            <w:vMerge/>
            <w:tcBorders>
              <w:left w:val="nil" w:sz="6" w:space="0" w:color="auto"/>
              <w:right w:val="nil" w:sz="6" w:space="0" w:color="auto"/>
            </w:tcBorders>
          </w:tcPr>
          <w:p>
            <w:pPr/>
          </w:p>
        </w:tc>
      </w:tr>
      <w:tr>
        <w:trPr>
          <w:trHeight w:val="454" w:hRule="exact"/>
        </w:trPr>
        <w:tc>
          <w:tcPr>
            <w:tcW w:w="216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8"/>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34"/>
              <w:jc w:val="right"/>
              <w:rPr>
                <w:rFonts w:ascii="宋体" w:hAnsi="宋体" w:cs="宋体" w:eastAsia="宋体" w:hint="default"/>
                <w:sz w:val="18"/>
                <w:szCs w:val="18"/>
              </w:rPr>
            </w:pPr>
            <w:r>
              <w:rPr>
                <w:rFonts w:ascii="宋体"/>
                <w:b/>
                <w:w w:val="95"/>
                <w:sz w:val="18"/>
              </w:rPr>
              <w:t>610,369,775.48</w:t>
            </w:r>
            <w:r>
              <w:rPr>
                <w:rFonts w:ascii="宋体"/>
                <w:sz w:val="18"/>
              </w:rPr>
            </w:r>
          </w:p>
        </w:tc>
        <w:tc>
          <w:tcPr>
            <w:tcW w:w="9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31"/>
              <w:jc w:val="right"/>
              <w:rPr>
                <w:rFonts w:ascii="宋体" w:hAnsi="宋体" w:cs="宋体" w:eastAsia="宋体" w:hint="default"/>
                <w:sz w:val="18"/>
                <w:szCs w:val="18"/>
              </w:rPr>
            </w:pPr>
            <w:r>
              <w:rPr>
                <w:rFonts w:ascii="宋体"/>
                <w:b/>
                <w:sz w:val="18"/>
              </w:rPr>
              <w:t>100.00</w:t>
            </w:r>
            <w:r>
              <w:rPr>
                <w:rFonts w:ascii="宋体"/>
                <w:sz w:val="18"/>
              </w:rPr>
            </w:r>
          </w:p>
        </w:tc>
        <w:tc>
          <w:tcPr>
            <w:tcW w:w="14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8"/>
              <w:ind w:right="34"/>
              <w:jc w:val="right"/>
              <w:rPr>
                <w:rFonts w:ascii="宋体" w:hAnsi="宋体" w:cs="宋体" w:eastAsia="宋体" w:hint="default"/>
                <w:sz w:val="18"/>
                <w:szCs w:val="18"/>
              </w:rPr>
            </w:pPr>
            <w:r>
              <w:rPr>
                <w:rFonts w:ascii="宋体"/>
                <w:b/>
                <w:w w:val="95"/>
                <w:sz w:val="18"/>
              </w:rPr>
              <w:t>16,551,689.71</w:t>
            </w:r>
            <w:r>
              <w:rPr>
                <w:rFonts w:ascii="宋体"/>
                <w:sz w:val="18"/>
              </w:rPr>
            </w:r>
          </w:p>
        </w:tc>
        <w:tc>
          <w:tcPr>
            <w:tcW w:w="900" w:type="dxa"/>
            <w:tcBorders>
              <w:top w:val="single" w:sz="4" w:space="0" w:color="000000"/>
              <w:left w:val="single" w:sz="4" w:space="0" w:color="000000"/>
              <w:bottom w:val="single" w:sz="17" w:space="0" w:color="000000"/>
              <w:right w:val="single" w:sz="4" w:space="0" w:color="000000"/>
            </w:tcBorders>
          </w:tcPr>
          <w:p>
            <w:pPr/>
          </w:p>
        </w:tc>
        <w:tc>
          <w:tcPr>
            <w:tcW w:w="142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8"/>
              <w:ind w:right="39"/>
              <w:jc w:val="right"/>
              <w:rPr>
                <w:rFonts w:ascii="宋体" w:hAnsi="宋体" w:cs="宋体" w:eastAsia="宋体" w:hint="default"/>
                <w:sz w:val="18"/>
                <w:szCs w:val="18"/>
              </w:rPr>
            </w:pPr>
            <w:r>
              <w:rPr>
                <w:rFonts w:ascii="宋体"/>
                <w:b/>
                <w:w w:val="95"/>
                <w:sz w:val="18"/>
              </w:rPr>
              <w:t>593,818,085.77</w:t>
            </w:r>
            <w:r>
              <w:rPr>
                <w:rFonts w:ascii="宋体"/>
                <w:sz w:val="18"/>
              </w:rPr>
            </w:r>
          </w:p>
        </w:tc>
        <w:tc>
          <w:tcPr>
            <w:tcW w:w="177" w:type="dxa"/>
            <w:vMerge/>
            <w:tcBorders>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t>续表：</w:t>
      </w:r>
    </w:p>
    <w:p>
      <w:pPr>
        <w:spacing w:line="240" w:lineRule="auto" w:before="8"/>
        <w:rPr>
          <w:rFonts w:ascii="宋体" w:hAnsi="宋体" w:cs="宋体" w:eastAsia="宋体" w:hint="default"/>
          <w:sz w:val="6"/>
          <w:szCs w:val="6"/>
        </w:rPr>
      </w:pPr>
    </w:p>
    <w:tbl>
      <w:tblPr>
        <w:tblW w:w="0" w:type="auto"/>
        <w:jc w:val="left"/>
        <w:tblInd w:w="213" w:type="dxa"/>
        <w:tblLayout w:type="fixed"/>
        <w:tblCellMar>
          <w:top w:w="0" w:type="dxa"/>
          <w:left w:w="0" w:type="dxa"/>
          <w:bottom w:w="0" w:type="dxa"/>
          <w:right w:w="0" w:type="dxa"/>
        </w:tblCellMar>
        <w:tblLook w:val="01E0"/>
      </w:tblPr>
      <w:tblGrid>
        <w:gridCol w:w="2086"/>
        <w:gridCol w:w="1621"/>
        <w:gridCol w:w="838"/>
        <w:gridCol w:w="1455"/>
        <w:gridCol w:w="910"/>
        <w:gridCol w:w="1594"/>
      </w:tblGrid>
      <w:tr>
        <w:trPr>
          <w:trHeight w:val="451" w:hRule="exact"/>
        </w:trPr>
        <w:tc>
          <w:tcPr>
            <w:tcW w:w="2086"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17"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77"/>
              <w:ind w:right="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34" w:hRule="exact"/>
        </w:trPr>
        <w:tc>
          <w:tcPr>
            <w:tcW w:w="2086" w:type="dxa"/>
            <w:vMerge/>
            <w:tcBorders>
              <w:left w:val="nil" w:sz="6" w:space="0" w:color="auto"/>
              <w:right w:val="single" w:sz="4" w:space="0" w:color="000000"/>
            </w:tcBorders>
          </w:tcPr>
          <w:p>
            <w:pP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49" w:hRule="exact"/>
        </w:trPr>
        <w:tc>
          <w:tcPr>
            <w:tcW w:w="2086" w:type="dxa"/>
            <w:vMerge/>
            <w:tcBorders>
              <w:left w:val="nil" w:sz="6" w:space="0" w:color="auto"/>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94" w:type="dxa"/>
            <w:vMerge/>
            <w:tcBorders>
              <w:left w:val="single" w:sz="4" w:space="0" w:color="000000"/>
              <w:bottom w:val="single" w:sz="4" w:space="0" w:color="000000"/>
              <w:right w:val="nil" w:sz="6" w:space="0" w:color="auto"/>
            </w:tcBorders>
          </w:tcPr>
          <w:p>
            <w:pPr/>
          </w:p>
        </w:tc>
      </w:tr>
      <w:tr>
        <w:trPr>
          <w:trHeight w:val="74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321" w:lineRule="auto" w:before="77"/>
              <w:ind w:left="55" w:right="37"/>
              <w:jc w:val="left"/>
              <w:rPr>
                <w:rFonts w:ascii="宋体" w:hAnsi="宋体" w:cs="宋体" w:eastAsia="宋体" w:hint="default"/>
                <w:sz w:val="18"/>
                <w:szCs w:val="18"/>
              </w:rPr>
            </w:pPr>
            <w:r>
              <w:rPr>
                <w:rFonts w:ascii="宋体" w:hAnsi="宋体" w:cs="宋体" w:eastAsia="宋体" w:hint="default"/>
                <w:sz w:val="18"/>
                <w:szCs w:val="18"/>
              </w:rPr>
              <w:t>单项金额重大并单项计提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坏账准备的其他应收款</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22,984,312.39</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1.17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22,984,312.39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100.00</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752"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321" w:lineRule="auto" w:before="80"/>
              <w:ind w:left="55" w:right="37"/>
              <w:jc w:val="left"/>
              <w:rPr>
                <w:rFonts w:ascii="宋体" w:hAnsi="宋体" w:cs="宋体" w:eastAsia="宋体" w:hint="default"/>
                <w:sz w:val="18"/>
                <w:szCs w:val="18"/>
              </w:rPr>
            </w:pPr>
            <w:r>
              <w:rPr>
                <w:rFonts w:ascii="宋体" w:hAnsi="宋体" w:cs="宋体" w:eastAsia="宋体" w:hint="default"/>
                <w:sz w:val="18"/>
                <w:szCs w:val="18"/>
              </w:rPr>
              <w:t>按信用风险特征组合计提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坏账准备的其他应收款</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1,936,012,685.77</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sz w:val="18"/>
              </w:rPr>
              <w:t>98.44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476,119.29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z w:val="18"/>
              </w:rPr>
              <w:t>0.02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spacing w:val="-1"/>
                <w:sz w:val="18"/>
              </w:rPr>
              <w:t>1,935,536,566.48</w:t>
            </w:r>
          </w:p>
        </w:tc>
      </w:tr>
      <w:tr>
        <w:trPr>
          <w:trHeight w:val="749" w:hRule="exact"/>
        </w:trPr>
        <w:tc>
          <w:tcPr>
            <w:tcW w:w="208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77"/>
              <w:ind w:left="55" w:right="37"/>
              <w:jc w:val="left"/>
              <w:rPr>
                <w:rFonts w:ascii="宋体" w:hAnsi="宋体" w:cs="宋体" w:eastAsia="宋体" w:hint="default"/>
                <w:sz w:val="18"/>
                <w:szCs w:val="18"/>
              </w:rPr>
            </w:pPr>
            <w:r>
              <w:rPr>
                <w:rFonts w:ascii="宋体" w:hAnsi="宋体" w:cs="宋体" w:eastAsia="宋体" w:hint="default"/>
                <w:sz w:val="18"/>
                <w:szCs w:val="18"/>
              </w:rPr>
              <w:t>单项金额不重大但单项计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提坏账准备的其他应收款</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7,756,632.89</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z w:val="18"/>
              </w:rPr>
              <w:t>0.39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7,756,632.89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100.00</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08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7"/>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7"/>
              <w:ind w:right="34"/>
              <w:jc w:val="right"/>
              <w:rPr>
                <w:rFonts w:ascii="宋体" w:hAnsi="宋体" w:cs="宋体" w:eastAsia="宋体" w:hint="default"/>
                <w:sz w:val="18"/>
                <w:szCs w:val="18"/>
              </w:rPr>
            </w:pPr>
            <w:r>
              <w:rPr>
                <w:rFonts w:ascii="宋体"/>
                <w:b/>
                <w:w w:val="95"/>
                <w:sz w:val="18"/>
              </w:rPr>
              <w:t>1,966,753,631.05</w:t>
            </w:r>
            <w:r>
              <w:rPr>
                <w:rFonts w:ascii="宋体"/>
                <w:sz w:val="18"/>
              </w:rPr>
            </w:r>
          </w:p>
        </w:tc>
        <w:tc>
          <w:tcPr>
            <w:tcW w:w="8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7"/>
              <w:ind w:left="247" w:right="0"/>
              <w:jc w:val="left"/>
              <w:rPr>
                <w:rFonts w:ascii="宋体" w:hAnsi="宋体" w:cs="宋体" w:eastAsia="宋体" w:hint="default"/>
                <w:sz w:val="18"/>
                <w:szCs w:val="18"/>
              </w:rPr>
            </w:pPr>
            <w:r>
              <w:rPr>
                <w:rFonts w:ascii="宋体"/>
                <w:b/>
                <w:sz w:val="18"/>
              </w:rPr>
              <w:t>100.00</w:t>
            </w:r>
            <w:r>
              <w:rPr>
                <w:rFonts w:ascii="宋体"/>
                <w:sz w:val="18"/>
              </w:rPr>
            </w:r>
          </w:p>
        </w:tc>
        <w:tc>
          <w:tcPr>
            <w:tcW w:w="14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7"/>
              <w:ind w:right="34"/>
              <w:jc w:val="right"/>
              <w:rPr>
                <w:rFonts w:ascii="宋体" w:hAnsi="宋体" w:cs="宋体" w:eastAsia="宋体" w:hint="default"/>
                <w:sz w:val="18"/>
                <w:szCs w:val="18"/>
              </w:rPr>
            </w:pPr>
            <w:r>
              <w:rPr>
                <w:rFonts w:ascii="宋体"/>
                <w:b/>
                <w:w w:val="95"/>
                <w:sz w:val="18"/>
              </w:rPr>
              <w:t>31,217,064.57</w:t>
            </w:r>
            <w:r>
              <w:rPr>
                <w:rFonts w:ascii="宋体"/>
                <w:sz w:val="18"/>
              </w:rPr>
            </w:r>
          </w:p>
        </w:tc>
        <w:tc>
          <w:tcPr>
            <w:tcW w:w="910" w:type="dxa"/>
            <w:tcBorders>
              <w:top w:val="single" w:sz="4" w:space="0" w:color="000000"/>
              <w:left w:val="single" w:sz="4" w:space="0" w:color="000000"/>
              <w:bottom w:val="single" w:sz="17" w:space="0" w:color="000000"/>
              <w:right w:val="single" w:sz="4" w:space="0" w:color="000000"/>
            </w:tcBorders>
          </w:tcPr>
          <w:p>
            <w:pPr/>
          </w:p>
        </w:tc>
        <w:tc>
          <w:tcPr>
            <w:tcW w:w="159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7"/>
              <w:ind w:right="37"/>
              <w:jc w:val="right"/>
              <w:rPr>
                <w:rFonts w:ascii="宋体" w:hAnsi="宋体" w:cs="宋体" w:eastAsia="宋体" w:hint="default"/>
                <w:sz w:val="18"/>
                <w:szCs w:val="18"/>
              </w:rPr>
            </w:pPr>
            <w:r>
              <w:rPr>
                <w:rFonts w:ascii="宋体"/>
                <w:b/>
                <w:w w:val="95"/>
                <w:sz w:val="18"/>
              </w:rPr>
              <w:t>1,935,536,566.48</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rFonts w:ascii="宋体" w:hAnsi="宋体" w:cs="宋体" w:eastAsia="宋体" w:hint="default"/>
        </w:rPr>
        <w:t>1</w:t>
      </w:r>
      <w:r>
        <w:rPr/>
        <w:t>）年末单项金额重大并单独计提坏账准备的其他应收款</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957"/>
        <w:gridCol w:w="1418"/>
        <w:gridCol w:w="1560"/>
        <w:gridCol w:w="1133"/>
        <w:gridCol w:w="1671"/>
      </w:tblGrid>
      <w:tr>
        <w:trPr>
          <w:trHeight w:val="415" w:hRule="exact"/>
        </w:trPr>
        <w:tc>
          <w:tcPr>
            <w:tcW w:w="295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78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706" w:hRule="exact"/>
        </w:trPr>
        <w:tc>
          <w:tcPr>
            <w:tcW w:w="2957"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1"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北京科迪迅通科技有限公司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2" w:right="0"/>
              <w:jc w:val="center"/>
              <w:rPr>
                <w:rFonts w:ascii="宋体" w:hAnsi="宋体" w:cs="宋体" w:eastAsia="宋体" w:hint="default"/>
                <w:sz w:val="18"/>
                <w:szCs w:val="18"/>
              </w:rPr>
            </w:pPr>
            <w:r>
              <w:rPr>
                <w:rFonts w:ascii="宋体"/>
                <w:sz w:val="18"/>
              </w:rPr>
              <w:t>4,583,849.40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4,583,849.40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1"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深圳市桑夏高科技股份有限公司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2" w:right="0"/>
              <w:jc w:val="center"/>
              <w:rPr>
                <w:rFonts w:ascii="宋体" w:hAnsi="宋体" w:cs="宋体" w:eastAsia="宋体" w:hint="default"/>
                <w:sz w:val="18"/>
                <w:szCs w:val="18"/>
              </w:rPr>
            </w:pPr>
            <w:r>
              <w:rPr>
                <w:rFonts w:ascii="宋体"/>
                <w:sz w:val="18"/>
              </w:rPr>
              <w:t>2,035,219.99</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2,035,219.99</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3"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锐琪厦门电子科技有限公司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2" w:right="0"/>
              <w:jc w:val="center"/>
              <w:rPr>
                <w:rFonts w:ascii="宋体" w:hAnsi="宋体" w:cs="宋体" w:eastAsia="宋体" w:hint="default"/>
                <w:sz w:val="18"/>
                <w:szCs w:val="18"/>
              </w:rPr>
            </w:pPr>
            <w:r>
              <w:rPr>
                <w:rFonts w:ascii="宋体"/>
                <w:sz w:val="18"/>
              </w:rPr>
              <w:t>1,454,566.40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1,454,566.40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1"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临时厂房押金</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2" w:right="0"/>
              <w:jc w:val="center"/>
              <w:rPr>
                <w:rFonts w:ascii="宋体" w:hAnsi="宋体" w:cs="宋体" w:eastAsia="宋体" w:hint="default"/>
                <w:sz w:val="18"/>
                <w:szCs w:val="18"/>
              </w:rPr>
            </w:pPr>
            <w:r>
              <w:rPr>
                <w:rFonts w:ascii="宋体"/>
                <w:sz w:val="18"/>
              </w:rPr>
              <w:t>1,266,252.00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1,266,252.00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1"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山西三益网立信信息有限责任公司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2" w:right="0"/>
              <w:jc w:val="center"/>
              <w:rPr>
                <w:rFonts w:ascii="宋体" w:hAnsi="宋体" w:cs="宋体" w:eastAsia="宋体" w:hint="default"/>
                <w:sz w:val="18"/>
                <w:szCs w:val="18"/>
              </w:rPr>
            </w:pPr>
            <w:r>
              <w:rPr>
                <w:rFonts w:ascii="宋体"/>
                <w:sz w:val="18"/>
              </w:rPr>
              <w:t>1,196,242.00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1,196,242.00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1" w:hRule="exact"/>
        </w:trPr>
        <w:tc>
          <w:tcPr>
            <w:tcW w:w="29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sz w:val="18"/>
              </w:rPr>
              <w:t>PD Trading (HongKong)</w:t>
            </w:r>
            <w:r>
              <w:rPr>
                <w:rFonts w:ascii="宋体"/>
                <w:spacing w:val="-11"/>
                <w:sz w:val="18"/>
              </w:rPr>
              <w:t> </w:t>
            </w:r>
            <w:r>
              <w:rPr>
                <w:rFonts w:ascii="宋体"/>
                <w:sz w:val="18"/>
              </w:rPr>
              <w:t>LTD.</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2" w:right="0"/>
              <w:jc w:val="center"/>
              <w:rPr>
                <w:rFonts w:ascii="宋体" w:hAnsi="宋体" w:cs="宋体" w:eastAsia="宋体" w:hint="default"/>
                <w:sz w:val="18"/>
                <w:szCs w:val="18"/>
              </w:rPr>
            </w:pPr>
            <w:r>
              <w:rPr>
                <w:rFonts w:ascii="宋体"/>
                <w:sz w:val="18"/>
              </w:rPr>
              <w:t>1,188,328.80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1,188,328.80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15" w:hRule="exact"/>
        </w:trPr>
        <w:tc>
          <w:tcPr>
            <w:tcW w:w="29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left="23" w:right="0"/>
              <w:jc w:val="center"/>
              <w:rPr>
                <w:rFonts w:ascii="宋体" w:hAnsi="宋体" w:cs="宋体" w:eastAsia="宋体" w:hint="default"/>
                <w:sz w:val="18"/>
                <w:szCs w:val="18"/>
              </w:rPr>
            </w:pPr>
            <w:r>
              <w:rPr>
                <w:rFonts w:ascii="宋体"/>
                <w:b/>
                <w:sz w:val="18"/>
              </w:rPr>
              <w:t>11,724,458.59</w:t>
            </w:r>
            <w:r>
              <w:rPr>
                <w:rFonts w:ascii="宋体"/>
                <w:sz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4"/>
              <w:jc w:val="right"/>
              <w:rPr>
                <w:rFonts w:ascii="宋体" w:hAnsi="宋体" w:cs="宋体" w:eastAsia="宋体" w:hint="default"/>
                <w:sz w:val="18"/>
                <w:szCs w:val="18"/>
              </w:rPr>
            </w:pPr>
            <w:r>
              <w:rPr>
                <w:rFonts w:ascii="宋体"/>
                <w:b/>
                <w:w w:val="95"/>
                <w:sz w:val="18"/>
              </w:rPr>
              <w:t>11,724,458.59</w:t>
            </w:r>
            <w:r>
              <w:rPr>
                <w:rFonts w:ascii="宋体"/>
                <w:sz w:val="18"/>
              </w:rPr>
            </w:r>
          </w:p>
        </w:tc>
        <w:tc>
          <w:tcPr>
            <w:tcW w:w="1133" w:type="dxa"/>
            <w:tcBorders>
              <w:top w:val="single" w:sz="2" w:space="0" w:color="000000"/>
              <w:left w:val="single" w:sz="2" w:space="0" w:color="000000"/>
              <w:bottom w:val="single" w:sz="12" w:space="0" w:color="000000"/>
              <w:right w:val="single" w:sz="2" w:space="0" w:color="000000"/>
            </w:tcBorders>
          </w:tcPr>
          <w:p>
            <w:pPr/>
          </w:p>
        </w:tc>
        <w:tc>
          <w:tcPr>
            <w:tcW w:w="167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81" w:footer="980" w:top="1600" w:bottom="1160" w:left="1460" w:right="1420"/>
        </w:sectPr>
      </w:pPr>
    </w:p>
    <w:p>
      <w:pPr>
        <w:spacing w:line="240" w:lineRule="auto" w:before="3"/>
        <w:rPr>
          <w:rFonts w:ascii="宋体" w:hAnsi="宋体" w:cs="宋体" w:eastAsia="宋体" w:hint="default"/>
          <w:sz w:val="3"/>
          <w:szCs w:val="3"/>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779" w:right="0"/>
        <w:jc w:val="left"/>
      </w:pPr>
      <w:r>
        <w:rPr>
          <w:rFonts w:ascii="宋体" w:hAnsi="宋体" w:cs="宋体" w:eastAsia="宋体" w:hint="default"/>
        </w:rPr>
        <w:t>2</w:t>
      </w:r>
      <w:r>
        <w:rPr/>
        <w:t>）组合中，按账龄分析法计提坏账准备的其他应收款</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3262"/>
        <w:gridCol w:w="1865"/>
        <w:gridCol w:w="1654"/>
        <w:gridCol w:w="1757"/>
      </w:tblGrid>
      <w:tr>
        <w:trPr>
          <w:trHeight w:val="473" w:hRule="exact"/>
        </w:trPr>
        <w:tc>
          <w:tcPr>
            <w:tcW w:w="326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27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4"/>
              <w:ind w:right="1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1" w:hRule="exact"/>
        </w:trPr>
        <w:tc>
          <w:tcPr>
            <w:tcW w:w="3262" w:type="dxa"/>
            <w:vMerge/>
            <w:tcBorders>
              <w:left w:val="nil" w:sz="6" w:space="0" w:color="auto"/>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8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61"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593,807,381.08</w:t>
            </w:r>
          </w:p>
        </w:tc>
        <w:tc>
          <w:tcPr>
            <w:tcW w:w="165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0-90</w:t>
            </w:r>
            <w:r>
              <w:rPr>
                <w:rFonts w:ascii="宋体" w:hAnsi="宋体" w:cs="宋体" w:eastAsia="宋体" w:hint="default"/>
                <w:spacing w:val="-45"/>
                <w:sz w:val="18"/>
                <w:szCs w:val="18"/>
              </w:rPr>
              <w:t> </w:t>
            </w:r>
            <w:r>
              <w:rPr>
                <w:rFonts w:ascii="宋体" w:hAnsi="宋体" w:cs="宋体" w:eastAsia="宋体" w:hint="default"/>
                <w:sz w:val="18"/>
                <w:szCs w:val="18"/>
              </w:rPr>
              <w:t>天</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593,807,381.08</w:t>
            </w:r>
          </w:p>
        </w:tc>
        <w:tc>
          <w:tcPr>
            <w:tcW w:w="165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26,761.72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宋体" w:hAnsi="宋体" w:cs="宋体" w:eastAsia="宋体" w:hint="default"/>
                <w:sz w:val="18"/>
                <w:szCs w:val="18"/>
              </w:rPr>
            </w:pPr>
            <w:r>
              <w:rPr>
                <w:rFonts w:ascii="宋体"/>
                <w:spacing w:val="-1"/>
                <w:sz w:val="18"/>
              </w:rPr>
              <w:t>16,057.03</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z w:val="18"/>
              </w:rPr>
              <w:t>60.00</w:t>
            </w:r>
          </w:p>
        </w:tc>
      </w:tr>
      <w:tr>
        <w:trPr>
          <w:trHeight w:val="470" w:hRule="exact"/>
        </w:trPr>
        <w:tc>
          <w:tcPr>
            <w:tcW w:w="32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2"/>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b/>
                <w:w w:val="95"/>
                <w:sz w:val="18"/>
              </w:rPr>
              <w:t>593,834,142.80</w:t>
            </w:r>
            <w:r>
              <w:rPr>
                <w:rFonts w:ascii="宋体"/>
                <w:sz w:val="18"/>
              </w:rPr>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0"/>
              <w:jc w:val="right"/>
              <w:rPr>
                <w:rFonts w:ascii="宋体" w:hAnsi="宋体" w:cs="宋体" w:eastAsia="宋体" w:hint="default"/>
                <w:sz w:val="18"/>
                <w:szCs w:val="18"/>
              </w:rPr>
            </w:pPr>
            <w:r>
              <w:rPr>
                <w:rFonts w:ascii="宋体"/>
                <w:b/>
                <w:w w:val="95"/>
                <w:sz w:val="18"/>
              </w:rPr>
              <w:t>16,057.03</w:t>
            </w:r>
            <w:r>
              <w:rPr>
                <w:rFonts w:ascii="宋体"/>
                <w:sz w:val="18"/>
              </w:rPr>
            </w:r>
          </w:p>
        </w:tc>
        <w:tc>
          <w:tcPr>
            <w:tcW w:w="175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t>（</w:t>
      </w:r>
      <w:r>
        <w:rPr>
          <w:rFonts w:ascii="宋体" w:hAnsi="宋体" w:cs="宋体" w:eastAsia="宋体" w:hint="default"/>
        </w:rPr>
        <w:t>2</w:t>
      </w:r>
      <w:r>
        <w:rPr/>
        <w:t>）本年计提、转回（或收回）坏账准备情况</w:t>
      </w:r>
    </w:p>
    <w:p>
      <w:pPr>
        <w:pStyle w:val="Heading7"/>
        <w:spacing w:line="326" w:lineRule="auto" w:before="180"/>
        <w:ind w:left="340" w:right="374" w:firstLine="439"/>
        <w:jc w:val="left"/>
      </w:pPr>
      <w:r>
        <w:rPr/>
        <w:t>本年计提坏账准备</w:t>
      </w:r>
      <w:r>
        <w:rPr>
          <w:spacing w:val="-51"/>
        </w:rPr>
        <w:t> </w:t>
      </w:r>
      <w:r>
        <w:rPr>
          <w:rFonts w:ascii="宋体" w:hAnsi="宋体" w:cs="宋体" w:eastAsia="宋体" w:hint="default"/>
        </w:rPr>
        <w:t>3,499,735.00</w:t>
      </w:r>
      <w:r>
        <w:rPr>
          <w:rFonts w:ascii="宋体" w:hAnsi="宋体" w:cs="宋体" w:eastAsia="宋体" w:hint="default"/>
          <w:spacing w:val="-54"/>
        </w:rPr>
        <w:t> </w:t>
      </w:r>
      <w:r>
        <w:rPr>
          <w:spacing w:val="-8"/>
        </w:rPr>
        <w:t>元，转回</w:t>
      </w:r>
      <w:r>
        <w:rPr>
          <w:spacing w:val="-51"/>
        </w:rPr>
        <w:t> </w:t>
      </w:r>
      <w:r>
        <w:rPr>
          <w:rFonts w:ascii="宋体" w:hAnsi="宋体" w:cs="宋体" w:eastAsia="宋体" w:hint="default"/>
        </w:rPr>
        <w:t>831,389.17</w:t>
      </w:r>
      <w:r>
        <w:rPr>
          <w:rFonts w:ascii="宋体" w:hAnsi="宋体" w:cs="宋体" w:eastAsia="宋体" w:hint="default"/>
          <w:spacing w:val="-51"/>
        </w:rPr>
        <w:t> </w:t>
      </w:r>
      <w:r>
        <w:rPr>
          <w:spacing w:val="-4"/>
        </w:rPr>
        <w:t>元，其中本年坏账准备转回</w:t>
      </w:r>
      <w:r>
        <w:rPr>
          <w:w w:val="100"/>
        </w:rPr>
        <w:t> </w:t>
      </w:r>
      <w:r>
        <w:rPr/>
        <w:t>或收回情况如下：</w:t>
      </w:r>
    </w:p>
    <w:tbl>
      <w:tblPr>
        <w:tblW w:w="0" w:type="auto"/>
        <w:jc w:val="left"/>
        <w:tblInd w:w="203" w:type="dxa"/>
        <w:tblLayout w:type="fixed"/>
        <w:tblCellMar>
          <w:top w:w="0" w:type="dxa"/>
          <w:left w:w="0" w:type="dxa"/>
          <w:bottom w:w="0" w:type="dxa"/>
          <w:right w:w="0" w:type="dxa"/>
        </w:tblCellMar>
        <w:tblLook w:val="01E0"/>
      </w:tblPr>
      <w:tblGrid>
        <w:gridCol w:w="3257"/>
        <w:gridCol w:w="1868"/>
        <w:gridCol w:w="1656"/>
        <w:gridCol w:w="1757"/>
      </w:tblGrid>
      <w:tr>
        <w:trPr>
          <w:trHeight w:val="718" w:hRule="exact"/>
        </w:trPr>
        <w:tc>
          <w:tcPr>
            <w:tcW w:w="32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68"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3"/>
              <w:ind w:left="748" w:right="116" w:hanging="632"/>
              <w:jc w:val="left"/>
              <w:rPr>
                <w:rFonts w:ascii="宋体" w:hAnsi="宋体" w:cs="宋体" w:eastAsia="宋体" w:hint="default"/>
                <w:sz w:val="18"/>
                <w:szCs w:val="18"/>
              </w:rPr>
            </w:pPr>
            <w:r>
              <w:rPr>
                <w:rFonts w:ascii="宋体" w:hAnsi="宋体" w:cs="宋体" w:eastAsia="宋体" w:hint="default"/>
                <w:b/>
                <w:bCs/>
                <w:sz w:val="18"/>
                <w:szCs w:val="18"/>
              </w:rPr>
              <w:t>本年转回（或收回）</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c>
          <w:tcPr>
            <w:tcW w:w="1757"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3"/>
              <w:ind w:left="694" w:right="20" w:hanging="589"/>
              <w:jc w:val="left"/>
              <w:rPr>
                <w:rFonts w:ascii="宋体" w:hAnsi="宋体" w:cs="宋体" w:eastAsia="宋体" w:hint="default"/>
                <w:sz w:val="18"/>
                <w:szCs w:val="18"/>
              </w:rPr>
            </w:pPr>
            <w:r>
              <w:rPr>
                <w:rFonts w:ascii="宋体" w:hAnsi="宋体" w:cs="宋体" w:eastAsia="宋体" w:hint="default"/>
                <w:b/>
                <w:bCs/>
                <w:sz w:val="18"/>
                <w:szCs w:val="18"/>
              </w:rPr>
              <w:t>本年转回（或收回）</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01" w:hRule="exact"/>
        </w:trPr>
        <w:tc>
          <w:tcPr>
            <w:tcW w:w="3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深圳市纳维德科技有限公司</w:t>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617,018.64</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银行收款</w:t>
            </w:r>
          </w:p>
        </w:tc>
        <w:tc>
          <w:tcPr>
            <w:tcW w:w="17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516" w:right="0"/>
              <w:jc w:val="left"/>
              <w:rPr>
                <w:rFonts w:ascii="宋体" w:hAnsi="宋体" w:cs="宋体" w:eastAsia="宋体" w:hint="default"/>
                <w:sz w:val="18"/>
                <w:szCs w:val="18"/>
              </w:rPr>
            </w:pPr>
            <w:r>
              <w:rPr>
                <w:rFonts w:ascii="宋体" w:hAnsi="宋体" w:cs="宋体" w:eastAsia="宋体" w:hint="default"/>
                <w:sz w:val="18"/>
                <w:szCs w:val="18"/>
              </w:rPr>
              <w:t>诉讼收回</w:t>
            </w:r>
          </w:p>
        </w:tc>
      </w:tr>
      <w:tr>
        <w:trPr>
          <w:trHeight w:val="401" w:hRule="exact"/>
        </w:trPr>
        <w:tc>
          <w:tcPr>
            <w:tcW w:w="3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杭州华奕通讯有限公司</w:t>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214,370.53</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银行收款</w:t>
            </w:r>
          </w:p>
        </w:tc>
        <w:tc>
          <w:tcPr>
            <w:tcW w:w="17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516" w:right="0"/>
              <w:jc w:val="left"/>
              <w:rPr>
                <w:rFonts w:ascii="宋体" w:hAnsi="宋体" w:cs="宋体" w:eastAsia="宋体" w:hint="default"/>
                <w:sz w:val="18"/>
                <w:szCs w:val="18"/>
              </w:rPr>
            </w:pPr>
            <w:r>
              <w:rPr>
                <w:rFonts w:ascii="宋体" w:hAnsi="宋体" w:cs="宋体" w:eastAsia="宋体" w:hint="default"/>
                <w:sz w:val="18"/>
                <w:szCs w:val="18"/>
              </w:rPr>
              <w:t>诉讼收回</w:t>
            </w:r>
          </w:p>
        </w:tc>
      </w:tr>
      <w:tr>
        <w:trPr>
          <w:trHeight w:val="415" w:hRule="exact"/>
        </w:trPr>
        <w:tc>
          <w:tcPr>
            <w:tcW w:w="32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831,389.17</w:t>
            </w:r>
            <w:r>
              <w:rPr>
                <w:rFonts w:ascii="宋体"/>
                <w:sz w:val="18"/>
              </w:rPr>
            </w:r>
          </w:p>
        </w:tc>
        <w:tc>
          <w:tcPr>
            <w:tcW w:w="1656" w:type="dxa"/>
            <w:tcBorders>
              <w:top w:val="single" w:sz="2" w:space="0" w:color="000000"/>
              <w:left w:val="single" w:sz="2" w:space="0" w:color="000000"/>
              <w:bottom w:val="single" w:sz="12" w:space="0" w:color="000000"/>
              <w:right w:val="single" w:sz="2" w:space="0" w:color="000000"/>
            </w:tcBorders>
          </w:tcPr>
          <w:p>
            <w:pPr/>
          </w:p>
        </w:tc>
        <w:tc>
          <w:tcPr>
            <w:tcW w:w="175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Heading7"/>
        <w:spacing w:line="240" w:lineRule="auto"/>
        <w:ind w:left="779" w:right="0"/>
        <w:jc w:val="left"/>
      </w:pPr>
      <w:r>
        <w:rPr/>
        <w:t>（</w:t>
      </w:r>
      <w:r>
        <w:rPr>
          <w:rFonts w:ascii="宋体" w:hAnsi="宋体" w:cs="宋体" w:eastAsia="宋体" w:hint="default"/>
        </w:rPr>
        <w:t>3</w:t>
      </w:r>
      <w:r>
        <w:rPr/>
        <w:t>）本年度实际核销的其他应收款</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4445"/>
        <w:gridCol w:w="4093"/>
      </w:tblGrid>
      <w:tr>
        <w:trPr>
          <w:trHeight w:val="415" w:hRule="exact"/>
        </w:trPr>
        <w:tc>
          <w:tcPr>
            <w:tcW w:w="44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415" w:hRule="exact"/>
        </w:trPr>
        <w:tc>
          <w:tcPr>
            <w:tcW w:w="44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0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17,410,297.50</w:t>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t>其他应收款核销情况：</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399"/>
        <w:gridCol w:w="1700"/>
        <w:gridCol w:w="1702"/>
        <w:gridCol w:w="1136"/>
        <w:gridCol w:w="1274"/>
        <w:gridCol w:w="1529"/>
      </w:tblGrid>
      <w:tr>
        <w:trPr>
          <w:trHeight w:val="694" w:hRule="exact"/>
        </w:trPr>
        <w:tc>
          <w:tcPr>
            <w:tcW w:w="139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其他应收款性质</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39"/>
              <w:ind w:left="453" w:right="180" w:hanging="269"/>
              <w:jc w:val="left"/>
              <w:rPr>
                <w:rFonts w:ascii="宋体" w:hAnsi="宋体" w:cs="宋体" w:eastAsia="宋体" w:hint="default"/>
                <w:sz w:val="18"/>
                <w:szCs w:val="18"/>
              </w:rPr>
            </w:pPr>
            <w:r>
              <w:rPr>
                <w:rFonts w:ascii="宋体" w:hAnsi="宋体" w:cs="宋体" w:eastAsia="宋体" w:hint="default"/>
                <w:b/>
                <w:bCs/>
                <w:sz w:val="18"/>
                <w:szCs w:val="18"/>
              </w:rPr>
              <w:t>履行的核销</w:t>
            </w:r>
            <w:r>
              <w:rPr>
                <w:rFonts w:ascii="宋体" w:hAnsi="宋体" w:cs="宋体" w:eastAsia="宋体" w:hint="default"/>
                <w:b/>
                <w:bCs/>
                <w:w w:val="99"/>
                <w:sz w:val="18"/>
                <w:szCs w:val="18"/>
              </w:rPr>
              <w:t> </w:t>
            </w:r>
            <w:r>
              <w:rPr>
                <w:rFonts w:ascii="宋体" w:hAnsi="宋体" w:cs="宋体" w:eastAsia="宋体" w:hint="default"/>
                <w:b/>
                <w:bCs/>
                <w:sz w:val="18"/>
                <w:szCs w:val="18"/>
              </w:rPr>
              <w:t>程序</w:t>
            </w:r>
            <w:r>
              <w:rPr>
                <w:rFonts w:ascii="宋体" w:hAnsi="宋体" w:cs="宋体" w:eastAsia="宋体" w:hint="default"/>
                <w:sz w:val="18"/>
                <w:szCs w:val="18"/>
              </w:rPr>
            </w:r>
          </w:p>
        </w:tc>
        <w:tc>
          <w:tcPr>
            <w:tcW w:w="1529" w:type="dxa"/>
            <w:tcBorders>
              <w:top w:val="single" w:sz="12" w:space="0" w:color="000000"/>
              <w:left w:val="single" w:sz="2" w:space="0" w:color="000000"/>
              <w:bottom w:val="single" w:sz="2" w:space="0" w:color="000000"/>
              <w:right w:val="nil" w:sz="6" w:space="0" w:color="auto"/>
            </w:tcBorders>
          </w:tcPr>
          <w:p>
            <w:pPr>
              <w:pStyle w:val="TableParagraph"/>
              <w:spacing w:line="345" w:lineRule="auto" w:before="15"/>
              <w:ind w:left="399" w:right="312" w:hanging="89"/>
              <w:jc w:val="left"/>
              <w:rPr>
                <w:rFonts w:ascii="宋体" w:hAnsi="宋体" w:cs="宋体" w:eastAsia="宋体" w:hint="default"/>
                <w:sz w:val="18"/>
                <w:szCs w:val="18"/>
              </w:rPr>
            </w:pPr>
            <w:r>
              <w:rPr>
                <w:rFonts w:ascii="宋体" w:hAnsi="宋体" w:cs="宋体" w:eastAsia="宋体" w:hint="default"/>
                <w:b/>
                <w:bCs/>
                <w:sz w:val="18"/>
                <w:szCs w:val="18"/>
              </w:rPr>
              <w:t>是否由关联</w:t>
            </w:r>
            <w:r>
              <w:rPr>
                <w:rFonts w:ascii="宋体" w:hAnsi="宋体" w:cs="宋体" w:eastAsia="宋体" w:hint="default"/>
                <w:b/>
                <w:bCs/>
                <w:w w:val="99"/>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tc>
      </w:tr>
      <w:tr>
        <w:trPr>
          <w:trHeight w:val="341" w:hRule="exact"/>
        </w:trPr>
        <w:tc>
          <w:tcPr>
            <w:tcW w:w="13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K</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节能环保补贴</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17,410,297.50</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无法收到</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8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13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b/>
                <w:w w:val="95"/>
                <w:sz w:val="18"/>
              </w:rPr>
              <w:t>17,410,297.50</w:t>
            </w:r>
            <w:r>
              <w:rPr>
                <w:rFonts w:ascii="宋体"/>
                <w:sz w:val="18"/>
              </w:rPr>
            </w:r>
          </w:p>
        </w:tc>
        <w:tc>
          <w:tcPr>
            <w:tcW w:w="1136"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
        </w:tc>
        <w:tc>
          <w:tcPr>
            <w:tcW w:w="152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t>（</w:t>
      </w:r>
      <w:r>
        <w:rPr>
          <w:rFonts w:ascii="宋体" w:hAnsi="宋体" w:cs="宋体" w:eastAsia="宋体" w:hint="default"/>
        </w:rPr>
        <w:t>4</w:t>
      </w:r>
      <w:r>
        <w:rPr/>
        <w:t>）其他应收款按款项性质分类情况</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080"/>
        <w:gridCol w:w="2856"/>
        <w:gridCol w:w="2804"/>
      </w:tblGrid>
      <w:tr>
        <w:trPr>
          <w:trHeight w:val="413"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5"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8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883"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28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left="856"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403"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宋体" w:hAnsi="宋体" w:cs="宋体" w:eastAsia="宋体" w:hint="default"/>
                <w:sz w:val="18"/>
                <w:szCs w:val="18"/>
              </w:rPr>
            </w:pPr>
            <w:r>
              <w:rPr>
                <w:rFonts w:ascii="宋体"/>
                <w:spacing w:val="-1"/>
                <w:sz w:val="18"/>
              </w:rPr>
              <w:t>251,873,310.28</w:t>
            </w:r>
          </w:p>
        </w:tc>
        <w:tc>
          <w:tcPr>
            <w:tcW w:w="28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pacing w:val="-1"/>
                <w:sz w:val="18"/>
              </w:rPr>
              <w:t>224,444,115.72</w:t>
            </w:r>
          </w:p>
        </w:tc>
      </w:tr>
      <w:tr>
        <w:trPr>
          <w:trHeight w:val="401"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110,337,071.62</w:t>
            </w:r>
          </w:p>
        </w:tc>
        <w:tc>
          <w:tcPr>
            <w:tcW w:w="28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197,600,867.00</w:t>
            </w:r>
          </w:p>
        </w:tc>
      </w:tr>
      <w:tr>
        <w:trPr>
          <w:trHeight w:val="401"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保理费</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97,994,917.60</w:t>
            </w:r>
          </w:p>
        </w:tc>
        <w:tc>
          <w:tcPr>
            <w:tcW w:w="28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118,592,339.00</w:t>
            </w:r>
          </w:p>
        </w:tc>
      </w:tr>
      <w:tr>
        <w:trPr>
          <w:trHeight w:val="403"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56,175,336.77</w:t>
            </w:r>
          </w:p>
        </w:tc>
        <w:tc>
          <w:tcPr>
            <w:tcW w:w="28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65,326,019.21</w:t>
            </w:r>
          </w:p>
        </w:tc>
      </w:tr>
      <w:tr>
        <w:trPr>
          <w:trHeight w:val="401"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6,459,121.10</w:t>
            </w:r>
          </w:p>
        </w:tc>
        <w:tc>
          <w:tcPr>
            <w:tcW w:w="28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1,190,097,000.00</w:t>
            </w:r>
          </w:p>
        </w:tc>
      </w:tr>
      <w:tr>
        <w:trPr>
          <w:trHeight w:val="401"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87,530,018.11</w:t>
            </w:r>
          </w:p>
        </w:tc>
        <w:tc>
          <w:tcPr>
            <w:tcW w:w="28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170,693,290.12</w:t>
            </w:r>
          </w:p>
        </w:tc>
      </w:tr>
      <w:tr>
        <w:trPr>
          <w:trHeight w:val="415"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610,369,775.48</w:t>
            </w:r>
            <w:r>
              <w:rPr>
                <w:rFonts w:ascii="宋体"/>
                <w:sz w:val="18"/>
              </w:rPr>
            </w:r>
          </w:p>
        </w:tc>
        <w:tc>
          <w:tcPr>
            <w:tcW w:w="28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1,966,753,631.05</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1" w:footer="980" w:top="1600" w:bottom="1160" w:left="1460" w:right="1420"/>
        </w:sectPr>
      </w:pPr>
    </w:p>
    <w:p>
      <w:pPr>
        <w:spacing w:line="240" w:lineRule="auto" w:before="3"/>
        <w:rPr>
          <w:rFonts w:ascii="宋体" w:hAnsi="宋体" w:cs="宋体" w:eastAsia="宋体" w:hint="default"/>
          <w:sz w:val="3"/>
          <w:szCs w:val="3"/>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799" w:right="36"/>
        <w:jc w:val="left"/>
      </w:pPr>
      <w:r>
        <w:rPr/>
        <w:t>（</w:t>
      </w:r>
      <w:r>
        <w:rPr>
          <w:rFonts w:ascii="宋体" w:hAnsi="宋体" w:cs="宋体" w:eastAsia="宋体" w:hint="default"/>
        </w:rPr>
        <w:t>5</w:t>
      </w:r>
      <w:r>
        <w:rPr/>
        <w:t>）按欠款方归集的年末余额前五名的其他应收款情况：</w:t>
      </w:r>
    </w:p>
    <w:p>
      <w:pPr>
        <w:spacing w:line="240" w:lineRule="auto" w:before="8"/>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571"/>
        <w:gridCol w:w="900"/>
        <w:gridCol w:w="1628"/>
        <w:gridCol w:w="1135"/>
        <w:gridCol w:w="1558"/>
        <w:gridCol w:w="960"/>
      </w:tblGrid>
      <w:tr>
        <w:trPr>
          <w:trHeight w:val="955" w:hRule="exact"/>
        </w:trPr>
        <w:tc>
          <w:tcPr>
            <w:tcW w:w="2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266" w:right="263"/>
              <w:jc w:val="left"/>
              <w:rPr>
                <w:rFonts w:ascii="宋体" w:hAnsi="宋体" w:cs="宋体" w:eastAsia="宋体" w:hint="default"/>
                <w:sz w:val="18"/>
                <w:szCs w:val="18"/>
              </w:rPr>
            </w:pPr>
            <w:r>
              <w:rPr>
                <w:rFonts w:ascii="宋体" w:hAnsi="宋体" w:cs="宋体" w:eastAsia="宋体" w:hint="default"/>
                <w:b/>
                <w:bCs/>
                <w:sz w:val="18"/>
                <w:szCs w:val="18"/>
              </w:rPr>
              <w:t>款项</w:t>
            </w:r>
            <w:r>
              <w:rPr>
                <w:rFonts w:ascii="宋体" w:hAnsi="宋体" w:cs="宋体" w:eastAsia="宋体" w:hint="default"/>
                <w:b/>
                <w:bCs/>
                <w:spacing w:val="-8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6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34"/>
              <w:ind w:left="143" w:right="143"/>
              <w:jc w:val="center"/>
              <w:rPr>
                <w:rFonts w:ascii="宋体" w:hAnsi="宋体" w:cs="宋体" w:eastAsia="宋体" w:hint="default"/>
                <w:sz w:val="18"/>
                <w:szCs w:val="18"/>
              </w:rPr>
            </w:pPr>
            <w:r>
              <w:rPr>
                <w:rFonts w:ascii="宋体" w:hAnsi="宋体" w:cs="宋体" w:eastAsia="宋体" w:hint="default"/>
                <w:b/>
                <w:bCs/>
                <w:sz w:val="18"/>
                <w:szCs w:val="18"/>
              </w:rPr>
              <w:t>占其他应收款年</w:t>
            </w:r>
            <w:r>
              <w:rPr>
                <w:rFonts w:ascii="宋体" w:hAnsi="宋体" w:cs="宋体" w:eastAsia="宋体" w:hint="default"/>
                <w:b/>
                <w:bCs/>
                <w:w w:val="99"/>
                <w:sz w:val="18"/>
                <w:szCs w:val="18"/>
              </w:rPr>
              <w:t> </w:t>
            </w:r>
            <w:r>
              <w:rPr>
                <w:rFonts w:ascii="宋体" w:hAnsi="宋体" w:cs="宋体" w:eastAsia="宋体" w:hint="default"/>
                <w:b/>
                <w:bCs/>
                <w:sz w:val="18"/>
                <w:szCs w:val="18"/>
              </w:rPr>
              <w:t>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95" w:lineRule="auto"/>
              <w:ind w:left="115" w:right="118"/>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7" w:hRule="exact"/>
        </w:trPr>
        <w:tc>
          <w:tcPr>
            <w:tcW w:w="2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5"/>
                <w:sz w:val="18"/>
                <w:szCs w:val="18"/>
              </w:rPr>
              <w:t> </w:t>
            </w:r>
            <w:r>
              <w:rPr>
                <w:rFonts w:ascii="宋体" w:hAnsi="宋体" w:cs="宋体" w:eastAsia="宋体" w:hint="default"/>
                <w:sz w:val="18"/>
                <w:szCs w:val="18"/>
              </w:rPr>
              <w:t>A</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保理费</w:t>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55,052,740.80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sz w:val="18"/>
              </w:rPr>
              <w:t>9.02</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5"/>
                <w:sz w:val="18"/>
                <w:szCs w:val="18"/>
              </w:rPr>
              <w:t> </w:t>
            </w:r>
            <w:r>
              <w:rPr>
                <w:rFonts w:ascii="宋体" w:hAnsi="宋体" w:cs="宋体" w:eastAsia="宋体" w:hint="default"/>
                <w:sz w:val="18"/>
                <w:szCs w:val="18"/>
              </w:rPr>
              <w:t>B</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保理费</w:t>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25,383,482.40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0"/>
              <w:jc w:val="right"/>
              <w:rPr>
                <w:rFonts w:ascii="宋体" w:hAnsi="宋体" w:cs="宋体" w:eastAsia="宋体" w:hint="default"/>
                <w:sz w:val="18"/>
                <w:szCs w:val="18"/>
              </w:rPr>
            </w:pPr>
            <w:r>
              <w:rPr>
                <w:rFonts w:ascii="宋体"/>
                <w:sz w:val="18"/>
              </w:rPr>
              <w:t>4.16</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R</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17,811,944.80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2.92</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2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5"/>
                <w:sz w:val="18"/>
                <w:szCs w:val="18"/>
              </w:rPr>
              <w:t> </w:t>
            </w:r>
            <w:r>
              <w:rPr>
                <w:rFonts w:ascii="宋体" w:hAnsi="宋体" w:cs="宋体" w:eastAsia="宋体" w:hint="default"/>
                <w:sz w:val="18"/>
                <w:szCs w:val="18"/>
              </w:rPr>
              <w:t>C</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保理费</w:t>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9,565,072.80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1.57</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S</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8,625,521.12</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1.41</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2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00" w:type="dxa"/>
            <w:tcBorders>
              <w:top w:val="single" w:sz="2" w:space="0" w:color="000000"/>
              <w:left w:val="single" w:sz="2" w:space="0" w:color="000000"/>
              <w:bottom w:val="single" w:sz="12" w:space="0" w:color="000000"/>
              <w:right w:val="single" w:sz="2" w:space="0" w:color="000000"/>
            </w:tcBorders>
          </w:tcPr>
          <w:p>
            <w:pPr/>
          </w:p>
        </w:tc>
        <w:tc>
          <w:tcPr>
            <w:tcW w:w="16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b/>
                <w:w w:val="95"/>
                <w:sz w:val="18"/>
              </w:rPr>
              <w:t>116,438,761.92</w:t>
            </w:r>
            <w:r>
              <w:rPr>
                <w:rFonts w:ascii="宋体"/>
                <w:sz w:val="18"/>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99"/>
              <w:jc w:val="right"/>
              <w:rPr>
                <w:rFonts w:ascii="宋体" w:hAnsi="宋体" w:cs="宋体" w:eastAsia="宋体" w:hint="default"/>
                <w:sz w:val="18"/>
                <w:szCs w:val="18"/>
              </w:rPr>
            </w:pPr>
            <w:r>
              <w:rPr>
                <w:rFonts w:ascii="宋体"/>
                <w:b/>
                <w:sz w:val="18"/>
              </w:rPr>
              <w:t>19.08</w:t>
            </w:r>
            <w:r>
              <w:rPr>
                <w:rFonts w:ascii="宋体"/>
                <w:sz w:val="18"/>
              </w:rPr>
            </w:r>
          </w:p>
        </w:tc>
        <w:tc>
          <w:tcPr>
            <w:tcW w:w="9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99" w:right="36"/>
        <w:jc w:val="left"/>
      </w:pPr>
      <w:r>
        <w:rPr>
          <w:rFonts w:ascii="宋体" w:hAnsi="宋体" w:cs="宋体" w:eastAsia="宋体" w:hint="default"/>
        </w:rPr>
        <w:t>8</w:t>
      </w:r>
      <w:r>
        <w:rPr/>
        <w:t>、存货</w:t>
      </w:r>
    </w:p>
    <w:p>
      <w:pPr>
        <w:pStyle w:val="Heading7"/>
        <w:spacing w:line="240" w:lineRule="auto" w:before="180"/>
        <w:ind w:left="799" w:right="36"/>
        <w:jc w:val="left"/>
      </w:pPr>
      <w:r>
        <w:rPr/>
        <w:t>（</w:t>
      </w:r>
      <w:r>
        <w:rPr>
          <w:rFonts w:ascii="宋体" w:hAnsi="宋体" w:cs="宋体" w:eastAsia="宋体" w:hint="default"/>
        </w:rPr>
        <w:t>1</w:t>
      </w:r>
      <w:r>
        <w:rPr/>
        <w:t>）存货分类</w:t>
      </w:r>
    </w:p>
    <w:p>
      <w:pPr>
        <w:spacing w:line="240" w:lineRule="auto" w:before="8"/>
        <w:rPr>
          <w:rFonts w:ascii="宋体" w:hAnsi="宋体" w:cs="宋体" w:eastAsia="宋体" w:hint="default"/>
          <w:sz w:val="6"/>
          <w:szCs w:val="6"/>
        </w:rPr>
      </w:pPr>
    </w:p>
    <w:tbl>
      <w:tblPr>
        <w:tblW w:w="0" w:type="auto"/>
        <w:jc w:val="left"/>
        <w:tblInd w:w="223" w:type="dxa"/>
        <w:tblLayout w:type="fixed"/>
        <w:tblCellMar>
          <w:top w:w="0" w:type="dxa"/>
          <w:left w:w="0" w:type="dxa"/>
          <w:bottom w:w="0" w:type="dxa"/>
          <w:right w:w="0" w:type="dxa"/>
        </w:tblCellMar>
        <w:tblLook w:val="01E0"/>
      </w:tblPr>
      <w:tblGrid>
        <w:gridCol w:w="1774"/>
        <w:gridCol w:w="2233"/>
        <w:gridCol w:w="2256"/>
        <w:gridCol w:w="2276"/>
      </w:tblGrid>
      <w:tr>
        <w:trPr>
          <w:trHeight w:val="389" w:hRule="exact"/>
        </w:trPr>
        <w:tc>
          <w:tcPr>
            <w:tcW w:w="1774"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76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1774" w:type="dxa"/>
            <w:vMerge/>
            <w:tcBorders>
              <w:left w:val="nil" w:sz="6" w:space="0" w:color="auto"/>
              <w:bottom w:val="single" w:sz="2" w:space="0" w:color="000000"/>
              <w:right w:val="single" w:sz="2" w:space="0" w:color="000000"/>
            </w:tcBorders>
          </w:tcPr>
          <w:p>
            <w:pP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74"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3,352,778,409.36</w:t>
            </w:r>
          </w:p>
        </w:tc>
        <w:tc>
          <w:tcPr>
            <w:tcW w:w="2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227,431,110.84</w:t>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3,125,347,298.52</w:t>
            </w:r>
          </w:p>
        </w:tc>
      </w:tr>
      <w:tr>
        <w:trPr>
          <w:trHeight w:val="374"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713,348,225.41</w:t>
            </w:r>
          </w:p>
        </w:tc>
        <w:tc>
          <w:tcPr>
            <w:tcW w:w="2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112,657,466.40</w:t>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600,690,759.01</w:t>
            </w:r>
          </w:p>
        </w:tc>
      </w:tr>
      <w:tr>
        <w:trPr>
          <w:trHeight w:val="374"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5,140,614,439.64</w:t>
            </w:r>
          </w:p>
        </w:tc>
        <w:tc>
          <w:tcPr>
            <w:tcW w:w="2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196,293,274.02</w:t>
            </w: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4,944,321,165.62</w:t>
            </w:r>
          </w:p>
        </w:tc>
      </w:tr>
      <w:tr>
        <w:trPr>
          <w:trHeight w:val="377"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15,630,095.20</w:t>
            </w:r>
          </w:p>
        </w:tc>
        <w:tc>
          <w:tcPr>
            <w:tcW w:w="2256" w:type="dxa"/>
            <w:tcBorders>
              <w:top w:val="single" w:sz="2" w:space="0" w:color="000000"/>
              <w:left w:val="single" w:sz="2" w:space="0" w:color="000000"/>
              <w:bottom w:val="single" w:sz="2" w:space="0" w:color="000000"/>
              <w:right w:val="single" w:sz="2" w:space="0" w:color="000000"/>
            </w:tcBorders>
          </w:tcPr>
          <w:p>
            <w:pPr/>
          </w:p>
        </w:tc>
        <w:tc>
          <w:tcPr>
            <w:tcW w:w="2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15,630,095.20</w:t>
            </w:r>
          </w:p>
        </w:tc>
      </w:tr>
      <w:tr>
        <w:trPr>
          <w:trHeight w:val="386" w:hRule="exact"/>
        </w:trPr>
        <w:tc>
          <w:tcPr>
            <w:tcW w:w="17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9,222,371,169.61</w:t>
            </w:r>
            <w:r>
              <w:rPr>
                <w:rFonts w:ascii="宋体"/>
                <w:sz w:val="18"/>
              </w:rPr>
            </w:r>
          </w:p>
        </w:tc>
        <w:tc>
          <w:tcPr>
            <w:tcW w:w="2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536,381,851.26</w:t>
            </w:r>
            <w:r>
              <w:rPr>
                <w:rFonts w:ascii="宋体"/>
                <w:sz w:val="18"/>
              </w:rPr>
            </w:r>
          </w:p>
        </w:tc>
        <w:tc>
          <w:tcPr>
            <w:tcW w:w="2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b/>
                <w:w w:val="95"/>
                <w:sz w:val="18"/>
              </w:rPr>
              <w:t>8,685,989,318.35</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99" w:right="36"/>
        <w:jc w:val="left"/>
      </w:pPr>
      <w:r>
        <w:rPr/>
        <w:t>续表：</w:t>
      </w:r>
    </w:p>
    <w:p>
      <w:pPr>
        <w:spacing w:line="240" w:lineRule="auto" w:before="8"/>
        <w:rPr>
          <w:rFonts w:ascii="宋体" w:hAnsi="宋体" w:cs="宋体" w:eastAsia="宋体" w:hint="default"/>
          <w:sz w:val="6"/>
          <w:szCs w:val="6"/>
        </w:rPr>
      </w:pPr>
    </w:p>
    <w:tbl>
      <w:tblPr>
        <w:tblW w:w="0" w:type="auto"/>
        <w:jc w:val="left"/>
        <w:tblInd w:w="226" w:type="dxa"/>
        <w:tblLayout w:type="fixed"/>
        <w:tblCellMar>
          <w:top w:w="0" w:type="dxa"/>
          <w:left w:w="0" w:type="dxa"/>
          <w:bottom w:w="0" w:type="dxa"/>
          <w:right w:w="0" w:type="dxa"/>
        </w:tblCellMar>
        <w:tblLook w:val="01E0"/>
      </w:tblPr>
      <w:tblGrid>
        <w:gridCol w:w="1766"/>
        <w:gridCol w:w="2235"/>
        <w:gridCol w:w="2247"/>
        <w:gridCol w:w="2283"/>
      </w:tblGrid>
      <w:tr>
        <w:trPr>
          <w:trHeight w:val="389" w:hRule="exact"/>
        </w:trPr>
        <w:tc>
          <w:tcPr>
            <w:tcW w:w="1766"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76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1766" w:type="dxa"/>
            <w:vMerge/>
            <w:tcBorders>
              <w:left w:val="nil" w:sz="6" w:space="0" w:color="auto"/>
              <w:bottom w:val="single" w:sz="2" w:space="0" w:color="000000"/>
              <w:right w:val="single" w:sz="2" w:space="0" w:color="000000"/>
            </w:tcBorders>
          </w:tcPr>
          <w:p>
            <w:pP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74"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3,803,451,065.10</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255,741,259.98</w:t>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28"/>
              <w:jc w:val="right"/>
              <w:rPr>
                <w:rFonts w:ascii="宋体" w:hAnsi="宋体" w:cs="宋体" w:eastAsia="宋体" w:hint="default"/>
                <w:sz w:val="18"/>
                <w:szCs w:val="18"/>
              </w:rPr>
            </w:pPr>
            <w:r>
              <w:rPr>
                <w:rFonts w:ascii="宋体"/>
                <w:spacing w:val="-1"/>
                <w:sz w:val="18"/>
              </w:rPr>
              <w:t>3,547,709,805.12</w:t>
            </w:r>
          </w:p>
        </w:tc>
      </w:tr>
      <w:tr>
        <w:trPr>
          <w:trHeight w:val="374"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842,332,195.38</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20,070,881.94</w:t>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28"/>
              <w:jc w:val="right"/>
              <w:rPr>
                <w:rFonts w:ascii="宋体" w:hAnsi="宋体" w:cs="宋体" w:eastAsia="宋体" w:hint="default"/>
                <w:sz w:val="18"/>
                <w:szCs w:val="18"/>
              </w:rPr>
            </w:pPr>
            <w:r>
              <w:rPr>
                <w:rFonts w:ascii="宋体"/>
                <w:spacing w:val="-1"/>
                <w:sz w:val="18"/>
              </w:rPr>
              <w:t>822,261,313.44</w:t>
            </w:r>
          </w:p>
        </w:tc>
      </w:tr>
      <w:tr>
        <w:trPr>
          <w:trHeight w:val="377"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4,959,796,509.97</w:t>
            </w:r>
          </w:p>
        </w:tc>
        <w:tc>
          <w:tcPr>
            <w:tcW w:w="2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118,702,237.64</w:t>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28"/>
              <w:jc w:val="right"/>
              <w:rPr>
                <w:rFonts w:ascii="宋体" w:hAnsi="宋体" w:cs="宋体" w:eastAsia="宋体" w:hint="default"/>
                <w:sz w:val="18"/>
                <w:szCs w:val="18"/>
              </w:rPr>
            </w:pPr>
            <w:r>
              <w:rPr>
                <w:rFonts w:ascii="宋体"/>
                <w:spacing w:val="-1"/>
                <w:sz w:val="18"/>
              </w:rPr>
              <w:t>4,841,094,272.33</w:t>
            </w:r>
          </w:p>
        </w:tc>
      </w:tr>
      <w:tr>
        <w:trPr>
          <w:trHeight w:val="374"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17,844,141.22</w:t>
            </w:r>
          </w:p>
        </w:tc>
        <w:tc>
          <w:tcPr>
            <w:tcW w:w="2247" w:type="dxa"/>
            <w:tcBorders>
              <w:top w:val="single" w:sz="2" w:space="0" w:color="000000"/>
              <w:left w:val="single" w:sz="2" w:space="0" w:color="000000"/>
              <w:bottom w:val="single" w:sz="2" w:space="0" w:color="000000"/>
              <w:right w:val="single" w:sz="2" w:space="0" w:color="000000"/>
            </w:tcBorders>
          </w:tcPr>
          <w:p>
            <w:pP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28"/>
              <w:jc w:val="right"/>
              <w:rPr>
                <w:rFonts w:ascii="宋体" w:hAnsi="宋体" w:cs="宋体" w:eastAsia="宋体" w:hint="default"/>
                <w:sz w:val="18"/>
                <w:szCs w:val="18"/>
              </w:rPr>
            </w:pPr>
            <w:r>
              <w:rPr>
                <w:rFonts w:ascii="宋体"/>
                <w:spacing w:val="-1"/>
                <w:sz w:val="18"/>
              </w:rPr>
              <w:t>17,844,141.22</w:t>
            </w:r>
          </w:p>
        </w:tc>
      </w:tr>
      <w:tr>
        <w:trPr>
          <w:trHeight w:val="386" w:hRule="exact"/>
        </w:trPr>
        <w:tc>
          <w:tcPr>
            <w:tcW w:w="17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9,623,423,911.67</w:t>
            </w:r>
            <w:r>
              <w:rPr>
                <w:rFonts w:ascii="宋体"/>
                <w:sz w:val="18"/>
              </w:rPr>
            </w:r>
          </w:p>
        </w:tc>
        <w:tc>
          <w:tcPr>
            <w:tcW w:w="22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394,514,379.56</w:t>
            </w:r>
            <w:r>
              <w:rPr>
                <w:rFonts w:ascii="宋体"/>
                <w:sz w:val="18"/>
              </w:rPr>
            </w:r>
          </w:p>
        </w:tc>
        <w:tc>
          <w:tcPr>
            <w:tcW w:w="22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28"/>
              <w:jc w:val="right"/>
              <w:rPr>
                <w:rFonts w:ascii="宋体" w:hAnsi="宋体" w:cs="宋体" w:eastAsia="宋体" w:hint="default"/>
                <w:sz w:val="18"/>
                <w:szCs w:val="18"/>
              </w:rPr>
            </w:pPr>
            <w:r>
              <w:rPr>
                <w:rFonts w:ascii="宋体"/>
                <w:b/>
                <w:w w:val="95"/>
                <w:sz w:val="18"/>
              </w:rPr>
              <w:t>9,228,909,532.11</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99" w:right="36"/>
        <w:jc w:val="left"/>
      </w:pPr>
      <w:r>
        <w:rPr/>
        <w:t>（</w:t>
      </w:r>
      <w:r>
        <w:rPr>
          <w:rFonts w:ascii="宋体" w:hAnsi="宋体" w:cs="宋体" w:eastAsia="宋体" w:hint="default"/>
        </w:rPr>
        <w:t>2</w:t>
      </w:r>
      <w:r>
        <w:rPr/>
        <w:t>）存货跌价准备</w:t>
      </w:r>
    </w:p>
    <w:p>
      <w:pPr>
        <w:spacing w:line="240" w:lineRule="auto" w:before="8"/>
        <w:rPr>
          <w:rFonts w:ascii="宋体" w:hAnsi="宋体" w:cs="宋体" w:eastAsia="宋体" w:hint="default"/>
          <w:sz w:val="6"/>
          <w:szCs w:val="6"/>
        </w:rPr>
      </w:pPr>
    </w:p>
    <w:tbl>
      <w:tblPr>
        <w:tblW w:w="0" w:type="auto"/>
        <w:jc w:val="left"/>
        <w:tblInd w:w="223" w:type="dxa"/>
        <w:tblLayout w:type="fixed"/>
        <w:tblCellMar>
          <w:top w:w="0" w:type="dxa"/>
          <w:left w:w="0" w:type="dxa"/>
          <w:bottom w:w="0" w:type="dxa"/>
          <w:right w:w="0" w:type="dxa"/>
        </w:tblCellMar>
        <w:tblLook w:val="01E0"/>
      </w:tblPr>
      <w:tblGrid>
        <w:gridCol w:w="821"/>
        <w:gridCol w:w="1431"/>
        <w:gridCol w:w="1428"/>
        <w:gridCol w:w="1344"/>
        <w:gridCol w:w="658"/>
        <w:gridCol w:w="1428"/>
        <w:gridCol w:w="1428"/>
      </w:tblGrid>
      <w:tr>
        <w:trPr>
          <w:trHeight w:val="389" w:hRule="exact"/>
        </w:trPr>
        <w:tc>
          <w:tcPr>
            <w:tcW w:w="821"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1"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772" w:type="dxa"/>
            <w:gridSpan w:val="2"/>
            <w:tcBorders>
              <w:top w:val="single" w:sz="12" w:space="0" w:color="000000"/>
              <w:left w:val="single" w:sz="4" w:space="0" w:color="000000"/>
              <w:bottom w:val="single" w:sz="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086" w:type="dxa"/>
            <w:gridSpan w:val="2"/>
            <w:tcBorders>
              <w:top w:val="single" w:sz="12" w:space="0" w:color="000000"/>
              <w:left w:val="single" w:sz="4" w:space="0" w:color="000000"/>
              <w:bottom w:val="single" w:sz="2" w:space="0" w:color="000000"/>
              <w:right w:val="single" w:sz="4" w:space="0" w:color="000000"/>
            </w:tcBorders>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28"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5" w:hRule="exact"/>
        </w:trPr>
        <w:tc>
          <w:tcPr>
            <w:tcW w:w="821" w:type="dxa"/>
            <w:vMerge/>
            <w:tcBorders>
              <w:left w:val="nil" w:sz="6" w:space="0" w:color="auto"/>
              <w:bottom w:val="single" w:sz="2" w:space="0" w:color="000000"/>
              <w:right w:val="single" w:sz="4" w:space="0" w:color="000000"/>
            </w:tcBorders>
          </w:tcPr>
          <w:p>
            <w:pPr/>
          </w:p>
        </w:tc>
        <w:tc>
          <w:tcPr>
            <w:tcW w:w="1431" w:type="dxa"/>
            <w:vMerge/>
            <w:tcBorders>
              <w:left w:val="single" w:sz="4" w:space="0" w:color="000000"/>
              <w:bottom w:val="single" w:sz="2" w:space="0" w:color="000000"/>
              <w:right w:val="single" w:sz="4" w:space="0" w:color="000000"/>
            </w:tcBorders>
          </w:tcPr>
          <w:p>
            <w:pPr/>
          </w:p>
        </w:tc>
        <w:tc>
          <w:tcPr>
            <w:tcW w:w="142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2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428" w:type="dxa"/>
            <w:vMerge/>
            <w:tcBorders>
              <w:left w:val="single" w:sz="4" w:space="0" w:color="000000"/>
              <w:bottom w:val="single" w:sz="2" w:space="0" w:color="000000"/>
              <w:right w:val="nil" w:sz="6" w:space="0" w:color="auto"/>
            </w:tcBorders>
          </w:tcPr>
          <w:p>
            <w:pPr/>
          </w:p>
        </w:tc>
      </w:tr>
      <w:tr>
        <w:trPr>
          <w:trHeight w:val="375" w:hRule="exact"/>
        </w:trPr>
        <w:tc>
          <w:tcPr>
            <w:tcW w:w="8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原材料</w:t>
            </w:r>
          </w:p>
        </w:tc>
        <w:tc>
          <w:tcPr>
            <w:tcW w:w="1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255,741,259.98</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176,912,826.87</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9,840,048.76</w:t>
            </w:r>
          </w:p>
        </w:tc>
        <w:tc>
          <w:tcPr>
            <w:tcW w:w="658"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215,063,024.77</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88" w:right="0"/>
              <w:jc w:val="center"/>
              <w:rPr>
                <w:rFonts w:ascii="宋体" w:hAnsi="宋体" w:cs="宋体" w:eastAsia="宋体" w:hint="default"/>
                <w:sz w:val="18"/>
                <w:szCs w:val="18"/>
              </w:rPr>
            </w:pPr>
            <w:r>
              <w:rPr>
                <w:rFonts w:ascii="宋体"/>
                <w:sz w:val="18"/>
              </w:rPr>
              <w:t>227,431,110.84</w:t>
            </w:r>
          </w:p>
        </w:tc>
      </w:tr>
      <w:tr>
        <w:trPr>
          <w:trHeight w:val="374" w:hRule="exact"/>
        </w:trPr>
        <w:tc>
          <w:tcPr>
            <w:tcW w:w="8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在产品</w:t>
            </w:r>
          </w:p>
        </w:tc>
        <w:tc>
          <w:tcPr>
            <w:tcW w:w="1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20,070,881.94</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108,262,097.25</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4,524,176.46</w:t>
            </w:r>
          </w:p>
        </w:tc>
        <w:tc>
          <w:tcPr>
            <w:tcW w:w="658"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20,199,689.25</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88" w:right="0"/>
              <w:jc w:val="center"/>
              <w:rPr>
                <w:rFonts w:ascii="宋体" w:hAnsi="宋体" w:cs="宋体" w:eastAsia="宋体" w:hint="default"/>
                <w:sz w:val="18"/>
                <w:szCs w:val="18"/>
              </w:rPr>
            </w:pPr>
            <w:r>
              <w:rPr>
                <w:rFonts w:ascii="宋体"/>
                <w:sz w:val="18"/>
              </w:rPr>
              <w:t>112,657,466.40</w:t>
            </w:r>
          </w:p>
        </w:tc>
      </w:tr>
      <w:tr>
        <w:trPr>
          <w:trHeight w:val="377" w:hRule="exact"/>
        </w:trPr>
        <w:tc>
          <w:tcPr>
            <w:tcW w:w="8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产成品</w:t>
            </w:r>
          </w:p>
        </w:tc>
        <w:tc>
          <w:tcPr>
            <w:tcW w:w="1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118,702,237.64</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186,808,097.32</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9,128,089.95</w:t>
            </w:r>
          </w:p>
        </w:tc>
        <w:tc>
          <w:tcPr>
            <w:tcW w:w="658"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118,345,150.89</w:t>
            </w: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88" w:right="0"/>
              <w:jc w:val="center"/>
              <w:rPr>
                <w:rFonts w:ascii="宋体" w:hAnsi="宋体" w:cs="宋体" w:eastAsia="宋体" w:hint="default"/>
                <w:sz w:val="18"/>
                <w:szCs w:val="18"/>
              </w:rPr>
            </w:pPr>
            <w:r>
              <w:rPr>
                <w:rFonts w:ascii="宋体"/>
                <w:sz w:val="18"/>
              </w:rPr>
              <w:t>196,293,274.02</w:t>
            </w:r>
          </w:p>
        </w:tc>
      </w:tr>
      <w:tr>
        <w:trPr>
          <w:trHeight w:val="386" w:hRule="exact"/>
        </w:trPr>
        <w:tc>
          <w:tcPr>
            <w:tcW w:w="8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21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394,514,379.56</w:t>
            </w:r>
            <w:r>
              <w:rPr>
                <w:rFonts w:ascii="宋体"/>
                <w:sz w:val="18"/>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76" w:right="0"/>
              <w:jc w:val="center"/>
              <w:rPr>
                <w:rFonts w:ascii="宋体" w:hAnsi="宋体" w:cs="宋体" w:eastAsia="宋体" w:hint="default"/>
                <w:sz w:val="18"/>
                <w:szCs w:val="18"/>
              </w:rPr>
            </w:pPr>
            <w:r>
              <w:rPr>
                <w:rFonts w:ascii="宋体"/>
                <w:b/>
                <w:sz w:val="18"/>
              </w:rPr>
              <w:t>471,983,021.44</w:t>
            </w:r>
            <w:r>
              <w:rPr>
                <w:rFonts w:ascii="宋体"/>
                <w:sz w:val="18"/>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23,492,315.17</w:t>
            </w:r>
            <w:r>
              <w:rPr>
                <w:rFonts w:ascii="宋体"/>
                <w:sz w:val="18"/>
              </w:rPr>
            </w:r>
          </w:p>
        </w:tc>
        <w:tc>
          <w:tcPr>
            <w:tcW w:w="658" w:type="dxa"/>
            <w:tcBorders>
              <w:top w:val="single" w:sz="2" w:space="0" w:color="000000"/>
              <w:left w:val="single" w:sz="2" w:space="0" w:color="000000"/>
              <w:bottom w:val="single" w:sz="12" w:space="0" w:color="000000"/>
              <w:right w:val="single" w:sz="2" w:space="0" w:color="000000"/>
            </w:tcBorders>
          </w:tcPr>
          <w:p>
            <w:pP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353,607,864.91</w:t>
            </w:r>
            <w:r>
              <w:rPr>
                <w:rFonts w:ascii="宋体"/>
                <w:sz w:val="18"/>
              </w:rPr>
            </w:r>
          </w:p>
        </w:tc>
        <w:tc>
          <w:tcPr>
            <w:tcW w:w="14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78" w:right="0"/>
              <w:jc w:val="center"/>
              <w:rPr>
                <w:rFonts w:ascii="宋体" w:hAnsi="宋体" w:cs="宋体" w:eastAsia="宋体" w:hint="default"/>
                <w:sz w:val="18"/>
                <w:szCs w:val="18"/>
              </w:rPr>
            </w:pPr>
            <w:r>
              <w:rPr>
                <w:rFonts w:ascii="宋体"/>
                <w:b/>
                <w:sz w:val="18"/>
              </w:rPr>
              <w:t>536,381,851.26</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99" w:right="36"/>
        <w:jc w:val="left"/>
      </w:pPr>
      <w:r>
        <w:rPr/>
        <w:t>注：本年增加的其他为汇率变动。</w:t>
      </w:r>
    </w:p>
    <w:p>
      <w:pPr>
        <w:spacing w:after="0" w:line="240" w:lineRule="auto"/>
        <w:jc w:val="left"/>
        <w:sectPr>
          <w:pgSz w:w="11910" w:h="16840"/>
          <w:pgMar w:header="881" w:footer="980" w:top="1600" w:bottom="1160" w:left="1440" w:right="142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79" w:right="446"/>
        <w:jc w:val="left"/>
      </w:pPr>
      <w:r>
        <w:rPr/>
        <w:t>（</w:t>
      </w:r>
      <w:r>
        <w:rPr>
          <w:rFonts w:ascii="宋体" w:hAnsi="宋体" w:cs="宋体" w:eastAsia="宋体" w:hint="default"/>
        </w:rPr>
        <w:t>3</w:t>
      </w:r>
      <w:r>
        <w:rPr/>
        <w:t>）存货跌价准备计提</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150"/>
        <w:gridCol w:w="2833"/>
        <w:gridCol w:w="3555"/>
      </w:tblGrid>
      <w:tr>
        <w:trPr>
          <w:trHeight w:val="415" w:hRule="exact"/>
        </w:trPr>
        <w:tc>
          <w:tcPr>
            <w:tcW w:w="21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35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401" w:hRule="exact"/>
        </w:trPr>
        <w:tc>
          <w:tcPr>
            <w:tcW w:w="2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成本与可变现净值孰低原则</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产品销售或材料销售</w:t>
            </w:r>
          </w:p>
        </w:tc>
      </w:tr>
      <w:tr>
        <w:trPr>
          <w:trHeight w:val="403" w:hRule="exact"/>
        </w:trPr>
        <w:tc>
          <w:tcPr>
            <w:tcW w:w="2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8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成本与可变现净值孰低原则</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产品销售</w:t>
            </w:r>
          </w:p>
        </w:tc>
      </w:tr>
      <w:tr>
        <w:trPr>
          <w:trHeight w:val="413" w:hRule="exact"/>
        </w:trPr>
        <w:tc>
          <w:tcPr>
            <w:tcW w:w="2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8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成本与可变现净值孰低原则</w:t>
            </w:r>
          </w:p>
        </w:tc>
        <w:tc>
          <w:tcPr>
            <w:tcW w:w="35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产品销售</w:t>
            </w:r>
          </w:p>
        </w:tc>
      </w:tr>
    </w:tbl>
    <w:p>
      <w:pPr>
        <w:spacing w:line="240" w:lineRule="auto" w:before="8"/>
        <w:rPr>
          <w:rFonts w:ascii="宋体" w:hAnsi="宋体" w:cs="宋体" w:eastAsia="宋体" w:hint="default"/>
          <w:sz w:val="4"/>
          <w:szCs w:val="4"/>
        </w:rPr>
      </w:pPr>
    </w:p>
    <w:p>
      <w:pPr>
        <w:pStyle w:val="Heading7"/>
        <w:spacing w:line="240" w:lineRule="auto"/>
        <w:ind w:left="679" w:right="446"/>
        <w:jc w:val="left"/>
      </w:pPr>
      <w:r>
        <w:rPr>
          <w:rFonts w:ascii="宋体" w:hAnsi="宋体" w:cs="宋体" w:eastAsia="宋体" w:hint="default"/>
        </w:rPr>
        <w:t>9</w:t>
      </w:r>
      <w:r>
        <w:rPr/>
        <w:t>、一年内到期的非流动资产</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150"/>
        <w:gridCol w:w="2132"/>
        <w:gridCol w:w="2129"/>
        <w:gridCol w:w="2127"/>
      </w:tblGrid>
      <w:tr>
        <w:trPr>
          <w:trHeight w:val="415" w:hRule="exact"/>
        </w:trPr>
        <w:tc>
          <w:tcPr>
            <w:tcW w:w="21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left="70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left="7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1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401" w:hRule="exact"/>
        </w:trPr>
        <w:tc>
          <w:tcPr>
            <w:tcW w:w="2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福清市土地发展中心</w:t>
            </w:r>
          </w:p>
        </w:tc>
        <w:tc>
          <w:tcPr>
            <w:tcW w:w="2132" w:type="dxa"/>
            <w:tcBorders>
              <w:top w:val="single" w:sz="2" w:space="0" w:color="000000"/>
              <w:left w:val="single" w:sz="2" w:space="0" w:color="000000"/>
              <w:bottom w:val="single" w:sz="2" w:space="0" w:color="000000"/>
              <w:right w:val="single" w:sz="2" w:space="0" w:color="000000"/>
            </w:tcBorders>
          </w:tcPr>
          <w:p>
            <w:pP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322,079,684.00</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应收处置土地款项</w:t>
            </w:r>
          </w:p>
        </w:tc>
      </w:tr>
      <w:tr>
        <w:trPr>
          <w:trHeight w:val="415" w:hRule="exact"/>
        </w:trPr>
        <w:tc>
          <w:tcPr>
            <w:tcW w:w="2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2" w:type="dxa"/>
            <w:tcBorders>
              <w:top w:val="single" w:sz="2" w:space="0" w:color="000000"/>
              <w:left w:val="single" w:sz="2" w:space="0" w:color="000000"/>
              <w:bottom w:val="single" w:sz="12" w:space="0" w:color="000000"/>
              <w:right w:val="single" w:sz="2" w:space="0" w:color="000000"/>
            </w:tcBorders>
          </w:tcPr>
          <w:p>
            <w:pPr/>
          </w:p>
        </w:tc>
        <w:tc>
          <w:tcPr>
            <w:tcW w:w="21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322,079,684.00</w:t>
            </w:r>
            <w:r>
              <w:rPr>
                <w:rFonts w:ascii="宋体"/>
                <w:sz w:val="18"/>
              </w:rPr>
            </w:r>
          </w:p>
        </w:tc>
        <w:tc>
          <w:tcPr>
            <w:tcW w:w="212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4"/>
          <w:szCs w:val="4"/>
        </w:rPr>
      </w:pPr>
    </w:p>
    <w:p>
      <w:pPr>
        <w:pStyle w:val="Heading7"/>
        <w:spacing w:line="326" w:lineRule="auto"/>
        <w:ind w:left="240" w:right="456" w:firstLine="439"/>
        <w:jc w:val="both"/>
      </w:pPr>
      <w:r>
        <w:rPr>
          <w:spacing w:val="-3"/>
        </w:rPr>
        <w:t>注：福清市土地发展中心款项系冠捷科技之子公司冠捷电子（福建）有限公司将位</w:t>
      </w:r>
      <w:r>
        <w:rPr>
          <w:w w:val="100"/>
        </w:rPr>
        <w:t> </w:t>
      </w:r>
      <w:r>
        <w:rPr>
          <w:spacing w:val="-3"/>
        </w:rPr>
        <w:t>于福清市宏路街道石门村的土地使用权由福清市人民政府收回，交由福清市土地发展中</w:t>
      </w:r>
      <w:r>
        <w:rPr>
          <w:spacing w:val="-58"/>
        </w:rPr>
        <w:t> </w:t>
      </w:r>
      <w:r>
        <w:rPr>
          <w:spacing w:val="-58"/>
        </w:rPr>
      </w:r>
      <w:r>
        <w:rPr/>
        <w:t>心储备。针对该块土地使用权及地面建筑物给予综合补偿共计</w:t>
      </w:r>
      <w:r>
        <w:rPr>
          <w:spacing w:val="-65"/>
        </w:rPr>
        <w:t> </w:t>
      </w:r>
      <w:r>
        <w:rPr>
          <w:rFonts w:ascii="宋体" w:hAnsi="宋体" w:cs="宋体" w:eastAsia="宋体" w:hint="default"/>
        </w:rPr>
        <w:t>57,669.37</w:t>
      </w:r>
      <w:r>
        <w:rPr>
          <w:rFonts w:ascii="宋体" w:hAnsi="宋体" w:cs="宋体" w:eastAsia="宋体" w:hint="default"/>
          <w:spacing w:val="-68"/>
        </w:rPr>
        <w:t> </w:t>
      </w:r>
      <w:r>
        <w:rPr>
          <w:spacing w:val="-6"/>
        </w:rPr>
        <w:t>万元，款项分</w:t>
      </w:r>
      <w:r>
        <w:rPr>
          <w:w w:val="100"/>
        </w:rPr>
        <w:t> </w:t>
      </w:r>
      <w:r>
        <w:rPr/>
        <w:t>五年收取，截至本年末已收到全部款项。</w:t>
      </w:r>
    </w:p>
    <w:p>
      <w:pPr>
        <w:pStyle w:val="Heading7"/>
        <w:spacing w:line="240" w:lineRule="auto" w:before="101"/>
        <w:ind w:left="679" w:right="446"/>
        <w:jc w:val="left"/>
      </w:pPr>
      <w:r>
        <w:rPr>
          <w:rFonts w:ascii="宋体" w:hAnsi="宋体" w:cs="宋体" w:eastAsia="宋体" w:hint="default"/>
        </w:rPr>
        <w:t>10</w:t>
      </w:r>
      <w:r>
        <w:rPr/>
        <w:t>、其他流动资产</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194"/>
        <w:gridCol w:w="2182"/>
        <w:gridCol w:w="2182"/>
        <w:gridCol w:w="2182"/>
      </w:tblGrid>
      <w:tr>
        <w:trPr>
          <w:trHeight w:val="413" w:hRule="exact"/>
        </w:trPr>
        <w:tc>
          <w:tcPr>
            <w:tcW w:w="21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right="90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1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403" w:hRule="exact"/>
        </w:trPr>
        <w:tc>
          <w:tcPr>
            <w:tcW w:w="21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1,218,741,328.86</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1,553,308,880.40</w:t>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待抵扣的进项税</w:t>
            </w:r>
          </w:p>
        </w:tc>
      </w:tr>
      <w:tr>
        <w:trPr>
          <w:trHeight w:val="401" w:hRule="exact"/>
        </w:trPr>
        <w:tc>
          <w:tcPr>
            <w:tcW w:w="21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37,877,168.80</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72,226,090.77</w:t>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预缴税金</w:t>
            </w:r>
          </w:p>
        </w:tc>
      </w:tr>
      <w:tr>
        <w:trPr>
          <w:trHeight w:val="401" w:hRule="exact"/>
        </w:trPr>
        <w:tc>
          <w:tcPr>
            <w:tcW w:w="21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9"/>
                <w:szCs w:val="9"/>
              </w:rPr>
            </w:pPr>
            <w:r>
              <w:rPr>
                <w:rFonts w:ascii="宋体" w:hAnsi="宋体" w:cs="宋体" w:eastAsia="宋体" w:hint="default"/>
                <w:sz w:val="18"/>
                <w:szCs w:val="18"/>
              </w:rPr>
              <w:t>专项支出</w:t>
            </w:r>
            <w:r>
              <w:rPr>
                <w:rFonts w:ascii="宋体" w:hAnsi="宋体" w:cs="宋体" w:eastAsia="宋体" w:hint="default"/>
                <w:position w:val="9"/>
                <w:sz w:val="9"/>
                <w:szCs w:val="9"/>
              </w:rPr>
              <w:t>注</w:t>
            </w:r>
            <w:r>
              <w:rPr>
                <w:rFonts w:ascii="宋体" w:hAnsi="宋体" w:cs="宋体" w:eastAsia="宋体" w:hint="default"/>
                <w:spacing w:val="-24"/>
                <w:position w:val="9"/>
                <w:sz w:val="9"/>
                <w:szCs w:val="9"/>
              </w:rPr>
              <w:t> </w:t>
            </w:r>
            <w:r>
              <w:rPr>
                <w:rFonts w:ascii="宋体" w:hAnsi="宋体" w:cs="宋体" w:eastAsia="宋体" w:hint="default"/>
                <w:position w:val="9"/>
                <w:sz w:val="9"/>
                <w:szCs w:val="9"/>
              </w:rPr>
              <w:t>1</w:t>
            </w:r>
            <w:r>
              <w:rPr>
                <w:rFonts w:ascii="宋体" w:hAnsi="宋体" w:cs="宋体" w:eastAsia="宋体" w:hint="default"/>
                <w:sz w:val="9"/>
                <w:szCs w:val="9"/>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9,653,374.43</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914,000.00</w:t>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政府补助项目支出</w:t>
            </w:r>
          </w:p>
        </w:tc>
      </w:tr>
      <w:tr>
        <w:trPr>
          <w:trHeight w:val="401" w:hRule="exact"/>
        </w:trPr>
        <w:tc>
          <w:tcPr>
            <w:tcW w:w="21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77,973.90</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266,851.55</w:t>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待摊费用</w:t>
            </w:r>
          </w:p>
        </w:tc>
      </w:tr>
      <w:tr>
        <w:trPr>
          <w:trHeight w:val="415" w:hRule="exact"/>
        </w:trPr>
        <w:tc>
          <w:tcPr>
            <w:tcW w:w="21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right="90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1,266,349,845.99</w:t>
            </w:r>
            <w:r>
              <w:rPr>
                <w:rFonts w:ascii="宋体"/>
                <w:sz w:val="18"/>
              </w:rPr>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1,626,715,822.72</w:t>
            </w:r>
            <w:r>
              <w:rPr>
                <w:rFonts w:ascii="宋体"/>
                <w:sz w:val="18"/>
              </w:rPr>
            </w:r>
          </w:p>
        </w:tc>
        <w:tc>
          <w:tcPr>
            <w:tcW w:w="218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326" w:lineRule="auto"/>
        <w:ind w:left="240" w:right="446" w:firstLine="439"/>
        <w:jc w:val="left"/>
      </w:pPr>
      <w:r>
        <w:rPr/>
        <w:t>注</w:t>
      </w:r>
      <w:r>
        <w:rPr>
          <w:spacing w:val="-59"/>
        </w:rPr>
        <w:t> </w:t>
      </w:r>
      <w:r>
        <w:rPr>
          <w:rFonts w:ascii="宋体" w:hAnsi="宋体" w:cs="宋体" w:eastAsia="宋体" w:hint="default"/>
        </w:rPr>
        <w:t>1</w:t>
      </w:r>
      <w:r>
        <w:rPr/>
        <w:t>：专项支出系本公司为政府补助项目所发生的支出，依照项目预期结转日期分</w:t>
      </w:r>
      <w:r>
        <w:rPr>
          <w:w w:val="100"/>
        </w:rPr>
        <w:t> </w:t>
      </w:r>
      <w:r>
        <w:rPr/>
        <w:t>别在资产负债表中的“其他流动资产”项目及“其他非流动资产”项目列示。</w:t>
      </w:r>
    </w:p>
    <w:p>
      <w:pPr>
        <w:pStyle w:val="Heading7"/>
        <w:spacing w:line="240" w:lineRule="auto" w:before="101"/>
        <w:ind w:left="679" w:right="446"/>
        <w:jc w:val="left"/>
      </w:pPr>
      <w:r>
        <w:rPr>
          <w:rFonts w:ascii="宋体" w:hAnsi="宋体" w:cs="宋体" w:eastAsia="宋体" w:hint="default"/>
        </w:rPr>
        <w:t>11</w:t>
      </w:r>
      <w:r>
        <w:rPr/>
        <w:t>、可供出售金融资产</w:t>
      </w:r>
    </w:p>
    <w:p>
      <w:pPr>
        <w:pStyle w:val="Heading7"/>
        <w:spacing w:line="240" w:lineRule="auto" w:before="180"/>
        <w:ind w:left="679" w:right="446"/>
        <w:jc w:val="left"/>
      </w:pPr>
      <w:r>
        <w:rPr/>
        <w:t>（</w:t>
      </w:r>
      <w:r>
        <w:rPr>
          <w:rFonts w:ascii="宋体" w:hAnsi="宋体" w:cs="宋体" w:eastAsia="宋体" w:hint="default"/>
        </w:rPr>
        <w:t>1</w:t>
      </w:r>
      <w:r>
        <w:rPr/>
        <w:t>）可供出售金融资产情况</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751"/>
        <w:gridCol w:w="1930"/>
        <w:gridCol w:w="1928"/>
        <w:gridCol w:w="1930"/>
      </w:tblGrid>
      <w:tr>
        <w:trPr>
          <w:trHeight w:val="413" w:hRule="exact"/>
        </w:trPr>
        <w:tc>
          <w:tcPr>
            <w:tcW w:w="2751"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78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3" w:hRule="exact"/>
        </w:trPr>
        <w:tc>
          <w:tcPr>
            <w:tcW w:w="2751" w:type="dxa"/>
            <w:vMerge/>
            <w:tcBorders>
              <w:left w:val="nil" w:sz="6" w:space="0" w:color="auto"/>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9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60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6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1"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28,354,288.02</w:t>
            </w:r>
          </w:p>
        </w:tc>
        <w:tc>
          <w:tcPr>
            <w:tcW w:w="1928" w:type="dxa"/>
            <w:tcBorders>
              <w:top w:val="single" w:sz="2" w:space="0" w:color="000000"/>
              <w:left w:val="single" w:sz="2" w:space="0" w:color="000000"/>
              <w:bottom w:val="single" w:sz="2" w:space="0" w:color="000000"/>
              <w:right w:val="single" w:sz="2" w:space="0" w:color="000000"/>
            </w:tcBorders>
          </w:tcPr>
          <w:p>
            <w:pPr/>
          </w:p>
        </w:tc>
        <w:tc>
          <w:tcPr>
            <w:tcW w:w="1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28,354,288.02</w:t>
            </w:r>
          </w:p>
        </w:tc>
      </w:tr>
      <w:tr>
        <w:trPr>
          <w:trHeight w:val="401"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7"/>
              <w:jc w:val="right"/>
              <w:rPr>
                <w:rFonts w:ascii="宋体" w:hAnsi="宋体" w:cs="宋体" w:eastAsia="宋体" w:hint="default"/>
                <w:sz w:val="18"/>
                <w:szCs w:val="18"/>
              </w:rPr>
            </w:pPr>
            <w:r>
              <w:rPr>
                <w:rFonts w:ascii="宋体"/>
                <w:spacing w:val="-1"/>
                <w:sz w:val="18"/>
              </w:rPr>
              <w:t>115,594,292.42</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646" w:right="0"/>
              <w:jc w:val="left"/>
              <w:rPr>
                <w:rFonts w:ascii="宋体" w:hAnsi="宋体" w:cs="宋体" w:eastAsia="宋体" w:hint="default"/>
                <w:sz w:val="18"/>
                <w:szCs w:val="18"/>
              </w:rPr>
            </w:pPr>
            <w:r>
              <w:rPr>
                <w:rFonts w:ascii="宋体"/>
                <w:sz w:val="18"/>
              </w:rPr>
              <w:t>79,697,743.62</w:t>
            </w:r>
          </w:p>
        </w:tc>
        <w:tc>
          <w:tcPr>
            <w:tcW w:w="1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35,896,548.80</w:t>
            </w:r>
          </w:p>
        </w:tc>
      </w:tr>
      <w:tr>
        <w:trPr>
          <w:trHeight w:val="401"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93,364,980.80</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646" w:right="0"/>
              <w:jc w:val="left"/>
              <w:rPr>
                <w:rFonts w:ascii="宋体" w:hAnsi="宋体" w:cs="宋体" w:eastAsia="宋体" w:hint="default"/>
                <w:sz w:val="18"/>
                <w:szCs w:val="18"/>
              </w:rPr>
            </w:pPr>
            <w:r>
              <w:rPr>
                <w:rFonts w:ascii="宋体"/>
                <w:sz w:val="18"/>
              </w:rPr>
              <w:t>62,468,432.00</w:t>
            </w:r>
          </w:p>
        </w:tc>
        <w:tc>
          <w:tcPr>
            <w:tcW w:w="1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30,896,548.80</w:t>
            </w:r>
          </w:p>
        </w:tc>
      </w:tr>
      <w:tr>
        <w:trPr>
          <w:trHeight w:val="403"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宋体" w:hAnsi="宋体" w:cs="宋体" w:eastAsia="宋体" w:hint="default"/>
                <w:sz w:val="18"/>
                <w:szCs w:val="18"/>
              </w:rPr>
            </w:pPr>
            <w:r>
              <w:rPr>
                <w:rFonts w:ascii="宋体"/>
                <w:spacing w:val="-1"/>
                <w:sz w:val="18"/>
              </w:rPr>
              <w:t>22,229,311.62</w:t>
            </w:r>
          </w:p>
        </w:tc>
        <w:tc>
          <w:tcPr>
            <w:tcW w:w="1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646" w:right="0"/>
              <w:jc w:val="left"/>
              <w:rPr>
                <w:rFonts w:ascii="宋体" w:hAnsi="宋体" w:cs="宋体" w:eastAsia="宋体" w:hint="default"/>
                <w:sz w:val="18"/>
                <w:szCs w:val="18"/>
              </w:rPr>
            </w:pPr>
            <w:r>
              <w:rPr>
                <w:rFonts w:ascii="宋体"/>
                <w:sz w:val="18"/>
              </w:rPr>
              <w:t>17,229,311.62</w:t>
            </w:r>
          </w:p>
        </w:tc>
        <w:tc>
          <w:tcPr>
            <w:tcW w:w="1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pacing w:val="-1"/>
                <w:sz w:val="18"/>
              </w:rPr>
              <w:t>5,000,000.00</w:t>
            </w:r>
          </w:p>
        </w:tc>
      </w:tr>
      <w:tr>
        <w:trPr>
          <w:trHeight w:val="413" w:hRule="exact"/>
        </w:trPr>
        <w:tc>
          <w:tcPr>
            <w:tcW w:w="27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143,948,580.44</w:t>
            </w:r>
            <w:r>
              <w:rPr>
                <w:rFonts w:ascii="宋体"/>
                <w:sz w:val="18"/>
              </w:rPr>
            </w:r>
          </w:p>
        </w:tc>
        <w:tc>
          <w:tcPr>
            <w:tcW w:w="1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638" w:right="0"/>
              <w:jc w:val="left"/>
              <w:rPr>
                <w:rFonts w:ascii="宋体" w:hAnsi="宋体" w:cs="宋体" w:eastAsia="宋体" w:hint="default"/>
                <w:sz w:val="18"/>
                <w:szCs w:val="18"/>
              </w:rPr>
            </w:pPr>
            <w:r>
              <w:rPr>
                <w:rFonts w:ascii="宋体"/>
                <w:b/>
                <w:sz w:val="18"/>
              </w:rPr>
              <w:t>79,697,743.62</w:t>
            </w:r>
            <w:r>
              <w:rPr>
                <w:rFonts w:ascii="宋体"/>
                <w:sz w:val="18"/>
              </w:rPr>
            </w:r>
          </w:p>
        </w:tc>
        <w:tc>
          <w:tcPr>
            <w:tcW w:w="19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64,250,836.82</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446"/>
        <w:jc w:val="left"/>
      </w:pPr>
      <w:r>
        <w:rPr/>
        <w:t>续表：</w:t>
      </w:r>
    </w:p>
    <w:p>
      <w:pPr>
        <w:spacing w:after="0" w:line="240" w:lineRule="auto"/>
        <w:jc w:val="left"/>
        <w:sectPr>
          <w:pgSz w:w="11910" w:h="16840"/>
          <w:pgMar w:header="881" w:footer="980" w:top="1600" w:bottom="1160" w:left="1560" w:right="1340"/>
        </w:sectPr>
      </w:pPr>
    </w:p>
    <w:p>
      <w:pPr>
        <w:spacing w:line="240" w:lineRule="auto" w:before="3"/>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751"/>
        <w:gridCol w:w="1930"/>
        <w:gridCol w:w="1928"/>
        <w:gridCol w:w="2090"/>
      </w:tblGrid>
      <w:tr>
        <w:trPr>
          <w:trHeight w:val="389" w:hRule="exact"/>
        </w:trPr>
        <w:tc>
          <w:tcPr>
            <w:tcW w:w="2751"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94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16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82" w:hRule="exact"/>
        </w:trPr>
        <w:tc>
          <w:tcPr>
            <w:tcW w:w="2751" w:type="dxa"/>
            <w:vMerge/>
            <w:tcBorders>
              <w:left w:val="nil" w:sz="6" w:space="0" w:color="auto"/>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79"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26,766,462.70</w:t>
            </w:r>
          </w:p>
        </w:tc>
        <w:tc>
          <w:tcPr>
            <w:tcW w:w="1928"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26,766,462.70</w:t>
            </w:r>
          </w:p>
        </w:tc>
      </w:tr>
      <w:tr>
        <w:trPr>
          <w:trHeight w:val="379"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117,532,736.62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3" w:right="0"/>
              <w:jc w:val="left"/>
              <w:rPr>
                <w:rFonts w:ascii="宋体" w:hAnsi="宋体" w:cs="宋体" w:eastAsia="宋体" w:hint="default"/>
                <w:sz w:val="18"/>
                <w:szCs w:val="18"/>
              </w:rPr>
            </w:pPr>
            <w:r>
              <w:rPr>
                <w:rFonts w:ascii="宋体"/>
                <w:sz w:val="18"/>
              </w:rPr>
              <w:t>74,478,675.62</w:t>
            </w:r>
          </w:p>
        </w:tc>
        <w:tc>
          <w:tcPr>
            <w:tcW w:w="2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43,054,061.00</w:t>
            </w:r>
          </w:p>
        </w:tc>
      </w:tr>
      <w:tr>
        <w:trPr>
          <w:trHeight w:val="379"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95,303,425.00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3" w:right="0"/>
              <w:jc w:val="left"/>
              <w:rPr>
                <w:rFonts w:ascii="宋体" w:hAnsi="宋体" w:cs="宋体" w:eastAsia="宋体" w:hint="default"/>
                <w:sz w:val="18"/>
                <w:szCs w:val="18"/>
              </w:rPr>
            </w:pPr>
            <w:r>
              <w:rPr>
                <w:rFonts w:ascii="宋体"/>
                <w:sz w:val="18"/>
              </w:rPr>
              <w:t>57,249,364.00</w:t>
            </w:r>
          </w:p>
        </w:tc>
        <w:tc>
          <w:tcPr>
            <w:tcW w:w="2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38,054,061.00</w:t>
            </w:r>
          </w:p>
        </w:tc>
      </w:tr>
      <w:tr>
        <w:trPr>
          <w:trHeight w:val="382"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22,229,311.62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sz w:val="18"/>
              </w:rPr>
              <w:t>17,229,311.62</w:t>
            </w:r>
          </w:p>
        </w:tc>
        <w:tc>
          <w:tcPr>
            <w:tcW w:w="2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66"/>
              <w:jc w:val="right"/>
              <w:rPr>
                <w:rFonts w:ascii="宋体" w:hAnsi="宋体" w:cs="宋体" w:eastAsia="宋体" w:hint="default"/>
                <w:sz w:val="18"/>
                <w:szCs w:val="18"/>
              </w:rPr>
            </w:pPr>
            <w:r>
              <w:rPr>
                <w:rFonts w:ascii="宋体"/>
                <w:spacing w:val="-1"/>
                <w:sz w:val="18"/>
              </w:rPr>
              <w:t>5,000,000.00</w:t>
            </w:r>
          </w:p>
        </w:tc>
      </w:tr>
      <w:tr>
        <w:trPr>
          <w:trHeight w:val="389" w:hRule="exact"/>
        </w:trPr>
        <w:tc>
          <w:tcPr>
            <w:tcW w:w="27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144,299,199.32</w:t>
            </w:r>
            <w:r>
              <w:rPr>
                <w:rFonts w:ascii="宋体"/>
                <w:sz w:val="18"/>
              </w:rPr>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636" w:right="0"/>
              <w:jc w:val="left"/>
              <w:rPr>
                <w:rFonts w:ascii="宋体" w:hAnsi="宋体" w:cs="宋体" w:eastAsia="宋体" w:hint="default"/>
                <w:sz w:val="18"/>
                <w:szCs w:val="18"/>
              </w:rPr>
            </w:pPr>
            <w:r>
              <w:rPr>
                <w:rFonts w:ascii="宋体"/>
                <w:b/>
                <w:sz w:val="18"/>
              </w:rPr>
              <w:t>74,478,675.62</w:t>
            </w:r>
            <w:r>
              <w:rPr>
                <w:rFonts w:ascii="宋体"/>
                <w:sz w:val="18"/>
              </w:rPr>
            </w:r>
          </w:p>
        </w:tc>
        <w:tc>
          <w:tcPr>
            <w:tcW w:w="20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b/>
                <w:w w:val="95"/>
                <w:sz w:val="18"/>
              </w:rPr>
              <w:t>69,820,523.70</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19" w:right="0"/>
        <w:jc w:val="left"/>
      </w:pPr>
      <w:r>
        <w:rPr/>
        <w:t>（</w:t>
      </w:r>
      <w:r>
        <w:rPr>
          <w:rFonts w:ascii="宋体" w:hAnsi="宋体" w:cs="宋体" w:eastAsia="宋体" w:hint="default"/>
        </w:rPr>
        <w:t>2</w:t>
      </w:r>
      <w:r>
        <w:rPr/>
        <w:t>）年末按公允价值计量的可供出售金融资产</w:t>
      </w:r>
    </w:p>
    <w:p>
      <w:pPr>
        <w:spacing w:line="240" w:lineRule="auto" w:before="8"/>
        <w:rPr>
          <w:rFonts w:ascii="宋体" w:hAnsi="宋体" w:cs="宋体" w:eastAsia="宋体" w:hint="default"/>
          <w:sz w:val="6"/>
          <w:szCs w:val="6"/>
        </w:rPr>
      </w:pPr>
    </w:p>
    <w:tbl>
      <w:tblPr>
        <w:tblW w:w="0" w:type="auto"/>
        <w:jc w:val="left"/>
        <w:tblInd w:w="210" w:type="dxa"/>
        <w:tblLayout w:type="fixed"/>
        <w:tblCellMar>
          <w:top w:w="0" w:type="dxa"/>
          <w:left w:w="0" w:type="dxa"/>
          <w:bottom w:w="0" w:type="dxa"/>
          <w:right w:w="0" w:type="dxa"/>
        </w:tblCellMar>
        <w:tblLook w:val="01E0"/>
      </w:tblPr>
      <w:tblGrid>
        <w:gridCol w:w="3526"/>
        <w:gridCol w:w="1666"/>
        <w:gridCol w:w="1644"/>
        <w:gridCol w:w="1568"/>
      </w:tblGrid>
      <w:tr>
        <w:trPr>
          <w:trHeight w:val="389" w:hRule="exact"/>
        </w:trPr>
        <w:tc>
          <w:tcPr>
            <w:tcW w:w="3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c>
          <w:tcPr>
            <w:tcW w:w="16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hAnsi="宋体" w:cs="宋体" w:eastAsia="宋体" w:hint="default"/>
                <w:b/>
                <w:bCs/>
                <w:w w:val="95"/>
                <w:sz w:val="18"/>
                <w:szCs w:val="18"/>
              </w:rPr>
              <w:t>可供出售债务工具</w:t>
            </w:r>
            <w:r>
              <w:rPr>
                <w:rFonts w:ascii="宋体" w:hAnsi="宋体" w:cs="宋体" w:eastAsia="宋体" w:hint="default"/>
                <w:sz w:val="18"/>
                <w:szCs w:val="18"/>
              </w:rPr>
            </w:r>
          </w:p>
        </w:tc>
        <w:tc>
          <w:tcPr>
            <w:tcW w:w="15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74"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债务工具的摊余成本</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90,235,065.60</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28,413,223.27</w:t>
            </w: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118,648,288.87</w:t>
            </w:r>
          </w:p>
        </w:tc>
      </w:tr>
      <w:tr>
        <w:trPr>
          <w:trHeight w:val="375"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30,896,548.80</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28,354,288.02</w:t>
            </w: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59,250,836.82</w:t>
            </w:r>
          </w:p>
        </w:tc>
      </w:tr>
      <w:tr>
        <w:trPr>
          <w:trHeight w:val="374" w:hRule="exact"/>
        </w:trPr>
        <w:tc>
          <w:tcPr>
            <w:tcW w:w="3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3,129,915.20</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spacing w:val="-1"/>
                <w:sz w:val="18"/>
              </w:rPr>
              <w:t>-58,935.25</w:t>
            </w:r>
          </w:p>
        </w:tc>
        <w:tc>
          <w:tcPr>
            <w:tcW w:w="15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3,070,979.95</w:t>
            </w:r>
          </w:p>
        </w:tc>
      </w:tr>
      <w:tr>
        <w:trPr>
          <w:trHeight w:val="389" w:hRule="exact"/>
        </w:trPr>
        <w:tc>
          <w:tcPr>
            <w:tcW w:w="3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34"/>
              <w:jc w:val="right"/>
              <w:rPr>
                <w:rFonts w:ascii="宋体" w:hAnsi="宋体" w:cs="宋体" w:eastAsia="宋体" w:hint="default"/>
                <w:sz w:val="18"/>
                <w:szCs w:val="18"/>
              </w:rPr>
            </w:pPr>
            <w:r>
              <w:rPr>
                <w:rFonts w:ascii="宋体"/>
                <w:spacing w:val="-1"/>
                <w:sz w:val="18"/>
              </w:rPr>
              <w:t>62,468,432.00</w:t>
            </w:r>
          </w:p>
        </w:tc>
        <w:tc>
          <w:tcPr>
            <w:tcW w:w="1644" w:type="dxa"/>
            <w:tcBorders>
              <w:top w:val="single" w:sz="2" w:space="0" w:color="000000"/>
              <w:left w:val="single" w:sz="2" w:space="0" w:color="000000"/>
              <w:bottom w:val="single" w:sz="12" w:space="0" w:color="000000"/>
              <w:right w:val="single" w:sz="2" w:space="0" w:color="000000"/>
            </w:tcBorders>
          </w:tcPr>
          <w:p>
            <w:pPr/>
          </w:p>
        </w:tc>
        <w:tc>
          <w:tcPr>
            <w:tcW w:w="15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39"/>
              <w:jc w:val="right"/>
              <w:rPr>
                <w:rFonts w:ascii="宋体" w:hAnsi="宋体" w:cs="宋体" w:eastAsia="宋体" w:hint="default"/>
                <w:sz w:val="18"/>
                <w:szCs w:val="18"/>
              </w:rPr>
            </w:pPr>
            <w:r>
              <w:rPr>
                <w:rFonts w:ascii="宋体"/>
                <w:spacing w:val="-1"/>
                <w:sz w:val="18"/>
              </w:rPr>
              <w:t>62,468,432.00</w:t>
            </w:r>
          </w:p>
        </w:tc>
      </w:tr>
    </w:tbl>
    <w:p>
      <w:pPr>
        <w:spacing w:line="240" w:lineRule="auto" w:before="8"/>
        <w:rPr>
          <w:rFonts w:ascii="宋体" w:hAnsi="宋体" w:cs="宋体" w:eastAsia="宋体" w:hint="default"/>
          <w:sz w:val="4"/>
          <w:szCs w:val="4"/>
        </w:rPr>
      </w:pPr>
    </w:p>
    <w:p>
      <w:pPr>
        <w:pStyle w:val="Heading7"/>
        <w:spacing w:line="240" w:lineRule="auto"/>
        <w:ind w:left="719" w:right="0"/>
        <w:jc w:val="left"/>
      </w:pPr>
      <w:r>
        <w:rPr/>
        <w:t>（</w:t>
      </w:r>
      <w:r>
        <w:rPr>
          <w:rFonts w:ascii="宋体" w:hAnsi="宋体" w:cs="宋体" w:eastAsia="宋体" w:hint="default"/>
        </w:rPr>
        <w:t>3</w:t>
      </w:r>
      <w:r>
        <w:rPr/>
        <w:t>）年末按成本计量的可供出售金融资产</w:t>
      </w:r>
    </w:p>
    <w:p>
      <w:pPr>
        <w:spacing w:line="240" w:lineRule="auto" w:before="8"/>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027"/>
        <w:gridCol w:w="1663"/>
        <w:gridCol w:w="1109"/>
        <w:gridCol w:w="1246"/>
        <w:gridCol w:w="1493"/>
      </w:tblGrid>
      <w:tr>
        <w:trPr>
          <w:trHeight w:val="355" w:hRule="exact"/>
        </w:trPr>
        <w:tc>
          <w:tcPr>
            <w:tcW w:w="3027"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551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343" w:hRule="exact"/>
        </w:trPr>
        <w:tc>
          <w:tcPr>
            <w:tcW w:w="3027" w:type="dxa"/>
            <w:vMerge/>
            <w:tcBorders>
              <w:left w:val="nil" w:sz="6" w:space="0" w:color="auto"/>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8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5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38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3" w:hRule="exact"/>
        </w:trPr>
        <w:tc>
          <w:tcPr>
            <w:tcW w:w="3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80,000.00</w:t>
            </w:r>
          </w:p>
        </w:tc>
        <w:tc>
          <w:tcPr>
            <w:tcW w:w="1109"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80,000.00</w:t>
            </w:r>
          </w:p>
        </w:tc>
      </w:tr>
      <w:tr>
        <w:trPr>
          <w:trHeight w:val="343" w:hRule="exact"/>
        </w:trPr>
        <w:tc>
          <w:tcPr>
            <w:tcW w:w="3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17,149,311.62</w:t>
            </w:r>
          </w:p>
        </w:tc>
        <w:tc>
          <w:tcPr>
            <w:tcW w:w="1109"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17,149,311.62</w:t>
            </w:r>
          </w:p>
        </w:tc>
      </w:tr>
      <w:tr>
        <w:trPr>
          <w:trHeight w:val="343" w:hRule="exact"/>
        </w:trPr>
        <w:tc>
          <w:tcPr>
            <w:tcW w:w="3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5,000,000.00</w:t>
            </w:r>
          </w:p>
        </w:tc>
        <w:tc>
          <w:tcPr>
            <w:tcW w:w="1109" w:type="dxa"/>
            <w:tcBorders>
              <w:top w:val="single" w:sz="2" w:space="0" w:color="000000"/>
              <w:left w:val="single" w:sz="2" w:space="0" w:color="000000"/>
              <w:bottom w:val="single" w:sz="2" w:space="0" w:color="000000"/>
              <w:right w:val="single" w:sz="2" w:space="0" w:color="000000"/>
            </w:tcBorders>
          </w:tcPr>
          <w:p>
            <w:pPr/>
          </w:p>
        </w:tc>
        <w:tc>
          <w:tcPr>
            <w:tcW w:w="1246"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5,000,000.00</w:t>
            </w:r>
          </w:p>
        </w:tc>
      </w:tr>
      <w:tr>
        <w:trPr>
          <w:trHeight w:val="355" w:hRule="exact"/>
        </w:trPr>
        <w:tc>
          <w:tcPr>
            <w:tcW w:w="30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b/>
                <w:w w:val="95"/>
                <w:sz w:val="18"/>
              </w:rPr>
              <w:t>22,229,311.62</w:t>
            </w:r>
            <w:r>
              <w:rPr>
                <w:rFonts w:ascii="宋体"/>
                <w:sz w:val="18"/>
              </w:rPr>
            </w:r>
          </w:p>
        </w:tc>
        <w:tc>
          <w:tcPr>
            <w:tcW w:w="1109" w:type="dxa"/>
            <w:tcBorders>
              <w:top w:val="single" w:sz="2" w:space="0" w:color="000000"/>
              <w:left w:val="single" w:sz="2" w:space="0" w:color="000000"/>
              <w:bottom w:val="single" w:sz="12" w:space="0" w:color="000000"/>
              <w:right w:val="single" w:sz="2" w:space="0" w:color="000000"/>
            </w:tcBorders>
          </w:tcPr>
          <w:p>
            <w:pPr/>
          </w:p>
        </w:tc>
        <w:tc>
          <w:tcPr>
            <w:tcW w:w="1246" w:type="dxa"/>
            <w:tcBorders>
              <w:top w:val="single" w:sz="2" w:space="0" w:color="000000"/>
              <w:left w:val="single" w:sz="2" w:space="0" w:color="000000"/>
              <w:bottom w:val="single" w:sz="12" w:space="0" w:color="000000"/>
              <w:right w:val="single" w:sz="2" w:space="0" w:color="000000"/>
            </w:tcBorders>
          </w:tcPr>
          <w:p>
            <w:pPr/>
          </w:p>
        </w:tc>
        <w:tc>
          <w:tcPr>
            <w:tcW w:w="14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b/>
                <w:w w:val="95"/>
                <w:sz w:val="18"/>
              </w:rPr>
              <w:t>22,229,311.62</w:t>
            </w:r>
            <w:r>
              <w:rPr>
                <w:rFonts w:ascii="宋体"/>
                <w:sz w:val="18"/>
              </w:rPr>
            </w:r>
          </w:p>
        </w:tc>
      </w:tr>
    </w:tbl>
    <w:p>
      <w:pPr>
        <w:spacing w:line="240" w:lineRule="auto" w:before="9"/>
        <w:rPr>
          <w:rFonts w:ascii="宋体" w:hAnsi="宋体" w:cs="宋体" w:eastAsia="宋体" w:hint="default"/>
          <w:sz w:val="4"/>
          <w:szCs w:val="4"/>
        </w:rPr>
      </w:pPr>
    </w:p>
    <w:p>
      <w:pPr>
        <w:pStyle w:val="Heading7"/>
        <w:spacing w:line="240" w:lineRule="auto"/>
        <w:ind w:left="719" w:right="0"/>
        <w:jc w:val="left"/>
      </w:pPr>
      <w:r>
        <w:rPr/>
        <w:t>续表：</w:t>
      </w:r>
    </w:p>
    <w:p>
      <w:pPr>
        <w:spacing w:line="240" w:lineRule="auto" w:before="8"/>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751"/>
        <w:gridCol w:w="1274"/>
        <w:gridCol w:w="710"/>
        <w:gridCol w:w="708"/>
        <w:gridCol w:w="1277"/>
        <w:gridCol w:w="1133"/>
        <w:gridCol w:w="751"/>
      </w:tblGrid>
      <w:tr>
        <w:trPr>
          <w:trHeight w:val="355" w:hRule="exact"/>
        </w:trPr>
        <w:tc>
          <w:tcPr>
            <w:tcW w:w="275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1"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397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33" w:type="dxa"/>
            <w:vMerge w:val="restart"/>
            <w:tcBorders>
              <w:top w:val="single" w:sz="12" w:space="0" w:color="000000"/>
              <w:left w:val="single" w:sz="2" w:space="0" w:color="000000"/>
              <w:right w:val="single" w:sz="4" w:space="0" w:color="000000"/>
            </w:tcBorders>
          </w:tcPr>
          <w:p>
            <w:pPr>
              <w:pStyle w:val="TableParagraph"/>
              <w:spacing w:line="295" w:lineRule="auto" w:before="65"/>
              <w:ind w:left="110" w:right="111"/>
              <w:jc w:val="center"/>
              <w:rPr>
                <w:rFonts w:ascii="宋体" w:hAnsi="宋体" w:cs="宋体" w:eastAsia="宋体" w:hint="default"/>
                <w:sz w:val="18"/>
                <w:szCs w:val="18"/>
              </w:rPr>
            </w:pPr>
            <w:r>
              <w:rPr>
                <w:rFonts w:ascii="宋体" w:hAnsi="宋体" w:cs="宋体" w:eastAsia="宋体" w:hint="default"/>
                <w:b/>
                <w:bCs/>
                <w:sz w:val="18"/>
                <w:szCs w:val="18"/>
              </w:rPr>
              <w:t>在被投资单</w:t>
            </w:r>
            <w:r>
              <w:rPr>
                <w:rFonts w:ascii="宋体" w:hAnsi="宋体" w:cs="宋体" w:eastAsia="宋体" w:hint="default"/>
                <w:b/>
                <w:bCs/>
                <w:w w:val="99"/>
                <w:sz w:val="18"/>
                <w:szCs w:val="18"/>
              </w:rPr>
              <w:t> </w:t>
            </w:r>
            <w:r>
              <w:rPr>
                <w:rFonts w:ascii="宋体" w:hAnsi="宋体" w:cs="宋体" w:eastAsia="宋体" w:hint="default"/>
                <w:b/>
                <w:bCs/>
                <w:sz w:val="18"/>
                <w:szCs w:val="18"/>
              </w:rPr>
              <w:t>位持股比例</w:t>
            </w:r>
            <w:r>
              <w:rPr>
                <w:rFonts w:ascii="宋体" w:hAnsi="宋体" w:cs="宋体" w:eastAsia="宋体" w:hint="default"/>
                <w:sz w:val="18"/>
                <w:szCs w:val="18"/>
              </w:rPr>
            </w:r>
          </w:p>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51"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95" w:lineRule="auto"/>
              <w:ind w:left="100" w:right="101"/>
              <w:jc w:val="left"/>
              <w:rPr>
                <w:rFonts w:ascii="宋体" w:hAnsi="宋体" w:cs="宋体" w:eastAsia="宋体" w:hint="default"/>
                <w:sz w:val="18"/>
                <w:szCs w:val="18"/>
              </w:rPr>
            </w:pPr>
            <w:r>
              <w:rPr>
                <w:rFonts w:ascii="宋体" w:hAnsi="宋体" w:cs="宋体" w:eastAsia="宋体" w:hint="default"/>
                <w:b/>
                <w:bCs/>
                <w:sz w:val="18"/>
                <w:szCs w:val="18"/>
              </w:rPr>
              <w:t>本年现</w:t>
            </w:r>
            <w:r>
              <w:rPr>
                <w:rFonts w:ascii="宋体" w:hAnsi="宋体" w:cs="宋体" w:eastAsia="宋体" w:hint="default"/>
                <w:b/>
                <w:bCs/>
                <w:w w:val="99"/>
                <w:sz w:val="18"/>
                <w:szCs w:val="18"/>
              </w:rPr>
              <w:t> </w:t>
            </w:r>
            <w:r>
              <w:rPr>
                <w:rFonts w:ascii="宋体" w:hAnsi="宋体" w:cs="宋体" w:eastAsia="宋体" w:hint="default"/>
                <w:b/>
                <w:bCs/>
                <w:sz w:val="18"/>
                <w:szCs w:val="18"/>
              </w:rPr>
              <w:t>金红利</w:t>
            </w:r>
            <w:r>
              <w:rPr>
                <w:rFonts w:ascii="宋体" w:hAnsi="宋体" w:cs="宋体" w:eastAsia="宋体" w:hint="default"/>
                <w:sz w:val="18"/>
                <w:szCs w:val="18"/>
              </w:rPr>
            </w:r>
          </w:p>
        </w:tc>
      </w:tr>
      <w:tr>
        <w:trPr>
          <w:trHeight w:val="682" w:hRule="exact"/>
        </w:trPr>
        <w:tc>
          <w:tcPr>
            <w:tcW w:w="2751" w:type="dxa"/>
            <w:vMerge/>
            <w:tcBorders>
              <w:left w:val="nil" w:sz="6" w:space="0" w:color="auto"/>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710" w:type="dxa"/>
            <w:tcBorders>
              <w:top w:val="single" w:sz="2" w:space="0" w:color="000000"/>
              <w:left w:val="single" w:sz="2" w:space="0" w:color="000000"/>
              <w:bottom w:val="single" w:sz="2" w:space="0" w:color="000000"/>
              <w:right w:val="single" w:sz="4" w:space="0" w:color="000000"/>
            </w:tcBorders>
          </w:tcPr>
          <w:p>
            <w:pPr>
              <w:pStyle w:val="TableParagraph"/>
              <w:spacing w:line="345" w:lineRule="auto" w:before="15"/>
              <w:ind w:left="170" w:right="167"/>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8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708" w:type="dxa"/>
            <w:tcBorders>
              <w:top w:val="single" w:sz="2" w:space="0" w:color="000000"/>
              <w:left w:val="single" w:sz="4" w:space="0" w:color="000000"/>
              <w:bottom w:val="single" w:sz="2" w:space="0" w:color="000000"/>
              <w:right w:val="single" w:sz="4" w:space="0" w:color="000000"/>
            </w:tcBorders>
          </w:tcPr>
          <w:p>
            <w:pPr>
              <w:pStyle w:val="TableParagraph"/>
              <w:spacing w:line="345" w:lineRule="auto" w:before="15"/>
              <w:ind w:left="165" w:right="167"/>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8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27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33" w:type="dxa"/>
            <w:vMerge/>
            <w:tcBorders>
              <w:left w:val="single" w:sz="2" w:space="0" w:color="000000"/>
              <w:bottom w:val="single" w:sz="2" w:space="0" w:color="000000"/>
              <w:right w:val="single" w:sz="4" w:space="0" w:color="000000"/>
            </w:tcBorders>
          </w:tcPr>
          <w:p>
            <w:pPr/>
          </w:p>
        </w:tc>
        <w:tc>
          <w:tcPr>
            <w:tcW w:w="751" w:type="dxa"/>
            <w:vMerge/>
            <w:tcBorders>
              <w:left w:val="single" w:sz="4" w:space="0" w:color="000000"/>
              <w:bottom w:val="single" w:sz="2" w:space="0" w:color="000000"/>
              <w:right w:val="nil" w:sz="6" w:space="0" w:color="auto"/>
            </w:tcBorders>
          </w:tcPr>
          <w:p>
            <w:pPr/>
          </w:p>
        </w:tc>
      </w:tr>
      <w:tr>
        <w:trPr>
          <w:trHeight w:val="343"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2"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5"/>
              <w:jc w:val="right"/>
              <w:rPr>
                <w:rFonts w:ascii="宋体" w:hAnsi="宋体" w:cs="宋体" w:eastAsia="宋体" w:hint="default"/>
                <w:sz w:val="18"/>
                <w:szCs w:val="18"/>
              </w:rPr>
            </w:pPr>
            <w:r>
              <w:rPr>
                <w:rFonts w:ascii="宋体"/>
                <w:spacing w:val="-1"/>
                <w:sz w:val="18"/>
              </w:rPr>
              <w:t>80,000.00</w:t>
            </w:r>
          </w:p>
        </w:tc>
        <w:tc>
          <w:tcPr>
            <w:tcW w:w="710" w:type="dxa"/>
            <w:tcBorders>
              <w:top w:val="single" w:sz="2" w:space="0" w:color="000000"/>
              <w:left w:val="single" w:sz="2" w:space="0" w:color="000000"/>
              <w:bottom w:val="single" w:sz="2" w:space="0" w:color="000000"/>
              <w:right w:val="single" w:sz="4" w:space="0" w:color="000000"/>
            </w:tcBorders>
          </w:tcPr>
          <w:p>
            <w:pPr/>
          </w:p>
        </w:tc>
        <w:tc>
          <w:tcPr>
            <w:tcW w:w="708" w:type="dxa"/>
            <w:tcBorders>
              <w:top w:val="single" w:sz="2" w:space="0" w:color="000000"/>
              <w:left w:val="single" w:sz="4" w:space="0" w:color="000000"/>
              <w:bottom w:val="single" w:sz="2" w:space="0" w:color="000000"/>
              <w:right w:val="single" w:sz="4" w:space="0" w:color="000000"/>
            </w:tcBorders>
          </w:tcPr>
          <w:p>
            <w:pPr/>
          </w:p>
        </w:tc>
        <w:tc>
          <w:tcPr>
            <w:tcW w:w="127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5"/>
              <w:ind w:right="35"/>
              <w:jc w:val="right"/>
              <w:rPr>
                <w:rFonts w:ascii="宋体" w:hAnsi="宋体" w:cs="宋体" w:eastAsia="宋体" w:hint="default"/>
                <w:sz w:val="18"/>
                <w:szCs w:val="18"/>
              </w:rPr>
            </w:pPr>
            <w:r>
              <w:rPr>
                <w:rFonts w:ascii="宋体"/>
                <w:spacing w:val="-1"/>
                <w:sz w:val="18"/>
              </w:rPr>
              <w:t>80,000.00</w:t>
            </w:r>
          </w:p>
        </w:tc>
        <w:tc>
          <w:tcPr>
            <w:tcW w:w="113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16.00</w:t>
            </w:r>
          </w:p>
        </w:tc>
        <w:tc>
          <w:tcPr>
            <w:tcW w:w="751" w:type="dxa"/>
            <w:tcBorders>
              <w:top w:val="single" w:sz="2" w:space="0" w:color="000000"/>
              <w:left w:val="single" w:sz="4" w:space="0" w:color="000000"/>
              <w:bottom w:val="single" w:sz="2" w:space="0" w:color="000000"/>
              <w:right w:val="nil" w:sz="6" w:space="0" w:color="auto"/>
            </w:tcBorders>
          </w:tcPr>
          <w:p>
            <w:pPr/>
          </w:p>
        </w:tc>
      </w:tr>
      <w:tr>
        <w:trPr>
          <w:trHeight w:val="343"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2"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spacing w:val="-1"/>
                <w:sz w:val="18"/>
              </w:rPr>
              <w:t>17,149,311.62</w:t>
            </w:r>
          </w:p>
        </w:tc>
        <w:tc>
          <w:tcPr>
            <w:tcW w:w="710" w:type="dxa"/>
            <w:tcBorders>
              <w:top w:val="single" w:sz="2" w:space="0" w:color="000000"/>
              <w:left w:val="single" w:sz="2" w:space="0" w:color="000000"/>
              <w:bottom w:val="single" w:sz="2" w:space="0" w:color="000000"/>
              <w:right w:val="single" w:sz="4" w:space="0" w:color="000000"/>
            </w:tcBorders>
          </w:tcPr>
          <w:p>
            <w:pPr/>
          </w:p>
        </w:tc>
        <w:tc>
          <w:tcPr>
            <w:tcW w:w="708" w:type="dxa"/>
            <w:tcBorders>
              <w:top w:val="single" w:sz="2" w:space="0" w:color="000000"/>
              <w:left w:val="single" w:sz="4" w:space="0" w:color="000000"/>
              <w:bottom w:val="single" w:sz="2" w:space="0" w:color="000000"/>
              <w:right w:val="single" w:sz="4" w:space="0" w:color="000000"/>
            </w:tcBorders>
          </w:tcPr>
          <w:p>
            <w:pPr/>
          </w:p>
        </w:tc>
        <w:tc>
          <w:tcPr>
            <w:tcW w:w="127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spacing w:val="-1"/>
                <w:sz w:val="18"/>
              </w:rPr>
              <w:t>17,149,311.62</w:t>
            </w:r>
          </w:p>
        </w:tc>
        <w:tc>
          <w:tcPr>
            <w:tcW w:w="113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10.40</w:t>
            </w:r>
          </w:p>
        </w:tc>
        <w:tc>
          <w:tcPr>
            <w:tcW w:w="751" w:type="dxa"/>
            <w:tcBorders>
              <w:top w:val="single" w:sz="2" w:space="0" w:color="000000"/>
              <w:left w:val="single" w:sz="4" w:space="0" w:color="000000"/>
              <w:bottom w:val="single" w:sz="2" w:space="0" w:color="000000"/>
              <w:right w:val="nil" w:sz="6" w:space="0" w:color="auto"/>
            </w:tcBorders>
          </w:tcPr>
          <w:p>
            <w:pPr/>
          </w:p>
        </w:tc>
      </w:tr>
      <w:tr>
        <w:trPr>
          <w:trHeight w:val="341"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274"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4" w:space="0" w:color="000000"/>
            </w:tcBorders>
          </w:tcPr>
          <w:p>
            <w:pPr/>
          </w:p>
        </w:tc>
        <w:tc>
          <w:tcPr>
            <w:tcW w:w="708" w:type="dxa"/>
            <w:tcBorders>
              <w:top w:val="single" w:sz="2" w:space="0" w:color="000000"/>
              <w:left w:val="single" w:sz="4" w:space="0" w:color="000000"/>
              <w:bottom w:val="single" w:sz="2" w:space="0" w:color="000000"/>
              <w:right w:val="single" w:sz="4" w:space="0" w:color="000000"/>
            </w:tcBorders>
          </w:tcPr>
          <w:p>
            <w:pPr/>
          </w:p>
        </w:tc>
        <w:tc>
          <w:tcPr>
            <w:tcW w:w="1277" w:type="dxa"/>
            <w:tcBorders>
              <w:top w:val="single" w:sz="2" w:space="0" w:color="000000"/>
              <w:left w:val="single" w:sz="4"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9.62</w:t>
            </w:r>
          </w:p>
        </w:tc>
        <w:tc>
          <w:tcPr>
            <w:tcW w:w="751" w:type="dxa"/>
            <w:tcBorders>
              <w:top w:val="single" w:sz="2" w:space="0" w:color="000000"/>
              <w:left w:val="single" w:sz="4" w:space="0" w:color="000000"/>
              <w:bottom w:val="single" w:sz="2" w:space="0" w:color="000000"/>
              <w:right w:val="nil" w:sz="6" w:space="0" w:color="auto"/>
            </w:tcBorders>
          </w:tcPr>
          <w:p>
            <w:pPr/>
          </w:p>
        </w:tc>
      </w:tr>
      <w:tr>
        <w:trPr>
          <w:trHeight w:val="358" w:hRule="exact"/>
        </w:trPr>
        <w:tc>
          <w:tcPr>
            <w:tcW w:w="27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b/>
                <w:w w:val="95"/>
                <w:sz w:val="18"/>
              </w:rPr>
              <w:t>17,229,311.62</w:t>
            </w:r>
            <w:r>
              <w:rPr>
                <w:rFonts w:ascii="宋体"/>
                <w:sz w:val="18"/>
              </w:rPr>
            </w:r>
          </w:p>
        </w:tc>
        <w:tc>
          <w:tcPr>
            <w:tcW w:w="710" w:type="dxa"/>
            <w:tcBorders>
              <w:top w:val="single" w:sz="2" w:space="0" w:color="000000"/>
              <w:left w:val="single" w:sz="2" w:space="0" w:color="000000"/>
              <w:bottom w:val="single" w:sz="12" w:space="0" w:color="000000"/>
              <w:right w:val="single" w:sz="4" w:space="0" w:color="000000"/>
            </w:tcBorders>
          </w:tcPr>
          <w:p>
            <w:pPr/>
          </w:p>
        </w:tc>
        <w:tc>
          <w:tcPr>
            <w:tcW w:w="708" w:type="dxa"/>
            <w:tcBorders>
              <w:top w:val="single" w:sz="2" w:space="0" w:color="000000"/>
              <w:left w:val="single" w:sz="4" w:space="0" w:color="000000"/>
              <w:bottom w:val="single" w:sz="12" w:space="0" w:color="000000"/>
              <w:right w:val="single" w:sz="4" w:space="0" w:color="000000"/>
            </w:tcBorders>
          </w:tcPr>
          <w:p>
            <w:pPr/>
          </w:p>
        </w:tc>
        <w:tc>
          <w:tcPr>
            <w:tcW w:w="1277" w:type="dxa"/>
            <w:tcBorders>
              <w:top w:val="single" w:sz="2" w:space="0" w:color="000000"/>
              <w:left w:val="single" w:sz="4" w:space="0" w:color="000000"/>
              <w:bottom w:val="single" w:sz="1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b/>
                <w:w w:val="95"/>
                <w:sz w:val="18"/>
              </w:rPr>
              <w:t>17,229,311.62</w:t>
            </w:r>
            <w:r>
              <w:rPr>
                <w:rFonts w:ascii="宋体"/>
                <w:sz w:val="18"/>
              </w:rPr>
            </w:r>
          </w:p>
        </w:tc>
        <w:tc>
          <w:tcPr>
            <w:tcW w:w="1133" w:type="dxa"/>
            <w:tcBorders>
              <w:top w:val="single" w:sz="2" w:space="0" w:color="000000"/>
              <w:left w:val="single" w:sz="2" w:space="0" w:color="000000"/>
              <w:bottom w:val="single" w:sz="12" w:space="0" w:color="000000"/>
              <w:right w:val="single" w:sz="4" w:space="0" w:color="000000"/>
            </w:tcBorders>
          </w:tcPr>
          <w:p>
            <w:pPr/>
          </w:p>
        </w:tc>
        <w:tc>
          <w:tcPr>
            <w:tcW w:w="751" w:type="dxa"/>
            <w:tcBorders>
              <w:top w:val="single" w:sz="2"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19" w:right="0"/>
        <w:jc w:val="left"/>
      </w:pPr>
      <w:r>
        <w:rPr/>
        <w:t>（</w:t>
      </w:r>
      <w:r>
        <w:rPr>
          <w:rFonts w:ascii="宋体" w:hAnsi="宋体" w:cs="宋体" w:eastAsia="宋体" w:hint="default"/>
        </w:rPr>
        <w:t>4</w:t>
      </w:r>
      <w:r>
        <w:rPr/>
        <w:t>）可供出售金融资产减值准备</w:t>
      </w:r>
    </w:p>
    <w:p>
      <w:pPr>
        <w:spacing w:line="240" w:lineRule="auto" w:before="8"/>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893"/>
        <w:gridCol w:w="1903"/>
        <w:gridCol w:w="1904"/>
        <w:gridCol w:w="1906"/>
      </w:tblGrid>
      <w:tr>
        <w:trPr>
          <w:trHeight w:val="386" w:hRule="exact"/>
        </w:trPr>
        <w:tc>
          <w:tcPr>
            <w:tcW w:w="28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19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c>
          <w:tcPr>
            <w:tcW w:w="19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b/>
                <w:bCs/>
                <w:sz w:val="18"/>
                <w:szCs w:val="18"/>
              </w:rPr>
              <w:t>可供出售债务工具</w:t>
            </w:r>
            <w:r>
              <w:rPr>
                <w:rFonts w:ascii="宋体" w:hAnsi="宋体" w:cs="宋体" w:eastAsia="宋体" w:hint="default"/>
                <w:sz w:val="18"/>
                <w:szCs w:val="18"/>
              </w:rPr>
            </w:r>
          </w:p>
        </w:tc>
        <w:tc>
          <w:tcPr>
            <w:tcW w:w="19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75" w:hRule="exact"/>
        </w:trPr>
        <w:tc>
          <w:tcPr>
            <w:tcW w:w="28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年初已计提减值金额</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74,478,675.62</w:t>
            </w:r>
          </w:p>
        </w:tc>
        <w:tc>
          <w:tcPr>
            <w:tcW w:w="1904" w:type="dxa"/>
            <w:tcBorders>
              <w:top w:val="single" w:sz="2" w:space="0" w:color="000000"/>
              <w:left w:val="single" w:sz="2" w:space="0" w:color="000000"/>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74,478,675.62</w:t>
            </w:r>
          </w:p>
        </w:tc>
      </w:tr>
      <w:tr>
        <w:trPr>
          <w:trHeight w:val="377" w:hRule="exact"/>
        </w:trPr>
        <w:tc>
          <w:tcPr>
            <w:tcW w:w="28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1,641,185.75</w:t>
            </w:r>
          </w:p>
        </w:tc>
        <w:tc>
          <w:tcPr>
            <w:tcW w:w="1904" w:type="dxa"/>
            <w:tcBorders>
              <w:top w:val="single" w:sz="2" w:space="0" w:color="000000"/>
              <w:left w:val="single" w:sz="2" w:space="0" w:color="000000"/>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1,641,185.75</w:t>
            </w:r>
          </w:p>
        </w:tc>
      </w:tr>
      <w:tr>
        <w:trPr>
          <w:trHeight w:val="374" w:hRule="exact"/>
        </w:trPr>
        <w:tc>
          <w:tcPr>
            <w:tcW w:w="28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03" w:type="dxa"/>
            <w:tcBorders>
              <w:top w:val="single" w:sz="2" w:space="0" w:color="000000"/>
              <w:left w:val="single" w:sz="2" w:space="0" w:color="000000"/>
              <w:bottom w:val="single" w:sz="2" w:space="0" w:color="000000"/>
              <w:right w:val="single" w:sz="2" w:space="0" w:color="000000"/>
            </w:tcBorders>
          </w:tcPr>
          <w:p>
            <w:pPr/>
          </w:p>
        </w:tc>
        <w:tc>
          <w:tcPr>
            <w:tcW w:w="1904" w:type="dxa"/>
            <w:tcBorders>
              <w:top w:val="single" w:sz="2" w:space="0" w:color="000000"/>
              <w:left w:val="single" w:sz="2" w:space="0" w:color="000000"/>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8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其中：年后公允价值回升转回</w:t>
            </w:r>
          </w:p>
        </w:tc>
        <w:tc>
          <w:tcPr>
            <w:tcW w:w="1903" w:type="dxa"/>
            <w:tcBorders>
              <w:top w:val="single" w:sz="2" w:space="0" w:color="000000"/>
              <w:left w:val="single" w:sz="2" w:space="0" w:color="000000"/>
              <w:bottom w:val="single" w:sz="2" w:space="0" w:color="000000"/>
              <w:right w:val="single" w:sz="2" w:space="0" w:color="000000"/>
            </w:tcBorders>
          </w:tcPr>
          <w:p>
            <w:pPr/>
          </w:p>
        </w:tc>
        <w:tc>
          <w:tcPr>
            <w:tcW w:w="1904" w:type="dxa"/>
            <w:tcBorders>
              <w:top w:val="single" w:sz="2" w:space="0" w:color="000000"/>
              <w:left w:val="single" w:sz="2" w:space="0" w:color="000000"/>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8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3,577,882.25</w:t>
            </w:r>
          </w:p>
        </w:tc>
        <w:tc>
          <w:tcPr>
            <w:tcW w:w="1904" w:type="dxa"/>
            <w:tcBorders>
              <w:top w:val="single" w:sz="2" w:space="0" w:color="000000"/>
              <w:left w:val="single" w:sz="2" w:space="0" w:color="000000"/>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3,577,882.25</w:t>
            </w:r>
          </w:p>
        </w:tc>
      </w:tr>
      <w:tr>
        <w:trPr>
          <w:trHeight w:val="389" w:hRule="exact"/>
        </w:trPr>
        <w:tc>
          <w:tcPr>
            <w:tcW w:w="28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年末已计提减值金额</w:t>
            </w:r>
          </w:p>
        </w:tc>
        <w:tc>
          <w:tcPr>
            <w:tcW w:w="19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79,697,743.62</w:t>
            </w:r>
            <w:r>
              <w:rPr>
                <w:rFonts w:ascii="宋体"/>
                <w:sz w:val="18"/>
              </w:rPr>
            </w:r>
          </w:p>
        </w:tc>
        <w:tc>
          <w:tcPr>
            <w:tcW w:w="1904" w:type="dxa"/>
            <w:tcBorders>
              <w:top w:val="single" w:sz="2" w:space="0" w:color="000000"/>
              <w:left w:val="single" w:sz="2" w:space="0" w:color="000000"/>
              <w:bottom w:val="single" w:sz="12" w:space="0" w:color="000000"/>
              <w:right w:val="single" w:sz="2" w:space="0" w:color="000000"/>
            </w:tcBorders>
          </w:tcPr>
          <w:p>
            <w:pPr/>
          </w:p>
        </w:tc>
        <w:tc>
          <w:tcPr>
            <w:tcW w:w="19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10"/>
              <w:jc w:val="right"/>
              <w:rPr>
                <w:rFonts w:ascii="宋体" w:hAnsi="宋体" w:cs="宋体" w:eastAsia="宋体" w:hint="default"/>
                <w:sz w:val="18"/>
                <w:szCs w:val="18"/>
              </w:rPr>
            </w:pPr>
            <w:r>
              <w:rPr>
                <w:rFonts w:ascii="宋体"/>
                <w:b/>
                <w:w w:val="95"/>
                <w:sz w:val="18"/>
              </w:rPr>
              <w:t>79,697,743.62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1" w:footer="980" w:top="1600" w:bottom="1160" w:left="1520" w:right="1400"/>
        </w:sectPr>
      </w:pPr>
    </w:p>
    <w:p>
      <w:pPr>
        <w:spacing w:line="240" w:lineRule="auto" w:before="7"/>
        <w:rPr>
          <w:rFonts w:ascii="宋体" w:hAnsi="宋体" w:cs="宋体" w:eastAsia="宋体" w:hint="default"/>
          <w:sz w:val="15"/>
          <w:szCs w:val="15"/>
        </w:rPr>
      </w:pPr>
    </w:p>
    <w:p>
      <w:pPr>
        <w:pStyle w:val="Heading7"/>
        <w:spacing w:line="240" w:lineRule="auto"/>
        <w:ind w:left="819" w:right="0"/>
        <w:jc w:val="left"/>
      </w:pPr>
      <w:r>
        <w:rPr>
          <w:rFonts w:ascii="宋体" w:hAnsi="宋体" w:cs="宋体" w:eastAsia="宋体" w:hint="default"/>
        </w:rPr>
        <w:t>12</w:t>
      </w:r>
      <w:r>
        <w:rPr/>
        <w:t>、长期应收款</w:t>
      </w:r>
    </w:p>
    <w:p>
      <w:pPr>
        <w:pStyle w:val="Heading7"/>
        <w:spacing w:line="240" w:lineRule="auto" w:before="180"/>
        <w:ind w:left="819" w:right="0"/>
        <w:jc w:val="left"/>
      </w:pPr>
      <w:r>
        <w:rPr/>
        <w:t>（</w:t>
      </w:r>
      <w:r>
        <w:rPr>
          <w:rFonts w:ascii="宋体" w:hAnsi="宋体" w:cs="宋体" w:eastAsia="宋体" w:hint="default"/>
        </w:rPr>
        <w:t>1</w:t>
      </w:r>
      <w:r>
        <w:rPr/>
        <w:t>）长期应收款情况</w:t>
      </w:r>
    </w:p>
    <w:p>
      <w:pPr>
        <w:spacing w:line="240" w:lineRule="auto" w:before="8"/>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152"/>
        <w:gridCol w:w="2057"/>
        <w:gridCol w:w="912"/>
        <w:gridCol w:w="2208"/>
        <w:gridCol w:w="2129"/>
        <w:gridCol w:w="910"/>
        <w:gridCol w:w="2055"/>
        <w:gridCol w:w="1010"/>
      </w:tblGrid>
      <w:tr>
        <w:trPr>
          <w:trHeight w:val="398" w:hRule="exact"/>
        </w:trPr>
        <w:tc>
          <w:tcPr>
            <w:tcW w:w="3152" w:type="dxa"/>
            <w:vMerge w:val="restart"/>
            <w:tcBorders>
              <w:top w:val="single" w:sz="17"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178"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5093"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10" w:type="dxa"/>
            <w:vMerge w:val="restart"/>
            <w:tcBorders>
              <w:top w:val="single" w:sz="17"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b/>
                <w:bCs/>
                <w:sz w:val="18"/>
                <w:szCs w:val="18"/>
              </w:rPr>
              <w:t>折现率期间</w:t>
            </w:r>
            <w:r>
              <w:rPr>
                <w:rFonts w:ascii="宋体" w:hAnsi="宋体" w:cs="宋体" w:eastAsia="宋体" w:hint="default"/>
                <w:sz w:val="18"/>
                <w:szCs w:val="18"/>
              </w:rPr>
            </w:r>
          </w:p>
        </w:tc>
      </w:tr>
      <w:tr>
        <w:trPr>
          <w:trHeight w:val="379" w:hRule="exact"/>
        </w:trPr>
        <w:tc>
          <w:tcPr>
            <w:tcW w:w="3152" w:type="dxa"/>
            <w:vMerge/>
            <w:tcBorders>
              <w:left w:val="nil" w:sz="6" w:space="0" w:color="auto"/>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10" w:type="dxa"/>
            <w:vMerge/>
            <w:tcBorders>
              <w:left w:val="single" w:sz="4" w:space="0" w:color="000000"/>
              <w:bottom w:val="single" w:sz="4" w:space="0" w:color="000000"/>
              <w:right w:val="nil" w:sz="6" w:space="0" w:color="auto"/>
            </w:tcBorders>
          </w:tcPr>
          <w:p>
            <w:pPr/>
          </w:p>
        </w:tc>
      </w:tr>
      <w:tr>
        <w:trPr>
          <w:trHeight w:val="380"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福建捷联电子有限公司工会委员会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31,682,274.40</w:t>
            </w:r>
          </w:p>
        </w:tc>
        <w:tc>
          <w:tcPr>
            <w:tcW w:w="912"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31,682,274.40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31,237,495.00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31,237,495.00</w:t>
            </w:r>
          </w:p>
        </w:tc>
        <w:tc>
          <w:tcPr>
            <w:tcW w:w="1010"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315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31,682,274.40</w:t>
            </w:r>
            <w:r>
              <w:rPr>
                <w:rFonts w:ascii="宋体"/>
                <w:sz w:val="18"/>
              </w:rPr>
            </w:r>
          </w:p>
        </w:tc>
        <w:tc>
          <w:tcPr>
            <w:tcW w:w="912" w:type="dxa"/>
            <w:tcBorders>
              <w:top w:val="single" w:sz="4" w:space="0" w:color="000000"/>
              <w:left w:val="single" w:sz="4" w:space="0" w:color="000000"/>
              <w:bottom w:val="single" w:sz="17" w:space="0" w:color="000000"/>
              <w:right w:val="single" w:sz="4" w:space="0" w:color="000000"/>
            </w:tcBorders>
          </w:tcPr>
          <w:p>
            <w:pPr/>
          </w:p>
        </w:tc>
        <w:tc>
          <w:tcPr>
            <w:tcW w:w="22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31,682,274.40</w:t>
            </w:r>
            <w:r>
              <w:rPr>
                <w:rFonts w:ascii="宋体"/>
                <w:sz w:val="18"/>
              </w:rPr>
            </w:r>
          </w:p>
        </w:tc>
        <w:tc>
          <w:tcPr>
            <w:tcW w:w="212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31,237,495.00</w:t>
            </w:r>
            <w:r>
              <w:rPr>
                <w:rFonts w:ascii="宋体"/>
                <w:sz w:val="18"/>
              </w:rPr>
            </w:r>
          </w:p>
        </w:tc>
        <w:tc>
          <w:tcPr>
            <w:tcW w:w="910" w:type="dxa"/>
            <w:tcBorders>
              <w:top w:val="single" w:sz="4" w:space="0" w:color="000000"/>
              <w:left w:val="single" w:sz="4" w:space="0" w:color="000000"/>
              <w:bottom w:val="single" w:sz="17" w:space="0" w:color="000000"/>
              <w:right w:val="single" w:sz="4" w:space="0" w:color="000000"/>
            </w:tcBorders>
          </w:tcPr>
          <w:p>
            <w:pPr/>
          </w:p>
        </w:tc>
        <w:tc>
          <w:tcPr>
            <w:tcW w:w="20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31,237,495.00</w:t>
            </w:r>
            <w:r>
              <w:rPr>
                <w:rFonts w:ascii="宋体"/>
                <w:sz w:val="18"/>
              </w:rPr>
            </w:r>
          </w:p>
        </w:tc>
        <w:tc>
          <w:tcPr>
            <w:tcW w:w="1010" w:type="dxa"/>
            <w:tcBorders>
              <w:top w:val="single" w:sz="4" w:space="0" w:color="000000"/>
              <w:left w:val="single" w:sz="4" w:space="0" w:color="000000"/>
              <w:bottom w:val="single" w:sz="17"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819" w:right="0"/>
        <w:jc w:val="left"/>
      </w:pPr>
      <w:r>
        <w:rPr>
          <w:rFonts w:ascii="宋体" w:hAnsi="宋体" w:cs="宋体" w:eastAsia="宋体" w:hint="default"/>
        </w:rPr>
        <w:t>13</w:t>
      </w:r>
      <w:r>
        <w:rPr/>
        <w:t>、长期股权投资</w:t>
      </w:r>
    </w:p>
    <w:p>
      <w:pPr>
        <w:spacing w:line="240" w:lineRule="auto" w:before="8"/>
        <w:rPr>
          <w:rFonts w:ascii="宋体" w:hAnsi="宋体" w:cs="宋体" w:eastAsia="宋体" w:hint="default"/>
          <w:sz w:val="6"/>
          <w:szCs w:val="6"/>
        </w:rPr>
      </w:pPr>
    </w:p>
    <w:tbl>
      <w:tblPr>
        <w:tblW w:w="0" w:type="auto"/>
        <w:jc w:val="left"/>
        <w:tblInd w:w="235" w:type="dxa"/>
        <w:tblLayout w:type="fixed"/>
        <w:tblCellMar>
          <w:top w:w="0" w:type="dxa"/>
          <w:left w:w="0" w:type="dxa"/>
          <w:bottom w:w="0" w:type="dxa"/>
          <w:right w:w="0" w:type="dxa"/>
        </w:tblCellMar>
        <w:tblLook w:val="01E0"/>
      </w:tblPr>
      <w:tblGrid>
        <w:gridCol w:w="2175"/>
        <w:gridCol w:w="1440"/>
        <w:gridCol w:w="836"/>
        <w:gridCol w:w="1284"/>
        <w:gridCol w:w="1418"/>
        <w:gridCol w:w="850"/>
        <w:gridCol w:w="708"/>
        <w:gridCol w:w="1418"/>
        <w:gridCol w:w="710"/>
        <w:gridCol w:w="1275"/>
        <w:gridCol w:w="1418"/>
        <w:gridCol w:w="670"/>
      </w:tblGrid>
      <w:tr>
        <w:trPr>
          <w:trHeight w:val="377" w:hRule="exact"/>
        </w:trPr>
        <w:tc>
          <w:tcPr>
            <w:tcW w:w="217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4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4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5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500"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41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670" w:type="dxa"/>
            <w:vMerge w:val="restart"/>
            <w:tcBorders>
              <w:top w:val="single" w:sz="12" w:space="0" w:color="000000"/>
              <w:left w:val="single" w:sz="2" w:space="0" w:color="000000"/>
              <w:right w:val="nil" w:sz="6" w:space="0" w:color="auto"/>
            </w:tcBorders>
          </w:tcPr>
          <w:p>
            <w:pPr>
              <w:pStyle w:val="TableParagraph"/>
              <w:spacing w:line="285" w:lineRule="auto" w:before="92"/>
              <w:ind w:left="60" w:right="63"/>
              <w:jc w:val="both"/>
              <w:rPr>
                <w:rFonts w:ascii="宋体" w:hAnsi="宋体" w:cs="宋体" w:eastAsia="宋体" w:hint="default"/>
                <w:sz w:val="18"/>
                <w:szCs w:val="18"/>
              </w:rPr>
            </w:pPr>
            <w:r>
              <w:rPr>
                <w:rFonts w:ascii="宋体" w:hAnsi="宋体" w:cs="宋体" w:eastAsia="宋体" w:hint="default"/>
                <w:b/>
                <w:bCs/>
                <w:sz w:val="18"/>
                <w:szCs w:val="18"/>
              </w:rPr>
              <w:t>减值准</w:t>
            </w:r>
            <w:r>
              <w:rPr>
                <w:rFonts w:ascii="宋体" w:hAnsi="宋体" w:cs="宋体" w:eastAsia="宋体" w:hint="default"/>
                <w:b/>
                <w:bCs/>
                <w:w w:val="99"/>
                <w:sz w:val="18"/>
                <w:szCs w:val="18"/>
              </w:rPr>
              <w:t> </w:t>
            </w:r>
            <w:r>
              <w:rPr>
                <w:rFonts w:ascii="宋体" w:hAnsi="宋体" w:cs="宋体" w:eastAsia="宋体" w:hint="default"/>
                <w:b/>
                <w:bCs/>
                <w:sz w:val="18"/>
                <w:szCs w:val="18"/>
              </w:rPr>
              <w:t>备年末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643" w:hRule="exact"/>
        </w:trPr>
        <w:tc>
          <w:tcPr>
            <w:tcW w:w="2175" w:type="dxa"/>
            <w:vMerge/>
            <w:tcBorders>
              <w:left w:val="nil" w:sz="6" w:space="0" w:color="auto"/>
              <w:bottom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345" w:right="72" w:hanging="272"/>
              <w:jc w:val="left"/>
              <w:rPr>
                <w:rFonts w:ascii="宋体" w:hAnsi="宋体" w:cs="宋体" w:eastAsia="宋体" w:hint="default"/>
                <w:sz w:val="18"/>
                <w:szCs w:val="18"/>
              </w:rPr>
            </w:pPr>
            <w:r>
              <w:rPr>
                <w:rFonts w:ascii="宋体" w:hAnsi="宋体" w:cs="宋体" w:eastAsia="宋体" w:hint="default"/>
                <w:b/>
                <w:bCs/>
                <w:sz w:val="18"/>
                <w:szCs w:val="18"/>
              </w:rPr>
              <w:t>权益法下确认的</w:t>
            </w:r>
            <w:r>
              <w:rPr>
                <w:rFonts w:ascii="宋体" w:hAnsi="宋体" w:cs="宋体" w:eastAsia="宋体" w:hint="default"/>
                <w:b/>
                <w:bCs/>
                <w:w w:val="99"/>
                <w:sz w:val="18"/>
                <w:szCs w:val="18"/>
              </w:rPr>
              <w:t> </w:t>
            </w:r>
            <w:r>
              <w:rPr>
                <w:rFonts w:ascii="宋体" w:hAnsi="宋体" w:cs="宋体" w:eastAsia="宋体" w:hint="default"/>
                <w:b/>
                <w:bCs/>
                <w:sz w:val="18"/>
                <w:szCs w:val="18"/>
              </w:rPr>
              <w:t>投资损益</w:t>
            </w:r>
            <w:r>
              <w:rPr>
                <w:rFonts w:ascii="宋体" w:hAnsi="宋体" w:cs="宋体" w:eastAsia="宋体" w:hint="default"/>
                <w:sz w:val="18"/>
                <w:szCs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62" w:right="58"/>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81" w:right="77"/>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81"/>
              <w:ind w:left="254" w:right="164" w:hanging="92"/>
              <w:jc w:val="left"/>
              <w:rPr>
                <w:rFonts w:ascii="宋体" w:hAnsi="宋体" w:cs="宋体" w:eastAsia="宋体" w:hint="default"/>
                <w:sz w:val="18"/>
                <w:szCs w:val="18"/>
              </w:rPr>
            </w:pPr>
            <w:r>
              <w:rPr>
                <w:rFonts w:ascii="宋体" w:hAnsi="宋体" w:cs="宋体" w:eastAsia="宋体" w:hint="default"/>
                <w:b/>
                <w:bCs/>
                <w:sz w:val="18"/>
                <w:szCs w:val="18"/>
              </w:rPr>
              <w:t>宣告发放现金</w:t>
            </w:r>
            <w:r>
              <w:rPr>
                <w:rFonts w:ascii="宋体" w:hAnsi="宋体" w:cs="宋体" w:eastAsia="宋体" w:hint="default"/>
                <w:b/>
                <w:bCs/>
                <w:w w:val="99"/>
                <w:sz w:val="18"/>
                <w:szCs w:val="18"/>
              </w:rPr>
              <w:t> </w:t>
            </w:r>
            <w:r>
              <w:rPr>
                <w:rFonts w:ascii="宋体" w:hAnsi="宋体" w:cs="宋体" w:eastAsia="宋体" w:hint="default"/>
                <w:b/>
                <w:bCs/>
                <w:sz w:val="18"/>
                <w:szCs w:val="18"/>
              </w:rPr>
              <w:t>股利或利润</w:t>
            </w:r>
            <w:r>
              <w:rPr>
                <w:rFonts w:ascii="宋体" w:hAnsi="宋体" w:cs="宋体" w:eastAsia="宋体" w:hint="default"/>
                <w:sz w:val="18"/>
                <w:szCs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81" w:right="79"/>
              <w:jc w:val="left"/>
              <w:rPr>
                <w:rFonts w:ascii="宋体" w:hAnsi="宋体" w:cs="宋体" w:eastAsia="宋体" w:hint="default"/>
                <w:sz w:val="18"/>
                <w:szCs w:val="18"/>
              </w:rPr>
            </w:pPr>
            <w:r>
              <w:rPr>
                <w:rFonts w:ascii="宋体" w:hAnsi="宋体" w:cs="宋体" w:eastAsia="宋体" w:hint="default"/>
                <w:b/>
                <w:bCs/>
                <w:sz w:val="18"/>
                <w:szCs w:val="18"/>
              </w:rPr>
              <w:t>计提减</w:t>
            </w:r>
            <w:r>
              <w:rPr>
                <w:rFonts w:ascii="宋体" w:hAnsi="宋体" w:cs="宋体" w:eastAsia="宋体" w:hint="default"/>
                <w:b/>
                <w:bCs/>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2" w:space="0" w:color="000000"/>
              <w:bottom w:val="single" w:sz="2" w:space="0" w:color="000000"/>
              <w:right w:val="single" w:sz="2" w:space="0" w:color="000000"/>
            </w:tcBorders>
          </w:tcPr>
          <w:p>
            <w:pPr/>
          </w:p>
        </w:tc>
        <w:tc>
          <w:tcPr>
            <w:tcW w:w="670" w:type="dxa"/>
            <w:vMerge/>
            <w:tcBorders>
              <w:left w:val="single" w:sz="2" w:space="0" w:color="000000"/>
              <w:bottom w:val="single" w:sz="2" w:space="0" w:color="000000"/>
              <w:right w:val="nil" w:sz="6" w:space="0" w:color="auto"/>
            </w:tcBorders>
          </w:tcPr>
          <w:p>
            <w:pPr/>
          </w:p>
        </w:tc>
      </w:tr>
      <w:tr>
        <w:trPr>
          <w:trHeight w:val="362"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b/>
                <w:bCs/>
                <w:sz w:val="18"/>
                <w:szCs w:val="18"/>
              </w:rPr>
              <w:t>一、合营企业</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924"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tabs>
                <w:tab w:pos="1506" w:val="left" w:leader="none"/>
              </w:tabs>
              <w:spacing w:line="240" w:lineRule="auto" w:before="49"/>
              <w:ind w:left="55" w:right="0"/>
              <w:jc w:val="left"/>
              <w:rPr>
                <w:rFonts w:ascii="宋体" w:hAnsi="宋体" w:cs="宋体" w:eastAsia="宋体" w:hint="default"/>
                <w:sz w:val="18"/>
                <w:szCs w:val="18"/>
              </w:rPr>
            </w:pPr>
            <w:r>
              <w:rPr>
                <w:rFonts w:ascii="宋体"/>
                <w:spacing w:val="-1"/>
                <w:sz w:val="18"/>
              </w:rPr>
              <w:t>BriVictory</w:t>
              <w:tab/>
              <w:t>Display</w:t>
            </w:r>
          </w:p>
          <w:p>
            <w:pPr>
              <w:pStyle w:val="TableParagraph"/>
              <w:tabs>
                <w:tab w:pos="1414" w:val="left" w:leader="none"/>
              </w:tabs>
              <w:spacing w:line="283" w:lineRule="auto" w:before="45"/>
              <w:ind w:left="55" w:right="33"/>
              <w:jc w:val="left"/>
              <w:rPr>
                <w:rFonts w:ascii="宋体" w:hAnsi="宋体" w:cs="宋体" w:eastAsia="宋体" w:hint="default"/>
                <w:sz w:val="18"/>
                <w:szCs w:val="18"/>
              </w:rPr>
            </w:pPr>
            <w:r>
              <w:rPr>
                <w:rFonts w:ascii="宋体"/>
                <w:spacing w:val="-1"/>
                <w:sz w:val="18"/>
              </w:rPr>
              <w:t>Technology</w:t>
              <w:tab/>
              <w:t>(LaBuan)</w:t>
            </w:r>
            <w:r>
              <w:rPr>
                <w:rFonts w:ascii="宋体"/>
                <w:spacing w:val="-83"/>
                <w:sz w:val="18"/>
              </w:rPr>
              <w:t> </w:t>
            </w:r>
            <w:r>
              <w:rPr>
                <w:rFonts w:ascii="宋体"/>
                <w:spacing w:val="-83"/>
                <w:sz w:val="18"/>
              </w:rPr>
            </w:r>
            <w:r>
              <w:rPr>
                <w:rFonts w:ascii="宋体"/>
                <w:sz w:val="18"/>
              </w:rPr>
              <w:t>Corp.</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8,272,888.00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-18,720.75</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505,699.15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8,759,866.40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362"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b/>
                <w:bCs/>
                <w:sz w:val="18"/>
                <w:szCs w:val="18"/>
              </w:rPr>
              <w:t>二、联营企业</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3"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49"/>
              <w:ind w:left="55" w:right="27"/>
              <w:jc w:val="left"/>
              <w:rPr>
                <w:rFonts w:ascii="宋体" w:hAnsi="宋体" w:cs="宋体" w:eastAsia="宋体" w:hint="default"/>
                <w:sz w:val="18"/>
                <w:szCs w:val="18"/>
              </w:rPr>
            </w:pPr>
            <w:r>
              <w:rPr>
                <w:rFonts w:ascii="宋体" w:hAnsi="宋体" w:cs="宋体" w:eastAsia="宋体" w:hint="default"/>
                <w:spacing w:val="9"/>
                <w:sz w:val="18"/>
                <w:szCs w:val="18"/>
              </w:rPr>
              <w:t>长信数码信息文化发展有 </w:t>
            </w:r>
            <w:r>
              <w:rPr>
                <w:rFonts w:ascii="宋体" w:hAnsi="宋体" w:cs="宋体" w:eastAsia="宋体" w:hint="default"/>
                <w:sz w:val="18"/>
                <w:szCs w:val="18"/>
              </w:rPr>
              <w:t>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135,962.58</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17,495.89</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153,458.47</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3"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51"/>
              <w:ind w:left="55" w:right="27"/>
              <w:jc w:val="left"/>
              <w:rPr>
                <w:rFonts w:ascii="宋体" w:hAnsi="宋体" w:cs="宋体" w:eastAsia="宋体" w:hint="default"/>
                <w:sz w:val="18"/>
                <w:szCs w:val="18"/>
              </w:rPr>
            </w:pPr>
            <w:r>
              <w:rPr>
                <w:rFonts w:ascii="宋体" w:hAnsi="宋体" w:cs="宋体" w:eastAsia="宋体" w:hint="default"/>
                <w:spacing w:val="9"/>
                <w:sz w:val="18"/>
                <w:szCs w:val="18"/>
              </w:rPr>
              <w:t>桂林长海科技有限责任公 </w:t>
            </w:r>
            <w:r>
              <w:rPr>
                <w:rFonts w:ascii="宋体" w:hAnsi="宋体" w:cs="宋体" w:eastAsia="宋体" w:hint="default"/>
                <w:sz w:val="18"/>
                <w:szCs w:val="18"/>
              </w:rPr>
              <w:t>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14,907,696.70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479,266.33</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2,228.85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15,389,191.88</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51"/>
              <w:ind w:left="55" w:right="27"/>
              <w:jc w:val="left"/>
              <w:rPr>
                <w:rFonts w:ascii="宋体" w:hAnsi="宋体" w:cs="宋体" w:eastAsia="宋体" w:hint="default"/>
                <w:sz w:val="18"/>
                <w:szCs w:val="18"/>
              </w:rPr>
            </w:pPr>
            <w:r>
              <w:rPr>
                <w:rFonts w:ascii="宋体" w:hAnsi="宋体" w:cs="宋体" w:eastAsia="宋体" w:hint="default"/>
                <w:spacing w:val="9"/>
                <w:sz w:val="18"/>
                <w:szCs w:val="18"/>
              </w:rPr>
              <w:t>深圳中电长城信息安全系 </w:t>
            </w:r>
            <w:r>
              <w:rPr>
                <w:rFonts w:ascii="宋体" w:hAnsi="宋体" w:cs="宋体" w:eastAsia="宋体" w:hint="default"/>
                <w:sz w:val="18"/>
                <w:szCs w:val="18"/>
              </w:rPr>
              <w:t>统有限公司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6,324,672.66</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-3,603,989.61</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485,043.60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3,205,726.65</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58" w:hRule="exact"/>
        </w:trPr>
        <w:tc>
          <w:tcPr>
            <w:tcW w:w="2175" w:type="dxa"/>
            <w:tcBorders>
              <w:top w:val="single" w:sz="2" w:space="0" w:color="000000"/>
              <w:left w:val="nil" w:sz="6" w:space="0" w:color="auto"/>
              <w:bottom w:val="single" w:sz="12" w:space="0" w:color="000000"/>
              <w:right w:val="single" w:sz="2" w:space="0" w:color="000000"/>
            </w:tcBorders>
          </w:tcPr>
          <w:p>
            <w:pPr>
              <w:pStyle w:val="TableParagraph"/>
              <w:spacing w:line="283" w:lineRule="auto" w:before="51"/>
              <w:ind w:left="55" w:right="27"/>
              <w:jc w:val="left"/>
              <w:rPr>
                <w:rFonts w:ascii="宋体" w:hAnsi="宋体" w:cs="宋体" w:eastAsia="宋体" w:hint="default"/>
                <w:sz w:val="18"/>
                <w:szCs w:val="18"/>
              </w:rPr>
            </w:pPr>
            <w:r>
              <w:rPr>
                <w:rFonts w:ascii="宋体" w:hAnsi="宋体" w:cs="宋体" w:eastAsia="宋体" w:hint="default"/>
                <w:spacing w:val="9"/>
                <w:sz w:val="18"/>
                <w:szCs w:val="18"/>
              </w:rPr>
              <w:t>广州鼎甲计算机科技有限 </w:t>
            </w:r>
            <w:r>
              <w:rPr>
                <w:rFonts w:ascii="宋体" w:hAnsi="宋体" w:cs="宋体" w:eastAsia="宋体" w:hint="default"/>
                <w:sz w:val="18"/>
                <w:szCs w:val="18"/>
              </w:rPr>
              <w:t>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29,540,872.57</w:t>
            </w:r>
          </w:p>
        </w:tc>
        <w:tc>
          <w:tcPr>
            <w:tcW w:w="836"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7" w:right="0"/>
              <w:jc w:val="center"/>
              <w:rPr>
                <w:rFonts w:ascii="宋体" w:hAnsi="宋体" w:cs="宋体" w:eastAsia="宋体" w:hint="default"/>
                <w:sz w:val="18"/>
                <w:szCs w:val="18"/>
              </w:rPr>
            </w:pPr>
            <w:r>
              <w:rPr>
                <w:rFonts w:ascii="宋体"/>
                <w:sz w:val="18"/>
              </w:rPr>
              <w:t>2,810,994.52</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-6,759,143.25</w:t>
            </w:r>
          </w:p>
        </w:tc>
        <w:tc>
          <w:tcPr>
            <w:tcW w:w="850"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
        </w:tc>
        <w:tc>
          <w:tcPr>
            <w:tcW w:w="710" w:type="dxa"/>
            <w:tcBorders>
              <w:top w:val="single" w:sz="2" w:space="0" w:color="000000"/>
              <w:left w:val="single" w:sz="2" w:space="0" w:color="000000"/>
              <w:bottom w:val="single" w:sz="12" w:space="0" w:color="000000"/>
              <w:right w:val="single" w:sz="2" w:space="0" w:color="000000"/>
            </w:tcBorders>
          </w:tcPr>
          <w:p>
            <w:pPr/>
          </w:p>
        </w:tc>
        <w:tc>
          <w:tcPr>
            <w:tcW w:w="1275"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19,970,734.80</w:t>
            </w:r>
          </w:p>
        </w:tc>
        <w:tc>
          <w:tcPr>
            <w:tcW w:w="670"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45"/>
          <w:footerReference w:type="default" r:id="rId46"/>
          <w:pgSz w:w="16840" w:h="11910" w:orient="landscape"/>
          <w:pgMar w:header="881" w:footer="980" w:top="1640" w:bottom="1160" w:left="1060" w:right="1060"/>
          <w:pgNumType w:start="42"/>
        </w:sectPr>
      </w:pPr>
    </w:p>
    <w:p>
      <w:pPr>
        <w:spacing w:line="240" w:lineRule="auto" w:before="12"/>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175"/>
        <w:gridCol w:w="1440"/>
        <w:gridCol w:w="836"/>
        <w:gridCol w:w="1284"/>
        <w:gridCol w:w="1418"/>
        <w:gridCol w:w="850"/>
        <w:gridCol w:w="708"/>
        <w:gridCol w:w="1418"/>
        <w:gridCol w:w="710"/>
        <w:gridCol w:w="1275"/>
        <w:gridCol w:w="1418"/>
        <w:gridCol w:w="670"/>
      </w:tblGrid>
      <w:tr>
        <w:trPr>
          <w:trHeight w:val="377" w:hRule="exact"/>
        </w:trPr>
        <w:tc>
          <w:tcPr>
            <w:tcW w:w="217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4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4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5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500"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41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670" w:type="dxa"/>
            <w:vMerge w:val="restart"/>
            <w:tcBorders>
              <w:top w:val="single" w:sz="12" w:space="0" w:color="000000"/>
              <w:left w:val="single" w:sz="2" w:space="0" w:color="000000"/>
              <w:right w:val="nil" w:sz="6" w:space="0" w:color="auto"/>
            </w:tcBorders>
          </w:tcPr>
          <w:p>
            <w:pPr>
              <w:pStyle w:val="TableParagraph"/>
              <w:spacing w:line="285" w:lineRule="auto" w:before="92"/>
              <w:ind w:left="60" w:right="63"/>
              <w:jc w:val="both"/>
              <w:rPr>
                <w:rFonts w:ascii="宋体" w:hAnsi="宋体" w:cs="宋体" w:eastAsia="宋体" w:hint="default"/>
                <w:sz w:val="18"/>
                <w:szCs w:val="18"/>
              </w:rPr>
            </w:pPr>
            <w:r>
              <w:rPr>
                <w:rFonts w:ascii="宋体" w:hAnsi="宋体" w:cs="宋体" w:eastAsia="宋体" w:hint="default"/>
                <w:b/>
                <w:bCs/>
                <w:sz w:val="18"/>
                <w:szCs w:val="18"/>
              </w:rPr>
              <w:t>减值准</w:t>
            </w:r>
            <w:r>
              <w:rPr>
                <w:rFonts w:ascii="宋体" w:hAnsi="宋体" w:cs="宋体" w:eastAsia="宋体" w:hint="default"/>
                <w:b/>
                <w:bCs/>
                <w:w w:val="99"/>
                <w:sz w:val="18"/>
                <w:szCs w:val="18"/>
              </w:rPr>
              <w:t> </w:t>
            </w:r>
            <w:r>
              <w:rPr>
                <w:rFonts w:ascii="宋体" w:hAnsi="宋体" w:cs="宋体" w:eastAsia="宋体" w:hint="default"/>
                <w:b/>
                <w:bCs/>
                <w:sz w:val="18"/>
                <w:szCs w:val="18"/>
              </w:rPr>
              <w:t>备年末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643" w:hRule="exact"/>
        </w:trPr>
        <w:tc>
          <w:tcPr>
            <w:tcW w:w="2175" w:type="dxa"/>
            <w:vMerge/>
            <w:tcBorders>
              <w:left w:val="nil" w:sz="6" w:space="0" w:color="auto"/>
              <w:bottom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345" w:right="72" w:hanging="272"/>
              <w:jc w:val="left"/>
              <w:rPr>
                <w:rFonts w:ascii="宋体" w:hAnsi="宋体" w:cs="宋体" w:eastAsia="宋体" w:hint="default"/>
                <w:sz w:val="18"/>
                <w:szCs w:val="18"/>
              </w:rPr>
            </w:pPr>
            <w:r>
              <w:rPr>
                <w:rFonts w:ascii="宋体" w:hAnsi="宋体" w:cs="宋体" w:eastAsia="宋体" w:hint="default"/>
                <w:b/>
                <w:bCs/>
                <w:sz w:val="18"/>
                <w:szCs w:val="18"/>
              </w:rPr>
              <w:t>权益法下确认的</w:t>
            </w:r>
            <w:r>
              <w:rPr>
                <w:rFonts w:ascii="宋体" w:hAnsi="宋体" w:cs="宋体" w:eastAsia="宋体" w:hint="default"/>
                <w:b/>
                <w:bCs/>
                <w:w w:val="99"/>
                <w:sz w:val="18"/>
                <w:szCs w:val="18"/>
              </w:rPr>
              <w:t> </w:t>
            </w:r>
            <w:r>
              <w:rPr>
                <w:rFonts w:ascii="宋体" w:hAnsi="宋体" w:cs="宋体" w:eastAsia="宋体" w:hint="default"/>
                <w:b/>
                <w:bCs/>
                <w:sz w:val="18"/>
                <w:szCs w:val="18"/>
              </w:rPr>
              <w:t>投资损益</w:t>
            </w:r>
            <w:r>
              <w:rPr>
                <w:rFonts w:ascii="宋体" w:hAnsi="宋体" w:cs="宋体" w:eastAsia="宋体" w:hint="default"/>
                <w:sz w:val="18"/>
                <w:szCs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62" w:right="58"/>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81" w:right="77"/>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81"/>
              <w:ind w:left="254" w:right="164" w:hanging="92"/>
              <w:jc w:val="left"/>
              <w:rPr>
                <w:rFonts w:ascii="宋体" w:hAnsi="宋体" w:cs="宋体" w:eastAsia="宋体" w:hint="default"/>
                <w:sz w:val="18"/>
                <w:szCs w:val="18"/>
              </w:rPr>
            </w:pPr>
            <w:r>
              <w:rPr>
                <w:rFonts w:ascii="宋体" w:hAnsi="宋体" w:cs="宋体" w:eastAsia="宋体" w:hint="default"/>
                <w:b/>
                <w:bCs/>
                <w:sz w:val="18"/>
                <w:szCs w:val="18"/>
              </w:rPr>
              <w:t>宣告发放现金</w:t>
            </w:r>
            <w:r>
              <w:rPr>
                <w:rFonts w:ascii="宋体" w:hAnsi="宋体" w:cs="宋体" w:eastAsia="宋体" w:hint="default"/>
                <w:b/>
                <w:bCs/>
                <w:w w:val="99"/>
                <w:sz w:val="18"/>
                <w:szCs w:val="18"/>
              </w:rPr>
              <w:t> </w:t>
            </w:r>
            <w:r>
              <w:rPr>
                <w:rFonts w:ascii="宋体" w:hAnsi="宋体" w:cs="宋体" w:eastAsia="宋体" w:hint="default"/>
                <w:b/>
                <w:bCs/>
                <w:sz w:val="18"/>
                <w:szCs w:val="18"/>
              </w:rPr>
              <w:t>股利或利润</w:t>
            </w:r>
            <w:r>
              <w:rPr>
                <w:rFonts w:ascii="宋体" w:hAnsi="宋体" w:cs="宋体" w:eastAsia="宋体" w:hint="default"/>
                <w:sz w:val="18"/>
                <w:szCs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49"/>
              <w:ind w:left="81" w:right="79"/>
              <w:jc w:val="left"/>
              <w:rPr>
                <w:rFonts w:ascii="宋体" w:hAnsi="宋体" w:cs="宋体" w:eastAsia="宋体" w:hint="default"/>
                <w:sz w:val="18"/>
                <w:szCs w:val="18"/>
              </w:rPr>
            </w:pPr>
            <w:r>
              <w:rPr>
                <w:rFonts w:ascii="宋体" w:hAnsi="宋体" w:cs="宋体" w:eastAsia="宋体" w:hint="default"/>
                <w:b/>
                <w:bCs/>
                <w:sz w:val="18"/>
                <w:szCs w:val="18"/>
              </w:rPr>
              <w:t>计提减</w:t>
            </w:r>
            <w:r>
              <w:rPr>
                <w:rFonts w:ascii="宋体" w:hAnsi="宋体" w:cs="宋体" w:eastAsia="宋体" w:hint="default"/>
                <w:b/>
                <w:bCs/>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2" w:space="0" w:color="000000"/>
              <w:bottom w:val="single" w:sz="2" w:space="0" w:color="000000"/>
              <w:right w:val="single" w:sz="2" w:space="0" w:color="000000"/>
            </w:tcBorders>
          </w:tcPr>
          <w:p>
            <w:pPr/>
          </w:p>
        </w:tc>
        <w:tc>
          <w:tcPr>
            <w:tcW w:w="670" w:type="dxa"/>
            <w:vMerge/>
            <w:tcBorders>
              <w:left w:val="single" w:sz="2" w:space="0" w:color="000000"/>
              <w:bottom w:val="single" w:sz="2" w:space="0" w:color="000000"/>
              <w:right w:val="nil" w:sz="6" w:space="0" w:color="auto"/>
            </w:tcBorders>
          </w:tcPr>
          <w:p>
            <w:pPr/>
          </w:p>
        </w:tc>
      </w:tr>
      <w:tr>
        <w:trPr>
          <w:trHeight w:val="643"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tabs>
                <w:tab w:pos="1055" w:val="left" w:leader="none"/>
              </w:tabs>
              <w:spacing w:line="283" w:lineRule="auto" w:before="49"/>
              <w:ind w:left="55" w:right="35"/>
              <w:jc w:val="left"/>
              <w:rPr>
                <w:rFonts w:ascii="宋体" w:hAnsi="宋体" w:cs="宋体" w:eastAsia="宋体" w:hint="default"/>
                <w:sz w:val="18"/>
                <w:szCs w:val="18"/>
              </w:rPr>
            </w:pPr>
            <w:r>
              <w:rPr>
                <w:rFonts w:ascii="宋体"/>
                <w:spacing w:val="-1"/>
                <w:sz w:val="18"/>
              </w:rPr>
              <w:t>Envision</w:t>
              <w:tab/>
              <w:t>Peripherals,</w:t>
            </w:r>
            <w:r>
              <w:rPr>
                <w:rFonts w:ascii="宋体"/>
                <w:spacing w:val="-82"/>
                <w:sz w:val="18"/>
              </w:rPr>
              <w:t> </w:t>
            </w:r>
            <w:r>
              <w:rPr>
                <w:rFonts w:ascii="宋体"/>
                <w:spacing w:val="-82"/>
                <w:sz w:val="18"/>
              </w:rPr>
            </w:r>
            <w:r>
              <w:rPr>
                <w:rFonts w:ascii="宋体"/>
                <w:sz w:val="18"/>
              </w:rPr>
              <w:t>Inc.</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10,126,945.00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3,045,242.00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743,597.80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13,915,784.80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362"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38,702,675.00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-2,595,944.00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452,237.00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36,558,968.00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49"/>
              <w:ind w:left="55" w:right="36"/>
              <w:jc w:val="left"/>
              <w:rPr>
                <w:rFonts w:ascii="宋体" w:hAnsi="宋体" w:cs="宋体" w:eastAsia="宋体" w:hint="default"/>
                <w:sz w:val="18"/>
                <w:szCs w:val="18"/>
              </w:rPr>
            </w:pPr>
            <w:r>
              <w:rPr>
                <w:rFonts w:ascii="宋体" w:hAnsi="宋体" w:cs="宋体" w:eastAsia="宋体" w:hint="default"/>
                <w:spacing w:val="-7"/>
                <w:sz w:val="18"/>
                <w:szCs w:val="18"/>
              </w:rPr>
              <w:t>捷星显示科技（福建）有限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187,981,799.00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48,923,560.00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-31,107,646.25</w:t>
            </w: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3,452,053.65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209,249,766.40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3"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49"/>
              <w:ind w:left="55" w:right="36"/>
              <w:jc w:val="left"/>
              <w:rPr>
                <w:rFonts w:ascii="宋体" w:hAnsi="宋体" w:cs="宋体" w:eastAsia="宋体" w:hint="default"/>
                <w:sz w:val="18"/>
                <w:szCs w:val="18"/>
              </w:rPr>
            </w:pPr>
            <w:r>
              <w:rPr>
                <w:rFonts w:ascii="宋体" w:hAnsi="宋体" w:cs="宋体" w:eastAsia="宋体" w:hint="default"/>
                <w:spacing w:val="-7"/>
                <w:sz w:val="18"/>
                <w:szCs w:val="18"/>
              </w:rPr>
              <w:t>亿冠晶（福建）光电有限公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36,928,165.00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-411,856.50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510,198.70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37,026,507.20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362"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70,509,237.00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-798,752.00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-897,805.80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68,812,679.20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3"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49"/>
              <w:ind w:left="55" w:right="27"/>
              <w:jc w:val="left"/>
              <w:rPr>
                <w:rFonts w:ascii="宋体" w:hAnsi="宋体" w:cs="宋体" w:eastAsia="宋体" w:hint="default"/>
                <w:sz w:val="18"/>
                <w:szCs w:val="18"/>
              </w:rPr>
            </w:pPr>
            <w:r>
              <w:rPr>
                <w:rFonts w:ascii="宋体" w:hAnsi="宋体" w:cs="宋体" w:eastAsia="宋体" w:hint="default"/>
                <w:spacing w:val="9"/>
                <w:sz w:val="18"/>
                <w:szCs w:val="18"/>
              </w:rPr>
              <w:t>合肥市航嘉显示科技有限 </w:t>
            </w:r>
            <w:r>
              <w:rPr>
                <w:rFonts w:ascii="宋体" w:hAnsi="宋体" w:cs="宋体" w:eastAsia="宋体" w:hint="default"/>
                <w:sz w:val="18"/>
                <w:szCs w:val="18"/>
              </w:rPr>
              <w:t>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28,893,918.00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-4,330,733.50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235,873.90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24,799,058.40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51"/>
              <w:ind w:left="55" w:right="27"/>
              <w:jc w:val="left"/>
              <w:rPr>
                <w:rFonts w:ascii="宋体" w:hAnsi="宋体" w:cs="宋体" w:eastAsia="宋体" w:hint="default"/>
                <w:sz w:val="18"/>
                <w:szCs w:val="18"/>
              </w:rPr>
            </w:pPr>
            <w:r>
              <w:rPr>
                <w:rFonts w:ascii="宋体" w:hAnsi="宋体" w:cs="宋体" w:eastAsia="宋体" w:hint="default"/>
                <w:spacing w:val="9"/>
                <w:sz w:val="18"/>
                <w:szCs w:val="18"/>
              </w:rPr>
              <w:t>嘉视电子企业股份有限公 </w:t>
            </w:r>
            <w:r>
              <w:rPr>
                <w:rFonts w:ascii="宋体" w:hAnsi="宋体" w:cs="宋体" w:eastAsia="宋体" w:hint="default"/>
                <w:sz w:val="18"/>
                <w:szCs w:val="18"/>
              </w:rPr>
              <w:t>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452,806.00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-49,922.00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6,212.80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409,096.80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sz w:val="18"/>
              </w:rPr>
              <w:t>CI Plus</w:t>
            </w:r>
            <w:r>
              <w:rPr>
                <w:rFonts w:ascii="宋体"/>
                <w:spacing w:val="-2"/>
                <w:sz w:val="18"/>
              </w:rPr>
              <w:t> </w:t>
            </w:r>
            <w:r>
              <w:rPr>
                <w:rFonts w:ascii="宋体"/>
                <w:sz w:val="18"/>
              </w:rPr>
              <w:t>LLP</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4,681,035.00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pacing w:val="-1"/>
                <w:sz w:val="18"/>
              </w:rPr>
              <w:t>355,694.25</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pacing w:val="-1"/>
                <w:sz w:val="18"/>
              </w:rPr>
              <w:t>-192,503.65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pacing w:val="-1"/>
                <w:sz w:val="18"/>
              </w:rPr>
              <w:t>4,844,225.60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362"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sz w:val="18"/>
              </w:rPr>
              <w:t>Trade place</w:t>
            </w:r>
            <w:r>
              <w:rPr>
                <w:rFonts w:ascii="宋体"/>
                <w:spacing w:val="-6"/>
                <w:sz w:val="18"/>
              </w:rPr>
              <w:t> </w:t>
            </w:r>
            <w:r>
              <w:rPr>
                <w:rFonts w:ascii="宋体"/>
                <w:sz w:val="18"/>
              </w:rPr>
              <w:t>B.V.</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1,829,581.00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274,571.00</w:t>
            </w: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-71,655.20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2,032,496.80</w:t>
            </w:r>
          </w:p>
        </w:tc>
        <w:tc>
          <w:tcPr>
            <w:tcW w:w="670" w:type="dxa"/>
            <w:tcBorders>
              <w:top w:val="single" w:sz="2" w:space="0" w:color="000000"/>
              <w:left w:val="single" w:sz="2" w:space="0" w:color="000000"/>
              <w:bottom w:val="single" w:sz="2" w:space="0" w:color="000000"/>
              <w:right w:val="nil" w:sz="6" w:space="0" w:color="auto"/>
            </w:tcBorders>
          </w:tcPr>
          <w:p>
            <w:pPr/>
          </w:p>
        </w:tc>
      </w:tr>
      <w:tr>
        <w:trPr>
          <w:trHeight w:val="643"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49"/>
              <w:ind w:left="55" w:right="36"/>
              <w:jc w:val="left"/>
              <w:rPr>
                <w:rFonts w:ascii="宋体" w:hAnsi="宋体" w:cs="宋体" w:eastAsia="宋体" w:hint="default"/>
                <w:sz w:val="9"/>
                <w:szCs w:val="9"/>
              </w:rPr>
            </w:pPr>
            <w:r>
              <w:rPr>
                <w:rFonts w:ascii="宋体" w:hAnsi="宋体" w:cs="宋体" w:eastAsia="宋体" w:hint="default"/>
                <w:spacing w:val="-7"/>
                <w:sz w:val="18"/>
                <w:szCs w:val="18"/>
              </w:rPr>
              <w:t>乐捷显示科技（厦门）有限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position w:val="-8"/>
                <w:sz w:val="18"/>
                <w:szCs w:val="18"/>
              </w:rPr>
              <w:t>公司</w:t>
            </w:r>
            <w:r>
              <w:rPr>
                <w:rFonts w:ascii="宋体" w:hAnsi="宋体" w:cs="宋体" w:eastAsia="宋体" w:hint="default"/>
                <w:sz w:val="9"/>
                <w:szCs w:val="9"/>
              </w:rPr>
              <w:t>注</w:t>
            </w:r>
            <w:r>
              <w:rPr>
                <w:rFonts w:ascii="宋体" w:hAnsi="宋体" w:cs="宋体" w:eastAsia="宋体" w:hint="default"/>
                <w:spacing w:val="-23"/>
                <w:sz w:val="9"/>
                <w:szCs w:val="9"/>
              </w:rPr>
              <w:t> </w:t>
            </w:r>
            <w:r>
              <w:rPr>
                <w:rFonts w:ascii="宋体" w:hAnsi="宋体" w:cs="宋体" w:eastAsia="宋体" w:hint="default"/>
                <w:sz w:val="9"/>
                <w:szCs w:val="9"/>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11,001,962.00</w:t>
            </w:r>
          </w:p>
        </w:tc>
        <w:tc>
          <w:tcPr>
            <w:tcW w:w="836" w:type="dxa"/>
            <w:tcBorders>
              <w:top w:val="single" w:sz="2" w:space="0" w:color="000000"/>
              <w:left w:val="single" w:sz="2" w:space="0" w:color="000000"/>
              <w:bottom w:val="single" w:sz="2" w:space="0" w:color="000000"/>
              <w:right w:val="single" w:sz="2" w:space="0" w:color="000000"/>
            </w:tcBorders>
          </w:tcPr>
          <w:p>
            <w:pP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 w:right="0"/>
              <w:jc w:val="center"/>
              <w:rPr>
                <w:rFonts w:ascii="宋体" w:hAnsi="宋体" w:cs="宋体" w:eastAsia="宋体" w:hint="default"/>
                <w:sz w:val="18"/>
                <w:szCs w:val="18"/>
              </w:rPr>
            </w:pPr>
            <w:r>
              <w:rPr>
                <w:rFonts w:ascii="宋体"/>
                <w:sz w:val="18"/>
              </w:rPr>
              <w:t>11,219,969.50</w:t>
            </w:r>
          </w:p>
        </w:tc>
        <w:tc>
          <w:tcPr>
            <w:tcW w:w="1418"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218,007.50</w:t>
            </w:r>
          </w:p>
        </w:tc>
        <w:tc>
          <w:tcPr>
            <w:tcW w:w="1418"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21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450,290,215.51</w:t>
            </w:r>
            <w:r>
              <w:rPr>
                <w:rFonts w:ascii="宋体"/>
                <w:sz w:val="18"/>
              </w:rPr>
            </w:r>
          </w:p>
        </w:tc>
        <w:tc>
          <w:tcPr>
            <w:tcW w:w="836" w:type="dxa"/>
            <w:tcBorders>
              <w:top w:val="single" w:sz="2" w:space="0" w:color="000000"/>
              <w:left w:val="single" w:sz="2" w:space="0" w:color="000000"/>
              <w:bottom w:val="single" w:sz="12" w:space="0" w:color="000000"/>
              <w:right w:val="single" w:sz="2" w:space="0" w:color="000000"/>
            </w:tcBorders>
          </w:tcPr>
          <w:p>
            <w:pP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b/>
                <w:sz w:val="18"/>
              </w:rPr>
              <w:t>14,030,964.02</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34,526,767.86</w:t>
            </w:r>
            <w:r>
              <w:rPr>
                <w:rFonts w:ascii="宋体"/>
                <w:sz w:val="18"/>
              </w:rPr>
            </w:r>
          </w:p>
        </w:tc>
        <w:tc>
          <w:tcPr>
            <w:tcW w:w="850"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-31,107,646.25</w:t>
            </w:r>
            <w:r>
              <w:rPr>
                <w:rFonts w:ascii="宋体"/>
                <w:sz w:val="18"/>
              </w:rPr>
            </w:r>
          </w:p>
        </w:tc>
        <w:tc>
          <w:tcPr>
            <w:tcW w:w="710" w:type="dxa"/>
            <w:tcBorders>
              <w:top w:val="single" w:sz="2" w:space="0" w:color="000000"/>
              <w:left w:val="single" w:sz="2" w:space="0" w:color="000000"/>
              <w:bottom w:val="single" w:sz="12" w:space="0" w:color="000000"/>
              <w:right w:val="single" w:sz="2" w:space="0" w:color="000000"/>
            </w:tcBorders>
          </w:tcPr>
          <w:p>
            <w:pP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5,449,188.30</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445,127,561.40</w:t>
            </w:r>
            <w:r>
              <w:rPr>
                <w:rFonts w:ascii="宋体"/>
                <w:sz w:val="18"/>
              </w:rPr>
            </w:r>
          </w:p>
        </w:tc>
        <w:tc>
          <w:tcPr>
            <w:tcW w:w="67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99" w:right="0"/>
        <w:jc w:val="left"/>
      </w:pPr>
      <w:r>
        <w:rPr/>
        <w:t>注</w:t>
      </w:r>
      <w:r>
        <w:rPr>
          <w:spacing w:val="-60"/>
        </w:rPr>
        <w:t> </w:t>
      </w:r>
      <w:r>
        <w:rPr>
          <w:rFonts w:ascii="宋体" w:hAnsi="宋体" w:cs="宋体" w:eastAsia="宋体" w:hint="default"/>
        </w:rPr>
        <w:t>1</w:t>
      </w:r>
      <w:r>
        <w:rPr/>
        <w:t>：乐捷显示科技（厦门）有限公司于本年清算完毕。</w:t>
      </w:r>
    </w:p>
    <w:p>
      <w:pPr>
        <w:spacing w:after="0" w:line="240" w:lineRule="auto"/>
        <w:jc w:val="left"/>
        <w:sectPr>
          <w:pgSz w:w="16840" w:h="11910" w:orient="landscape"/>
          <w:pgMar w:header="881" w:footer="980" w:top="1640" w:bottom="1160" w:left="1180" w:right="1180"/>
        </w:sectPr>
      </w:pPr>
    </w:p>
    <w:p>
      <w:pPr>
        <w:pStyle w:val="Heading6"/>
        <w:spacing w:line="240" w:lineRule="auto" w:before="15"/>
        <w:ind w:left="120" w:right="0"/>
        <w:jc w:val="left"/>
        <w:rPr>
          <w:b w:val="0"/>
          <w:bCs w:val="0"/>
        </w:rPr>
      </w:pPr>
      <w:r>
        <w:rPr/>
        <w:t>中国长城计算机深圳股份有限公司财务报表附注</w:t>
      </w:r>
      <w:r>
        <w:rPr>
          <w:b w:val="0"/>
          <w:bCs w:val="0"/>
        </w:rPr>
      </w:r>
    </w:p>
    <w:p>
      <w:pPr>
        <w:pStyle w:val="BodyText"/>
        <w:spacing w:line="234" w:lineRule="exact" w:before="3"/>
        <w:ind w:left="1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1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61"/>
        <w:ind w:left="559" w:right="0"/>
        <w:jc w:val="left"/>
      </w:pPr>
      <w:r>
        <w:rPr>
          <w:rFonts w:ascii="宋体" w:hAnsi="宋体" w:cs="宋体" w:eastAsia="宋体" w:hint="default"/>
        </w:rPr>
        <w:t>14</w:t>
      </w:r>
      <w:r>
        <w:rPr/>
        <w:t>、投资性房地产</w:t>
      </w:r>
    </w:p>
    <w:p>
      <w:pPr>
        <w:pStyle w:val="Heading7"/>
        <w:spacing w:line="240" w:lineRule="auto" w:before="180"/>
        <w:ind w:left="543" w:right="4373"/>
        <w:jc w:val="center"/>
      </w:pPr>
      <w:r>
        <w:rPr/>
        <w:t>（</w:t>
      </w:r>
      <w:r>
        <w:rPr>
          <w:rFonts w:ascii="宋体" w:hAnsi="宋体" w:cs="宋体" w:eastAsia="宋体" w:hint="default"/>
        </w:rPr>
        <w:t>1</w:t>
      </w:r>
      <w:r>
        <w:rPr/>
        <w:t>）采用成本计量模式的投资性房地产</w:t>
      </w:r>
    </w:p>
    <w:p>
      <w:pPr>
        <w:spacing w:line="240" w:lineRule="auto" w:before="8"/>
        <w:rPr>
          <w:rFonts w:ascii="宋体" w:hAnsi="宋体" w:cs="宋体" w:eastAsia="宋体" w:hint="default"/>
          <w:sz w:val="6"/>
          <w:szCs w:val="6"/>
        </w:rPr>
      </w:pPr>
    </w:p>
    <w:tbl>
      <w:tblPr>
        <w:tblW w:w="0" w:type="auto"/>
        <w:jc w:val="left"/>
        <w:tblInd w:w="269" w:type="dxa"/>
        <w:tblLayout w:type="fixed"/>
        <w:tblCellMar>
          <w:top w:w="0" w:type="dxa"/>
          <w:left w:w="0" w:type="dxa"/>
          <w:bottom w:w="0" w:type="dxa"/>
          <w:right w:w="0" w:type="dxa"/>
        </w:tblCellMar>
        <w:tblLook w:val="01E0"/>
      </w:tblPr>
      <w:tblGrid>
        <w:gridCol w:w="2643"/>
        <w:gridCol w:w="1843"/>
        <w:gridCol w:w="1772"/>
        <w:gridCol w:w="1709"/>
      </w:tblGrid>
      <w:tr>
        <w:trPr>
          <w:trHeight w:val="468" w:hRule="exact"/>
        </w:trPr>
        <w:tc>
          <w:tcPr>
            <w:tcW w:w="26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2"/>
              <w:ind w:left="468"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7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2"/>
              <w:ind w:left="43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7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b/>
                <w:bCs/>
                <w:sz w:val="18"/>
                <w:szCs w:val="18"/>
              </w:rPr>
              <w:t>一、账面原值</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1,101,790,532.21</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250,322,171.00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1,352,112,703.21</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72,483,048.82</w:t>
            </w: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72,483,048.82</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72,483,048.82</w:t>
            </w: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72,483,048.82</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汇率差</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20,768,141.23</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7,983,890.70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28,752,031.93</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1,195,041,722.26</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258,306,061.70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1,453,347,783.96</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b/>
                <w:bCs/>
                <w:sz w:val="18"/>
                <w:szCs w:val="18"/>
              </w:rPr>
              <w:t>二、累计折旧和累计摊销</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233,894,282.28</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16,686,513.00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250,580,795.28</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29,143,999.43</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6,382,104.23</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18"/>
                <w:szCs w:val="18"/>
              </w:rPr>
            </w:pPr>
            <w:r>
              <w:rPr>
                <w:rFonts w:ascii="宋体"/>
                <w:spacing w:val="-1"/>
                <w:sz w:val="18"/>
              </w:rPr>
              <w:t>35,526,103.66</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29,143,999.43</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6,382,104.23</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35,526,103.66</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汇率差</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4,573,180.56</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1,280,643.39</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5,853,823.95</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267,611,462.27</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24,349,260.62</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291,960,722.89</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b/>
                <w:bCs/>
                <w:sz w:val="18"/>
                <w:szCs w:val="18"/>
              </w:rPr>
              <w:t>三、减值准备</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16,490,705.00</w:t>
            </w: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16,490,705.00</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汇率差</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1,009,547.00</w:t>
            </w: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1,009,547.00</w:t>
            </w:r>
          </w:p>
        </w:tc>
      </w:tr>
      <w:tr>
        <w:trPr>
          <w:trHeight w:val="454"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17,500,252.00</w:t>
            </w: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17,500,252.00</w:t>
            </w:r>
          </w:p>
        </w:tc>
      </w:tr>
      <w:tr>
        <w:trPr>
          <w:trHeight w:val="456"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b/>
                <w:bCs/>
                <w:sz w:val="18"/>
                <w:szCs w:val="18"/>
              </w:rPr>
              <w:t>四、账面价值</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6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年末账面价值</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909,930,007.99</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233,956,801.08</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1,143,886,809.07</w:t>
            </w:r>
          </w:p>
        </w:tc>
      </w:tr>
      <w:tr>
        <w:trPr>
          <w:trHeight w:val="470" w:hRule="exact"/>
        </w:trPr>
        <w:tc>
          <w:tcPr>
            <w:tcW w:w="26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851,405,544.93</w:t>
            </w:r>
          </w:p>
        </w:tc>
        <w:tc>
          <w:tcPr>
            <w:tcW w:w="1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233,635,658.00</w:t>
            </w:r>
          </w:p>
        </w:tc>
        <w:tc>
          <w:tcPr>
            <w:tcW w:w="17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1,085,041,202.93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76"/>
        <w:ind w:left="543" w:right="796"/>
        <w:jc w:val="center"/>
        <w:rPr>
          <w:rFonts w:ascii="Times New Roman" w:hAnsi="Times New Roman" w:cs="Times New Roman" w:eastAsia="Times New Roman" w:hint="default"/>
        </w:rPr>
      </w:pPr>
      <w:r>
        <w:rPr>
          <w:rFonts w:ascii="Times New Roman"/>
        </w:rPr>
        <w:t>44</w:t>
      </w:r>
    </w:p>
    <w:p>
      <w:pPr>
        <w:spacing w:after="0" w:line="240" w:lineRule="auto"/>
        <w:jc w:val="center"/>
        <w:rPr>
          <w:rFonts w:ascii="Times New Roman" w:hAnsi="Times New Roman" w:cs="Times New Roman" w:eastAsia="Times New Roman" w:hint="default"/>
        </w:rPr>
        <w:sectPr>
          <w:headerReference w:type="default" r:id="rId47"/>
          <w:footerReference w:type="default" r:id="rId48"/>
          <w:pgSz w:w="11910" w:h="16840"/>
          <w:pgMar w:header="0" w:footer="0" w:top="780" w:bottom="280" w:left="1680" w:right="1420"/>
        </w:sectPr>
      </w:pPr>
    </w:p>
    <w:p>
      <w:pPr>
        <w:spacing w:line="240" w:lineRule="auto" w:before="8"/>
        <w:rPr>
          <w:rFonts w:ascii="Times New Roman" w:hAnsi="Times New Roman" w:cs="Times New Roman" w:eastAsia="Times New Roman" w:hint="default"/>
          <w:sz w:val="17"/>
          <w:szCs w:val="17"/>
        </w:rPr>
      </w:pPr>
    </w:p>
    <w:p>
      <w:pPr>
        <w:pStyle w:val="Heading7"/>
        <w:spacing w:line="240" w:lineRule="auto"/>
        <w:ind w:left="679" w:right="1708"/>
        <w:jc w:val="left"/>
      </w:pPr>
      <w:r>
        <w:rPr>
          <w:rFonts w:ascii="宋体" w:hAnsi="宋体" w:cs="宋体" w:eastAsia="宋体" w:hint="default"/>
        </w:rPr>
        <w:t>15</w:t>
      </w:r>
      <w:r>
        <w:rPr/>
        <w:t>、固定资产</w:t>
      </w:r>
    </w:p>
    <w:p>
      <w:pPr>
        <w:pStyle w:val="Heading7"/>
        <w:spacing w:line="240" w:lineRule="auto" w:before="180"/>
        <w:ind w:left="679" w:right="1708"/>
        <w:jc w:val="left"/>
      </w:pPr>
      <w:r>
        <w:rPr/>
        <w:t>（</w:t>
      </w:r>
      <w:r>
        <w:rPr>
          <w:rFonts w:ascii="宋体" w:hAnsi="宋体" w:cs="宋体" w:eastAsia="宋体" w:hint="default"/>
        </w:rPr>
        <w:t>1</w:t>
      </w:r>
      <w:r>
        <w:rPr/>
        <w:t>）固定资产明细表</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244"/>
        <w:gridCol w:w="1990"/>
        <w:gridCol w:w="1993"/>
        <w:gridCol w:w="1992"/>
        <w:gridCol w:w="1990"/>
        <w:gridCol w:w="1993"/>
        <w:gridCol w:w="1990"/>
      </w:tblGrid>
      <w:tr>
        <w:trPr>
          <w:trHeight w:val="391" w:hRule="exact"/>
        </w:trPr>
        <w:tc>
          <w:tcPr>
            <w:tcW w:w="22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b/>
                <w:bCs/>
                <w:sz w:val="18"/>
                <w:szCs w:val="18"/>
              </w:rPr>
              <w:t>电子及办公设备</w:t>
            </w:r>
            <w:r>
              <w:rPr>
                <w:rFonts w:ascii="宋体" w:hAnsi="宋体" w:cs="宋体" w:eastAsia="宋体" w:hint="default"/>
                <w:sz w:val="18"/>
                <w:szCs w:val="18"/>
              </w:rPr>
            </w:r>
          </w:p>
        </w:tc>
        <w:tc>
          <w:tcPr>
            <w:tcW w:w="1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9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79"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一、账面原值</w:t>
            </w:r>
            <w:r>
              <w:rPr>
                <w:rFonts w:ascii="宋体" w:hAnsi="宋体" w:cs="宋体" w:eastAsia="宋体" w:hint="default"/>
                <w:sz w:val="18"/>
                <w:szCs w:val="18"/>
              </w:rPr>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2,530,365,276.20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1,286,601,333.03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52,683,692.94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1,828,857,236.39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2,201,870,807.70</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7,900,378,346.26</w:t>
            </w:r>
          </w:p>
        </w:tc>
      </w:tr>
      <w:tr>
        <w:trPr>
          <w:trHeight w:val="325"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
                <w:sz w:val="18"/>
              </w:rPr>
              <w:t>243,554,722.19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162,943,488.88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5,518,145.18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114,029,210.97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398,511,240.03</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pacing w:val="-1"/>
                <w:sz w:val="18"/>
              </w:rPr>
              <w:t>924,556,807.25</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102,718,358.08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133,682,940.79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5,518,145.18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107,389,584.97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393,888,602.02</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743,197,631.04</w:t>
            </w:r>
          </w:p>
        </w:tc>
      </w:tr>
      <w:tr>
        <w:trPr>
          <w:trHeight w:val="326"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140,836,364.11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29,260,548.09</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6,639,626.00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4,622,638.01</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pacing w:val="-1"/>
                <w:sz w:val="18"/>
              </w:rPr>
              <w:t>181,359,176.21</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711,388.50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72,177,484.88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4,096,568.46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316,791,312.61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586,529,141.11</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980,305,895.56</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711,388.50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72,177,484.88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3,859,438.96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301,165,726.61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494,766,264.86</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872,680,303.81</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237,129.50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15,625,586.00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91,762,876.25</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107,625,591.75</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汇率变动</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87,850,170.42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-23,103,477.01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468,188.44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49,995,112.00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96,482,263.75</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211,692,257.60</w:t>
            </w:r>
          </w:p>
        </w:tc>
      </w:tr>
      <w:tr>
        <w:trPr>
          <w:trHeight w:val="326"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2,861,058,780.31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1,354,263,860.02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54,573,458.10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1,676,090,246.75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2,110,335,170.37</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宋体"/>
                <w:spacing w:val="-1"/>
                <w:sz w:val="18"/>
              </w:rPr>
              <w:t>8,056,321,515.55</w:t>
            </w:r>
          </w:p>
        </w:tc>
      </w:tr>
      <w:tr>
        <w:trPr>
          <w:trHeight w:val="380"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二、累计折旧</w:t>
            </w:r>
            <w:r>
              <w:rPr>
                <w:rFonts w:ascii="宋体" w:hAnsi="宋体" w:cs="宋体" w:eastAsia="宋体" w:hint="default"/>
                <w:sz w:val="18"/>
                <w:szCs w:val="18"/>
              </w:rPr>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572,189,067.87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644,022,041.45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38,138,300.11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1,394,807,077.11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1,608,905,440.73</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4,258,061,927.27</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68,056,489.49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105,022,801.89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6,183,589.20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151,143,104.00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509,520,693.67</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839,926,678.25</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68,056,489.49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105,022,801.89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6,183,589.20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151,143,104.00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509,520,693.67</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839,926,678.25</w:t>
            </w:r>
          </w:p>
        </w:tc>
      </w:tr>
      <w:tr>
        <w:trPr>
          <w:trHeight w:val="326"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249,610.00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54,714,268.39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3,691,163.54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289,873,658.48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543,079,238.99</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891,607,939.40</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249,610.00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54,714,268.39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3,478,995.04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276,550,724.73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479,690,779.49</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814,684,377.65</w:t>
            </w:r>
          </w:p>
        </w:tc>
      </w:tr>
      <w:tr>
        <w:trPr>
          <w:trHeight w:val="325"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212,168.50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13,322,933.75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63,388,459.50</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76,923,561.75</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汇率变动</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26,219,967.93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-10,338,718.56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1,115,941.62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42,570,228.82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71,324,094.55</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130,891,514.36</w:t>
            </w:r>
          </w:p>
        </w:tc>
      </w:tr>
      <w:tr>
        <w:trPr>
          <w:trHeight w:val="326"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666,215,915.29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683,991,856.39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41,746,667.39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1,298,646,751.45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1,646,670,989.96</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4,337,272,180.48</w:t>
            </w:r>
          </w:p>
        </w:tc>
      </w:tr>
    </w:tbl>
    <w:p>
      <w:pPr>
        <w:spacing w:after="0" w:line="240" w:lineRule="auto"/>
        <w:jc w:val="right"/>
        <w:rPr>
          <w:rFonts w:ascii="宋体" w:hAnsi="宋体" w:cs="宋体" w:eastAsia="宋体" w:hint="default"/>
          <w:sz w:val="18"/>
          <w:szCs w:val="18"/>
        </w:rPr>
        <w:sectPr>
          <w:headerReference w:type="default" r:id="rId49"/>
          <w:footerReference w:type="default" r:id="rId50"/>
          <w:pgSz w:w="16840" w:h="11910" w:orient="landscape"/>
          <w:pgMar w:header="881" w:footer="980" w:top="1640" w:bottom="1160" w:left="1200" w:right="1200"/>
          <w:pgNumType w:start="45"/>
        </w:sectPr>
      </w:pP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244"/>
        <w:gridCol w:w="1990"/>
        <w:gridCol w:w="1993"/>
        <w:gridCol w:w="1992"/>
        <w:gridCol w:w="1990"/>
        <w:gridCol w:w="1993"/>
        <w:gridCol w:w="1990"/>
      </w:tblGrid>
      <w:tr>
        <w:trPr>
          <w:trHeight w:val="379"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三、减值准备</w:t>
            </w:r>
            <w:r>
              <w:rPr>
                <w:rFonts w:ascii="宋体" w:hAnsi="宋体" w:cs="宋体" w:eastAsia="宋体" w:hint="default"/>
                <w:sz w:val="18"/>
                <w:szCs w:val="18"/>
              </w:rPr>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5,337,360.76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6,220,573.38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54,147,031.00</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65,704,965.14</w:t>
            </w:r>
          </w:p>
        </w:tc>
      </w:tr>
      <w:tr>
        <w:trPr>
          <w:trHeight w:val="326"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5,229,329.50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3,400,936.25</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8,630,265.75</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5,229,329.50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3,400,936.25</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8,630,265.75</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1,179,224.98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3,669.38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13,716,069.50</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14,898,963.86</w:t>
            </w:r>
          </w:p>
        </w:tc>
      </w:tr>
      <w:tr>
        <w:trPr>
          <w:trHeight w:val="325"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1,179,224.98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宋体" w:hAnsi="宋体" w:cs="宋体" w:eastAsia="宋体" w:hint="default"/>
                <w:sz w:val="18"/>
                <w:szCs w:val="18"/>
              </w:rPr>
            </w:pPr>
            <w:r>
              <w:rPr>
                <w:rFonts w:ascii="宋体"/>
                <w:spacing w:val="-1"/>
                <w:sz w:val="18"/>
              </w:rPr>
              <w:t>3,669.38</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1,182,894.36</w:t>
            </w:r>
          </w:p>
        </w:tc>
      </w:tr>
      <w:tr>
        <w:trPr>
          <w:trHeight w:val="326"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13,716,069.50</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13,716,069.50</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汇率变动</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269,303.50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113,986.45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2,753,558.20</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3,136,848.15</w:t>
            </w: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9,656,768.78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9,731,826.70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43,184,519.70</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62,573,115.18</w:t>
            </w:r>
          </w:p>
        </w:tc>
      </w:tr>
      <w:tr>
        <w:trPr>
          <w:trHeight w:val="379"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四、账面价值</w:t>
            </w:r>
            <w:r>
              <w:rPr>
                <w:rFonts w:ascii="宋体" w:hAnsi="宋体" w:cs="宋体" w:eastAsia="宋体" w:hint="default"/>
                <w:sz w:val="18"/>
                <w:szCs w:val="18"/>
              </w:rPr>
            </w: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年末账面价值</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2,194,842,865.02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660,615,234.85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12,826,790.71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367,711,668.60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420,479,660.71</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3,656,476,219.89</w:t>
            </w:r>
          </w:p>
        </w:tc>
      </w:tr>
      <w:tr>
        <w:trPr>
          <w:trHeight w:val="336" w:hRule="exact"/>
        </w:trPr>
        <w:tc>
          <w:tcPr>
            <w:tcW w:w="22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1,958,176,208.33</w:t>
            </w:r>
          </w:p>
        </w:tc>
        <w:tc>
          <w:tcPr>
            <w:tcW w:w="1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637,241,930.82</w:t>
            </w:r>
          </w:p>
        </w:tc>
        <w:tc>
          <w:tcPr>
            <w:tcW w:w="1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14,545,392.83</w:t>
            </w:r>
          </w:p>
        </w:tc>
        <w:tc>
          <w:tcPr>
            <w:tcW w:w="1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427,829,585.90</w:t>
            </w:r>
          </w:p>
        </w:tc>
        <w:tc>
          <w:tcPr>
            <w:tcW w:w="1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538,818,335.97</w:t>
            </w:r>
          </w:p>
        </w:tc>
        <w:tc>
          <w:tcPr>
            <w:tcW w:w="19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宋体"/>
                <w:spacing w:val="-1"/>
                <w:sz w:val="18"/>
              </w:rPr>
              <w:t>3,576,611,453.85</w:t>
            </w:r>
          </w:p>
        </w:tc>
      </w:tr>
    </w:tbl>
    <w:p>
      <w:pPr>
        <w:spacing w:line="240" w:lineRule="auto" w:before="9"/>
        <w:rPr>
          <w:rFonts w:ascii="宋体" w:hAnsi="宋体" w:cs="宋体" w:eastAsia="宋体" w:hint="default"/>
          <w:sz w:val="4"/>
          <w:szCs w:val="4"/>
        </w:rPr>
      </w:pPr>
    </w:p>
    <w:p>
      <w:pPr>
        <w:pStyle w:val="Heading7"/>
        <w:spacing w:line="240" w:lineRule="auto"/>
        <w:ind w:left="679" w:right="1708"/>
        <w:jc w:val="left"/>
      </w:pPr>
      <w:r>
        <w:rPr/>
        <w:t>（</w:t>
      </w:r>
      <w:r>
        <w:rPr>
          <w:rFonts w:ascii="宋体" w:hAnsi="宋体" w:cs="宋体" w:eastAsia="宋体" w:hint="default"/>
        </w:rPr>
        <w:t>2</w:t>
      </w:r>
      <w:r>
        <w:rPr/>
        <w:t>）通过经营租赁租出的固定资产</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7369"/>
        <w:gridCol w:w="6822"/>
      </w:tblGrid>
      <w:tr>
        <w:trPr>
          <w:trHeight w:val="389" w:hRule="exact"/>
        </w:trPr>
        <w:tc>
          <w:tcPr>
            <w:tcW w:w="73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right="349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8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74" w:hRule="exact"/>
        </w:trPr>
        <w:tc>
          <w:tcPr>
            <w:tcW w:w="73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6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2,204,105.27</w:t>
            </w:r>
          </w:p>
        </w:tc>
      </w:tr>
      <w:tr>
        <w:trPr>
          <w:trHeight w:val="386" w:hRule="exact"/>
        </w:trPr>
        <w:tc>
          <w:tcPr>
            <w:tcW w:w="73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349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8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2,204,105.27</w:t>
            </w:r>
            <w:r>
              <w:rPr>
                <w:rFonts w:ascii="宋体"/>
                <w:sz w:val="18"/>
              </w:rPr>
            </w:r>
          </w:p>
        </w:tc>
      </w:tr>
    </w:tbl>
    <w:p>
      <w:pPr>
        <w:spacing w:after="0" w:line="240" w:lineRule="auto"/>
        <w:jc w:val="right"/>
        <w:rPr>
          <w:rFonts w:ascii="宋体" w:hAnsi="宋体" w:cs="宋体" w:eastAsia="宋体" w:hint="default"/>
          <w:sz w:val="18"/>
          <w:szCs w:val="18"/>
        </w:rPr>
        <w:sectPr>
          <w:pgSz w:w="16840" w:h="11910" w:orient="landscape"/>
          <w:pgMar w:header="881" w:footer="980" w:top="1640" w:bottom="1160" w:left="1200" w:right="1200"/>
        </w:sectPr>
      </w:pPr>
    </w:p>
    <w:p>
      <w:pPr>
        <w:spacing w:line="240" w:lineRule="auto" w:before="7"/>
        <w:rPr>
          <w:rFonts w:ascii="宋体" w:hAnsi="宋体" w:cs="宋体" w:eastAsia="宋体" w:hint="default"/>
          <w:sz w:val="15"/>
          <w:szCs w:val="15"/>
        </w:rPr>
      </w:pPr>
    </w:p>
    <w:p>
      <w:pPr>
        <w:pStyle w:val="Heading7"/>
        <w:spacing w:line="240" w:lineRule="auto"/>
        <w:ind w:left="679" w:right="1708"/>
        <w:jc w:val="left"/>
      </w:pPr>
      <w:r>
        <w:rPr>
          <w:rFonts w:ascii="宋体" w:hAnsi="宋体" w:cs="宋体" w:eastAsia="宋体" w:hint="default"/>
        </w:rPr>
        <w:t>16</w:t>
      </w:r>
      <w:r>
        <w:rPr/>
        <w:t>、在建工程</w:t>
      </w:r>
    </w:p>
    <w:p>
      <w:pPr>
        <w:pStyle w:val="Heading7"/>
        <w:spacing w:line="240" w:lineRule="auto" w:before="180"/>
        <w:ind w:left="679" w:right="1708"/>
        <w:jc w:val="left"/>
      </w:pPr>
      <w:r>
        <w:rPr/>
        <w:t>（</w:t>
      </w:r>
      <w:r>
        <w:rPr>
          <w:rFonts w:ascii="宋体" w:hAnsi="宋体" w:cs="宋体" w:eastAsia="宋体" w:hint="default"/>
        </w:rPr>
        <w:t>1</w:t>
      </w:r>
      <w:r>
        <w:rPr/>
        <w:t>）在建工程明细表</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566"/>
        <w:gridCol w:w="1730"/>
        <w:gridCol w:w="1212"/>
        <w:gridCol w:w="1733"/>
        <w:gridCol w:w="1728"/>
        <w:gridCol w:w="1486"/>
        <w:gridCol w:w="1735"/>
      </w:tblGrid>
      <w:tr>
        <w:trPr>
          <w:trHeight w:val="334" w:hRule="exact"/>
        </w:trPr>
        <w:tc>
          <w:tcPr>
            <w:tcW w:w="4566"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7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94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5"/>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19" w:hRule="exact"/>
        </w:trPr>
        <w:tc>
          <w:tcPr>
            <w:tcW w:w="4566" w:type="dxa"/>
            <w:vMerge/>
            <w:tcBorders>
              <w:left w:val="nil" w:sz="6" w:space="0" w:color="auto"/>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9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4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0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9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379"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50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中电长城大厦</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722,234,718.83</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722,234,718.83</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619,591,651.32</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619,591,651.32</w:t>
            </w:r>
          </w:p>
        </w:tc>
      </w:tr>
      <w:tr>
        <w:trPr>
          <w:trHeight w:val="320"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石岩光伏项目</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23,668,838.05</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23,668,838.05</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3,397,094.02</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3,397,094.02</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江西分宜</w:t>
            </w:r>
            <w:r>
              <w:rPr>
                <w:rFonts w:ascii="宋体" w:hAnsi="宋体" w:cs="宋体" w:eastAsia="宋体" w:hint="default"/>
                <w:spacing w:val="-44"/>
                <w:sz w:val="18"/>
                <w:szCs w:val="18"/>
              </w:rPr>
              <w:t> </w:t>
            </w:r>
            <w:r>
              <w:rPr>
                <w:rFonts w:ascii="宋体" w:hAnsi="宋体" w:cs="宋体" w:eastAsia="宋体" w:hint="default"/>
                <w:sz w:val="18"/>
                <w:szCs w:val="18"/>
              </w:rPr>
              <w:t>10MW</w:t>
            </w:r>
            <w:r>
              <w:rPr>
                <w:rFonts w:ascii="宋体" w:hAnsi="宋体" w:cs="宋体" w:eastAsia="宋体" w:hint="default"/>
                <w:spacing w:val="-43"/>
                <w:sz w:val="18"/>
                <w:szCs w:val="18"/>
              </w:rPr>
              <w:t> </w:t>
            </w:r>
            <w:r>
              <w:rPr>
                <w:rFonts w:ascii="宋体" w:hAnsi="宋体" w:cs="宋体" w:eastAsia="宋体" w:hint="default"/>
                <w:sz w:val="18"/>
                <w:szCs w:val="18"/>
              </w:rPr>
              <w:t>光伏发电项目</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21,632,793.38</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21,632,793.38</w:t>
            </w:r>
          </w:p>
        </w:tc>
        <w:tc>
          <w:tcPr>
            <w:tcW w:w="1728"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sz w:val="18"/>
              </w:rPr>
              <w:t>MOLD-TPVDP</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9,227,405.60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9,227,405.60</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3,237,346.72</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3,237,346.72</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自动化机器手</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7,054,018.15</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7,054,018.15</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2,740,169.46</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2,740,169.46</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湖北仙桃</w:t>
            </w:r>
            <w:r>
              <w:rPr>
                <w:rFonts w:ascii="宋体" w:hAnsi="宋体" w:cs="宋体" w:eastAsia="宋体" w:hint="default"/>
                <w:spacing w:val="-44"/>
                <w:sz w:val="18"/>
                <w:szCs w:val="18"/>
              </w:rPr>
              <w:t> </w:t>
            </w:r>
            <w:r>
              <w:rPr>
                <w:rFonts w:ascii="宋体" w:hAnsi="宋体" w:cs="宋体" w:eastAsia="宋体" w:hint="default"/>
                <w:sz w:val="18"/>
                <w:szCs w:val="18"/>
              </w:rPr>
              <w:t>10MW</w:t>
            </w:r>
            <w:r>
              <w:rPr>
                <w:rFonts w:ascii="宋体" w:hAnsi="宋体" w:cs="宋体" w:eastAsia="宋体" w:hint="default"/>
                <w:spacing w:val="-43"/>
                <w:sz w:val="18"/>
                <w:szCs w:val="18"/>
              </w:rPr>
              <w:t> </w:t>
            </w:r>
            <w:r>
              <w:rPr>
                <w:rFonts w:ascii="宋体" w:hAnsi="宋体" w:cs="宋体" w:eastAsia="宋体" w:hint="default"/>
                <w:sz w:val="18"/>
                <w:szCs w:val="18"/>
              </w:rPr>
              <w:t>光伏发电项目</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5,142,622.91</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5,142,622.91</w:t>
            </w:r>
          </w:p>
        </w:tc>
        <w:tc>
          <w:tcPr>
            <w:tcW w:w="1728"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FQ TOUCH PANEL </w:t>
            </w:r>
            <w:r>
              <w:rPr>
                <w:rFonts w:ascii="宋体" w:hAnsi="宋体" w:cs="宋体" w:eastAsia="宋体" w:hint="default"/>
                <w:sz w:val="18"/>
                <w:szCs w:val="18"/>
              </w:rPr>
              <w:t>设备</w:t>
            </w:r>
            <w:r>
              <w:rPr>
                <w:rFonts w:ascii="宋体" w:hAnsi="宋体" w:cs="宋体" w:eastAsia="宋体" w:hint="default"/>
                <w:sz w:val="18"/>
                <w:szCs w:val="18"/>
              </w:rPr>
              <w:t>-TVE</w:t>
            </w:r>
            <w:r>
              <w:rPr>
                <w:rFonts w:ascii="宋体" w:hAnsi="宋体" w:cs="宋体" w:eastAsia="宋体" w:hint="default"/>
                <w:spacing w:val="-53"/>
                <w:sz w:val="18"/>
                <w:szCs w:val="18"/>
              </w:rPr>
              <w:t> </w:t>
            </w:r>
            <w:r>
              <w:rPr>
                <w:rFonts w:ascii="宋体" w:hAnsi="宋体" w:cs="宋体" w:eastAsia="宋体" w:hint="default"/>
                <w:sz w:val="18"/>
                <w:szCs w:val="18"/>
              </w:rPr>
              <w:t>FQ</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4,558,507.20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4,558,507.20</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8,025,289.70</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8,025,289.70</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sz w:val="18"/>
              </w:rPr>
              <w:t>Cip-Machinery and</w:t>
            </w:r>
            <w:r>
              <w:rPr>
                <w:rFonts w:ascii="宋体"/>
                <w:spacing w:val="-15"/>
                <w:sz w:val="18"/>
              </w:rPr>
              <w:t> </w:t>
            </w:r>
            <w:r>
              <w:rPr>
                <w:rFonts w:ascii="宋体"/>
                <w:sz w:val="18"/>
              </w:rPr>
              <w:t>Equipment&amp;Others-ENVISION</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2,467,568.00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2,467,568.00</w:t>
            </w:r>
          </w:p>
        </w:tc>
        <w:tc>
          <w:tcPr>
            <w:tcW w:w="1728"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
        </w:tc>
      </w:tr>
      <w:tr>
        <w:trPr>
          <w:trHeight w:val="322"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平潭厂房项目</w:t>
            </w:r>
            <w:r>
              <w:rPr>
                <w:rFonts w:ascii="宋体" w:hAnsi="宋体" w:cs="宋体" w:eastAsia="宋体" w:hint="default"/>
                <w:sz w:val="18"/>
                <w:szCs w:val="18"/>
              </w:rPr>
              <w:t>-PT</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2,454,580.80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2,454,580.80</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2,266,235.59</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2,266,235.59</w:t>
            </w:r>
          </w:p>
        </w:tc>
      </w:tr>
      <w:tr>
        <w:trPr>
          <w:trHeight w:val="320"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石岩食堂改造</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1,986,963.15</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1,986,963.15</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1,986,963.15</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1,986,963.15</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1F </w:t>
            </w:r>
            <w:r>
              <w:rPr>
                <w:rFonts w:ascii="宋体" w:hAnsi="宋体" w:cs="宋体" w:eastAsia="宋体" w:hint="default"/>
                <w:sz w:val="18"/>
                <w:szCs w:val="18"/>
              </w:rPr>
              <w:t>大厅互动屏幕</w:t>
            </w:r>
            <w:r>
              <w:rPr>
                <w:rFonts w:ascii="宋体" w:hAnsi="宋体" w:cs="宋体" w:eastAsia="宋体" w:hint="default"/>
                <w:sz w:val="18"/>
                <w:szCs w:val="18"/>
              </w:rPr>
              <w:t>-TPV</w:t>
            </w:r>
            <w:r>
              <w:rPr>
                <w:rFonts w:ascii="宋体" w:hAnsi="宋体" w:cs="宋体" w:eastAsia="宋体" w:hint="default"/>
                <w:spacing w:val="-48"/>
                <w:sz w:val="18"/>
                <w:szCs w:val="18"/>
              </w:rPr>
              <w:t> </w:t>
            </w:r>
            <w:r>
              <w:rPr>
                <w:rFonts w:ascii="宋体" w:hAnsi="宋体" w:cs="宋体" w:eastAsia="宋体" w:hint="default"/>
                <w:sz w:val="18"/>
                <w:szCs w:val="18"/>
              </w:rPr>
              <w:t>DC</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1,701,323.20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1,701,323.20</w:t>
            </w:r>
          </w:p>
        </w:tc>
        <w:tc>
          <w:tcPr>
            <w:tcW w:w="1728"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sz w:val="18"/>
              </w:rPr>
              <w:t>Smart FT</w:t>
            </w:r>
            <w:r>
              <w:rPr>
                <w:rFonts w:ascii="宋体"/>
                <w:spacing w:val="-8"/>
                <w:sz w:val="18"/>
              </w:rPr>
              <w:t> </w:t>
            </w:r>
            <w:r>
              <w:rPr>
                <w:rFonts w:ascii="宋体"/>
                <w:sz w:val="18"/>
              </w:rPr>
              <w:t>Project-TPVDP</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1,077,937.60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1,077,937.60</w:t>
            </w:r>
          </w:p>
        </w:tc>
        <w:tc>
          <w:tcPr>
            <w:tcW w:w="1728"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sz w:val="18"/>
              </w:rPr>
              <w:t>Production Line</w:t>
            </w:r>
            <w:r>
              <w:rPr>
                <w:rFonts w:ascii="宋体"/>
                <w:spacing w:val="-6"/>
                <w:sz w:val="18"/>
              </w:rPr>
              <w:t> </w:t>
            </w:r>
            <w:r>
              <w:rPr>
                <w:rFonts w:ascii="宋体"/>
                <w:sz w:val="18"/>
              </w:rPr>
              <w:t>8-TPVDP</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448,058.40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01" w:right="0"/>
              <w:jc w:val="left"/>
              <w:rPr>
                <w:rFonts w:ascii="宋体" w:hAnsi="宋体" w:cs="宋体" w:eastAsia="宋体" w:hint="default"/>
                <w:sz w:val="18"/>
                <w:szCs w:val="18"/>
              </w:rPr>
            </w:pPr>
            <w:r>
              <w:rPr>
                <w:rFonts w:ascii="宋体"/>
                <w:sz w:val="18"/>
              </w:rPr>
              <w:t>311,692.80</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136,365.60</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420,623.06</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293,712.00</w:t>
            </w: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126,911.06</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电视生产线建造工程</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246,756.80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246,756.80</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9,849,379.86</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9,849,379.86</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宝辉龙南厂房工程</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224,315.21</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224,315.21</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1,255,950.71</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1,255,950.71</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sz w:val="18"/>
              </w:rPr>
              <w:t>Production Line</w:t>
            </w:r>
            <w:r>
              <w:rPr>
                <w:rFonts w:ascii="宋体"/>
                <w:spacing w:val="-6"/>
                <w:sz w:val="18"/>
              </w:rPr>
              <w:t> </w:t>
            </w:r>
            <w:r>
              <w:rPr>
                <w:rFonts w:ascii="宋体"/>
                <w:sz w:val="18"/>
              </w:rPr>
              <w:t>7-TPVDP</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175,327.20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01" w:right="0"/>
              <w:jc w:val="left"/>
              <w:rPr>
                <w:rFonts w:ascii="宋体" w:hAnsi="宋体" w:cs="宋体" w:eastAsia="宋体" w:hint="default"/>
                <w:sz w:val="18"/>
                <w:szCs w:val="18"/>
              </w:rPr>
            </w:pPr>
            <w:r>
              <w:rPr>
                <w:rFonts w:ascii="宋体"/>
                <w:sz w:val="18"/>
              </w:rPr>
              <w:t>123,378.40</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51,948.80</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378,547.84</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263,117.00</w:t>
            </w: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115,430.84</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北京未来城</w:t>
            </w:r>
          </w:p>
        </w:tc>
        <w:tc>
          <w:tcPr>
            <w:tcW w:w="1730"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58,040,857.00</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58,040,857.00</w:t>
            </w:r>
          </w:p>
        </w:tc>
      </w:tr>
      <w:tr>
        <w:trPr>
          <w:trHeight w:val="322"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F3-A2</w:t>
            </w:r>
            <w:r>
              <w:rPr>
                <w:rFonts w:ascii="宋体" w:hAnsi="宋体" w:cs="宋体" w:eastAsia="宋体" w:hint="default"/>
                <w:spacing w:val="-48"/>
                <w:sz w:val="18"/>
                <w:szCs w:val="18"/>
              </w:rPr>
              <w:t> </w:t>
            </w:r>
            <w:r>
              <w:rPr>
                <w:rFonts w:ascii="宋体" w:hAnsi="宋体" w:cs="宋体" w:eastAsia="宋体" w:hint="default"/>
                <w:sz w:val="18"/>
                <w:szCs w:val="18"/>
              </w:rPr>
              <w:t>厂房工程</w:t>
            </w:r>
            <w:r>
              <w:rPr>
                <w:rFonts w:ascii="宋体" w:hAnsi="宋体" w:cs="宋体" w:eastAsia="宋体" w:hint="default"/>
                <w:sz w:val="18"/>
                <w:szCs w:val="18"/>
              </w:rPr>
              <w:t>-TPVE</w:t>
            </w:r>
          </w:p>
        </w:tc>
        <w:tc>
          <w:tcPr>
            <w:tcW w:w="1730"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54,279,299.49</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54,279,299.49</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上海大楼建设工程</w:t>
            </w:r>
            <w:r>
              <w:rPr>
                <w:rFonts w:ascii="宋体" w:hAnsi="宋体" w:cs="宋体" w:eastAsia="宋体" w:hint="default"/>
                <w:sz w:val="18"/>
                <w:szCs w:val="18"/>
              </w:rPr>
              <w:t>-TPV DC</w:t>
            </w:r>
          </w:p>
        </w:tc>
        <w:tc>
          <w:tcPr>
            <w:tcW w:w="1730"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35,904,566.06</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35,904,566.06</w:t>
            </w:r>
          </w:p>
        </w:tc>
      </w:tr>
      <w:tr>
        <w:trPr>
          <w:trHeight w:val="331" w:hRule="exact"/>
        </w:trPr>
        <w:tc>
          <w:tcPr>
            <w:tcW w:w="45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自动化专案设备</w:t>
            </w:r>
            <w:r>
              <w:rPr>
                <w:rFonts w:ascii="宋体" w:hAnsi="宋体" w:cs="宋体" w:eastAsia="宋体" w:hint="default"/>
                <w:sz w:val="18"/>
                <w:szCs w:val="18"/>
              </w:rPr>
              <w:t>-TPV QD</w:t>
            </w:r>
          </w:p>
        </w:tc>
        <w:tc>
          <w:tcPr>
            <w:tcW w:w="1730" w:type="dxa"/>
            <w:tcBorders>
              <w:top w:val="single" w:sz="2" w:space="0" w:color="000000"/>
              <w:left w:val="single" w:sz="2" w:space="0" w:color="000000"/>
              <w:bottom w:val="single" w:sz="12" w:space="0" w:color="000000"/>
              <w:right w:val="single" w:sz="2" w:space="0" w:color="000000"/>
            </w:tcBorders>
          </w:tcPr>
          <w:p>
            <w:pPr/>
          </w:p>
        </w:tc>
        <w:tc>
          <w:tcPr>
            <w:tcW w:w="1212" w:type="dxa"/>
            <w:tcBorders>
              <w:top w:val="single" w:sz="2" w:space="0" w:color="000000"/>
              <w:left w:val="single" w:sz="2" w:space="0" w:color="000000"/>
              <w:bottom w:val="single" w:sz="12" w:space="0" w:color="000000"/>
              <w:right w:val="single" w:sz="2" w:space="0" w:color="000000"/>
            </w:tcBorders>
          </w:tcPr>
          <w:p>
            <w:pPr/>
          </w:p>
        </w:tc>
        <w:tc>
          <w:tcPr>
            <w:tcW w:w="1733" w:type="dxa"/>
            <w:tcBorders>
              <w:top w:val="single" w:sz="2" w:space="0" w:color="000000"/>
              <w:left w:val="single" w:sz="2" w:space="0" w:color="000000"/>
              <w:bottom w:val="single" w:sz="12" w:space="0" w:color="000000"/>
              <w:right w:val="single" w:sz="2" w:space="0" w:color="000000"/>
            </w:tcBorders>
          </w:tcPr>
          <w:p>
            <w:pPr/>
          </w:p>
        </w:tc>
        <w:tc>
          <w:tcPr>
            <w:tcW w:w="1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14,840,493.00</w:t>
            </w:r>
          </w:p>
        </w:tc>
        <w:tc>
          <w:tcPr>
            <w:tcW w:w="1486" w:type="dxa"/>
            <w:tcBorders>
              <w:top w:val="single" w:sz="2" w:space="0" w:color="000000"/>
              <w:left w:val="single" w:sz="2" w:space="0" w:color="000000"/>
              <w:bottom w:val="single" w:sz="12" w:space="0" w:color="000000"/>
              <w:right w:val="single" w:sz="2" w:space="0" w:color="000000"/>
            </w:tcBorders>
          </w:tcPr>
          <w:p>
            <w:pPr/>
          </w:p>
        </w:tc>
        <w:tc>
          <w:tcPr>
            <w:tcW w:w="17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14,840,493.00</w:t>
            </w:r>
          </w:p>
        </w:tc>
      </w:tr>
    </w:tbl>
    <w:p>
      <w:pPr>
        <w:spacing w:after="0" w:line="240" w:lineRule="auto"/>
        <w:jc w:val="right"/>
        <w:rPr>
          <w:rFonts w:ascii="宋体" w:hAnsi="宋体" w:cs="宋体" w:eastAsia="宋体" w:hint="default"/>
          <w:sz w:val="18"/>
          <w:szCs w:val="18"/>
        </w:rPr>
        <w:sectPr>
          <w:pgSz w:w="16840" w:h="11910" w:orient="landscape"/>
          <w:pgMar w:header="881" w:footer="980" w:top="1640" w:bottom="1160" w:left="1200" w:right="1200"/>
        </w:sectPr>
      </w:pPr>
    </w:p>
    <w:p>
      <w:pPr>
        <w:spacing w:line="240" w:lineRule="auto" w:before="12"/>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4566"/>
        <w:gridCol w:w="1730"/>
        <w:gridCol w:w="1212"/>
        <w:gridCol w:w="1733"/>
        <w:gridCol w:w="1728"/>
        <w:gridCol w:w="1486"/>
        <w:gridCol w:w="1735"/>
      </w:tblGrid>
      <w:tr>
        <w:trPr>
          <w:trHeight w:val="334" w:hRule="exact"/>
        </w:trPr>
        <w:tc>
          <w:tcPr>
            <w:tcW w:w="4566"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7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94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19" w:hRule="exact"/>
        </w:trPr>
        <w:tc>
          <w:tcPr>
            <w:tcW w:w="4566" w:type="dxa"/>
            <w:vMerge/>
            <w:tcBorders>
              <w:left w:val="nil" w:sz="6" w:space="0" w:color="auto"/>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9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4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0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9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379"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left="50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自动化专案设备</w:t>
            </w:r>
            <w:r>
              <w:rPr>
                <w:rFonts w:ascii="宋体" w:hAnsi="宋体" w:cs="宋体" w:eastAsia="宋体" w:hint="default"/>
                <w:sz w:val="18"/>
                <w:szCs w:val="18"/>
              </w:rPr>
              <w:t>-TPV XM</w:t>
            </w:r>
          </w:p>
        </w:tc>
        <w:tc>
          <w:tcPr>
            <w:tcW w:w="1730"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4,650,098.62</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4,650,098.62</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惠州开发屋顶光伏发电项目</w:t>
            </w:r>
          </w:p>
        </w:tc>
        <w:tc>
          <w:tcPr>
            <w:tcW w:w="1730"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3,228,974.36</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3,228,974.36</w:t>
            </w:r>
          </w:p>
        </w:tc>
      </w:tr>
      <w:tr>
        <w:trPr>
          <w:trHeight w:val="319" w:hRule="exact"/>
        </w:trPr>
        <w:tc>
          <w:tcPr>
            <w:tcW w:w="4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5,551,632.80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5,551,632.80</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13,848,427.91</w:t>
            </w:r>
          </w:p>
        </w:tc>
        <w:tc>
          <w:tcPr>
            <w:tcW w:w="1486" w:type="dxa"/>
            <w:tcBorders>
              <w:top w:val="single" w:sz="2" w:space="0" w:color="000000"/>
              <w:left w:val="single" w:sz="2" w:space="0" w:color="000000"/>
              <w:bottom w:val="single" w:sz="2" w:space="0" w:color="000000"/>
              <w:right w:val="single" w:sz="2" w:space="0" w:color="000000"/>
            </w:tcBorders>
          </w:tcPr>
          <w:p>
            <w:pPr/>
          </w:p>
        </w:tc>
        <w:tc>
          <w:tcPr>
            <w:tcW w:w="17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13,848,427.91</w:t>
            </w:r>
          </w:p>
        </w:tc>
      </w:tr>
      <w:tr>
        <w:trPr>
          <w:trHeight w:val="334" w:hRule="exact"/>
        </w:trPr>
        <w:tc>
          <w:tcPr>
            <w:tcW w:w="45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6"/>
              <w:jc w:val="right"/>
              <w:rPr>
                <w:rFonts w:ascii="宋体" w:hAnsi="宋体" w:cs="宋体" w:eastAsia="宋体" w:hint="default"/>
                <w:sz w:val="18"/>
                <w:szCs w:val="18"/>
              </w:rPr>
            </w:pPr>
            <w:r>
              <w:rPr>
                <w:rFonts w:ascii="宋体"/>
                <w:b/>
                <w:w w:val="95"/>
                <w:sz w:val="18"/>
              </w:rPr>
              <w:t>809,853,367.28</w:t>
            </w:r>
            <w:r>
              <w:rPr>
                <w:rFonts w:ascii="宋体"/>
                <w:sz w:val="18"/>
              </w:rPr>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left="194" w:right="0"/>
              <w:jc w:val="left"/>
              <w:rPr>
                <w:rFonts w:ascii="宋体" w:hAnsi="宋体" w:cs="宋体" w:eastAsia="宋体" w:hint="default"/>
                <w:sz w:val="18"/>
                <w:szCs w:val="18"/>
              </w:rPr>
            </w:pPr>
            <w:r>
              <w:rPr>
                <w:rFonts w:ascii="宋体"/>
                <w:b/>
                <w:sz w:val="18"/>
              </w:rPr>
              <w:t>435,071.20</w:t>
            </w:r>
            <w:r>
              <w:rPr>
                <w:rFonts w:ascii="宋体"/>
                <w:sz w:val="18"/>
              </w:rPr>
            </w:r>
          </w:p>
        </w:tc>
        <w:tc>
          <w:tcPr>
            <w:tcW w:w="17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b/>
                <w:w w:val="95"/>
                <w:sz w:val="18"/>
              </w:rPr>
              <w:t>809,418,296.08</w:t>
            </w:r>
            <w:r>
              <w:rPr>
                <w:rFonts w:ascii="宋体"/>
                <w:sz w:val="18"/>
              </w:rPr>
            </w:r>
          </w:p>
        </w:tc>
        <w:tc>
          <w:tcPr>
            <w:tcW w:w="1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b/>
                <w:w w:val="95"/>
                <w:sz w:val="18"/>
              </w:rPr>
              <w:t>837,941,967.87</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b/>
                <w:sz w:val="18"/>
              </w:rPr>
              <w:t>556,829.00</w:t>
            </w:r>
            <w:r>
              <w:rPr>
                <w:rFonts w:ascii="宋体"/>
                <w:sz w:val="18"/>
              </w:rPr>
            </w:r>
          </w:p>
        </w:tc>
        <w:tc>
          <w:tcPr>
            <w:tcW w:w="17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b/>
                <w:w w:val="95"/>
                <w:sz w:val="18"/>
              </w:rPr>
              <w:t>837,385,138.87</w:t>
            </w:r>
            <w:r>
              <w:rPr>
                <w:rFonts w:ascii="宋体"/>
                <w:sz w:val="18"/>
              </w:rPr>
            </w:r>
          </w:p>
        </w:tc>
      </w:tr>
    </w:tbl>
    <w:p>
      <w:pPr>
        <w:spacing w:line="240" w:lineRule="auto" w:before="9"/>
        <w:rPr>
          <w:rFonts w:ascii="宋体" w:hAnsi="宋体" w:cs="宋体" w:eastAsia="宋体" w:hint="default"/>
          <w:sz w:val="4"/>
          <w:szCs w:val="4"/>
        </w:rPr>
      </w:pPr>
    </w:p>
    <w:p>
      <w:pPr>
        <w:pStyle w:val="Heading7"/>
        <w:spacing w:line="240" w:lineRule="auto"/>
        <w:ind w:left="699" w:right="0"/>
        <w:jc w:val="left"/>
      </w:pPr>
      <w:r>
        <w:rPr/>
        <w:t>（</w:t>
      </w:r>
      <w:r>
        <w:rPr>
          <w:rFonts w:ascii="宋体" w:hAnsi="宋体" w:cs="宋体" w:eastAsia="宋体" w:hint="default"/>
        </w:rPr>
        <w:t>2</w:t>
      </w:r>
      <w:r>
        <w:rPr/>
        <w:t>）重大在建工程项目变动情况</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948"/>
        <w:gridCol w:w="1981"/>
        <w:gridCol w:w="1838"/>
        <w:gridCol w:w="1839"/>
        <w:gridCol w:w="1836"/>
        <w:gridCol w:w="1839"/>
        <w:gridCol w:w="1910"/>
      </w:tblGrid>
      <w:tr>
        <w:trPr>
          <w:trHeight w:val="341" w:hRule="exact"/>
        </w:trPr>
        <w:tc>
          <w:tcPr>
            <w:tcW w:w="2948"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981"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838"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367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39"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汇率差</w:t>
            </w:r>
            <w:r>
              <w:rPr>
                <w:rFonts w:ascii="宋体" w:hAnsi="宋体" w:cs="宋体" w:eastAsia="宋体" w:hint="default"/>
                <w:sz w:val="18"/>
                <w:szCs w:val="18"/>
              </w:rPr>
            </w:r>
          </w:p>
        </w:tc>
        <w:tc>
          <w:tcPr>
            <w:tcW w:w="1910" w:type="dxa"/>
            <w:vMerge w:val="restart"/>
            <w:tcBorders>
              <w:top w:val="single" w:sz="17"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6" w:hRule="exact"/>
        </w:trPr>
        <w:tc>
          <w:tcPr>
            <w:tcW w:w="2948" w:type="dxa"/>
            <w:vMerge/>
            <w:tcBorders>
              <w:left w:val="nil" w:sz="6" w:space="0" w:color="auto"/>
              <w:bottom w:val="single" w:sz="4" w:space="0" w:color="000000"/>
              <w:right w:val="single" w:sz="4" w:space="0" w:color="000000"/>
            </w:tcBorders>
          </w:tcPr>
          <w:p>
            <w:pPr/>
          </w:p>
        </w:tc>
        <w:tc>
          <w:tcPr>
            <w:tcW w:w="1981" w:type="dxa"/>
            <w:vMerge/>
            <w:tcBorders>
              <w:left w:val="single" w:sz="4" w:space="0" w:color="000000"/>
              <w:bottom w:val="single" w:sz="4" w:space="0" w:color="000000"/>
              <w:right w:val="single" w:sz="4" w:space="0" w:color="000000"/>
            </w:tcBorders>
          </w:tcPr>
          <w:p>
            <w:pPr/>
          </w:p>
        </w:tc>
        <w:tc>
          <w:tcPr>
            <w:tcW w:w="1838"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转固</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52"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839" w:type="dxa"/>
            <w:vMerge/>
            <w:tcBorders>
              <w:left w:val="single" w:sz="4" w:space="0" w:color="000000"/>
              <w:bottom w:val="single" w:sz="4" w:space="0" w:color="000000"/>
              <w:right w:val="single" w:sz="4" w:space="0" w:color="000000"/>
            </w:tcBorders>
          </w:tcPr>
          <w:p>
            <w:pPr/>
          </w:p>
        </w:tc>
        <w:tc>
          <w:tcPr>
            <w:tcW w:w="1910" w:type="dxa"/>
            <w:vMerge/>
            <w:tcBorders>
              <w:left w:val="single" w:sz="4" w:space="0" w:color="000000"/>
              <w:bottom w:val="single" w:sz="4" w:space="0" w:color="000000"/>
              <w:right w:val="nil" w:sz="6" w:space="0" w:color="auto"/>
            </w:tcBorders>
          </w:tcPr>
          <w:p>
            <w:pP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中电长城大厦</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619,591,651.32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102,643,067.51</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7"/>
              <w:jc w:val="right"/>
              <w:rPr>
                <w:rFonts w:ascii="宋体" w:hAnsi="宋体" w:cs="宋体" w:eastAsia="宋体" w:hint="default"/>
                <w:sz w:val="18"/>
                <w:szCs w:val="18"/>
              </w:rPr>
            </w:pPr>
            <w:r>
              <w:rPr>
                <w:rFonts w:ascii="宋体"/>
                <w:spacing w:val="-1"/>
                <w:sz w:val="18"/>
              </w:rPr>
              <w:t>722,234,718.83</w:t>
            </w: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北京未来城</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58,040,857.00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5,662,008.61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63,702,865.61</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F3-A2</w:t>
            </w:r>
            <w:r>
              <w:rPr>
                <w:rFonts w:ascii="宋体" w:hAnsi="宋体" w:cs="宋体" w:eastAsia="宋体" w:hint="default"/>
                <w:spacing w:val="-48"/>
                <w:sz w:val="18"/>
                <w:szCs w:val="18"/>
              </w:rPr>
              <w:t> </w:t>
            </w:r>
            <w:r>
              <w:rPr>
                <w:rFonts w:ascii="宋体" w:hAnsi="宋体" w:cs="宋体" w:eastAsia="宋体" w:hint="default"/>
                <w:sz w:val="18"/>
                <w:szCs w:val="18"/>
              </w:rPr>
              <w:t>厂房工程</w:t>
            </w:r>
            <w:r>
              <w:rPr>
                <w:rFonts w:ascii="宋体" w:hAnsi="宋体" w:cs="宋体" w:eastAsia="宋体" w:hint="default"/>
                <w:sz w:val="18"/>
                <w:szCs w:val="18"/>
              </w:rPr>
              <w:t>-TPVE</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54,279,299.49</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55,110,143.85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244,617.80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1,075,462.16</w:t>
            </w: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上海大楼建设工程</w:t>
            </w:r>
            <w:r>
              <w:rPr>
                <w:rFonts w:ascii="宋体" w:hAnsi="宋体" w:cs="宋体" w:eastAsia="宋体" w:hint="default"/>
                <w:sz w:val="18"/>
                <w:szCs w:val="18"/>
              </w:rPr>
              <w:t>-TPV DC</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35,904,566.06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5,727,925.48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42,342,592.35</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710,100.81</w:t>
            </w: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自动化专案设备</w:t>
            </w:r>
            <w:r>
              <w:rPr>
                <w:rFonts w:ascii="宋体" w:hAnsi="宋体" w:cs="宋体" w:eastAsia="宋体" w:hint="default"/>
                <w:sz w:val="18"/>
                <w:szCs w:val="18"/>
              </w:rPr>
              <w:t>-TPV QD</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14,840,493.00</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10,081,747.90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5,052,730.43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293,985.33</w:t>
            </w: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电视生产建造工程</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9,849,379.86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2,801,872.25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8,902,340.65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1,999,376.10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
              <w:jc w:val="right"/>
              <w:rPr>
                <w:rFonts w:ascii="宋体" w:hAnsi="宋体" w:cs="宋体" w:eastAsia="宋体" w:hint="default"/>
                <w:sz w:val="18"/>
                <w:szCs w:val="18"/>
              </w:rPr>
            </w:pPr>
            <w:r>
              <w:rPr>
                <w:rFonts w:ascii="宋体"/>
                <w:spacing w:val="-1"/>
                <w:sz w:val="18"/>
              </w:rPr>
              <w:t>-1,502,778.56</w:t>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246,756.80</w:t>
            </w: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FQ TOUCH PANEL </w:t>
            </w:r>
            <w:r>
              <w:rPr>
                <w:rFonts w:ascii="宋体" w:hAnsi="宋体" w:cs="宋体" w:eastAsia="宋体" w:hint="default"/>
                <w:sz w:val="18"/>
                <w:szCs w:val="18"/>
              </w:rPr>
              <w:t>设备</w:t>
            </w:r>
            <w:r>
              <w:rPr>
                <w:rFonts w:ascii="宋体" w:hAnsi="宋体" w:cs="宋体" w:eastAsia="宋体" w:hint="default"/>
                <w:sz w:val="18"/>
                <w:szCs w:val="18"/>
              </w:rPr>
              <w:t>-TVE</w:t>
            </w:r>
            <w:r>
              <w:rPr>
                <w:rFonts w:ascii="宋体" w:hAnsi="宋体" w:cs="宋体" w:eastAsia="宋体" w:hint="default"/>
                <w:spacing w:val="-7"/>
                <w:sz w:val="18"/>
                <w:szCs w:val="18"/>
              </w:rPr>
              <w:t> </w:t>
            </w:r>
            <w:r>
              <w:rPr>
                <w:rFonts w:ascii="宋体" w:hAnsi="宋体" w:cs="宋体" w:eastAsia="宋体" w:hint="default"/>
                <w:sz w:val="18"/>
                <w:szCs w:val="18"/>
              </w:rPr>
              <w:t>FQ</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8,025,289.70</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2,991,575.85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731,357.30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256,150.65</w:t>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4,558,507.20</w:t>
            </w: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石岩光伏项目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3,397,094.02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20,271,744.03</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23,668,838.05</w:t>
            </w: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sz w:val="18"/>
              </w:rPr>
              <w:t>MOLD-TPVDP</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3,237,346.72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8,867,395.25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3,301,716.28</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424,379.91</w:t>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9,227,405.60</w:t>
            </w: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自动化机器手</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2,740,169.46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4,313,848.69</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7,054,018.15</w:t>
            </w:r>
          </w:p>
        </w:tc>
      </w:tr>
      <w:tr>
        <w:trPr>
          <w:trHeight w:val="326"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江西分宜</w:t>
            </w:r>
            <w:r>
              <w:rPr>
                <w:rFonts w:ascii="宋体" w:hAnsi="宋体" w:cs="宋体" w:eastAsia="宋体" w:hint="default"/>
                <w:spacing w:val="-44"/>
                <w:sz w:val="18"/>
                <w:szCs w:val="18"/>
              </w:rPr>
              <w:t> </w:t>
            </w:r>
            <w:r>
              <w:rPr>
                <w:rFonts w:ascii="宋体" w:hAnsi="宋体" w:cs="宋体" w:eastAsia="宋体" w:hint="default"/>
                <w:sz w:val="18"/>
                <w:szCs w:val="18"/>
              </w:rPr>
              <w:t>10MW</w:t>
            </w:r>
            <w:r>
              <w:rPr>
                <w:rFonts w:ascii="宋体" w:hAnsi="宋体" w:cs="宋体" w:eastAsia="宋体" w:hint="default"/>
                <w:spacing w:val="-43"/>
                <w:sz w:val="18"/>
                <w:szCs w:val="18"/>
              </w:rPr>
              <w:t> </w:t>
            </w:r>
            <w:r>
              <w:rPr>
                <w:rFonts w:ascii="宋体" w:hAnsi="宋体" w:cs="宋体" w:eastAsia="宋体" w:hint="default"/>
                <w:sz w:val="18"/>
                <w:szCs w:val="18"/>
              </w:rPr>
              <w:t>光伏发电项目</w:t>
            </w:r>
          </w:p>
        </w:tc>
        <w:tc>
          <w:tcPr>
            <w:tcW w:w="1981"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21,632,793.38</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21,632,793.38</w:t>
            </w:r>
          </w:p>
        </w:tc>
      </w:tr>
      <w:tr>
        <w:trPr>
          <w:trHeight w:val="324"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湖北仙桃</w:t>
            </w:r>
            <w:r>
              <w:rPr>
                <w:rFonts w:ascii="宋体" w:hAnsi="宋体" w:cs="宋体" w:eastAsia="宋体" w:hint="default"/>
                <w:spacing w:val="-44"/>
                <w:sz w:val="18"/>
                <w:szCs w:val="18"/>
              </w:rPr>
              <w:t> </w:t>
            </w:r>
            <w:r>
              <w:rPr>
                <w:rFonts w:ascii="宋体" w:hAnsi="宋体" w:cs="宋体" w:eastAsia="宋体" w:hint="default"/>
                <w:sz w:val="18"/>
                <w:szCs w:val="18"/>
              </w:rPr>
              <w:t>10MW</w:t>
            </w:r>
            <w:r>
              <w:rPr>
                <w:rFonts w:ascii="宋体" w:hAnsi="宋体" w:cs="宋体" w:eastAsia="宋体" w:hint="default"/>
                <w:spacing w:val="-43"/>
                <w:sz w:val="18"/>
                <w:szCs w:val="18"/>
              </w:rPr>
              <w:t> </w:t>
            </w:r>
            <w:r>
              <w:rPr>
                <w:rFonts w:ascii="宋体" w:hAnsi="宋体" w:cs="宋体" w:eastAsia="宋体" w:hint="default"/>
                <w:sz w:val="18"/>
                <w:szCs w:val="18"/>
              </w:rPr>
              <w:t>光伏发电项目</w:t>
            </w:r>
          </w:p>
        </w:tc>
        <w:tc>
          <w:tcPr>
            <w:tcW w:w="1981"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5,142,622.91</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5,142,622.91</w:t>
            </w:r>
          </w:p>
        </w:tc>
      </w:tr>
      <w:tr>
        <w:trPr>
          <w:trHeight w:val="325"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28,035,821.24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pacing w:val="-1"/>
                <w:sz w:val="18"/>
              </w:rPr>
              <w:t>9,694,115.73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18,226,039.16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pacing w:val="-1"/>
                <w:sz w:val="18"/>
              </w:rPr>
              <w:t>3,194,077.28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-222,114.17</w:t>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spacing w:val="-1"/>
                <w:sz w:val="18"/>
              </w:rPr>
              <w:t>16,087,706.36</w:t>
            </w:r>
          </w:p>
        </w:tc>
      </w:tr>
      <w:tr>
        <w:trPr>
          <w:trHeight w:val="343" w:hRule="exact"/>
        </w:trPr>
        <w:tc>
          <w:tcPr>
            <w:tcW w:w="294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5"/>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b/>
                <w:w w:val="95"/>
                <w:sz w:val="18"/>
              </w:rPr>
              <w:t>837,941,967.87</w:t>
            </w:r>
            <w:r>
              <w:rPr>
                <w:rFonts w:ascii="宋体"/>
                <w:sz w:val="18"/>
              </w:rPr>
            </w:r>
          </w:p>
        </w:tc>
        <w:tc>
          <w:tcPr>
            <w:tcW w:w="18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b/>
                <w:w w:val="95"/>
                <w:sz w:val="18"/>
              </w:rPr>
              <w:t>186,757,393.84</w:t>
            </w:r>
            <w:r>
              <w:rPr>
                <w:rFonts w:ascii="宋体"/>
                <w:sz w:val="18"/>
              </w:rPr>
            </w:r>
          </w:p>
        </w:tc>
        <w:tc>
          <w:tcPr>
            <w:tcW w:w="18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b/>
                <w:w w:val="95"/>
                <w:sz w:val="18"/>
              </w:rPr>
              <w:t>204,659,021.65</w:t>
            </w:r>
            <w:r>
              <w:rPr>
                <w:rFonts w:ascii="宋体"/>
                <w:sz w:val="18"/>
              </w:rPr>
            </w:r>
          </w:p>
        </w:tc>
        <w:tc>
          <w:tcPr>
            <w:tcW w:w="18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11,222,158.91</w:t>
            </w:r>
            <w:r>
              <w:rPr>
                <w:rFonts w:ascii="宋体"/>
                <w:sz w:val="18"/>
              </w:rPr>
            </w:r>
          </w:p>
        </w:tc>
        <w:tc>
          <w:tcPr>
            <w:tcW w:w="18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b/>
                <w:w w:val="95"/>
                <w:sz w:val="18"/>
              </w:rPr>
              <w:t>1,035,186.13</w:t>
            </w:r>
            <w:r>
              <w:rPr>
                <w:rFonts w:ascii="宋体"/>
                <w:sz w:val="18"/>
              </w:rPr>
            </w:r>
          </w:p>
        </w:tc>
        <w:tc>
          <w:tcPr>
            <w:tcW w:w="191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b/>
                <w:w w:val="95"/>
                <w:sz w:val="18"/>
              </w:rPr>
              <w:t>809,853,367.28</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0"/>
        <w:jc w:val="left"/>
      </w:pPr>
      <w:r>
        <w:rPr/>
        <w:t>续表：</w:t>
      </w:r>
    </w:p>
    <w:p>
      <w:pPr>
        <w:spacing w:after="0" w:line="240" w:lineRule="auto"/>
        <w:jc w:val="left"/>
        <w:sectPr>
          <w:pgSz w:w="16840" w:h="11910" w:orient="landscape"/>
          <w:pgMar w:header="881" w:footer="980" w:top="1640" w:bottom="1160" w:left="1180" w:right="1180"/>
        </w:sectPr>
      </w:pPr>
    </w:p>
    <w:p>
      <w:pPr>
        <w:spacing w:line="240" w:lineRule="auto" w:before="12"/>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416"/>
        <w:gridCol w:w="2036"/>
        <w:gridCol w:w="1663"/>
        <w:gridCol w:w="1253"/>
        <w:gridCol w:w="1726"/>
        <w:gridCol w:w="1706"/>
        <w:gridCol w:w="1318"/>
        <w:gridCol w:w="1073"/>
      </w:tblGrid>
      <w:tr>
        <w:trPr>
          <w:trHeight w:val="648" w:hRule="exact"/>
        </w:trPr>
        <w:tc>
          <w:tcPr>
            <w:tcW w:w="34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20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39"/>
              <w:ind w:left="331" w:right="106" w:hanging="226"/>
              <w:jc w:val="left"/>
              <w:rPr>
                <w:rFonts w:ascii="宋体" w:hAnsi="宋体" w:cs="宋体" w:eastAsia="宋体" w:hint="default"/>
                <w:sz w:val="18"/>
                <w:szCs w:val="18"/>
              </w:rPr>
            </w:pPr>
            <w:r>
              <w:rPr>
                <w:rFonts w:ascii="宋体" w:hAnsi="宋体" w:cs="宋体" w:eastAsia="宋体" w:hint="default"/>
                <w:b/>
                <w:bCs/>
                <w:sz w:val="18"/>
                <w:szCs w:val="18"/>
              </w:rPr>
              <w:t>工程累计投入占预</w:t>
            </w:r>
            <w:r>
              <w:rPr>
                <w:rFonts w:ascii="宋体" w:hAnsi="宋体" w:cs="宋体" w:eastAsia="宋体" w:hint="default"/>
                <w:b/>
                <w:bCs/>
                <w:w w:val="99"/>
                <w:sz w:val="18"/>
                <w:szCs w:val="18"/>
              </w:rPr>
              <w:t> </w:t>
            </w:r>
            <w:r>
              <w:rPr>
                <w:rFonts w:ascii="宋体" w:hAnsi="宋体" w:cs="宋体" w:eastAsia="宋体" w:hint="default"/>
                <w:b/>
                <w:bCs/>
                <w:sz w:val="18"/>
                <w:szCs w:val="18"/>
              </w:rPr>
              <w:t>算比例（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53" w:type="dxa"/>
            <w:tcBorders>
              <w:top w:val="single" w:sz="12" w:space="0" w:color="000000"/>
              <w:left w:val="single" w:sz="2" w:space="0" w:color="000000"/>
              <w:bottom w:val="single" w:sz="2" w:space="0" w:color="000000"/>
              <w:right w:val="single" w:sz="2" w:space="0" w:color="000000"/>
            </w:tcBorders>
          </w:tcPr>
          <w:p>
            <w:pPr>
              <w:pStyle w:val="TableParagraph"/>
              <w:spacing w:line="319" w:lineRule="auto" w:before="17"/>
              <w:ind w:left="216" w:right="216" w:firstLine="225"/>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spacing w:val="2"/>
                <w:w w:val="99"/>
                <w:sz w:val="18"/>
                <w:szCs w:val="18"/>
              </w:rPr>
              <w:t> </w:t>
            </w:r>
            <w:r>
              <w:rPr>
                <w:rFonts w:ascii="宋体" w:hAnsi="宋体" w:cs="宋体" w:eastAsia="宋体" w:hint="default"/>
                <w:b/>
                <w:bCs/>
                <w:sz w:val="18"/>
                <w:szCs w:val="18"/>
              </w:rPr>
              <w:t>进度（</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26"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39"/>
              <w:ind w:left="768" w:right="137" w:hanging="632"/>
              <w:jc w:val="left"/>
              <w:rPr>
                <w:rFonts w:ascii="宋体" w:hAnsi="宋体" w:cs="宋体" w:eastAsia="宋体" w:hint="default"/>
                <w:sz w:val="18"/>
                <w:szCs w:val="18"/>
              </w:rPr>
            </w:pPr>
            <w:r>
              <w:rPr>
                <w:rFonts w:ascii="宋体" w:hAnsi="宋体" w:cs="宋体" w:eastAsia="宋体" w:hint="default"/>
                <w:b/>
                <w:bCs/>
                <w:sz w:val="18"/>
                <w:szCs w:val="18"/>
              </w:rPr>
              <w:t>利息资本化累计金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706"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39"/>
              <w:ind w:left="489" w:right="128" w:hanging="363"/>
              <w:jc w:val="left"/>
              <w:rPr>
                <w:rFonts w:ascii="宋体" w:hAnsi="宋体" w:cs="宋体" w:eastAsia="宋体" w:hint="default"/>
                <w:sz w:val="18"/>
                <w:szCs w:val="18"/>
              </w:rPr>
            </w:pPr>
            <w:r>
              <w:rPr>
                <w:rFonts w:ascii="宋体" w:hAnsi="宋体" w:cs="宋体" w:eastAsia="宋体" w:hint="default"/>
                <w:b/>
                <w:bCs/>
                <w:sz w:val="18"/>
                <w:szCs w:val="18"/>
              </w:rPr>
              <w:t>其中：本年利息资</w:t>
            </w:r>
            <w:r>
              <w:rPr>
                <w:rFonts w:ascii="宋体" w:hAnsi="宋体" w:cs="宋体" w:eastAsia="宋体" w:hint="default"/>
                <w:b/>
                <w:bCs/>
                <w:w w:val="99"/>
                <w:sz w:val="18"/>
                <w:szCs w:val="18"/>
              </w:rPr>
              <w:t> </w:t>
            </w:r>
            <w:r>
              <w:rPr>
                <w:rFonts w:ascii="宋体" w:hAnsi="宋体" w:cs="宋体" w:eastAsia="宋体" w:hint="default"/>
                <w:b/>
                <w:bCs/>
                <w:sz w:val="18"/>
                <w:szCs w:val="18"/>
              </w:rPr>
              <w:t>本化金额</w:t>
            </w:r>
            <w:r>
              <w:rPr>
                <w:rFonts w:ascii="宋体" w:hAnsi="宋体" w:cs="宋体" w:eastAsia="宋体" w:hint="default"/>
                <w:sz w:val="18"/>
                <w:szCs w:val="18"/>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71" w:lineRule="auto" w:before="39"/>
              <w:ind w:left="250" w:right="113" w:hanging="137"/>
              <w:jc w:val="left"/>
              <w:rPr>
                <w:rFonts w:ascii="宋体" w:hAnsi="宋体" w:cs="宋体" w:eastAsia="宋体" w:hint="default"/>
                <w:sz w:val="18"/>
                <w:szCs w:val="18"/>
              </w:rPr>
            </w:pPr>
            <w:r>
              <w:rPr>
                <w:rFonts w:ascii="宋体" w:hAnsi="宋体" w:cs="宋体" w:eastAsia="宋体" w:hint="default"/>
                <w:b/>
                <w:bCs/>
                <w:sz w:val="18"/>
                <w:szCs w:val="18"/>
              </w:rPr>
              <w:t>本年利息资本</w:t>
            </w:r>
            <w:r>
              <w:rPr>
                <w:rFonts w:ascii="宋体" w:hAnsi="宋体" w:cs="宋体" w:eastAsia="宋体" w:hint="default"/>
                <w:b/>
                <w:bCs/>
                <w:w w:val="99"/>
                <w:sz w:val="18"/>
                <w:szCs w:val="18"/>
              </w:rPr>
              <w:t> </w:t>
            </w:r>
            <w:r>
              <w:rPr>
                <w:rFonts w:ascii="宋体" w:hAnsi="宋体" w:cs="宋体" w:eastAsia="宋体" w:hint="default"/>
                <w:b/>
                <w:bCs/>
                <w:sz w:val="18"/>
                <w:szCs w:val="18"/>
              </w:rPr>
              <w:t>化率（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7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b/>
                <w:w w:val="95"/>
                <w:sz w:val="18"/>
              </w:rPr>
              <w:t>3,727,828,001.13</w:t>
            </w:r>
            <w:r>
              <w:rPr>
                <w:rFonts w:ascii="宋体"/>
                <w:sz w:val="18"/>
              </w:rPr>
            </w:r>
          </w:p>
        </w:tc>
        <w:tc>
          <w:tcPr>
            <w:tcW w:w="1663"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6"/>
              <w:jc w:val="right"/>
              <w:rPr>
                <w:rFonts w:ascii="宋体" w:hAnsi="宋体" w:cs="宋体" w:eastAsia="宋体" w:hint="default"/>
                <w:sz w:val="18"/>
                <w:szCs w:val="18"/>
              </w:rPr>
            </w:pPr>
            <w:r>
              <w:rPr>
                <w:rFonts w:ascii="宋体"/>
                <w:b/>
                <w:w w:val="95"/>
                <w:sz w:val="18"/>
              </w:rPr>
              <w:t>74,663,215.95</w:t>
            </w:r>
            <w:r>
              <w:rPr>
                <w:rFonts w:ascii="宋体"/>
                <w:sz w:val="18"/>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b/>
                <w:w w:val="95"/>
                <w:sz w:val="18"/>
              </w:rPr>
              <w:t>46,080,659.09</w:t>
            </w:r>
            <w:r>
              <w:rPr>
                <w:rFonts w:ascii="宋体"/>
                <w:sz w:val="18"/>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p>
        </w:tc>
        <w:tc>
          <w:tcPr>
            <w:tcW w:w="2036"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
        </w:tc>
        <w:tc>
          <w:tcPr>
            <w:tcW w:w="1253" w:type="dxa"/>
            <w:tcBorders>
              <w:top w:val="single" w:sz="2" w:space="0" w:color="000000"/>
              <w:left w:val="single" w:sz="2" w:space="0" w:color="000000"/>
              <w:bottom w:val="single" w:sz="2" w:space="0" w:color="000000"/>
              <w:right w:val="single" w:sz="2" w:space="0" w:color="000000"/>
            </w:tcBorders>
          </w:tcPr>
          <w:p>
            <w:pP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中电长城大厦</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2,375,600,000.00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30.40</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z w:val="18"/>
              </w:rPr>
              <w:t>30.40</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51,785,512.68</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35,416,071.84</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5.49</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北京未来城</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63,702,865.61</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pacing w:val="-1"/>
                <w:sz w:val="18"/>
              </w:rPr>
              <w:t>100.00</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100.00</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20"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F3-A2</w:t>
            </w:r>
            <w:r>
              <w:rPr>
                <w:rFonts w:ascii="宋体" w:hAnsi="宋体" w:cs="宋体" w:eastAsia="宋体" w:hint="default"/>
                <w:spacing w:val="-48"/>
                <w:sz w:val="18"/>
                <w:szCs w:val="18"/>
              </w:rPr>
              <w:t> </w:t>
            </w:r>
            <w:r>
              <w:rPr>
                <w:rFonts w:ascii="宋体" w:hAnsi="宋体" w:cs="宋体" w:eastAsia="宋体" w:hint="default"/>
                <w:sz w:val="18"/>
                <w:szCs w:val="18"/>
              </w:rPr>
              <w:t>厂房工程</w:t>
            </w:r>
            <w:r>
              <w:rPr>
                <w:rFonts w:ascii="宋体" w:hAnsi="宋体" w:cs="宋体" w:eastAsia="宋体" w:hint="default"/>
                <w:sz w:val="18"/>
                <w:szCs w:val="18"/>
              </w:rPr>
              <w:t>-TPVE</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4"/>
              <w:jc w:val="right"/>
              <w:rPr>
                <w:rFonts w:ascii="宋体" w:hAnsi="宋体" w:cs="宋体" w:eastAsia="宋体" w:hint="default"/>
                <w:sz w:val="18"/>
                <w:szCs w:val="18"/>
              </w:rPr>
            </w:pPr>
            <w:r>
              <w:rPr>
                <w:rFonts w:ascii="宋体"/>
                <w:spacing w:val="-1"/>
                <w:sz w:val="18"/>
              </w:rPr>
              <w:t>157,378,889.60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pacing w:val="-1"/>
                <w:sz w:val="18"/>
              </w:rPr>
              <w:t>100.00</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100.00</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上海大楼建设工程</w:t>
            </w:r>
            <w:r>
              <w:rPr>
                <w:rFonts w:ascii="宋体" w:hAnsi="宋体" w:cs="宋体" w:eastAsia="宋体" w:hint="default"/>
                <w:sz w:val="18"/>
                <w:szCs w:val="18"/>
              </w:rPr>
              <w:t>-TPV DC</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339,225,664.00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pacing w:val="-1"/>
                <w:sz w:val="18"/>
              </w:rPr>
              <w:t>100.00</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100.00</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22,877,703.27</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10,664,587.25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3.50</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自动化专案设备</w:t>
            </w:r>
            <w:r>
              <w:rPr>
                <w:rFonts w:ascii="宋体" w:hAnsi="宋体" w:cs="宋体" w:eastAsia="宋体" w:hint="default"/>
                <w:sz w:val="18"/>
                <w:szCs w:val="18"/>
              </w:rPr>
              <w:t>-TPV QD</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15,746,980.00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pacing w:val="-1"/>
                <w:sz w:val="18"/>
              </w:rPr>
              <w:t>100.00</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100.00</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电视生产建造工程</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16,234,000.00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98.48</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z w:val="18"/>
              </w:rPr>
              <w:t>98.48</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FQ TOUCH PANEL </w:t>
            </w:r>
            <w:r>
              <w:rPr>
                <w:rFonts w:ascii="宋体" w:hAnsi="宋体" w:cs="宋体" w:eastAsia="宋体" w:hint="default"/>
                <w:sz w:val="18"/>
                <w:szCs w:val="18"/>
              </w:rPr>
              <w:t>设备</w:t>
            </w:r>
            <w:r>
              <w:rPr>
                <w:rFonts w:ascii="宋体" w:hAnsi="宋体" w:cs="宋体" w:eastAsia="宋体" w:hint="default"/>
                <w:sz w:val="18"/>
                <w:szCs w:val="18"/>
              </w:rPr>
              <w:t>-TVE</w:t>
            </w:r>
            <w:r>
              <w:rPr>
                <w:rFonts w:ascii="宋体" w:hAnsi="宋体" w:cs="宋体" w:eastAsia="宋体" w:hint="default"/>
                <w:spacing w:val="-7"/>
                <w:sz w:val="18"/>
                <w:szCs w:val="18"/>
              </w:rPr>
              <w:t> </w:t>
            </w:r>
            <w:r>
              <w:rPr>
                <w:rFonts w:ascii="宋体" w:hAnsi="宋体" w:cs="宋体" w:eastAsia="宋体" w:hint="default"/>
                <w:sz w:val="18"/>
                <w:szCs w:val="18"/>
              </w:rPr>
              <w:t>FQ</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12,193,800.00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99.74</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z w:val="18"/>
              </w:rPr>
              <w:t>99.74</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22"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石岩光伏项目</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4"/>
              <w:jc w:val="right"/>
              <w:rPr>
                <w:rFonts w:ascii="宋体" w:hAnsi="宋体" w:cs="宋体" w:eastAsia="宋体" w:hint="default"/>
                <w:sz w:val="18"/>
                <w:szCs w:val="18"/>
              </w:rPr>
            </w:pPr>
            <w:r>
              <w:rPr>
                <w:rFonts w:ascii="宋体"/>
                <w:spacing w:val="-1"/>
                <w:sz w:val="18"/>
              </w:rPr>
              <w:t>33,750,000.00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70.13</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70.13</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sz w:val="18"/>
              </w:rPr>
              <w:t>MOLD-TPVDP</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12,987,200.00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93.21</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z w:val="18"/>
              </w:rPr>
              <w:t>93.21</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19"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自动化机器手</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11,000,000.00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81.82</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z w:val="18"/>
              </w:rPr>
              <w:t>81.82</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20" w:hRule="exact"/>
        </w:trPr>
        <w:tc>
          <w:tcPr>
            <w:tcW w:w="3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江西分宜</w:t>
            </w:r>
            <w:r>
              <w:rPr>
                <w:rFonts w:ascii="宋体" w:hAnsi="宋体" w:cs="宋体" w:eastAsia="宋体" w:hint="default"/>
                <w:spacing w:val="-44"/>
                <w:sz w:val="18"/>
                <w:szCs w:val="18"/>
              </w:rPr>
              <w:t> </w:t>
            </w:r>
            <w:r>
              <w:rPr>
                <w:rFonts w:ascii="宋体" w:hAnsi="宋体" w:cs="宋体" w:eastAsia="宋体" w:hint="default"/>
                <w:sz w:val="18"/>
                <w:szCs w:val="18"/>
              </w:rPr>
              <w:t>10MW</w:t>
            </w:r>
            <w:r>
              <w:rPr>
                <w:rFonts w:ascii="宋体" w:hAnsi="宋体" w:cs="宋体" w:eastAsia="宋体" w:hint="default"/>
                <w:spacing w:val="-43"/>
                <w:sz w:val="18"/>
                <w:szCs w:val="18"/>
              </w:rPr>
              <w:t> </w:t>
            </w:r>
            <w:r>
              <w:rPr>
                <w:rFonts w:ascii="宋体" w:hAnsi="宋体" w:cs="宋体" w:eastAsia="宋体" w:hint="default"/>
                <w:sz w:val="18"/>
                <w:szCs w:val="18"/>
              </w:rPr>
              <w:t>光伏发电项目</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90,482,200.00</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23.91</w:t>
            </w:r>
          </w:p>
        </w:tc>
        <w:tc>
          <w:tcPr>
            <w:tcW w:w="1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z w:val="18"/>
              </w:rPr>
              <w:t>23.91</w:t>
            </w:r>
          </w:p>
        </w:tc>
        <w:tc>
          <w:tcPr>
            <w:tcW w:w="1726" w:type="dxa"/>
            <w:tcBorders>
              <w:top w:val="single" w:sz="2" w:space="0" w:color="000000"/>
              <w:left w:val="single" w:sz="2" w:space="0" w:color="000000"/>
              <w:bottom w:val="single" w:sz="2" w:space="0" w:color="000000"/>
              <w:right w:val="single" w:sz="2" w:space="0" w:color="000000"/>
            </w:tcBorders>
          </w:tcPr>
          <w:p>
            <w:pPr/>
          </w:p>
        </w:tc>
        <w:tc>
          <w:tcPr>
            <w:tcW w:w="1706"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34" w:hRule="exact"/>
        </w:trPr>
        <w:tc>
          <w:tcPr>
            <w:tcW w:w="34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湖北仙桃</w:t>
            </w:r>
            <w:r>
              <w:rPr>
                <w:rFonts w:ascii="宋体" w:hAnsi="宋体" w:cs="宋体" w:eastAsia="宋体" w:hint="default"/>
                <w:spacing w:val="-44"/>
                <w:sz w:val="18"/>
                <w:szCs w:val="18"/>
              </w:rPr>
              <w:t> </w:t>
            </w:r>
            <w:r>
              <w:rPr>
                <w:rFonts w:ascii="宋体" w:hAnsi="宋体" w:cs="宋体" w:eastAsia="宋体" w:hint="default"/>
                <w:sz w:val="18"/>
                <w:szCs w:val="18"/>
              </w:rPr>
              <w:t>10MW</w:t>
            </w:r>
            <w:r>
              <w:rPr>
                <w:rFonts w:ascii="宋体" w:hAnsi="宋体" w:cs="宋体" w:eastAsia="宋体" w:hint="default"/>
                <w:spacing w:val="-43"/>
                <w:sz w:val="18"/>
                <w:szCs w:val="18"/>
              </w:rPr>
              <w:t> </w:t>
            </w:r>
            <w:r>
              <w:rPr>
                <w:rFonts w:ascii="宋体" w:hAnsi="宋体" w:cs="宋体" w:eastAsia="宋体" w:hint="default"/>
                <w:sz w:val="18"/>
                <w:szCs w:val="18"/>
              </w:rPr>
              <w:t>光伏发电项目</w:t>
            </w:r>
          </w:p>
        </w:tc>
        <w:tc>
          <w:tcPr>
            <w:tcW w:w="20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4"/>
              <w:jc w:val="right"/>
              <w:rPr>
                <w:rFonts w:ascii="宋体" w:hAnsi="宋体" w:cs="宋体" w:eastAsia="宋体" w:hint="default"/>
                <w:sz w:val="18"/>
                <w:szCs w:val="18"/>
              </w:rPr>
            </w:pPr>
            <w:r>
              <w:rPr>
                <w:rFonts w:ascii="宋体"/>
                <w:spacing w:val="-1"/>
                <w:sz w:val="18"/>
              </w:rPr>
              <w:t>81,282,200.00</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6.33</w:t>
            </w:r>
          </w:p>
        </w:tc>
        <w:tc>
          <w:tcPr>
            <w:tcW w:w="1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z w:val="18"/>
              </w:rPr>
              <w:t>6.33</w:t>
            </w:r>
          </w:p>
        </w:tc>
        <w:tc>
          <w:tcPr>
            <w:tcW w:w="1726" w:type="dxa"/>
            <w:tcBorders>
              <w:top w:val="single" w:sz="2" w:space="0" w:color="000000"/>
              <w:left w:val="single" w:sz="2" w:space="0" w:color="000000"/>
              <w:bottom w:val="single" w:sz="12" w:space="0" w:color="000000"/>
              <w:right w:val="single" w:sz="2" w:space="0" w:color="000000"/>
            </w:tcBorders>
          </w:tcPr>
          <w:p>
            <w:pPr/>
          </w:p>
        </w:tc>
        <w:tc>
          <w:tcPr>
            <w:tcW w:w="1706"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自筹</w:t>
            </w:r>
          </w:p>
        </w:tc>
      </w:tr>
    </w:tbl>
    <w:p>
      <w:pPr>
        <w:spacing w:line="240" w:lineRule="auto" w:before="8"/>
        <w:rPr>
          <w:rFonts w:ascii="宋体" w:hAnsi="宋体" w:cs="宋体" w:eastAsia="宋体" w:hint="default"/>
          <w:sz w:val="4"/>
          <w:szCs w:val="4"/>
        </w:rPr>
      </w:pPr>
    </w:p>
    <w:p>
      <w:pPr>
        <w:pStyle w:val="Heading7"/>
        <w:spacing w:line="240" w:lineRule="auto"/>
        <w:ind w:left="699" w:right="0"/>
        <w:jc w:val="left"/>
      </w:pPr>
      <w:r>
        <w:rPr/>
        <w:t>（</w:t>
      </w:r>
      <w:r>
        <w:rPr>
          <w:rFonts w:ascii="宋体" w:hAnsi="宋体" w:cs="宋体" w:eastAsia="宋体" w:hint="default"/>
        </w:rPr>
        <w:t>3</w:t>
      </w:r>
      <w:r>
        <w:rPr/>
        <w:t>）在建工程减值准备</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796"/>
        <w:gridCol w:w="2557"/>
        <w:gridCol w:w="2208"/>
        <w:gridCol w:w="2211"/>
        <w:gridCol w:w="2209"/>
        <w:gridCol w:w="2210"/>
      </w:tblGrid>
      <w:tr>
        <w:trPr>
          <w:trHeight w:val="396" w:hRule="exact"/>
        </w:trPr>
        <w:tc>
          <w:tcPr>
            <w:tcW w:w="279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20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21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20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汇率差</w:t>
            </w:r>
            <w:r>
              <w:rPr>
                <w:rFonts w:ascii="宋体" w:hAnsi="宋体" w:cs="宋体" w:eastAsia="宋体" w:hint="default"/>
                <w:sz w:val="18"/>
                <w:szCs w:val="18"/>
              </w:rPr>
            </w:r>
          </w:p>
        </w:tc>
        <w:tc>
          <w:tcPr>
            <w:tcW w:w="221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82"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Production Line</w:t>
            </w:r>
            <w:r>
              <w:rPr>
                <w:rFonts w:ascii="宋体"/>
                <w:spacing w:val="-6"/>
                <w:sz w:val="18"/>
              </w:rPr>
              <w:t> </w:t>
            </w:r>
            <w:r>
              <w:rPr>
                <w:rFonts w:ascii="宋体"/>
                <w:sz w:val="18"/>
              </w:rPr>
              <w:t>8-TPVDP</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293,712.00</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17,980.80</w:t>
            </w:r>
          </w:p>
        </w:tc>
        <w:tc>
          <w:tcPr>
            <w:tcW w:w="2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311,692.80</w:t>
            </w:r>
          </w:p>
        </w:tc>
      </w:tr>
      <w:tr>
        <w:trPr>
          <w:trHeight w:val="379" w:hRule="exact"/>
        </w:trPr>
        <w:tc>
          <w:tcPr>
            <w:tcW w:w="27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sz w:val="18"/>
              </w:rPr>
              <w:t>Production Line</w:t>
            </w:r>
            <w:r>
              <w:rPr>
                <w:rFonts w:ascii="宋体"/>
                <w:spacing w:val="-6"/>
                <w:sz w:val="18"/>
              </w:rPr>
              <w:t> </w:t>
            </w:r>
            <w:r>
              <w:rPr>
                <w:rFonts w:ascii="宋体"/>
                <w:sz w:val="18"/>
              </w:rPr>
              <w:t>7-TPVDP</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263,117.00</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151,388.47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11,649.87</w:t>
            </w:r>
          </w:p>
        </w:tc>
        <w:tc>
          <w:tcPr>
            <w:tcW w:w="2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123,378.40</w:t>
            </w:r>
          </w:p>
        </w:tc>
      </w:tr>
      <w:tr>
        <w:trPr>
          <w:trHeight w:val="398" w:hRule="exact"/>
        </w:trPr>
        <w:tc>
          <w:tcPr>
            <w:tcW w:w="279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556,829.00</w:t>
            </w:r>
            <w:r>
              <w:rPr>
                <w:rFonts w:ascii="宋体"/>
                <w:sz w:val="18"/>
              </w:rPr>
            </w:r>
          </w:p>
        </w:tc>
        <w:tc>
          <w:tcPr>
            <w:tcW w:w="2208" w:type="dxa"/>
            <w:tcBorders>
              <w:top w:val="single" w:sz="4" w:space="0" w:color="000000"/>
              <w:left w:val="single" w:sz="4" w:space="0" w:color="000000"/>
              <w:bottom w:val="single" w:sz="17" w:space="0" w:color="000000"/>
              <w:right w:val="single" w:sz="4" w:space="0" w:color="000000"/>
            </w:tcBorders>
          </w:tcPr>
          <w:p>
            <w:pPr/>
          </w:p>
        </w:tc>
        <w:tc>
          <w:tcPr>
            <w:tcW w:w="221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151,388.47</w:t>
            </w:r>
            <w:r>
              <w:rPr>
                <w:rFonts w:ascii="宋体"/>
                <w:sz w:val="18"/>
              </w:rPr>
            </w:r>
          </w:p>
        </w:tc>
        <w:tc>
          <w:tcPr>
            <w:tcW w:w="22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29,630.67</w:t>
            </w:r>
            <w:r>
              <w:rPr>
                <w:rFonts w:ascii="宋体"/>
                <w:sz w:val="18"/>
              </w:rPr>
            </w:r>
          </w:p>
        </w:tc>
        <w:tc>
          <w:tcPr>
            <w:tcW w:w="221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b/>
                <w:w w:val="95"/>
                <w:sz w:val="18"/>
              </w:rPr>
              <w:t>435,071.20</w:t>
            </w:r>
            <w:r>
              <w:rPr>
                <w:rFonts w:ascii="宋体"/>
                <w:sz w:val="18"/>
              </w:rPr>
            </w:r>
          </w:p>
        </w:tc>
      </w:tr>
    </w:tbl>
    <w:p>
      <w:pPr>
        <w:spacing w:line="240" w:lineRule="auto" w:before="9"/>
        <w:rPr>
          <w:rFonts w:ascii="宋体" w:hAnsi="宋体" w:cs="宋体" w:eastAsia="宋体" w:hint="default"/>
          <w:sz w:val="4"/>
          <w:szCs w:val="4"/>
        </w:rPr>
      </w:pPr>
    </w:p>
    <w:p>
      <w:pPr>
        <w:pStyle w:val="Heading7"/>
        <w:spacing w:line="240" w:lineRule="auto"/>
        <w:ind w:left="699" w:right="0"/>
        <w:jc w:val="left"/>
      </w:pPr>
      <w:r>
        <w:rPr/>
        <w:t>本年减少的在建工程中转入固定资产金额为</w:t>
      </w:r>
      <w:r>
        <w:rPr>
          <w:spacing w:val="-60"/>
        </w:rPr>
        <w:t> </w:t>
      </w:r>
      <w:r>
        <w:rPr>
          <w:rFonts w:ascii="宋体" w:hAnsi="宋体" w:cs="宋体" w:eastAsia="宋体" w:hint="default"/>
        </w:rPr>
        <w:t>181,359,176.21</w:t>
      </w:r>
      <w:r>
        <w:rPr>
          <w:rFonts w:ascii="宋体" w:hAnsi="宋体" w:cs="宋体" w:eastAsia="宋体" w:hint="default"/>
          <w:spacing w:val="-61"/>
        </w:rPr>
        <w:t> </w:t>
      </w:r>
      <w:r>
        <w:rPr/>
        <w:t>元，转入长期待摊费用金额为</w:t>
      </w:r>
      <w:r>
        <w:rPr>
          <w:spacing w:val="-62"/>
        </w:rPr>
        <w:t> </w:t>
      </w:r>
      <w:r>
        <w:rPr>
          <w:rFonts w:ascii="宋体" w:hAnsi="宋体" w:cs="宋体" w:eastAsia="宋体" w:hint="default"/>
        </w:rPr>
        <w:t>23,299,845.44</w:t>
      </w:r>
      <w:r>
        <w:rPr>
          <w:rFonts w:ascii="宋体" w:hAnsi="宋体" w:cs="宋体" w:eastAsia="宋体" w:hint="default"/>
          <w:spacing w:val="-61"/>
        </w:rPr>
        <w:t> </w:t>
      </w:r>
      <w:r>
        <w:rPr/>
        <w:t>元；在建工程其他减少为当本年处</w:t>
      </w:r>
    </w:p>
    <w:p>
      <w:pPr>
        <w:pStyle w:val="Heading7"/>
        <w:spacing w:line="240" w:lineRule="auto" w:before="103"/>
        <w:ind w:left="260" w:right="0"/>
        <w:jc w:val="left"/>
      </w:pPr>
      <w:r>
        <w:rPr/>
        <w:t>置，金额为</w:t>
      </w:r>
      <w:r>
        <w:rPr>
          <w:spacing w:val="-56"/>
        </w:rPr>
        <w:t> </w:t>
      </w:r>
      <w:r>
        <w:rPr>
          <w:rFonts w:ascii="宋体" w:hAnsi="宋体" w:cs="宋体" w:eastAsia="宋体" w:hint="default"/>
        </w:rPr>
        <w:t>11,222,158.91</w:t>
      </w:r>
      <w:r>
        <w:rPr>
          <w:rFonts w:ascii="宋体" w:hAnsi="宋体" w:cs="宋体" w:eastAsia="宋体" w:hint="default"/>
          <w:spacing w:val="-56"/>
        </w:rPr>
        <w:t> </w:t>
      </w:r>
      <w:r>
        <w:rPr/>
        <w:t>元。</w:t>
      </w:r>
    </w:p>
    <w:p>
      <w:pPr>
        <w:spacing w:after="0" w:line="240" w:lineRule="auto"/>
        <w:jc w:val="left"/>
        <w:sectPr>
          <w:pgSz w:w="16840" w:h="11910" w:orient="landscape"/>
          <w:pgMar w:header="881" w:footer="980" w:top="1640" w:bottom="1160" w:left="1180" w:right="1180"/>
        </w:sectPr>
      </w:pPr>
    </w:p>
    <w:p>
      <w:pPr>
        <w:spacing w:line="240" w:lineRule="auto" w:before="9"/>
        <w:rPr>
          <w:rFonts w:ascii="宋体" w:hAnsi="宋体" w:cs="宋体" w:eastAsia="宋体" w:hint="default"/>
          <w:sz w:val="9"/>
          <w:szCs w:val="9"/>
        </w:rPr>
      </w:pPr>
    </w:p>
    <w:p>
      <w:pPr>
        <w:pStyle w:val="Heading7"/>
        <w:spacing w:line="240" w:lineRule="auto"/>
        <w:ind w:left="679" w:right="1708"/>
        <w:jc w:val="left"/>
      </w:pPr>
      <w:r>
        <w:rPr>
          <w:rFonts w:ascii="宋体" w:hAnsi="宋体" w:cs="宋体" w:eastAsia="宋体" w:hint="default"/>
        </w:rPr>
        <w:t>17</w:t>
      </w:r>
      <w:r>
        <w:rPr/>
        <w:t>、无形资产</w:t>
      </w:r>
    </w:p>
    <w:p>
      <w:pPr>
        <w:spacing w:line="240" w:lineRule="auto" w:before="6"/>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369"/>
        <w:gridCol w:w="1634"/>
        <w:gridCol w:w="1630"/>
        <w:gridCol w:w="1812"/>
        <w:gridCol w:w="1632"/>
        <w:gridCol w:w="1632"/>
        <w:gridCol w:w="1630"/>
        <w:gridCol w:w="1807"/>
      </w:tblGrid>
      <w:tr>
        <w:trPr>
          <w:trHeight w:val="425" w:hRule="exact"/>
        </w:trPr>
        <w:tc>
          <w:tcPr>
            <w:tcW w:w="236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65"/>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359"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3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540"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181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448" w:right="0"/>
              <w:jc w:val="left"/>
              <w:rPr>
                <w:rFonts w:ascii="宋体" w:hAnsi="宋体" w:cs="宋体" w:eastAsia="宋体" w:hint="default"/>
                <w:sz w:val="18"/>
                <w:szCs w:val="18"/>
              </w:rPr>
            </w:pPr>
            <w:r>
              <w:rPr>
                <w:rFonts w:ascii="宋体" w:hAnsi="宋体" w:cs="宋体" w:eastAsia="宋体" w:hint="default"/>
                <w:b/>
                <w:bCs/>
                <w:sz w:val="18"/>
                <w:szCs w:val="18"/>
              </w:rPr>
              <w:t>商标使用权</w:t>
            </w:r>
            <w:r>
              <w:rPr>
                <w:rFonts w:ascii="宋体" w:hAnsi="宋体" w:cs="宋体" w:eastAsia="宋体" w:hint="default"/>
                <w:sz w:val="18"/>
                <w:szCs w:val="18"/>
              </w:rPr>
            </w:r>
          </w:p>
        </w:tc>
        <w:tc>
          <w:tcPr>
            <w:tcW w:w="16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539" w:right="0"/>
              <w:jc w:val="left"/>
              <w:rPr>
                <w:rFonts w:ascii="宋体" w:hAnsi="宋体" w:cs="宋体" w:eastAsia="宋体" w:hint="default"/>
                <w:sz w:val="18"/>
                <w:szCs w:val="18"/>
              </w:rPr>
            </w:pPr>
            <w:r>
              <w:rPr>
                <w:rFonts w:ascii="宋体" w:hAnsi="宋体" w:cs="宋体" w:eastAsia="宋体" w:hint="default"/>
                <w:b/>
                <w:bCs/>
                <w:sz w:val="18"/>
                <w:szCs w:val="18"/>
              </w:rPr>
              <w:t>特许权</w:t>
            </w:r>
            <w:r>
              <w:rPr>
                <w:rFonts w:ascii="宋体" w:hAnsi="宋体" w:cs="宋体" w:eastAsia="宋体" w:hint="default"/>
                <w:sz w:val="18"/>
                <w:szCs w:val="18"/>
              </w:rPr>
            </w:r>
          </w:p>
        </w:tc>
        <w:tc>
          <w:tcPr>
            <w:tcW w:w="16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268" w:right="0"/>
              <w:jc w:val="left"/>
              <w:rPr>
                <w:rFonts w:ascii="宋体" w:hAnsi="宋体" w:cs="宋体" w:eastAsia="宋体" w:hint="default"/>
                <w:sz w:val="18"/>
                <w:szCs w:val="18"/>
              </w:rPr>
            </w:pPr>
            <w:r>
              <w:rPr>
                <w:rFonts w:ascii="宋体" w:hAnsi="宋体" w:cs="宋体" w:eastAsia="宋体" w:hint="default"/>
                <w:b/>
                <w:bCs/>
                <w:sz w:val="18"/>
                <w:szCs w:val="18"/>
              </w:rPr>
              <w:t>客户关系合同</w:t>
            </w:r>
            <w:r>
              <w:rPr>
                <w:rFonts w:ascii="宋体" w:hAnsi="宋体" w:cs="宋体" w:eastAsia="宋体" w:hint="default"/>
                <w:sz w:val="18"/>
                <w:szCs w:val="18"/>
              </w:rPr>
            </w:r>
          </w:p>
        </w:tc>
        <w:tc>
          <w:tcPr>
            <w:tcW w:w="163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80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b/>
                <w:bCs/>
                <w:sz w:val="18"/>
                <w:szCs w:val="18"/>
              </w:rPr>
              <w:t>一、账面原值</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671,185,770.26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24,936,006.93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1,656,450,985.24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1,559,700.00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10,279,920.00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383,729,290.41</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2,748,141,672.84</w:t>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19,755.00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202,808,125.00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12,392,842.93</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215,220,722.93</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pacing w:val="-1"/>
                <w:sz w:val="18"/>
              </w:rPr>
              <w:t>19,755.00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pacing w:val="-1"/>
                <w:sz w:val="18"/>
              </w:rPr>
              <w:t>202,808,125.00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12,392,842.93</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pacing w:val="-1"/>
                <w:sz w:val="18"/>
              </w:rPr>
              <w:t>215,220,722.93</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19,444,619.00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93,585,029.25</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113,029,648.25</w:t>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19,444,619.00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92,605,310.00</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112,049,929.00</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979,719.25</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979,719.25</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-14,323,558.99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1,506,911.52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33,712,487.16</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-1,922,656.80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-30,840,657.61</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-11,867,474.72</w:t>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656,862,211.27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26,462,673.45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1,873,526,978.40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1,559,700.00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8,357,263.20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271,696,446.48</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2,838,465,272.80</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二、累计摊销</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84,038,919.61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16,497,103.69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923,331,025.88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978,886.66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6,406,593.00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219,252,193.71</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1,250,504,722.55</w:t>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13,107,275.38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18"/>
                <w:szCs w:val="18"/>
              </w:rPr>
            </w:pPr>
            <w:r>
              <w:rPr>
                <w:rFonts w:ascii="宋体"/>
                <w:spacing w:val="-1"/>
                <w:sz w:val="18"/>
              </w:rPr>
              <w:t>1,217,800.00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128,773,799.00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289,269.00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3,513,260.75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18"/>
                <w:szCs w:val="18"/>
              </w:rPr>
            </w:pPr>
            <w:r>
              <w:rPr>
                <w:rFonts w:ascii="宋体"/>
                <w:spacing w:val="-1"/>
                <w:sz w:val="18"/>
              </w:rPr>
              <w:t>37,580,798.98</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184,482,203.11</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13,107,275.38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1,217,800.00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128,773,799.00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289,269.00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3,513,260.75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37,580,798.98</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184,482,203.11</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19,444,619.00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92,705,154.00</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112,149,773.00</w:t>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19,444,619.00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18"/>
                <w:szCs w:val="18"/>
              </w:rPr>
            </w:pPr>
            <w:r>
              <w:rPr>
                <w:rFonts w:ascii="宋体"/>
                <w:spacing w:val="-1"/>
                <w:sz w:val="18"/>
              </w:rPr>
              <w:t>92,605,310.00</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18"/>
                <w:szCs w:val="18"/>
              </w:rPr>
            </w:pPr>
            <w:r>
              <w:rPr>
                <w:rFonts w:ascii="宋体"/>
                <w:spacing w:val="-1"/>
                <w:sz w:val="18"/>
              </w:rPr>
              <w:t>112,049,929.00</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99,844.00</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99,844.00</w:t>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1,912,991.40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1,010,366.50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42,965,672.52</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-2,049,610.55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-20,885,870.25</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22,953,549.62</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99,059,186.39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18,725,270.19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1,075,625,878.40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1,268,155.66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7,870,243.20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143,241,968.44</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1,345,790,702.28</w:t>
            </w:r>
          </w:p>
        </w:tc>
      </w:tr>
    </w:tbl>
    <w:p>
      <w:pPr>
        <w:spacing w:after="0" w:line="240" w:lineRule="auto"/>
        <w:jc w:val="right"/>
        <w:rPr>
          <w:rFonts w:ascii="宋体" w:hAnsi="宋体" w:cs="宋体" w:eastAsia="宋体" w:hint="default"/>
          <w:sz w:val="18"/>
          <w:szCs w:val="18"/>
        </w:rPr>
        <w:sectPr>
          <w:pgSz w:w="16840" w:h="11910" w:orient="landscape"/>
          <w:pgMar w:header="881" w:footer="980" w:top="1640" w:bottom="1160" w:left="1200" w:right="1200"/>
        </w:sectPr>
      </w:pPr>
    </w:p>
    <w:p>
      <w:pPr>
        <w:spacing w:line="240" w:lineRule="auto" w:before="5"/>
        <w:rPr>
          <w:rFonts w:ascii="Times New Roman" w:hAnsi="Times New Roman" w:cs="Times New Roman" w:eastAsia="Times New Roman" w:hint="default"/>
          <w:sz w:val="17"/>
          <w:szCs w:val="17"/>
        </w:rPr>
      </w:pPr>
      <w:r>
        <w:rPr/>
        <w:pict>
          <v:shape style="position:absolute;margin-left:65.879997pt;margin-top:90.020004pt;width:710.65pt;height:268.25pt;mso-position-horizontal-relative:page;mso-position-vertical-relative:page;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1634"/>
                    <w:gridCol w:w="1630"/>
                    <w:gridCol w:w="1812"/>
                    <w:gridCol w:w="1632"/>
                    <w:gridCol w:w="1632"/>
                    <w:gridCol w:w="1630"/>
                    <w:gridCol w:w="1807"/>
                  </w:tblGrid>
                  <w:tr>
                    <w:trPr>
                      <w:trHeight w:val="425" w:hRule="exact"/>
                    </w:trPr>
                    <w:tc>
                      <w:tcPr>
                        <w:tcW w:w="236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65"/>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359"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3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540"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181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448" w:right="0"/>
                          <w:jc w:val="left"/>
                          <w:rPr>
                            <w:rFonts w:ascii="宋体" w:hAnsi="宋体" w:cs="宋体" w:eastAsia="宋体" w:hint="default"/>
                            <w:sz w:val="18"/>
                            <w:szCs w:val="18"/>
                          </w:rPr>
                        </w:pPr>
                        <w:r>
                          <w:rPr>
                            <w:rFonts w:ascii="宋体" w:hAnsi="宋体" w:cs="宋体" w:eastAsia="宋体" w:hint="default"/>
                            <w:b/>
                            <w:bCs/>
                            <w:sz w:val="18"/>
                            <w:szCs w:val="18"/>
                          </w:rPr>
                          <w:t>商标使用权</w:t>
                        </w:r>
                        <w:r>
                          <w:rPr>
                            <w:rFonts w:ascii="宋体" w:hAnsi="宋体" w:cs="宋体" w:eastAsia="宋体" w:hint="default"/>
                            <w:sz w:val="18"/>
                            <w:szCs w:val="18"/>
                          </w:rPr>
                        </w:r>
                      </w:p>
                    </w:tc>
                    <w:tc>
                      <w:tcPr>
                        <w:tcW w:w="16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539" w:right="0"/>
                          <w:jc w:val="left"/>
                          <w:rPr>
                            <w:rFonts w:ascii="宋体" w:hAnsi="宋体" w:cs="宋体" w:eastAsia="宋体" w:hint="default"/>
                            <w:sz w:val="18"/>
                            <w:szCs w:val="18"/>
                          </w:rPr>
                        </w:pPr>
                        <w:r>
                          <w:rPr>
                            <w:rFonts w:ascii="宋体" w:hAnsi="宋体" w:cs="宋体" w:eastAsia="宋体" w:hint="default"/>
                            <w:b/>
                            <w:bCs/>
                            <w:sz w:val="18"/>
                            <w:szCs w:val="18"/>
                          </w:rPr>
                          <w:t>特许权</w:t>
                        </w:r>
                        <w:r>
                          <w:rPr>
                            <w:rFonts w:ascii="宋体" w:hAnsi="宋体" w:cs="宋体" w:eastAsia="宋体" w:hint="default"/>
                            <w:sz w:val="18"/>
                            <w:szCs w:val="18"/>
                          </w:rPr>
                        </w:r>
                      </w:p>
                    </w:tc>
                    <w:tc>
                      <w:tcPr>
                        <w:tcW w:w="163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268" w:right="0"/>
                          <w:jc w:val="left"/>
                          <w:rPr>
                            <w:rFonts w:ascii="宋体" w:hAnsi="宋体" w:cs="宋体" w:eastAsia="宋体" w:hint="default"/>
                            <w:sz w:val="18"/>
                            <w:szCs w:val="18"/>
                          </w:rPr>
                        </w:pPr>
                        <w:r>
                          <w:rPr>
                            <w:rFonts w:ascii="宋体" w:hAnsi="宋体" w:cs="宋体" w:eastAsia="宋体" w:hint="default"/>
                            <w:b/>
                            <w:bCs/>
                            <w:sz w:val="18"/>
                            <w:szCs w:val="18"/>
                          </w:rPr>
                          <w:t>客户关系合同</w:t>
                        </w:r>
                        <w:r>
                          <w:rPr>
                            <w:rFonts w:ascii="宋体" w:hAnsi="宋体" w:cs="宋体" w:eastAsia="宋体" w:hint="default"/>
                            <w:sz w:val="18"/>
                            <w:szCs w:val="18"/>
                          </w:rPr>
                        </w:r>
                      </w:p>
                    </w:tc>
                    <w:tc>
                      <w:tcPr>
                        <w:tcW w:w="163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80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三、减值准备</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5,188,912.00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522,391,268.00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527,580,180.00</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51,925,120.25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51,925,120.25</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51,925,120.25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51,925,120.25</w:t>
                        </w:r>
                      </w:p>
                    </w:tc>
                  </w:tr>
                  <w:tr>
                    <w:trPr>
                      <w:trHeight w:val="409"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汇率差</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18"/>
                            <w:szCs w:val="18"/>
                          </w:rPr>
                        </w:pPr>
                        <w:r>
                          <w:rPr>
                            <w:rFonts w:ascii="宋体"/>
                            <w:spacing w:val="-1"/>
                            <w:sz w:val="18"/>
                          </w:rPr>
                          <w:t>317,660.80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-12,710,898.65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宋体" w:hAnsi="宋体" w:cs="宋体" w:eastAsia="宋体" w:hint="default"/>
                            <w:sz w:val="18"/>
                            <w:szCs w:val="18"/>
                          </w:rPr>
                        </w:pPr>
                        <w:r>
                          <w:rPr>
                            <w:rFonts w:ascii="宋体"/>
                            <w:spacing w:val="-1"/>
                            <w:sz w:val="18"/>
                          </w:rPr>
                          <w:t>-12,393,237.85</w:t>
                        </w: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年末余额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5,506,572.80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561,605,489.60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567,112,062.40</w:t>
                        </w:r>
                      </w:p>
                    </w:tc>
                  </w:tr>
                  <w:tr>
                    <w:trPr>
                      <w:trHeight w:val="40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四、账面价值</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年末账面价值</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557,803,024.88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2,230,830.46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236,295,610.40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291,544.34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487,020.00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128,454,478.04</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925,562,508.12</w:t>
                        </w:r>
                      </w:p>
                    </w:tc>
                  </w:tr>
                  <w:tr>
                    <w:trPr>
                      <w:trHeight w:val="425" w:hRule="exact"/>
                    </w:trPr>
                    <w:tc>
                      <w:tcPr>
                        <w:tcW w:w="236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6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587,146,850.65</w:t>
                        </w:r>
                      </w:p>
                    </w:tc>
                    <w:tc>
                      <w:tcPr>
                        <w:tcW w:w="16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3,249,991.24</w:t>
                        </w:r>
                      </w:p>
                    </w:tc>
                    <w:tc>
                      <w:tcPr>
                        <w:tcW w:w="18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210,728,691.36</w:t>
                        </w:r>
                      </w:p>
                    </w:tc>
                    <w:tc>
                      <w:tcPr>
                        <w:tcW w:w="16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580,813.34</w:t>
                        </w:r>
                      </w:p>
                    </w:tc>
                    <w:tc>
                      <w:tcPr>
                        <w:tcW w:w="16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3,873,327.00</w:t>
                        </w:r>
                      </w:p>
                    </w:tc>
                    <w:tc>
                      <w:tcPr>
                        <w:tcW w:w="16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164,477,096.70</w:t>
                        </w:r>
                      </w:p>
                    </w:tc>
                    <w:tc>
                      <w:tcPr>
                        <w:tcW w:w="180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pacing w:val="-1"/>
                            <w:sz w:val="18"/>
                          </w:rPr>
                          <w:t>970,056,770.29</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headerReference w:type="default" r:id="rId51"/>
          <w:pgSz w:w="16840" w:h="11910" w:orient="landscape"/>
          <w:pgMar w:header="881" w:footer="980" w:top="1820" w:bottom="1160" w:left="1200" w:right="1200"/>
        </w:sectPr>
      </w:pPr>
    </w:p>
    <w:p>
      <w:pPr>
        <w:spacing w:line="240" w:lineRule="auto" w:before="8"/>
        <w:rPr>
          <w:rFonts w:ascii="Times New Roman" w:hAnsi="Times New Roman" w:cs="Times New Roman" w:eastAsia="Times New Roman" w:hint="default"/>
          <w:sz w:val="3"/>
          <w:szCs w:val="3"/>
        </w:rPr>
      </w:pPr>
    </w:p>
    <w:p>
      <w:pPr>
        <w:spacing w:line="20" w:lineRule="exact"/>
        <w:ind w:left="2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pStyle w:val="Heading7"/>
        <w:spacing w:line="240" w:lineRule="auto" w:before="61"/>
        <w:ind w:left="679" w:right="0"/>
        <w:jc w:val="left"/>
      </w:pPr>
      <w:r>
        <w:rPr>
          <w:rFonts w:ascii="宋体" w:hAnsi="宋体" w:cs="宋体" w:eastAsia="宋体" w:hint="default"/>
        </w:rPr>
        <w:t>18</w:t>
      </w:r>
      <w:r>
        <w:rPr/>
        <w:t>、商誉</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742"/>
        <w:gridCol w:w="1397"/>
        <w:gridCol w:w="1068"/>
        <w:gridCol w:w="1347"/>
        <w:gridCol w:w="934"/>
        <w:gridCol w:w="653"/>
        <w:gridCol w:w="1397"/>
      </w:tblGrid>
      <w:tr>
        <w:trPr>
          <w:trHeight w:val="386" w:hRule="exact"/>
        </w:trPr>
        <w:tc>
          <w:tcPr>
            <w:tcW w:w="174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4"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9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3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41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7"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3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667" w:hRule="exact"/>
        </w:trPr>
        <w:tc>
          <w:tcPr>
            <w:tcW w:w="1742" w:type="dxa"/>
            <w:vMerge/>
            <w:tcBorders>
              <w:left w:val="nil" w:sz="6" w:space="0" w:color="auto"/>
              <w:bottom w:val="single" w:sz="2" w:space="0" w:color="000000"/>
              <w:right w:val="single" w:sz="2" w:space="0" w:color="000000"/>
            </w:tcBorders>
          </w:tcPr>
          <w:p>
            <w:pPr/>
          </w:p>
        </w:tc>
        <w:tc>
          <w:tcPr>
            <w:tcW w:w="1397" w:type="dxa"/>
            <w:vMerge/>
            <w:tcBorders>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49"/>
              <w:ind w:left="259" w:right="168" w:hanging="89"/>
              <w:jc w:val="left"/>
              <w:rPr>
                <w:rFonts w:ascii="宋体" w:hAnsi="宋体" w:cs="宋体" w:eastAsia="宋体" w:hint="default"/>
                <w:sz w:val="18"/>
                <w:szCs w:val="18"/>
              </w:rPr>
            </w:pPr>
            <w:r>
              <w:rPr>
                <w:rFonts w:ascii="宋体" w:hAnsi="宋体" w:cs="宋体" w:eastAsia="宋体" w:hint="default"/>
                <w:b/>
                <w:bCs/>
                <w:sz w:val="18"/>
                <w:szCs w:val="18"/>
              </w:rPr>
              <w:t>企业合并</w:t>
            </w:r>
            <w:r>
              <w:rPr>
                <w:rFonts w:ascii="宋体" w:hAnsi="宋体" w:cs="宋体" w:eastAsia="宋体" w:hint="default"/>
                <w:b/>
                <w:bCs/>
                <w:w w:val="99"/>
                <w:sz w:val="18"/>
                <w:szCs w:val="18"/>
              </w:rPr>
              <w:t> </w:t>
            </w:r>
            <w:r>
              <w:rPr>
                <w:rFonts w:ascii="宋体" w:hAnsi="宋体" w:cs="宋体" w:eastAsia="宋体" w:hint="default"/>
                <w:b/>
                <w:bCs/>
                <w:sz w:val="18"/>
                <w:szCs w:val="18"/>
              </w:rPr>
              <w:t>形成的</w:t>
            </w:r>
            <w:r>
              <w:rPr>
                <w:rFonts w:ascii="宋体" w:hAnsi="宋体" w:cs="宋体" w:eastAsia="宋体" w:hint="default"/>
                <w:sz w:val="18"/>
                <w:szCs w:val="18"/>
              </w:rPr>
            </w: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6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97" w:type="dxa"/>
            <w:vMerge/>
            <w:tcBorders>
              <w:left w:val="single" w:sz="2" w:space="0" w:color="000000"/>
              <w:bottom w:val="single" w:sz="2" w:space="0" w:color="000000"/>
              <w:right w:val="nil" w:sz="6" w:space="0" w:color="auto"/>
            </w:tcBorders>
          </w:tcPr>
          <w:p>
            <w:pPr/>
          </w:p>
        </w:tc>
      </w:tr>
      <w:tr>
        <w:trPr>
          <w:trHeight w:val="37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合肥凯帝</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22,193,613.00</w:t>
            </w:r>
          </w:p>
        </w:tc>
        <w:tc>
          <w:tcPr>
            <w:tcW w:w="1068" w:type="dxa"/>
            <w:tcBorders>
              <w:top w:val="single" w:sz="2" w:space="0" w:color="000000"/>
              <w:left w:val="single" w:sz="2" w:space="0" w:color="000000"/>
              <w:bottom w:val="single" w:sz="2" w:space="0" w:color="000000"/>
              <w:right w:val="single" w:sz="2" w:space="0" w:color="000000"/>
            </w:tcBorders>
          </w:tcPr>
          <w:p>
            <w:pP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1,358,674.20</w:t>
            </w:r>
          </w:p>
        </w:tc>
        <w:tc>
          <w:tcPr>
            <w:tcW w:w="934" w:type="dxa"/>
            <w:tcBorders>
              <w:top w:val="single" w:sz="2" w:space="0" w:color="000000"/>
              <w:left w:val="single" w:sz="2" w:space="0" w:color="000000"/>
              <w:bottom w:val="single" w:sz="2" w:space="0" w:color="000000"/>
              <w:right w:val="single" w:sz="2" w:space="0" w:color="000000"/>
            </w:tcBorders>
          </w:tcPr>
          <w:p>
            <w:pPr/>
          </w:p>
        </w:tc>
        <w:tc>
          <w:tcPr>
            <w:tcW w:w="653"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6" w:right="0"/>
              <w:jc w:val="center"/>
              <w:rPr>
                <w:rFonts w:ascii="宋体" w:hAnsi="宋体" w:cs="宋体" w:eastAsia="宋体" w:hint="default"/>
                <w:sz w:val="18"/>
                <w:szCs w:val="18"/>
              </w:rPr>
            </w:pPr>
            <w:r>
              <w:rPr>
                <w:rFonts w:ascii="宋体"/>
                <w:sz w:val="18"/>
              </w:rPr>
              <w:t>23,552,287.20</w:t>
            </w:r>
          </w:p>
        </w:tc>
      </w:tr>
      <w:tr>
        <w:trPr>
          <w:trHeight w:val="37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柏怡控股</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21,738,313.77</w:t>
            </w:r>
          </w:p>
        </w:tc>
        <w:tc>
          <w:tcPr>
            <w:tcW w:w="1068" w:type="dxa"/>
            <w:tcBorders>
              <w:top w:val="single" w:sz="2" w:space="0" w:color="000000"/>
              <w:left w:val="single" w:sz="2" w:space="0" w:color="000000"/>
              <w:bottom w:val="single" w:sz="2" w:space="0" w:color="000000"/>
              <w:right w:val="single" w:sz="2" w:space="0" w:color="000000"/>
            </w:tcBorders>
          </w:tcPr>
          <w:p>
            <w:pP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1,347,777.10</w:t>
            </w:r>
          </w:p>
        </w:tc>
        <w:tc>
          <w:tcPr>
            <w:tcW w:w="934" w:type="dxa"/>
            <w:tcBorders>
              <w:top w:val="single" w:sz="2" w:space="0" w:color="000000"/>
              <w:left w:val="single" w:sz="2" w:space="0" w:color="000000"/>
              <w:bottom w:val="single" w:sz="2" w:space="0" w:color="000000"/>
              <w:right w:val="single" w:sz="2" w:space="0" w:color="000000"/>
            </w:tcBorders>
          </w:tcPr>
          <w:p>
            <w:pPr/>
          </w:p>
        </w:tc>
        <w:tc>
          <w:tcPr>
            <w:tcW w:w="653"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6" w:right="0"/>
              <w:jc w:val="center"/>
              <w:rPr>
                <w:rFonts w:ascii="宋体" w:hAnsi="宋体" w:cs="宋体" w:eastAsia="宋体" w:hint="default"/>
                <w:sz w:val="18"/>
                <w:szCs w:val="18"/>
              </w:rPr>
            </w:pPr>
            <w:r>
              <w:rPr>
                <w:rFonts w:ascii="宋体"/>
                <w:sz w:val="18"/>
              </w:rPr>
              <w:t>23,086,090.87</w:t>
            </w:r>
          </w:p>
        </w:tc>
      </w:tr>
      <w:tr>
        <w:trPr>
          <w:trHeight w:val="377"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青岛海尔</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7,716,059.00</w:t>
            </w:r>
          </w:p>
        </w:tc>
        <w:tc>
          <w:tcPr>
            <w:tcW w:w="1068" w:type="dxa"/>
            <w:tcBorders>
              <w:top w:val="single" w:sz="2" w:space="0" w:color="000000"/>
              <w:left w:val="single" w:sz="2" w:space="0" w:color="000000"/>
              <w:bottom w:val="single" w:sz="2" w:space="0" w:color="000000"/>
              <w:right w:val="single" w:sz="2" w:space="0" w:color="000000"/>
            </w:tcBorders>
          </w:tcPr>
          <w:p>
            <w:pPr/>
          </w:p>
        </w:tc>
        <w:tc>
          <w:tcPr>
            <w:tcW w:w="1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472,370.60</w:t>
            </w:r>
          </w:p>
        </w:tc>
        <w:tc>
          <w:tcPr>
            <w:tcW w:w="934" w:type="dxa"/>
            <w:tcBorders>
              <w:top w:val="single" w:sz="2" w:space="0" w:color="000000"/>
              <w:left w:val="single" w:sz="2" w:space="0" w:color="000000"/>
              <w:bottom w:val="single" w:sz="2" w:space="0" w:color="000000"/>
              <w:right w:val="single" w:sz="2" w:space="0" w:color="000000"/>
            </w:tcBorders>
          </w:tcPr>
          <w:p>
            <w:pPr/>
          </w:p>
        </w:tc>
        <w:tc>
          <w:tcPr>
            <w:tcW w:w="653"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left="98" w:right="0"/>
              <w:jc w:val="center"/>
              <w:rPr>
                <w:rFonts w:ascii="宋体" w:hAnsi="宋体" w:cs="宋体" w:eastAsia="宋体" w:hint="default"/>
                <w:sz w:val="18"/>
                <w:szCs w:val="18"/>
              </w:rPr>
            </w:pPr>
            <w:r>
              <w:rPr>
                <w:rFonts w:ascii="宋体"/>
                <w:sz w:val="18"/>
              </w:rPr>
              <w:t>8,188,429.60</w:t>
            </w:r>
          </w:p>
        </w:tc>
      </w:tr>
      <w:tr>
        <w:trPr>
          <w:trHeight w:val="386" w:hRule="exact"/>
        </w:trPr>
        <w:tc>
          <w:tcPr>
            <w:tcW w:w="1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51,647,985.77</w:t>
            </w:r>
            <w:r>
              <w:rPr>
                <w:rFonts w:ascii="宋体"/>
                <w:sz w:val="18"/>
              </w:rPr>
            </w:r>
          </w:p>
        </w:tc>
        <w:tc>
          <w:tcPr>
            <w:tcW w:w="1068" w:type="dxa"/>
            <w:tcBorders>
              <w:top w:val="single" w:sz="2" w:space="0" w:color="000000"/>
              <w:left w:val="single" w:sz="2" w:space="0" w:color="000000"/>
              <w:bottom w:val="single" w:sz="12" w:space="0" w:color="000000"/>
              <w:right w:val="single" w:sz="2" w:space="0" w:color="000000"/>
            </w:tcBorders>
          </w:tcPr>
          <w:p>
            <w:pPr/>
          </w:p>
        </w:tc>
        <w:tc>
          <w:tcPr>
            <w:tcW w:w="1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3,178,821.90</w:t>
            </w:r>
            <w:r>
              <w:rPr>
                <w:rFonts w:ascii="宋体"/>
                <w:sz w:val="18"/>
              </w:rPr>
            </w:r>
          </w:p>
        </w:tc>
        <w:tc>
          <w:tcPr>
            <w:tcW w:w="934" w:type="dxa"/>
            <w:tcBorders>
              <w:top w:val="single" w:sz="2" w:space="0" w:color="000000"/>
              <w:left w:val="single" w:sz="2" w:space="0" w:color="000000"/>
              <w:bottom w:val="single" w:sz="12" w:space="0" w:color="000000"/>
              <w:right w:val="single" w:sz="2" w:space="0" w:color="000000"/>
            </w:tcBorders>
          </w:tcPr>
          <w:p>
            <w:pPr/>
          </w:p>
        </w:tc>
        <w:tc>
          <w:tcPr>
            <w:tcW w:w="653"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b/>
                <w:sz w:val="18"/>
              </w:rPr>
              <w:t>54,826,807.67</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240" w:right="375" w:firstLine="439"/>
        <w:jc w:val="both"/>
      </w:pPr>
      <w:r>
        <w:rPr>
          <w:spacing w:val="2"/>
        </w:rPr>
        <w:t>本集团对合并成本大于合并中取得的被购买方可辨认净资产公允价值份额的差额</w:t>
      </w:r>
      <w:r>
        <w:rPr>
          <w:w w:val="100"/>
        </w:rPr>
        <w:t> </w:t>
      </w:r>
      <w:r>
        <w:rPr>
          <w:spacing w:val="-3"/>
        </w:rPr>
        <w:t>确认为商誉，定期对包含商誉的资产组组合进行减值测试，比较这些相关资产组组合的</w:t>
      </w:r>
      <w:r>
        <w:rPr>
          <w:spacing w:val="-58"/>
        </w:rPr>
        <w:t> </w:t>
      </w:r>
      <w:r>
        <w:rPr>
          <w:spacing w:val="-58"/>
        </w:rPr>
      </w:r>
      <w:r>
        <w:rPr>
          <w:spacing w:val="-3"/>
        </w:rPr>
        <w:t>账面价值（包括所分摊的商誉的账面价值部分）与其可收回金额，如相关资产组或者资</w:t>
      </w:r>
      <w:r>
        <w:rPr>
          <w:spacing w:val="-56"/>
        </w:rPr>
        <w:t> </w:t>
      </w:r>
      <w:r>
        <w:rPr>
          <w:spacing w:val="-56"/>
        </w:rPr>
      </w:r>
      <w:r>
        <w:rPr>
          <w:spacing w:val="-3"/>
        </w:rPr>
        <w:t>产组组合的可收回金额低于其账面价值的，将其确认为商誉的减值损失。管理层根据以</w:t>
      </w:r>
      <w:r>
        <w:rPr>
          <w:spacing w:val="-59"/>
        </w:rPr>
        <w:t> </w:t>
      </w:r>
      <w:r>
        <w:rPr>
          <w:spacing w:val="-59"/>
        </w:rPr>
      </w:r>
      <w:r>
        <w:rPr>
          <w:spacing w:val="-3"/>
        </w:rPr>
        <w:t>往经营情况及其对市场发展预期来预计未来毛利率，收入减少或增长率根据行业预测及</w:t>
      </w:r>
      <w:r>
        <w:rPr>
          <w:spacing w:val="-58"/>
        </w:rPr>
        <w:t> </w:t>
      </w:r>
      <w:r>
        <w:rPr>
          <w:spacing w:val="-58"/>
        </w:rPr>
      </w:r>
      <w:r>
        <w:rPr/>
        <w:t>管理层预期进行估计，根据估计未来可收回金额超过其账面价值，因此认为于 </w:t>
      </w:r>
      <w:r>
        <w:rPr>
          <w:rFonts w:ascii="宋体" w:hAnsi="宋体" w:cs="宋体" w:eastAsia="宋体" w:hint="default"/>
        </w:rPr>
        <w:t>2015</w:t>
      </w:r>
      <w:r>
        <w:rPr>
          <w:rFonts w:ascii="宋体" w:hAnsi="宋体" w:cs="宋体" w:eastAsia="宋体" w:hint="default"/>
          <w:spacing w:val="-61"/>
        </w:rPr>
        <w:t> </w:t>
      </w:r>
      <w:r>
        <w:rPr/>
        <w:t>年</w:t>
      </w:r>
    </w:p>
    <w:p>
      <w:pPr>
        <w:pStyle w:val="Heading7"/>
        <w:spacing w:line="240" w:lineRule="auto" w:before="24"/>
        <w:ind w:left="223" w:right="5861"/>
        <w:jc w:val="center"/>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日商誉未发生减值。</w:t>
      </w:r>
    </w:p>
    <w:p>
      <w:pPr>
        <w:pStyle w:val="Heading7"/>
        <w:spacing w:line="240" w:lineRule="auto" w:before="177"/>
        <w:ind w:left="58" w:right="5861"/>
        <w:jc w:val="center"/>
      </w:pPr>
      <w:r>
        <w:rPr>
          <w:rFonts w:ascii="宋体" w:hAnsi="宋体" w:cs="宋体" w:eastAsia="宋体" w:hint="default"/>
        </w:rPr>
        <w:t>19</w:t>
      </w:r>
      <w:r>
        <w:rPr/>
        <w:t>、长期待摊费用</w:t>
      </w:r>
    </w:p>
    <w:p>
      <w:pPr>
        <w:spacing w:line="240" w:lineRule="auto" w:before="8"/>
        <w:rPr>
          <w:rFonts w:ascii="宋体" w:hAnsi="宋体" w:cs="宋体" w:eastAsia="宋体" w:hint="default"/>
          <w:sz w:val="6"/>
          <w:szCs w:val="6"/>
        </w:rPr>
      </w:pPr>
    </w:p>
    <w:tbl>
      <w:tblPr>
        <w:tblW w:w="0" w:type="auto"/>
        <w:jc w:val="left"/>
        <w:tblInd w:w="170" w:type="dxa"/>
        <w:tblLayout w:type="fixed"/>
        <w:tblCellMar>
          <w:top w:w="0" w:type="dxa"/>
          <w:left w:w="0" w:type="dxa"/>
          <w:bottom w:w="0" w:type="dxa"/>
          <w:right w:w="0" w:type="dxa"/>
        </w:tblCellMar>
        <w:tblLook w:val="01E0"/>
      </w:tblPr>
      <w:tblGrid>
        <w:gridCol w:w="1812"/>
        <w:gridCol w:w="1438"/>
        <w:gridCol w:w="1306"/>
        <w:gridCol w:w="1308"/>
        <w:gridCol w:w="1176"/>
        <w:gridCol w:w="1364"/>
      </w:tblGrid>
      <w:tr>
        <w:trPr>
          <w:trHeight w:val="389" w:hRule="exact"/>
        </w:trPr>
        <w:tc>
          <w:tcPr>
            <w:tcW w:w="18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3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18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382,415,915.05</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66,872,654.17</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83,486,469.28</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3,243,446.00</w:t>
            </w:r>
          </w:p>
        </w:tc>
        <w:tc>
          <w:tcPr>
            <w:tcW w:w="13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369,045,545.94</w:t>
            </w:r>
          </w:p>
        </w:tc>
      </w:tr>
      <w:tr>
        <w:trPr>
          <w:trHeight w:val="374" w:hRule="exact"/>
        </w:trPr>
        <w:tc>
          <w:tcPr>
            <w:tcW w:w="18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石岩宿舍改造工程款</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1,404,650.50</w:t>
            </w:r>
          </w:p>
        </w:tc>
        <w:tc>
          <w:tcPr>
            <w:tcW w:w="1306"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495,759.00</w:t>
            </w:r>
          </w:p>
        </w:tc>
        <w:tc>
          <w:tcPr>
            <w:tcW w:w="1176" w:type="dxa"/>
            <w:tcBorders>
              <w:top w:val="single" w:sz="2" w:space="0" w:color="000000"/>
              <w:left w:val="single" w:sz="2" w:space="0" w:color="000000"/>
              <w:bottom w:val="single" w:sz="2" w:space="0" w:color="000000"/>
              <w:right w:val="single" w:sz="2" w:space="0" w:color="000000"/>
            </w:tcBorders>
          </w:tcPr>
          <w:p>
            <w:pPr/>
          </w:p>
        </w:tc>
        <w:tc>
          <w:tcPr>
            <w:tcW w:w="13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908,891.50</w:t>
            </w:r>
          </w:p>
        </w:tc>
      </w:tr>
      <w:tr>
        <w:trPr>
          <w:trHeight w:val="375" w:hRule="exact"/>
        </w:trPr>
        <w:tc>
          <w:tcPr>
            <w:tcW w:w="18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设计服务费</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4,570,893.00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11,100,980.00</w:t>
            </w:r>
          </w:p>
        </w:tc>
        <w:tc>
          <w:tcPr>
            <w:tcW w:w="13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15,670,983.17</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-889.83</w:t>
            </w:r>
          </w:p>
        </w:tc>
        <w:tc>
          <w:tcPr>
            <w:tcW w:w="136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18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8"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168,076.69</w:t>
            </w:r>
          </w:p>
        </w:tc>
        <w:tc>
          <w:tcPr>
            <w:tcW w:w="1308"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3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168,076.69</w:t>
            </w:r>
          </w:p>
        </w:tc>
      </w:tr>
      <w:tr>
        <w:trPr>
          <w:trHeight w:val="386" w:hRule="exact"/>
        </w:trPr>
        <w:tc>
          <w:tcPr>
            <w:tcW w:w="18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388,391,458.55</w:t>
            </w:r>
            <w:r>
              <w:rPr>
                <w:rFonts w:ascii="宋体"/>
                <w:sz w:val="18"/>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78,141,710.86</w:t>
            </w:r>
            <w:r>
              <w:rPr>
                <w:rFonts w:ascii="宋体"/>
                <w:sz w:val="18"/>
              </w:rPr>
            </w:r>
          </w:p>
        </w:tc>
        <w:tc>
          <w:tcPr>
            <w:tcW w:w="13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99,653,211.45</w:t>
            </w:r>
            <w:r>
              <w:rPr>
                <w:rFonts w:ascii="宋体"/>
                <w:sz w:val="18"/>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3,242,556.17</w:t>
            </w:r>
            <w:r>
              <w:rPr>
                <w:rFonts w:ascii="宋体"/>
                <w:sz w:val="18"/>
              </w:rPr>
            </w:r>
          </w:p>
        </w:tc>
        <w:tc>
          <w:tcPr>
            <w:tcW w:w="13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b/>
                <w:w w:val="95"/>
                <w:sz w:val="18"/>
              </w:rPr>
              <w:t>370,122,514.13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20</w:t>
      </w:r>
      <w:r>
        <w:rPr/>
        <w:t>、递延所得税资产和递延所得税负债</w:t>
      </w:r>
    </w:p>
    <w:p>
      <w:pPr>
        <w:pStyle w:val="Heading7"/>
        <w:spacing w:line="240" w:lineRule="auto" w:before="180"/>
        <w:ind w:left="679" w:right="0"/>
        <w:jc w:val="left"/>
      </w:pPr>
      <w:r>
        <w:rPr/>
        <w:t>（</w:t>
      </w:r>
      <w:r>
        <w:rPr>
          <w:rFonts w:ascii="宋体" w:hAnsi="宋体" w:cs="宋体" w:eastAsia="宋体" w:hint="default"/>
        </w:rPr>
        <w:t>1</w:t>
      </w:r>
      <w:r>
        <w:rPr/>
        <w:t>）未经抵销的递延所得税资产</w:t>
      </w:r>
    </w:p>
    <w:p>
      <w:pPr>
        <w:spacing w:line="240" w:lineRule="auto" w:before="8"/>
        <w:rPr>
          <w:rFonts w:ascii="宋体" w:hAnsi="宋体" w:cs="宋体" w:eastAsia="宋体" w:hint="default"/>
          <w:sz w:val="6"/>
          <w:szCs w:val="6"/>
        </w:rPr>
      </w:pPr>
    </w:p>
    <w:tbl>
      <w:tblPr>
        <w:tblW w:w="0" w:type="auto"/>
        <w:jc w:val="left"/>
        <w:tblInd w:w="170" w:type="dxa"/>
        <w:tblLayout w:type="fixed"/>
        <w:tblCellMar>
          <w:top w:w="0" w:type="dxa"/>
          <w:left w:w="0" w:type="dxa"/>
          <w:bottom w:w="0" w:type="dxa"/>
          <w:right w:w="0" w:type="dxa"/>
        </w:tblCellMar>
        <w:tblLook w:val="01E0"/>
      </w:tblPr>
      <w:tblGrid>
        <w:gridCol w:w="2228"/>
        <w:gridCol w:w="1632"/>
        <w:gridCol w:w="1452"/>
        <w:gridCol w:w="1630"/>
        <w:gridCol w:w="1462"/>
      </w:tblGrid>
      <w:tr>
        <w:trPr>
          <w:trHeight w:val="389" w:hRule="exact"/>
        </w:trPr>
        <w:tc>
          <w:tcPr>
            <w:tcW w:w="222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744" w:hRule="exact"/>
        </w:trPr>
        <w:tc>
          <w:tcPr>
            <w:tcW w:w="2228" w:type="dxa"/>
            <w:vMerge/>
            <w:tcBorders>
              <w:left w:val="nil" w:sz="6" w:space="0" w:color="auto"/>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376" w:lineRule="auto" w:before="49"/>
              <w:ind w:left="539" w:right="272" w:hanging="269"/>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376" w:lineRule="auto" w:before="49"/>
              <w:ind w:left="545" w:right="281" w:hanging="272"/>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r>
      <w:tr>
        <w:trPr>
          <w:trHeight w:val="374"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116,116,496.86</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18,008,896.72</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177,743,535.05</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20,735,600.08</w:t>
            </w:r>
          </w:p>
        </w:tc>
      </w:tr>
      <w:tr>
        <w:trPr>
          <w:trHeight w:val="374"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820,894,937.60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205,223,734.40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883,485,696.00</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220,871,424.00</w:t>
            </w:r>
          </w:p>
        </w:tc>
      </w:tr>
      <w:tr>
        <w:trPr>
          <w:trHeight w:val="668"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5" w:right="38"/>
              <w:jc w:val="left"/>
              <w:rPr>
                <w:rFonts w:ascii="宋体" w:hAnsi="宋体" w:cs="宋体" w:eastAsia="宋体" w:hint="default"/>
                <w:sz w:val="18"/>
                <w:szCs w:val="18"/>
              </w:rPr>
            </w:pPr>
            <w:r>
              <w:rPr>
                <w:rFonts w:ascii="宋体" w:hAnsi="宋体" w:cs="宋体" w:eastAsia="宋体" w:hint="default"/>
                <w:spacing w:val="13"/>
                <w:sz w:val="18"/>
                <w:szCs w:val="18"/>
              </w:rPr>
              <w:t>设定收益养老金计划未实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现费用</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161,580,248.80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29,084,834.40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130,524,389.00</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8"/>
                <w:szCs w:val="18"/>
              </w:rPr>
            </w:pPr>
            <w:r>
              <w:rPr>
                <w:rFonts w:ascii="宋体"/>
                <w:spacing w:val="-1"/>
                <w:sz w:val="18"/>
              </w:rPr>
              <w:t>28,594,087.00</w:t>
            </w:r>
          </w:p>
        </w:tc>
      </w:tr>
      <w:tr>
        <w:trPr>
          <w:trHeight w:val="374"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1,583,196,393.68</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386,652,537.38</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1,624,675,337.22</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398,686,109.72</w:t>
            </w:r>
          </w:p>
        </w:tc>
      </w:tr>
      <w:tr>
        <w:trPr>
          <w:trHeight w:val="374"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员工社保</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26,256,998.40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4,496,069.10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14,587,996.20</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2,188,199.43</w:t>
            </w:r>
          </w:p>
        </w:tc>
      </w:tr>
      <w:tr>
        <w:trPr>
          <w:trHeight w:val="682" w:hRule="exact"/>
        </w:trPr>
        <w:tc>
          <w:tcPr>
            <w:tcW w:w="2228" w:type="dxa"/>
            <w:tcBorders>
              <w:top w:val="single" w:sz="2" w:space="0" w:color="000000"/>
              <w:left w:val="nil" w:sz="6" w:space="0" w:color="auto"/>
              <w:bottom w:val="single" w:sz="12" w:space="0" w:color="000000"/>
              <w:right w:val="single" w:sz="2" w:space="0" w:color="000000"/>
            </w:tcBorders>
          </w:tcPr>
          <w:p>
            <w:pPr>
              <w:pStyle w:val="TableParagraph"/>
              <w:spacing w:line="297" w:lineRule="auto" w:before="49"/>
              <w:ind w:left="55" w:right="38"/>
              <w:jc w:val="left"/>
              <w:rPr>
                <w:rFonts w:ascii="宋体" w:hAnsi="宋体" w:cs="宋体" w:eastAsia="宋体" w:hint="default"/>
                <w:sz w:val="18"/>
                <w:szCs w:val="18"/>
              </w:rPr>
            </w:pPr>
            <w:r>
              <w:rPr>
                <w:rFonts w:ascii="宋体" w:hAnsi="宋体" w:cs="宋体" w:eastAsia="宋体" w:hint="default"/>
                <w:spacing w:val="13"/>
                <w:sz w:val="18"/>
                <w:szCs w:val="18"/>
              </w:rPr>
              <w:t>非同一控制下企业合并公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允价值调整</w:t>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246,831,545.39</w:t>
            </w: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35,101,705.32</w:t>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215,716,365.27</w:t>
            </w:r>
          </w:p>
        </w:tc>
        <w:tc>
          <w:tcPr>
            <w:tcW w:w="14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8"/>
                <w:szCs w:val="18"/>
              </w:rPr>
            </w:pPr>
            <w:r>
              <w:rPr>
                <w:rFonts w:ascii="宋体"/>
                <w:spacing w:val="-1"/>
                <w:sz w:val="18"/>
              </w:rPr>
              <w:t>32,357,454.79</w:t>
            </w:r>
          </w:p>
        </w:tc>
      </w:tr>
    </w:tbl>
    <w:p>
      <w:pPr>
        <w:spacing w:after="0" w:line="240" w:lineRule="auto"/>
        <w:jc w:val="right"/>
        <w:rPr>
          <w:rFonts w:ascii="宋体" w:hAnsi="宋体" w:cs="宋体" w:eastAsia="宋体" w:hint="default"/>
          <w:sz w:val="18"/>
          <w:szCs w:val="18"/>
        </w:rPr>
        <w:sectPr>
          <w:headerReference w:type="default" r:id="rId52"/>
          <w:footerReference w:type="default" r:id="rId53"/>
          <w:pgSz w:w="11910" w:h="16840"/>
          <w:pgMar w:header="881" w:footer="980" w:top="1600" w:bottom="1160" w:left="1560" w:right="1420"/>
          <w:pgNumType w:start="52"/>
        </w:sectPr>
      </w:pPr>
    </w:p>
    <w:p>
      <w:pPr>
        <w:spacing w:line="240" w:lineRule="auto" w:before="9"/>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2228"/>
        <w:gridCol w:w="1632"/>
        <w:gridCol w:w="1452"/>
        <w:gridCol w:w="1630"/>
        <w:gridCol w:w="1462"/>
        <w:gridCol w:w="227"/>
      </w:tblGrid>
      <w:tr>
        <w:trPr>
          <w:trHeight w:val="381" w:hRule="exact"/>
        </w:trPr>
        <w:tc>
          <w:tcPr>
            <w:tcW w:w="222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3"/>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27" w:type="dxa"/>
            <w:vMerge w:val="restart"/>
            <w:tcBorders>
              <w:top w:val="single" w:sz="6" w:space="0" w:color="000000"/>
              <w:left w:val="nil" w:sz="6" w:space="0" w:color="auto"/>
              <w:right w:val="nil" w:sz="6" w:space="0" w:color="auto"/>
            </w:tcBorders>
          </w:tcPr>
          <w:p>
            <w:pPr/>
          </w:p>
        </w:tc>
      </w:tr>
      <w:tr>
        <w:trPr>
          <w:trHeight w:val="746" w:hRule="exact"/>
        </w:trPr>
        <w:tc>
          <w:tcPr>
            <w:tcW w:w="2228" w:type="dxa"/>
            <w:vMerge/>
            <w:tcBorders>
              <w:left w:val="nil" w:sz="6" w:space="0" w:color="auto"/>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379" w:lineRule="auto" w:before="49"/>
              <w:ind w:left="539" w:right="272" w:hanging="269"/>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379" w:lineRule="auto" w:before="49"/>
              <w:ind w:left="545" w:right="281" w:hanging="272"/>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227" w:type="dxa"/>
            <w:vMerge/>
            <w:tcBorders>
              <w:left w:val="nil" w:sz="6" w:space="0" w:color="auto"/>
              <w:right w:val="nil" w:sz="6" w:space="0" w:color="auto"/>
            </w:tcBorders>
          </w:tcPr>
          <w:p>
            <w:pPr/>
          </w:p>
        </w:tc>
      </w:tr>
      <w:tr>
        <w:trPr>
          <w:trHeight w:val="374"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未实现内部损益扣除部分</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167,216,693.60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31,558,896.00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375,804,504.00</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28,165,757.00</w:t>
            </w:r>
          </w:p>
        </w:tc>
        <w:tc>
          <w:tcPr>
            <w:tcW w:w="227" w:type="dxa"/>
            <w:vMerge/>
            <w:tcBorders>
              <w:left w:val="nil" w:sz="6" w:space="0" w:color="auto"/>
              <w:right w:val="nil" w:sz="6" w:space="0" w:color="auto"/>
            </w:tcBorders>
          </w:tcPr>
          <w:p>
            <w:pPr/>
          </w:p>
        </w:tc>
      </w:tr>
      <w:tr>
        <w:trPr>
          <w:trHeight w:val="374"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资产摊销差异</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5,680,001.27</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852,000.19</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4,129,190.47</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40"/>
              <w:jc w:val="right"/>
              <w:rPr>
                <w:rFonts w:ascii="宋体" w:hAnsi="宋体" w:cs="宋体" w:eastAsia="宋体" w:hint="default"/>
                <w:sz w:val="18"/>
                <w:szCs w:val="18"/>
              </w:rPr>
            </w:pPr>
            <w:r>
              <w:rPr>
                <w:rFonts w:ascii="宋体"/>
                <w:spacing w:val="-1"/>
                <w:sz w:val="18"/>
              </w:rPr>
              <w:t>619,378.57</w:t>
            </w:r>
          </w:p>
        </w:tc>
        <w:tc>
          <w:tcPr>
            <w:tcW w:w="227" w:type="dxa"/>
            <w:vMerge/>
            <w:tcBorders>
              <w:left w:val="nil" w:sz="6" w:space="0" w:color="auto"/>
              <w:right w:val="nil" w:sz="6" w:space="0" w:color="auto"/>
            </w:tcBorders>
          </w:tcPr>
          <w:p>
            <w:pPr/>
          </w:p>
        </w:tc>
      </w:tr>
      <w:tr>
        <w:trPr>
          <w:trHeight w:val="374" w:hRule="exact"/>
        </w:trPr>
        <w:tc>
          <w:tcPr>
            <w:tcW w:w="2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467,643,097.60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116,910,774.40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650,077,169.73</w:t>
            </w:r>
          </w:p>
        </w:tc>
        <w:tc>
          <w:tcPr>
            <w:tcW w:w="14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162,510,041.06</w:t>
            </w:r>
          </w:p>
        </w:tc>
        <w:tc>
          <w:tcPr>
            <w:tcW w:w="227" w:type="dxa"/>
            <w:vMerge/>
            <w:tcBorders>
              <w:left w:val="nil" w:sz="6" w:space="0" w:color="auto"/>
              <w:right w:val="nil" w:sz="6" w:space="0" w:color="auto"/>
            </w:tcBorders>
          </w:tcPr>
          <w:p>
            <w:pPr/>
          </w:p>
        </w:tc>
      </w:tr>
      <w:tr>
        <w:trPr>
          <w:trHeight w:val="389" w:hRule="exact"/>
        </w:trPr>
        <w:tc>
          <w:tcPr>
            <w:tcW w:w="2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3,595,416,413.20</w:t>
            </w:r>
            <w:r>
              <w:rPr>
                <w:rFonts w:ascii="宋体"/>
                <w:sz w:val="18"/>
              </w:rPr>
            </w: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827,889,447.91</w:t>
            </w:r>
            <w:r>
              <w:rPr>
                <w:rFonts w:ascii="宋体"/>
                <w:sz w:val="18"/>
              </w:rPr>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宋体"/>
                <w:b/>
                <w:sz w:val="18"/>
              </w:rPr>
              <w:t>4,076,744,182.94</w:t>
            </w:r>
            <w:r>
              <w:rPr>
                <w:rFonts w:ascii="宋体"/>
                <w:sz w:val="18"/>
              </w:rPr>
            </w:r>
          </w:p>
        </w:tc>
        <w:tc>
          <w:tcPr>
            <w:tcW w:w="14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b/>
                <w:w w:val="95"/>
                <w:sz w:val="18"/>
              </w:rPr>
              <w:t>894,728,051.65</w:t>
            </w:r>
            <w:r>
              <w:rPr>
                <w:rFonts w:ascii="宋体"/>
                <w:sz w:val="18"/>
              </w:rPr>
            </w:r>
          </w:p>
        </w:tc>
        <w:tc>
          <w:tcPr>
            <w:tcW w:w="227" w:type="dxa"/>
            <w:vMerge/>
            <w:tcBorders>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w:t>
      </w:r>
      <w:r>
        <w:rPr>
          <w:rFonts w:ascii="宋体" w:hAnsi="宋体" w:cs="宋体" w:eastAsia="宋体" w:hint="default"/>
        </w:rPr>
        <w:t>2</w:t>
      </w:r>
      <w:r>
        <w:rPr/>
        <w:t>）未经抵销的递延所得税负债</w:t>
      </w:r>
    </w:p>
    <w:p>
      <w:pPr>
        <w:spacing w:line="240" w:lineRule="auto" w:before="8"/>
        <w:rPr>
          <w:rFonts w:ascii="宋体" w:hAnsi="宋体" w:cs="宋体" w:eastAsia="宋体" w:hint="default"/>
          <w:sz w:val="6"/>
          <w:szCs w:val="6"/>
        </w:rPr>
      </w:pPr>
    </w:p>
    <w:tbl>
      <w:tblPr>
        <w:tblW w:w="0" w:type="auto"/>
        <w:jc w:val="left"/>
        <w:tblInd w:w="170" w:type="dxa"/>
        <w:tblLayout w:type="fixed"/>
        <w:tblCellMar>
          <w:top w:w="0" w:type="dxa"/>
          <w:left w:w="0" w:type="dxa"/>
          <w:bottom w:w="0" w:type="dxa"/>
          <w:right w:w="0" w:type="dxa"/>
        </w:tblCellMar>
        <w:tblLook w:val="01E0"/>
      </w:tblPr>
      <w:tblGrid>
        <w:gridCol w:w="2199"/>
        <w:gridCol w:w="1550"/>
        <w:gridCol w:w="1551"/>
        <w:gridCol w:w="1553"/>
        <w:gridCol w:w="1551"/>
      </w:tblGrid>
      <w:tr>
        <w:trPr>
          <w:trHeight w:val="386" w:hRule="exact"/>
        </w:trPr>
        <w:tc>
          <w:tcPr>
            <w:tcW w:w="219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0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10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747" w:hRule="exact"/>
        </w:trPr>
        <w:tc>
          <w:tcPr>
            <w:tcW w:w="2199" w:type="dxa"/>
            <w:vMerge/>
            <w:tcBorders>
              <w:left w:val="nil" w:sz="6" w:space="0" w:color="auto"/>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551" w:type="dxa"/>
            <w:tcBorders>
              <w:top w:val="single" w:sz="2" w:space="0" w:color="000000"/>
              <w:left w:val="single" w:sz="2" w:space="0" w:color="000000"/>
              <w:bottom w:val="single" w:sz="2" w:space="0" w:color="000000"/>
              <w:right w:val="single" w:sz="2" w:space="0" w:color="000000"/>
            </w:tcBorders>
          </w:tcPr>
          <w:p>
            <w:pPr>
              <w:pStyle w:val="TableParagraph"/>
              <w:spacing w:line="379" w:lineRule="auto" w:before="49"/>
              <w:ind w:left="592" w:right="320" w:hanging="272"/>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379" w:lineRule="auto" w:before="49"/>
              <w:ind w:left="590" w:right="325" w:hanging="272"/>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r>
      <w:tr>
        <w:trPr>
          <w:trHeight w:val="374" w:hRule="exact"/>
        </w:trPr>
        <w:tc>
          <w:tcPr>
            <w:tcW w:w="21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远期合约未实现损益</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spacing w:val="-1"/>
                <w:sz w:val="18"/>
              </w:rPr>
              <w:t>284,491,527.72</w:t>
            </w:r>
          </w:p>
        </w:tc>
        <w:tc>
          <w:tcPr>
            <w:tcW w:w="1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71,052,717.60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41,437,868.00</w:t>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10,359,467.00</w:t>
            </w:r>
          </w:p>
        </w:tc>
      </w:tr>
      <w:tr>
        <w:trPr>
          <w:trHeight w:val="374" w:hRule="exact"/>
        </w:trPr>
        <w:tc>
          <w:tcPr>
            <w:tcW w:w="21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代扣代缴股息税</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1,841,325,216.00</w:t>
            </w:r>
          </w:p>
        </w:tc>
        <w:tc>
          <w:tcPr>
            <w:tcW w:w="1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92,066,260.80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1,570,624,920.00</w:t>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78,531,246.00</w:t>
            </w:r>
          </w:p>
        </w:tc>
      </w:tr>
      <w:tr>
        <w:trPr>
          <w:trHeight w:val="667" w:hRule="exact"/>
        </w:trPr>
        <w:tc>
          <w:tcPr>
            <w:tcW w:w="2199"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5" w:right="27"/>
              <w:jc w:val="left"/>
              <w:rPr>
                <w:rFonts w:ascii="宋体" w:hAnsi="宋体" w:cs="宋体" w:eastAsia="宋体" w:hint="default"/>
                <w:sz w:val="18"/>
                <w:szCs w:val="18"/>
              </w:rPr>
            </w:pPr>
            <w:r>
              <w:rPr>
                <w:rFonts w:ascii="宋体" w:hAnsi="宋体" w:cs="宋体" w:eastAsia="宋体" w:hint="default"/>
                <w:spacing w:val="12"/>
                <w:sz w:val="18"/>
                <w:szCs w:val="18"/>
              </w:rPr>
              <w:t>非同一控制下企业合并公 </w:t>
            </w:r>
            <w:r>
              <w:rPr>
                <w:rFonts w:ascii="宋体" w:hAnsi="宋体" w:cs="宋体" w:eastAsia="宋体" w:hint="default"/>
                <w:sz w:val="18"/>
                <w:szCs w:val="18"/>
              </w:rPr>
              <w:t>允价值</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358,757,258.60</w:t>
            </w:r>
          </w:p>
        </w:tc>
        <w:tc>
          <w:tcPr>
            <w:tcW w:w="1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96,814,422.63</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625,401,075.67</w:t>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93,810,161.35</w:t>
            </w:r>
          </w:p>
        </w:tc>
      </w:tr>
      <w:tr>
        <w:trPr>
          <w:trHeight w:val="374" w:hRule="exact"/>
        </w:trPr>
        <w:tc>
          <w:tcPr>
            <w:tcW w:w="21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资产摊销差异</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5,065,008.00</w:t>
            </w:r>
          </w:p>
        </w:tc>
        <w:tc>
          <w:tcPr>
            <w:tcW w:w="1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1,266,252.00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87,648,556.00</w:t>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21,912,139.00</w:t>
            </w:r>
          </w:p>
        </w:tc>
      </w:tr>
      <w:tr>
        <w:trPr>
          <w:trHeight w:val="374" w:hRule="exact"/>
        </w:trPr>
        <w:tc>
          <w:tcPr>
            <w:tcW w:w="21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spacing w:val="-1"/>
                <w:sz w:val="18"/>
              </w:rPr>
              <w:t>833,726,291.20</w:t>
            </w:r>
          </w:p>
        </w:tc>
        <w:tc>
          <w:tcPr>
            <w:tcW w:w="1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208,431,572.80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1,053,373,612.00</w:t>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263,343,403.00</w:t>
            </w:r>
          </w:p>
        </w:tc>
      </w:tr>
      <w:tr>
        <w:trPr>
          <w:trHeight w:val="389" w:hRule="exact"/>
        </w:trPr>
        <w:tc>
          <w:tcPr>
            <w:tcW w:w="21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3,323,365,301.52</w:t>
            </w:r>
            <w:r>
              <w:rPr>
                <w:rFonts w:ascii="宋体"/>
                <w:sz w:val="18"/>
              </w:rPr>
            </w:r>
          </w:p>
        </w:tc>
        <w:tc>
          <w:tcPr>
            <w:tcW w:w="1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469,631,225.83</w:t>
            </w:r>
            <w:r>
              <w:rPr>
                <w:rFonts w:ascii="宋体"/>
                <w:sz w:val="18"/>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3,378,486,031.67</w:t>
            </w:r>
            <w:r>
              <w:rPr>
                <w:rFonts w:ascii="宋体"/>
                <w:sz w:val="18"/>
              </w:rPr>
            </w:r>
          </w:p>
        </w:tc>
        <w:tc>
          <w:tcPr>
            <w:tcW w:w="1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b/>
                <w:w w:val="95"/>
                <w:sz w:val="18"/>
              </w:rPr>
              <w:t>467,956,416.35</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w:t>
      </w:r>
      <w:r>
        <w:rPr>
          <w:rFonts w:ascii="宋体" w:hAnsi="宋体" w:cs="宋体" w:eastAsia="宋体" w:hint="default"/>
        </w:rPr>
        <w:t>3</w:t>
      </w:r>
      <w:r>
        <w:rPr/>
        <w:t>）以抵销后净额列示的递延所得税资产或负债</w:t>
      </w:r>
    </w:p>
    <w:p>
      <w:pPr>
        <w:spacing w:line="240" w:lineRule="auto" w:before="8"/>
        <w:rPr>
          <w:rFonts w:ascii="宋体" w:hAnsi="宋体" w:cs="宋体" w:eastAsia="宋体" w:hint="default"/>
          <w:sz w:val="6"/>
          <w:szCs w:val="6"/>
        </w:rPr>
      </w:pPr>
    </w:p>
    <w:tbl>
      <w:tblPr>
        <w:tblW w:w="0" w:type="auto"/>
        <w:jc w:val="left"/>
        <w:tblInd w:w="259" w:type="dxa"/>
        <w:tblLayout w:type="fixed"/>
        <w:tblCellMar>
          <w:top w:w="0" w:type="dxa"/>
          <w:left w:w="0" w:type="dxa"/>
          <w:bottom w:w="0" w:type="dxa"/>
          <w:right w:w="0" w:type="dxa"/>
        </w:tblCellMar>
        <w:tblLook w:val="01E0"/>
      </w:tblPr>
      <w:tblGrid>
        <w:gridCol w:w="1822"/>
        <w:gridCol w:w="1541"/>
        <w:gridCol w:w="1620"/>
        <w:gridCol w:w="1620"/>
        <w:gridCol w:w="1620"/>
      </w:tblGrid>
      <w:tr>
        <w:trPr>
          <w:trHeight w:val="970" w:hRule="exact"/>
        </w:trPr>
        <w:tc>
          <w:tcPr>
            <w:tcW w:w="18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49"/>
              <w:ind w:left="136" w:right="133"/>
              <w:jc w:val="center"/>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b/>
                <w:bCs/>
                <w:w w:val="99"/>
                <w:sz w:val="18"/>
                <w:szCs w:val="18"/>
              </w:rPr>
              <w:t> </w:t>
            </w:r>
            <w:r>
              <w:rPr>
                <w:rFonts w:ascii="宋体" w:hAnsi="宋体" w:cs="宋体" w:eastAsia="宋体" w:hint="default"/>
                <w:b/>
                <w:bCs/>
                <w:sz w:val="18"/>
                <w:szCs w:val="18"/>
              </w:rPr>
              <w:t>和负债年末互抵</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8"/>
              <w:ind w:left="175" w:right="174"/>
              <w:jc w:val="center"/>
              <w:rPr>
                <w:rFonts w:ascii="宋体" w:hAnsi="宋体" w:cs="宋体" w:eastAsia="宋体" w:hint="default"/>
                <w:sz w:val="18"/>
                <w:szCs w:val="18"/>
              </w:rPr>
            </w:pPr>
            <w:r>
              <w:rPr>
                <w:rFonts w:ascii="宋体" w:hAnsi="宋体" w:cs="宋体" w:eastAsia="宋体" w:hint="default"/>
                <w:b/>
                <w:bCs/>
                <w:sz w:val="18"/>
                <w:szCs w:val="18"/>
              </w:rPr>
              <w:t>抵销后递延所得</w:t>
            </w:r>
            <w:r>
              <w:rPr>
                <w:rFonts w:ascii="宋体" w:hAnsi="宋体" w:cs="宋体" w:eastAsia="宋体" w:hint="default"/>
                <w:b/>
                <w:bCs/>
                <w:w w:val="99"/>
                <w:sz w:val="18"/>
                <w:szCs w:val="18"/>
              </w:rPr>
              <w:t> </w:t>
            </w:r>
            <w:r>
              <w:rPr>
                <w:rFonts w:ascii="宋体" w:hAnsi="宋体" w:cs="宋体" w:eastAsia="宋体" w:hint="default"/>
                <w:b/>
                <w:bCs/>
                <w:sz w:val="18"/>
                <w:szCs w:val="18"/>
              </w:rPr>
              <w:t>税资产或负债</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49"/>
              <w:ind w:left="175" w:right="173"/>
              <w:jc w:val="center"/>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b/>
                <w:bCs/>
                <w:w w:val="99"/>
                <w:sz w:val="18"/>
                <w:szCs w:val="18"/>
              </w:rPr>
              <w:t> </w:t>
            </w:r>
            <w:r>
              <w:rPr>
                <w:rFonts w:ascii="宋体" w:hAnsi="宋体" w:cs="宋体" w:eastAsia="宋体" w:hint="default"/>
                <w:b/>
                <w:bCs/>
                <w:sz w:val="18"/>
                <w:szCs w:val="18"/>
              </w:rPr>
              <w:t>和负债年初互抵</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97" w:lineRule="auto" w:before="8"/>
              <w:ind w:left="175" w:right="176"/>
              <w:jc w:val="center"/>
              <w:rPr>
                <w:rFonts w:ascii="宋体" w:hAnsi="宋体" w:cs="宋体" w:eastAsia="宋体" w:hint="default"/>
                <w:sz w:val="18"/>
                <w:szCs w:val="18"/>
              </w:rPr>
            </w:pPr>
            <w:r>
              <w:rPr>
                <w:rFonts w:ascii="宋体" w:hAnsi="宋体" w:cs="宋体" w:eastAsia="宋体" w:hint="default"/>
                <w:b/>
                <w:bCs/>
                <w:sz w:val="18"/>
                <w:szCs w:val="18"/>
              </w:rPr>
              <w:t>抵销后递延所得</w:t>
            </w:r>
            <w:r>
              <w:rPr>
                <w:rFonts w:ascii="宋体" w:hAnsi="宋体" w:cs="宋体" w:eastAsia="宋体" w:hint="default"/>
                <w:b/>
                <w:bCs/>
                <w:w w:val="99"/>
                <w:sz w:val="18"/>
                <w:szCs w:val="18"/>
              </w:rPr>
              <w:t> </w:t>
            </w:r>
            <w:r>
              <w:rPr>
                <w:rFonts w:ascii="宋体" w:hAnsi="宋体" w:cs="宋体" w:eastAsia="宋体" w:hint="default"/>
                <w:b/>
                <w:bCs/>
                <w:sz w:val="18"/>
                <w:szCs w:val="18"/>
              </w:rPr>
              <w:t>税资产或负债</w:t>
            </w:r>
            <w:r>
              <w:rPr>
                <w:rFonts w:ascii="宋体" w:hAnsi="宋体" w:cs="宋体" w:eastAsia="宋体" w:hint="default"/>
                <w:b/>
                <w:bCs/>
                <w:w w:val="99"/>
                <w:sz w:val="18"/>
                <w:szCs w:val="18"/>
              </w:rPr>
              <w:t> </w:t>
            </w: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7"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249,471,124.80</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578,418,323.11</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309,792,732.00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584,935,319.65</w:t>
            </w:r>
          </w:p>
        </w:tc>
      </w:tr>
      <w:tr>
        <w:trPr>
          <w:trHeight w:val="386" w:hRule="exact"/>
        </w:trPr>
        <w:tc>
          <w:tcPr>
            <w:tcW w:w="18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249,471,124.80</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220,160,101.03</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309,792,732.00</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158,163,684.35</w:t>
            </w:r>
          </w:p>
        </w:tc>
      </w:tr>
    </w:tbl>
    <w:p>
      <w:pPr>
        <w:spacing w:line="240" w:lineRule="auto" w:before="8"/>
        <w:rPr>
          <w:rFonts w:ascii="宋体" w:hAnsi="宋体" w:cs="宋体" w:eastAsia="宋体" w:hint="default"/>
          <w:sz w:val="4"/>
          <w:szCs w:val="4"/>
        </w:rPr>
      </w:pPr>
    </w:p>
    <w:p>
      <w:pPr>
        <w:pStyle w:val="Heading7"/>
        <w:spacing w:line="391" w:lineRule="auto"/>
        <w:ind w:left="679" w:right="366"/>
        <w:jc w:val="left"/>
      </w:pPr>
      <w:r>
        <w:rPr/>
        <w:t>（</w:t>
      </w:r>
      <w:r>
        <w:rPr>
          <w:rFonts w:ascii="宋体" w:hAnsi="宋体" w:cs="宋体" w:eastAsia="宋体" w:hint="default"/>
        </w:rPr>
        <w:t>4</w:t>
      </w:r>
      <w:r>
        <w:rPr/>
        <w:t>）未确认递延所得税资产明细</w:t>
      </w:r>
      <w:r>
        <w:rPr>
          <w:spacing w:val="-108"/>
        </w:rPr>
        <w:t> </w:t>
      </w:r>
      <w:r>
        <w:rPr>
          <w:spacing w:val="-108"/>
        </w:rPr>
      </w:r>
      <w:r>
        <w:rPr/>
        <w:t>本年末本集团未确认递延所得税资产的可抵扣亏损为 </w:t>
      </w:r>
      <w:r>
        <w:rPr>
          <w:rFonts w:ascii="宋体" w:hAnsi="宋体" w:cs="宋体" w:eastAsia="宋体" w:hint="default"/>
        </w:rPr>
        <w:t>3,132,212,093.39</w:t>
      </w:r>
      <w:r>
        <w:rPr>
          <w:rFonts w:ascii="宋体" w:hAnsi="宋体" w:cs="宋体" w:eastAsia="宋体" w:hint="default"/>
          <w:spacing w:val="-59"/>
        </w:rPr>
        <w:t> </w:t>
      </w:r>
      <w:r>
        <w:rPr/>
        <w:t>元，对应</w:t>
      </w:r>
    </w:p>
    <w:p>
      <w:pPr>
        <w:pStyle w:val="Heading7"/>
        <w:spacing w:line="253" w:lineRule="exact" w:before="0"/>
        <w:ind w:left="240" w:right="0"/>
        <w:jc w:val="left"/>
      </w:pPr>
      <w:r>
        <w:rPr/>
        <w:t>的未确认的递延所得税资产为</w:t>
      </w:r>
      <w:r>
        <w:rPr>
          <w:spacing w:val="-56"/>
        </w:rPr>
        <w:t> </w:t>
      </w:r>
      <w:r>
        <w:rPr>
          <w:rFonts w:ascii="宋体" w:hAnsi="宋体" w:cs="宋体" w:eastAsia="宋体" w:hint="default"/>
        </w:rPr>
        <w:t>766,357,804.76</w:t>
      </w:r>
      <w:r>
        <w:rPr>
          <w:rFonts w:ascii="宋体" w:hAnsi="宋体" w:cs="宋体" w:eastAsia="宋体" w:hint="default"/>
          <w:spacing w:val="-56"/>
        </w:rPr>
        <w:t> </w:t>
      </w:r>
      <w:r>
        <w:rPr>
          <w:spacing w:val="-3"/>
        </w:rPr>
        <w:t>元。</w:t>
      </w:r>
      <w:r>
        <w:rPr/>
      </w:r>
    </w:p>
    <w:p>
      <w:pPr>
        <w:pStyle w:val="Heading7"/>
        <w:spacing w:line="240" w:lineRule="auto" w:before="180"/>
        <w:ind w:left="679" w:right="0"/>
        <w:jc w:val="left"/>
      </w:pPr>
      <w:r>
        <w:rPr>
          <w:rFonts w:ascii="宋体" w:hAnsi="宋体" w:cs="宋体" w:eastAsia="宋体" w:hint="default"/>
        </w:rPr>
        <w:t>21</w:t>
      </w:r>
      <w:r>
        <w:rPr/>
        <w:t>、其他非流动资产</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854"/>
        <w:gridCol w:w="2842"/>
        <w:gridCol w:w="2842"/>
      </w:tblGrid>
      <w:tr>
        <w:trPr>
          <w:trHeight w:val="468"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7"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长期衍生金融资产</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410,144,803.34</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321,963,423.00</w:t>
            </w:r>
          </w:p>
        </w:tc>
      </w:tr>
      <w:tr>
        <w:trPr>
          <w:trHeight w:val="45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应收维保责任款</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245,347,688.80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407,984,325.00</w:t>
            </w:r>
          </w:p>
        </w:tc>
      </w:tr>
      <w:tr>
        <w:trPr>
          <w:trHeight w:val="45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长期交易性金融资产</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140,002,016.00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138,026,283.00</w:t>
            </w:r>
          </w:p>
        </w:tc>
      </w:tr>
      <w:tr>
        <w:trPr>
          <w:trHeight w:val="45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境外可退还税费</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120,780,960.00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108,618,369.00</w:t>
            </w:r>
          </w:p>
        </w:tc>
      </w:tr>
      <w:tr>
        <w:trPr>
          <w:trHeight w:val="468"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专项支出</w:t>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35,347,029.64</w:t>
            </w:r>
          </w:p>
        </w:tc>
        <w:tc>
          <w:tcPr>
            <w:tcW w:w="2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pacing w:val="-1"/>
                <w:sz w:val="18"/>
              </w:rPr>
              <w:t>39,714,053.51</w:t>
            </w:r>
          </w:p>
        </w:tc>
      </w:tr>
    </w:tbl>
    <w:p>
      <w:pPr>
        <w:spacing w:after="0" w:line="240" w:lineRule="auto"/>
        <w:jc w:val="right"/>
        <w:rPr>
          <w:rFonts w:ascii="宋体" w:hAnsi="宋体" w:cs="宋体" w:eastAsia="宋体" w:hint="default"/>
          <w:sz w:val="18"/>
          <w:szCs w:val="18"/>
        </w:rPr>
        <w:sectPr>
          <w:pgSz w:w="11910" w:h="16840"/>
          <w:pgMar w:header="881" w:footer="980" w:top="1600" w:bottom="1160" w:left="1560" w:right="1420"/>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54"/>
        <w:gridCol w:w="2842"/>
        <w:gridCol w:w="3002"/>
      </w:tblGrid>
      <w:tr>
        <w:trPr>
          <w:trHeight w:val="462"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right="123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16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预付租金</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11,636,531.20</w:t>
            </w:r>
          </w:p>
        </w:tc>
        <w:tc>
          <w:tcPr>
            <w:tcW w:w="3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266"/>
              <w:jc w:val="right"/>
              <w:rPr>
                <w:rFonts w:ascii="宋体" w:hAnsi="宋体" w:cs="宋体" w:eastAsia="宋体" w:hint="default"/>
                <w:sz w:val="18"/>
                <w:szCs w:val="18"/>
              </w:rPr>
            </w:pPr>
            <w:r>
              <w:rPr>
                <w:rFonts w:ascii="宋体"/>
                <w:spacing w:val="-1"/>
                <w:sz w:val="18"/>
              </w:rPr>
              <w:t>32,583,675.00</w:t>
            </w:r>
          </w:p>
        </w:tc>
      </w:tr>
      <w:tr>
        <w:trPr>
          <w:trHeight w:val="456"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87,622,104.66</w:t>
            </w:r>
          </w:p>
        </w:tc>
        <w:tc>
          <w:tcPr>
            <w:tcW w:w="3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266"/>
              <w:jc w:val="right"/>
              <w:rPr>
                <w:rFonts w:ascii="宋体" w:hAnsi="宋体" w:cs="宋体" w:eastAsia="宋体" w:hint="default"/>
                <w:sz w:val="18"/>
                <w:szCs w:val="18"/>
              </w:rPr>
            </w:pPr>
            <w:r>
              <w:rPr>
                <w:rFonts w:ascii="宋体"/>
                <w:spacing w:val="-1"/>
                <w:sz w:val="18"/>
              </w:rPr>
              <w:t>64,122,463.98</w:t>
            </w:r>
          </w:p>
        </w:tc>
      </w:tr>
      <w:tr>
        <w:trPr>
          <w:trHeight w:val="468"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right="123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b/>
                <w:w w:val="95"/>
                <w:sz w:val="18"/>
              </w:rPr>
              <w:t>1,050,881,133.64</w:t>
            </w:r>
            <w:r>
              <w:rPr>
                <w:rFonts w:ascii="宋体"/>
                <w:sz w:val="18"/>
              </w:rPr>
            </w:r>
          </w:p>
        </w:tc>
        <w:tc>
          <w:tcPr>
            <w:tcW w:w="30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266"/>
              <w:jc w:val="right"/>
              <w:rPr>
                <w:rFonts w:ascii="宋体" w:hAnsi="宋体" w:cs="宋体" w:eastAsia="宋体" w:hint="default"/>
                <w:sz w:val="18"/>
                <w:szCs w:val="18"/>
              </w:rPr>
            </w:pPr>
            <w:r>
              <w:rPr>
                <w:rFonts w:ascii="宋体"/>
                <w:b/>
                <w:w w:val="95"/>
                <w:sz w:val="18"/>
              </w:rPr>
              <w:t>1,113,012,592.49</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276"/>
        <w:jc w:val="left"/>
      </w:pPr>
      <w:r>
        <w:rPr>
          <w:rFonts w:ascii="宋体" w:hAnsi="宋体" w:cs="宋体" w:eastAsia="宋体" w:hint="default"/>
        </w:rPr>
        <w:t>22</w:t>
      </w:r>
      <w:r>
        <w:rPr/>
        <w:t>、短期借款</w:t>
      </w:r>
    </w:p>
    <w:p>
      <w:pPr>
        <w:pStyle w:val="Heading7"/>
        <w:spacing w:line="240" w:lineRule="auto" w:before="180"/>
        <w:ind w:left="679" w:right="276"/>
        <w:jc w:val="left"/>
      </w:pPr>
      <w:r>
        <w:rPr/>
        <w:t>（</w:t>
      </w:r>
      <w:r>
        <w:rPr>
          <w:rFonts w:ascii="宋体" w:hAnsi="宋体" w:cs="宋体" w:eastAsia="宋体" w:hint="default"/>
        </w:rPr>
        <w:t>1</w:t>
      </w:r>
      <w:r>
        <w:rPr/>
        <w:t>）短期借款分类</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864"/>
        <w:gridCol w:w="2837"/>
        <w:gridCol w:w="2837"/>
      </w:tblGrid>
      <w:tr>
        <w:trPr>
          <w:trHeight w:val="415" w:hRule="exact"/>
        </w:trPr>
        <w:tc>
          <w:tcPr>
            <w:tcW w:w="28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left="15"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9"/>
                <w:szCs w:val="9"/>
              </w:rPr>
            </w:pPr>
            <w:r>
              <w:rPr>
                <w:rFonts w:ascii="宋体" w:hAnsi="宋体" w:cs="宋体" w:eastAsia="宋体" w:hint="default"/>
                <w:sz w:val="18"/>
                <w:szCs w:val="18"/>
              </w:rPr>
              <w:t>质押借款</w:t>
            </w:r>
            <w:r>
              <w:rPr>
                <w:rFonts w:ascii="宋体" w:hAnsi="宋体" w:cs="宋体" w:eastAsia="宋体" w:hint="default"/>
                <w:position w:val="9"/>
                <w:sz w:val="9"/>
                <w:szCs w:val="9"/>
              </w:rPr>
              <w:t>注</w:t>
            </w:r>
            <w:r>
              <w:rPr>
                <w:rFonts w:ascii="宋体" w:hAnsi="宋体" w:cs="宋体" w:eastAsia="宋体" w:hint="default"/>
                <w:spacing w:val="-24"/>
                <w:position w:val="9"/>
                <w:sz w:val="9"/>
                <w:szCs w:val="9"/>
              </w:rPr>
              <w:t> </w:t>
            </w:r>
            <w:r>
              <w:rPr>
                <w:rFonts w:ascii="宋体" w:hAnsi="宋体" w:cs="宋体" w:eastAsia="宋体" w:hint="default"/>
                <w:position w:val="9"/>
                <w:sz w:val="9"/>
                <w:szCs w:val="9"/>
              </w:rPr>
              <w:t>1</w:t>
            </w:r>
            <w:r>
              <w:rPr>
                <w:rFonts w:ascii="宋体" w:hAnsi="宋体" w:cs="宋体" w:eastAsia="宋体" w:hint="default"/>
                <w:sz w:val="9"/>
                <w:szCs w:val="9"/>
              </w:rPr>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22,302,474.88</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31,844,435.65</w:t>
            </w:r>
          </w:p>
        </w:tc>
      </w:tr>
      <w:tr>
        <w:trPr>
          <w:trHeight w:val="404"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9"/>
                <w:szCs w:val="9"/>
              </w:rPr>
            </w:pPr>
            <w:r>
              <w:rPr>
                <w:rFonts w:ascii="宋体" w:hAnsi="宋体" w:cs="宋体" w:eastAsia="宋体" w:hint="default"/>
                <w:sz w:val="18"/>
                <w:szCs w:val="18"/>
              </w:rPr>
              <w:t>抵押借款</w:t>
            </w:r>
            <w:r>
              <w:rPr>
                <w:rFonts w:ascii="宋体" w:hAnsi="宋体" w:cs="宋体" w:eastAsia="宋体" w:hint="default"/>
                <w:position w:val="9"/>
                <w:sz w:val="9"/>
                <w:szCs w:val="9"/>
              </w:rPr>
              <w:t>注</w:t>
            </w:r>
            <w:r>
              <w:rPr>
                <w:rFonts w:ascii="宋体" w:hAnsi="宋体" w:cs="宋体" w:eastAsia="宋体" w:hint="default"/>
                <w:spacing w:val="-24"/>
                <w:position w:val="9"/>
                <w:sz w:val="9"/>
                <w:szCs w:val="9"/>
              </w:rPr>
              <w:t> </w:t>
            </w:r>
            <w:r>
              <w:rPr>
                <w:rFonts w:ascii="宋体" w:hAnsi="宋体" w:cs="宋体" w:eastAsia="宋体" w:hint="default"/>
                <w:position w:val="9"/>
                <w:sz w:val="9"/>
                <w:szCs w:val="9"/>
              </w:rPr>
              <w:t>2</w:t>
            </w:r>
            <w:r>
              <w:rPr>
                <w:rFonts w:ascii="宋体" w:hAnsi="宋体" w:cs="宋体" w:eastAsia="宋体" w:hint="default"/>
                <w:sz w:val="9"/>
                <w:szCs w:val="9"/>
              </w:rPr>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13,069,368.00</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12,306,372.00</w:t>
            </w:r>
          </w:p>
        </w:tc>
      </w:tr>
      <w:tr>
        <w:trPr>
          <w:trHeight w:val="401"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9"/>
                <w:szCs w:val="9"/>
              </w:rPr>
            </w:pPr>
            <w:r>
              <w:rPr>
                <w:rFonts w:ascii="宋体" w:hAnsi="宋体" w:cs="宋体" w:eastAsia="宋体" w:hint="default"/>
                <w:sz w:val="18"/>
                <w:szCs w:val="18"/>
              </w:rPr>
              <w:t>保证借款</w:t>
            </w:r>
            <w:r>
              <w:rPr>
                <w:rFonts w:ascii="宋体" w:hAnsi="宋体" w:cs="宋体" w:eastAsia="宋体" w:hint="default"/>
                <w:position w:val="9"/>
                <w:sz w:val="9"/>
                <w:szCs w:val="9"/>
              </w:rPr>
              <w:t>注</w:t>
            </w:r>
            <w:r>
              <w:rPr>
                <w:rFonts w:ascii="宋体" w:hAnsi="宋体" w:cs="宋体" w:eastAsia="宋体" w:hint="default"/>
                <w:spacing w:val="-24"/>
                <w:position w:val="9"/>
                <w:sz w:val="9"/>
                <w:szCs w:val="9"/>
              </w:rPr>
              <w:t> </w:t>
            </w:r>
            <w:r>
              <w:rPr>
                <w:rFonts w:ascii="宋体" w:hAnsi="宋体" w:cs="宋体" w:eastAsia="宋体" w:hint="default"/>
                <w:position w:val="9"/>
                <w:sz w:val="9"/>
                <w:szCs w:val="9"/>
              </w:rPr>
              <w:t>3</w:t>
            </w:r>
            <w:r>
              <w:rPr>
                <w:rFonts w:ascii="宋体" w:hAnsi="宋体" w:cs="宋体" w:eastAsia="宋体" w:hint="default"/>
                <w:sz w:val="9"/>
                <w:szCs w:val="9"/>
              </w:rPr>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244,368,375.14</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532,289,426.40</w:t>
            </w:r>
          </w:p>
        </w:tc>
      </w:tr>
      <w:tr>
        <w:trPr>
          <w:trHeight w:val="401"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1,352,865,004.00</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773,578,285.00</w:t>
            </w:r>
          </w:p>
        </w:tc>
      </w:tr>
      <w:tr>
        <w:trPr>
          <w:trHeight w:val="415" w:hRule="exact"/>
        </w:trPr>
        <w:tc>
          <w:tcPr>
            <w:tcW w:w="2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b/>
                <w:w w:val="95"/>
                <w:sz w:val="18"/>
              </w:rPr>
              <w:t>1,632,605,222.02</w:t>
            </w:r>
            <w:r>
              <w:rPr>
                <w:rFonts w:ascii="宋体"/>
                <w:sz w:val="18"/>
              </w:rPr>
            </w:r>
          </w:p>
        </w:tc>
        <w:tc>
          <w:tcPr>
            <w:tcW w:w="28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1,350,018,519.05</w:t>
            </w:r>
            <w:r>
              <w:rPr>
                <w:rFonts w:ascii="宋体"/>
                <w:sz w:val="18"/>
              </w:rPr>
            </w:r>
          </w:p>
        </w:tc>
      </w:tr>
    </w:tbl>
    <w:p>
      <w:pPr>
        <w:spacing w:line="240" w:lineRule="auto" w:before="8"/>
        <w:rPr>
          <w:rFonts w:ascii="宋体" w:hAnsi="宋体" w:cs="宋体" w:eastAsia="宋体" w:hint="default"/>
          <w:sz w:val="4"/>
          <w:szCs w:val="4"/>
        </w:rPr>
      </w:pPr>
    </w:p>
    <w:p>
      <w:pPr>
        <w:pStyle w:val="Heading7"/>
        <w:spacing w:line="324" w:lineRule="auto"/>
        <w:ind w:left="240" w:right="395" w:firstLine="439"/>
        <w:jc w:val="both"/>
      </w:pPr>
      <w:r>
        <w:rPr/>
        <w:t>注</w:t>
      </w:r>
      <w:r>
        <w:rPr>
          <w:spacing w:val="-59"/>
        </w:rPr>
        <w:t> </w:t>
      </w:r>
      <w:r>
        <w:rPr>
          <w:rFonts w:ascii="宋体" w:hAnsi="宋体" w:cs="宋体" w:eastAsia="宋体" w:hint="default"/>
        </w:rPr>
        <w:t>1</w:t>
      </w:r>
      <w:r>
        <w:rPr/>
        <w:t>：质押借款系柏怡控股之子公司柏怡电子香港有限公司（以下简称柏怡香港）</w:t>
      </w:r>
      <w:r>
        <w:rPr>
          <w:w w:val="100"/>
        </w:rPr>
        <w:t> </w:t>
      </w:r>
      <w:r>
        <w:rPr/>
        <w:t>用</w:t>
      </w:r>
      <w:r>
        <w:rPr>
          <w:spacing w:val="-81"/>
        </w:rPr>
        <w:t> </w:t>
      </w:r>
      <w:r>
        <w:rPr/>
        <w:t>可</w:t>
      </w:r>
      <w:r>
        <w:rPr>
          <w:spacing w:val="-81"/>
        </w:rPr>
        <w:t> </w:t>
      </w:r>
      <w:r>
        <w:rPr>
          <w:spacing w:val="12"/>
        </w:rPr>
        <w:t>供出</w:t>
      </w:r>
      <w:r>
        <w:rPr>
          <w:spacing w:val="-81"/>
        </w:rPr>
        <w:t> </w:t>
      </w:r>
      <w:r>
        <w:rPr>
          <w:spacing w:val="12"/>
        </w:rPr>
        <w:t>售金</w:t>
      </w:r>
      <w:r>
        <w:rPr>
          <w:spacing w:val="-81"/>
        </w:rPr>
        <w:t> </w:t>
      </w:r>
      <w:r>
        <w:rPr>
          <w:spacing w:val="12"/>
        </w:rPr>
        <w:t>融资</w:t>
      </w:r>
      <w:r>
        <w:rPr>
          <w:spacing w:val="-81"/>
        </w:rPr>
        <w:t> </w:t>
      </w:r>
      <w:r>
        <w:rPr>
          <w:spacing w:val="12"/>
        </w:rPr>
        <w:t>产质</w:t>
      </w:r>
      <w:r>
        <w:rPr>
          <w:spacing w:val="-81"/>
        </w:rPr>
        <w:t> </w:t>
      </w:r>
      <w:r>
        <w:rPr/>
        <w:t>押</w:t>
      </w:r>
      <w:r>
        <w:rPr>
          <w:spacing w:val="-81"/>
        </w:rPr>
        <w:t> </w:t>
      </w:r>
      <w:r>
        <w:rPr>
          <w:spacing w:val="12"/>
        </w:rPr>
        <w:t>向香</w:t>
      </w:r>
      <w:r>
        <w:rPr>
          <w:spacing w:val="-81"/>
        </w:rPr>
        <w:t> </w:t>
      </w:r>
      <w:r>
        <w:rPr>
          <w:spacing w:val="12"/>
        </w:rPr>
        <w:t>港汇</w:t>
      </w:r>
      <w:r>
        <w:rPr>
          <w:spacing w:val="-81"/>
        </w:rPr>
        <w:t> </w:t>
      </w:r>
      <w:r>
        <w:rPr>
          <w:spacing w:val="12"/>
        </w:rPr>
        <w:t>丰银</w:t>
      </w:r>
      <w:r>
        <w:rPr>
          <w:spacing w:val="-81"/>
        </w:rPr>
        <w:t> </w:t>
      </w:r>
      <w:r>
        <w:rPr>
          <w:spacing w:val="12"/>
        </w:rPr>
        <w:t>行借</w:t>
      </w:r>
      <w:r>
        <w:rPr>
          <w:spacing w:val="-81"/>
        </w:rPr>
        <w:t> </w:t>
      </w:r>
      <w:r>
        <w:rPr/>
        <w:t>款</w:t>
      </w:r>
      <w:r>
        <w:rPr>
          <w:spacing w:val="-81"/>
        </w:rPr>
        <w:t> </w:t>
      </w:r>
      <w:r>
        <w:rPr>
          <w:spacing w:val="12"/>
        </w:rPr>
        <w:t>港币</w:t>
      </w:r>
      <w:r>
        <w:rPr>
          <w:spacing w:val="43"/>
        </w:rPr>
        <w:t> </w:t>
      </w:r>
      <w:r>
        <w:rPr>
          <w:rFonts w:ascii="宋体" w:hAnsi="宋体" w:cs="宋体" w:eastAsia="宋体" w:hint="default"/>
        </w:rPr>
        <w:t>2,662.09</w:t>
      </w:r>
      <w:r>
        <w:rPr>
          <w:rFonts w:ascii="宋体" w:hAnsi="宋体" w:cs="宋体" w:eastAsia="宋体" w:hint="default"/>
          <w:spacing w:val="37"/>
        </w:rPr>
        <w:t> </w:t>
      </w:r>
      <w:r>
        <w:rPr>
          <w:spacing w:val="12"/>
        </w:rPr>
        <w:t>万，</w:t>
      </w:r>
      <w:r>
        <w:rPr>
          <w:spacing w:val="-81"/>
        </w:rPr>
        <w:t> </w:t>
      </w:r>
      <w:r>
        <w:rPr/>
        <w:t>折</w:t>
      </w:r>
      <w:r>
        <w:rPr>
          <w:spacing w:val="-81"/>
        </w:rPr>
        <w:t> </w:t>
      </w:r>
      <w:r>
        <w:rPr>
          <w:spacing w:val="12"/>
        </w:rPr>
        <w:t>合人</w:t>
      </w:r>
      <w:r>
        <w:rPr>
          <w:spacing w:val="-81"/>
        </w:rPr>
        <w:t> </w:t>
      </w:r>
      <w:r>
        <w:rPr>
          <w:spacing w:val="12"/>
        </w:rPr>
        <w:t>民币</w:t>
      </w:r>
      <w:r>
        <w:rPr>
          <w:w w:val="100"/>
        </w:rPr>
        <w:t> </w:t>
      </w:r>
      <w:r>
        <w:rPr>
          <w:rFonts w:ascii="宋体" w:hAnsi="宋体" w:cs="宋体" w:eastAsia="宋体" w:hint="default"/>
        </w:rPr>
        <w:t>22,302,474.88</w:t>
      </w:r>
      <w:r>
        <w:rPr>
          <w:rFonts w:ascii="宋体" w:hAnsi="宋体" w:cs="宋体" w:eastAsia="宋体" w:hint="default"/>
          <w:spacing w:val="-58"/>
        </w:rPr>
        <w:t> </w:t>
      </w:r>
      <w:r>
        <w:rPr/>
        <w:t>元，借款期限为</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5</w:t>
      </w:r>
      <w:r>
        <w:rPr>
          <w:rFonts w:ascii="宋体" w:hAnsi="宋体" w:cs="宋体" w:eastAsia="宋体" w:hint="default"/>
          <w:spacing w:val="-58"/>
        </w:rPr>
        <w:t> </w:t>
      </w:r>
      <w:r>
        <w:rPr/>
        <w:t>月</w:t>
      </w:r>
      <w:r>
        <w:rPr>
          <w:spacing w:val="-55"/>
        </w:rPr>
        <w:t> </w:t>
      </w:r>
      <w:r>
        <w:rPr>
          <w:rFonts w:ascii="宋体" w:hAnsi="宋体" w:cs="宋体" w:eastAsia="宋体" w:hint="default"/>
        </w:rPr>
        <w:t>21</w:t>
      </w:r>
      <w:r>
        <w:rPr>
          <w:rFonts w:ascii="宋体" w:hAnsi="宋体" w:cs="宋体" w:eastAsia="宋体" w:hint="default"/>
          <w:spacing w:val="-58"/>
        </w:rPr>
        <w:t> </w:t>
      </w:r>
      <w:r>
        <w:rPr/>
        <w:t>日至</w:t>
      </w:r>
      <w:r>
        <w:rPr>
          <w:spacing w:val="-55"/>
        </w:rPr>
        <w:t> </w:t>
      </w:r>
      <w:r>
        <w:rPr>
          <w:rFonts w:ascii="宋体" w:hAnsi="宋体" w:cs="宋体" w:eastAsia="宋体" w:hint="default"/>
        </w:rPr>
        <w:t>2016</w:t>
      </w:r>
      <w:r>
        <w:rPr>
          <w:rFonts w:ascii="宋体" w:hAnsi="宋体" w:cs="宋体" w:eastAsia="宋体" w:hint="default"/>
          <w:spacing w:val="-58"/>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20</w:t>
      </w:r>
      <w:r>
        <w:rPr>
          <w:rFonts w:ascii="宋体" w:hAnsi="宋体" w:cs="宋体" w:eastAsia="宋体" w:hint="default"/>
          <w:spacing w:val="-55"/>
        </w:rPr>
        <w:t> </w:t>
      </w:r>
      <w:r>
        <w:rPr/>
        <w:t>日。</w:t>
      </w:r>
    </w:p>
    <w:p>
      <w:pPr>
        <w:pStyle w:val="Heading7"/>
        <w:spacing w:line="324" w:lineRule="auto" w:before="103"/>
        <w:ind w:left="240" w:right="276" w:firstLine="439"/>
        <w:jc w:val="left"/>
      </w:pPr>
      <w:r>
        <w:rPr>
          <w:w w:val="100"/>
        </w:rPr>
        <w:t>注</w:t>
      </w:r>
      <w:r>
        <w:rPr>
          <w:spacing w:val="-50"/>
          <w:w w:val="100"/>
        </w:rPr>
        <w:t> </w:t>
      </w:r>
      <w:r>
        <w:rPr>
          <w:rFonts w:ascii="宋体" w:hAnsi="宋体" w:cs="宋体" w:eastAsia="宋体" w:hint="default"/>
          <w:spacing w:val="-9"/>
          <w:w w:val="100"/>
        </w:rPr>
        <w:t>2</w:t>
      </w:r>
      <w:r>
        <w:rPr>
          <w:spacing w:val="-9"/>
          <w:w w:val="100"/>
        </w:rPr>
        <w:t>：抵押借款系长城香港在永亨银行的借款，年末借款余额为港币</w:t>
      </w:r>
      <w:r>
        <w:rPr>
          <w:spacing w:val="-50"/>
          <w:w w:val="100"/>
        </w:rPr>
        <w:t> </w:t>
      </w:r>
      <w:r>
        <w:rPr>
          <w:rFonts w:ascii="宋体" w:hAnsi="宋体" w:cs="宋体" w:eastAsia="宋体" w:hint="default"/>
          <w:spacing w:val="-1"/>
          <w:w w:val="100"/>
        </w:rPr>
        <w:t>1,560.00</w:t>
      </w:r>
      <w:r>
        <w:rPr>
          <w:rFonts w:ascii="宋体" w:hAnsi="宋体" w:cs="宋体" w:eastAsia="宋体" w:hint="default"/>
          <w:spacing w:val="-50"/>
          <w:w w:val="100"/>
        </w:rPr>
        <w:t> </w:t>
      </w:r>
      <w:r>
        <w:rPr>
          <w:w w:val="100"/>
        </w:rPr>
        <w:t>万元， </w:t>
      </w:r>
      <w:r>
        <w:rPr/>
        <w:t>折合人民币</w:t>
      </w:r>
      <w:r>
        <w:rPr>
          <w:spacing w:val="-52"/>
        </w:rPr>
        <w:t> </w:t>
      </w:r>
      <w:r>
        <w:rPr>
          <w:rFonts w:ascii="宋体" w:hAnsi="宋体" w:cs="宋体" w:eastAsia="宋体" w:hint="default"/>
        </w:rPr>
        <w:t>13,069,368.00</w:t>
      </w:r>
      <w:r>
        <w:rPr>
          <w:rFonts w:ascii="宋体" w:hAnsi="宋体" w:cs="宋体" w:eastAsia="宋体" w:hint="default"/>
          <w:spacing w:val="-52"/>
        </w:rPr>
        <w:t> </w:t>
      </w:r>
      <w:r>
        <w:rPr>
          <w:spacing w:val="-3"/>
        </w:rPr>
        <w:t>元。用于抵押的固定资产为香港海景大厦</w:t>
      </w:r>
      <w:r>
        <w:rPr>
          <w:spacing w:val="-52"/>
        </w:rPr>
        <w:t> </w:t>
      </w:r>
      <w:r>
        <w:rPr>
          <w:rFonts w:ascii="宋体" w:hAnsi="宋体" w:cs="宋体" w:eastAsia="宋体" w:hint="default"/>
        </w:rPr>
        <w:t>C</w:t>
      </w:r>
      <w:r>
        <w:rPr>
          <w:rFonts w:ascii="宋体" w:hAnsi="宋体" w:cs="宋体" w:eastAsia="宋体" w:hint="default"/>
          <w:spacing w:val="-52"/>
        </w:rPr>
        <w:t> </w:t>
      </w:r>
      <w:r>
        <w:rPr/>
        <w:t>座</w:t>
      </w:r>
      <w:r>
        <w:rPr>
          <w:spacing w:val="-55"/>
        </w:rPr>
        <w:t> </w:t>
      </w:r>
      <w:r>
        <w:rPr>
          <w:rFonts w:ascii="宋体" w:hAnsi="宋体" w:cs="宋体" w:eastAsia="宋体" w:hint="default"/>
        </w:rPr>
        <w:t>4</w:t>
      </w:r>
      <w:r>
        <w:rPr>
          <w:rFonts w:ascii="宋体" w:hAnsi="宋体" w:cs="宋体" w:eastAsia="宋体" w:hint="default"/>
          <w:spacing w:val="-55"/>
        </w:rPr>
        <w:t> </w:t>
      </w:r>
      <w:r>
        <w:rPr>
          <w:spacing w:val="-6"/>
        </w:rPr>
        <w:t>楼，原值为</w:t>
      </w:r>
      <w:r>
        <w:rPr>
          <w:spacing w:val="-103"/>
        </w:rPr>
        <w:t> </w:t>
      </w:r>
      <w:r>
        <w:rPr>
          <w:spacing w:val="-103"/>
        </w:rPr>
      </w:r>
      <w:r>
        <w:rPr>
          <w:rFonts w:ascii="宋体" w:hAnsi="宋体" w:cs="宋体" w:eastAsia="宋体" w:hint="default"/>
        </w:rPr>
        <w:t>18,431,160.00</w:t>
      </w:r>
      <w:r>
        <w:rPr>
          <w:rFonts w:ascii="宋体" w:hAnsi="宋体" w:cs="宋体" w:eastAsia="宋体" w:hint="default"/>
          <w:spacing w:val="-59"/>
        </w:rPr>
        <w:t> </w:t>
      </w:r>
      <w:r>
        <w:rPr/>
        <w:t>元，本年末账面价值为</w:t>
      </w:r>
      <w:r>
        <w:rPr>
          <w:spacing w:val="-56"/>
        </w:rPr>
        <w:t> </w:t>
      </w:r>
      <w:r>
        <w:rPr>
          <w:rFonts w:ascii="宋体" w:hAnsi="宋体" w:cs="宋体" w:eastAsia="宋体" w:hint="default"/>
        </w:rPr>
        <w:t>15,113,551.20</w:t>
      </w:r>
      <w:r>
        <w:rPr>
          <w:rFonts w:ascii="宋体" w:hAnsi="宋体" w:cs="宋体" w:eastAsia="宋体" w:hint="default"/>
          <w:spacing w:val="-56"/>
        </w:rPr>
        <w:t> </w:t>
      </w:r>
      <w:r>
        <w:rPr/>
        <w:t>元。</w:t>
      </w:r>
    </w:p>
    <w:p>
      <w:pPr>
        <w:pStyle w:val="Heading7"/>
        <w:spacing w:line="326" w:lineRule="auto" w:before="103"/>
        <w:ind w:left="240" w:right="388" w:firstLine="439"/>
        <w:jc w:val="left"/>
      </w:pPr>
      <w:r>
        <w:rPr>
          <w:w w:val="100"/>
        </w:rPr>
        <w:t>注</w:t>
      </w:r>
      <w:r>
        <w:rPr>
          <w:spacing w:val="-56"/>
          <w:w w:val="100"/>
        </w:rPr>
        <w:t> </w:t>
      </w:r>
      <w:r>
        <w:rPr>
          <w:rFonts w:ascii="宋体" w:hAnsi="宋体" w:cs="宋体" w:eastAsia="宋体" w:hint="default"/>
          <w:spacing w:val="-4"/>
          <w:w w:val="100"/>
        </w:rPr>
        <w:t>3</w:t>
      </w:r>
      <w:r>
        <w:rPr>
          <w:spacing w:val="-4"/>
          <w:w w:val="100"/>
        </w:rPr>
        <w:t>：（</w:t>
      </w:r>
      <w:r>
        <w:rPr>
          <w:rFonts w:ascii="宋体" w:hAnsi="宋体" w:cs="宋体" w:eastAsia="宋体" w:hint="default"/>
          <w:spacing w:val="-4"/>
          <w:w w:val="100"/>
        </w:rPr>
        <w:t>1</w:t>
      </w:r>
      <w:r>
        <w:rPr>
          <w:spacing w:val="-4"/>
          <w:w w:val="100"/>
        </w:rPr>
        <w:t>）长城香港保证借款系以“内保外贷”的形式，由本公司作为担保人，截</w:t>
      </w:r>
      <w:r>
        <w:rPr>
          <w:w w:val="100"/>
        </w:rPr>
        <w:t> </w:t>
      </w:r>
      <w:r>
        <w:rPr/>
        <w:t>止至本年末在中国银行借款</w:t>
      </w:r>
      <w:r>
        <w:rPr>
          <w:spacing w:val="-42"/>
        </w:rPr>
        <w:t> </w:t>
      </w:r>
      <w:r>
        <w:rPr>
          <w:rFonts w:ascii="宋体" w:hAnsi="宋体" w:cs="宋体" w:eastAsia="宋体" w:hint="default"/>
        </w:rPr>
        <w:t>14,935,000.00</w:t>
      </w:r>
      <w:r>
        <w:rPr>
          <w:rFonts w:ascii="宋体" w:hAnsi="宋体" w:cs="宋体" w:eastAsia="宋体" w:hint="default"/>
          <w:spacing w:val="-43"/>
        </w:rPr>
        <w:t> </w:t>
      </w:r>
      <w:r>
        <w:rPr/>
        <w:t>美元和在建设银行借款</w:t>
      </w:r>
      <w:r>
        <w:rPr>
          <w:spacing w:val="-42"/>
        </w:rPr>
        <w:t> </w:t>
      </w:r>
      <w:r>
        <w:rPr>
          <w:rFonts w:ascii="宋体" w:hAnsi="宋体" w:cs="宋体" w:eastAsia="宋体" w:hint="default"/>
        </w:rPr>
        <w:t>151,320,000.00</w:t>
      </w:r>
      <w:r>
        <w:rPr>
          <w:rFonts w:ascii="宋体" w:hAnsi="宋体" w:cs="宋体" w:eastAsia="宋体" w:hint="default"/>
          <w:spacing w:val="-45"/>
        </w:rPr>
        <w:t> </w:t>
      </w:r>
      <w:r>
        <w:rPr/>
        <w:t>港</w:t>
      </w:r>
    </w:p>
    <w:p>
      <w:pPr>
        <w:pStyle w:val="Heading7"/>
        <w:spacing w:line="240" w:lineRule="auto" w:before="21"/>
        <w:ind w:left="240" w:right="276"/>
        <w:jc w:val="left"/>
      </w:pPr>
      <w:r>
        <w:rPr>
          <w:w w:val="100"/>
        </w:rPr>
        <w:t>币</w:t>
      </w:r>
      <w:r>
        <w:rPr>
          <w:spacing w:val="-27"/>
          <w:w w:val="100"/>
        </w:rPr>
        <w:t>，</w:t>
      </w:r>
      <w:r>
        <w:rPr>
          <w:spacing w:val="-3"/>
          <w:w w:val="100"/>
        </w:rPr>
        <w:t>折</w:t>
      </w:r>
      <w:r>
        <w:rPr>
          <w:w w:val="100"/>
        </w:rPr>
        <w:t>合人</w:t>
      </w:r>
      <w:r>
        <w:rPr>
          <w:spacing w:val="-3"/>
          <w:w w:val="100"/>
        </w:rPr>
        <w:t>民</w:t>
      </w:r>
      <w:r>
        <w:rPr>
          <w:w w:val="100"/>
        </w:rPr>
        <w:t>币</w:t>
      </w:r>
      <w:r>
        <w:rPr>
          <w:spacing w:val="-55"/>
        </w:rPr>
        <w:t> </w:t>
      </w:r>
      <w:r>
        <w:rPr>
          <w:rFonts w:ascii="宋体" w:hAnsi="宋体" w:cs="宋体" w:eastAsia="宋体" w:hint="default"/>
          <w:w w:val="100"/>
        </w:rPr>
        <w:t>224</w:t>
      </w:r>
      <w:r>
        <w:rPr>
          <w:rFonts w:ascii="宋体" w:hAnsi="宋体" w:cs="宋体" w:eastAsia="宋体" w:hint="default"/>
          <w:spacing w:val="-3"/>
          <w:w w:val="100"/>
        </w:rPr>
        <w:t>,</w:t>
      </w:r>
      <w:r>
        <w:rPr>
          <w:rFonts w:ascii="宋体" w:hAnsi="宋体" w:cs="宋体" w:eastAsia="宋体" w:hint="default"/>
          <w:w w:val="100"/>
        </w:rPr>
        <w:t>368</w:t>
      </w:r>
      <w:r>
        <w:rPr>
          <w:rFonts w:ascii="宋体" w:hAnsi="宋体" w:cs="宋体" w:eastAsia="宋体" w:hint="default"/>
          <w:spacing w:val="-3"/>
          <w:w w:val="100"/>
        </w:rPr>
        <w:t>,</w:t>
      </w:r>
      <w:r>
        <w:rPr>
          <w:rFonts w:ascii="宋体" w:hAnsi="宋体" w:cs="宋体" w:eastAsia="宋体" w:hint="default"/>
          <w:w w:val="100"/>
        </w:rPr>
        <w:t>375.14</w:t>
      </w:r>
      <w:r>
        <w:rPr>
          <w:rFonts w:ascii="宋体" w:hAnsi="宋体" w:cs="宋体" w:eastAsia="宋体" w:hint="default"/>
          <w:spacing w:val="-55"/>
        </w:rPr>
        <w:t> </w:t>
      </w:r>
      <w:r>
        <w:rPr>
          <w:spacing w:val="-3"/>
          <w:w w:val="100"/>
        </w:rPr>
        <w:t>元</w:t>
      </w:r>
      <w:r>
        <w:rPr>
          <w:spacing w:val="-137"/>
          <w:w w:val="100"/>
        </w:rPr>
        <w:t>。</w:t>
      </w:r>
      <w:r>
        <w:rPr>
          <w:w w:val="100"/>
        </w:rPr>
        <w:t>（</w:t>
      </w:r>
      <w:r>
        <w:rPr>
          <w:rFonts w:ascii="宋体" w:hAnsi="宋体" w:cs="宋体" w:eastAsia="宋体" w:hint="default"/>
          <w:spacing w:val="-3"/>
          <w:w w:val="100"/>
        </w:rPr>
        <w:t>2</w:t>
      </w:r>
      <w:r>
        <w:rPr>
          <w:spacing w:val="-27"/>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5"/>
        </w:rPr>
        <w:t> </w:t>
      </w:r>
      <w:r>
        <w:rPr>
          <w:w w:val="100"/>
        </w:rPr>
        <w:t>年</w:t>
      </w:r>
      <w:r>
        <w:rPr>
          <w:spacing w:val="-57"/>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24</w:t>
      </w:r>
      <w:r>
        <w:rPr>
          <w:rFonts w:ascii="宋体" w:hAnsi="宋体" w:cs="宋体" w:eastAsia="宋体" w:hint="default"/>
          <w:spacing w:val="-55"/>
        </w:rPr>
        <w:t> </w:t>
      </w:r>
      <w:r>
        <w:rPr>
          <w:spacing w:val="-3"/>
          <w:w w:val="100"/>
        </w:rPr>
        <w:t>日</w:t>
      </w:r>
      <w:r>
        <w:rPr>
          <w:spacing w:val="-27"/>
          <w:w w:val="100"/>
        </w:rPr>
        <w:t>，</w:t>
      </w:r>
      <w:r>
        <w:rPr>
          <w:spacing w:val="-3"/>
          <w:w w:val="100"/>
        </w:rPr>
        <w:t>中</w:t>
      </w:r>
      <w:r>
        <w:rPr>
          <w:w w:val="100"/>
        </w:rPr>
        <w:t>电长</w:t>
      </w:r>
      <w:r>
        <w:rPr>
          <w:spacing w:val="-3"/>
          <w:w w:val="100"/>
        </w:rPr>
        <w:t>城</w:t>
      </w:r>
      <w:r>
        <w:rPr>
          <w:w w:val="100"/>
        </w:rPr>
        <w:t>能</w:t>
      </w:r>
      <w:r>
        <w:rPr>
          <w:spacing w:val="-3"/>
          <w:w w:val="100"/>
        </w:rPr>
        <w:t>源</w:t>
      </w:r>
      <w:r>
        <w:rPr>
          <w:w w:val="100"/>
        </w:rPr>
        <w:t>与中国</w:t>
      </w:r>
      <w:r>
        <w:rPr>
          <w:spacing w:val="-3"/>
          <w:w w:val="100"/>
        </w:rPr>
        <w:t>建</w:t>
      </w:r>
      <w:r>
        <w:rPr>
          <w:w w:val="100"/>
        </w:rPr>
        <w:t>设</w:t>
      </w:r>
    </w:p>
    <w:p>
      <w:pPr>
        <w:pStyle w:val="Heading7"/>
        <w:spacing w:line="240" w:lineRule="auto" w:before="103"/>
        <w:ind w:left="240" w:right="276"/>
        <w:jc w:val="left"/>
      </w:pPr>
      <w:r>
        <w:rPr/>
        <w:t>银行股份有限公司深圳分行签署合同编号为</w:t>
      </w:r>
      <w:r>
        <w:rPr>
          <w:rFonts w:ascii="宋体" w:hAnsi="宋体" w:cs="宋体" w:eastAsia="宋体" w:hint="default"/>
        </w:rPr>
        <w:t>[</w:t>
      </w:r>
      <w:r>
        <w:rPr/>
        <w:t>借</w:t>
      </w:r>
      <w:r>
        <w:rPr>
          <w:spacing w:val="-44"/>
        </w:rPr>
        <w:t> </w:t>
      </w:r>
      <w:r>
        <w:rPr>
          <w:rFonts w:ascii="宋体" w:hAnsi="宋体" w:cs="宋体" w:eastAsia="宋体" w:hint="default"/>
        </w:rPr>
        <w:t>2015</w:t>
      </w:r>
      <w:r>
        <w:rPr>
          <w:rFonts w:ascii="宋体" w:hAnsi="宋体" w:cs="宋体" w:eastAsia="宋体" w:hint="default"/>
          <w:spacing w:val="-41"/>
        </w:rPr>
        <w:t> </w:t>
      </w:r>
      <w:r>
        <w:rPr/>
        <w:t>额</w:t>
      </w:r>
      <w:r>
        <w:rPr>
          <w:spacing w:val="-42"/>
        </w:rPr>
        <w:t> </w:t>
      </w:r>
      <w:r>
        <w:rPr>
          <w:rFonts w:ascii="宋体" w:hAnsi="宋体" w:cs="宋体" w:eastAsia="宋体" w:hint="default"/>
        </w:rPr>
        <w:t>05397</w:t>
      </w:r>
      <w:r>
        <w:rPr>
          <w:rFonts w:ascii="宋体" w:hAnsi="宋体" w:cs="宋体" w:eastAsia="宋体" w:hint="default"/>
          <w:spacing w:val="-44"/>
        </w:rPr>
        <w:t> </w:t>
      </w:r>
      <w:r>
        <w:rPr/>
        <w:t>营业部</w:t>
      </w:r>
      <w:r>
        <w:rPr>
          <w:rFonts w:ascii="宋体" w:hAnsi="宋体" w:cs="宋体" w:eastAsia="宋体" w:hint="default"/>
        </w:rPr>
        <w:t>]</w:t>
      </w:r>
      <w:r>
        <w:rPr/>
        <w:t>的借款合同，借</w:t>
      </w:r>
    </w:p>
    <w:p>
      <w:pPr>
        <w:pStyle w:val="Heading7"/>
        <w:spacing w:line="240" w:lineRule="auto" w:before="101"/>
        <w:ind w:left="240" w:right="276"/>
        <w:jc w:val="left"/>
        <w:rPr>
          <w:rFonts w:ascii="宋体" w:hAnsi="宋体" w:cs="宋体" w:eastAsia="宋体" w:hint="default"/>
        </w:rPr>
      </w:pPr>
      <w:r>
        <w:rPr/>
        <w:t>款额度为</w:t>
      </w:r>
      <w:r>
        <w:rPr>
          <w:spacing w:val="-55"/>
        </w:rPr>
        <w:t> </w:t>
      </w:r>
      <w:r>
        <w:rPr>
          <w:rFonts w:ascii="宋体" w:hAnsi="宋体" w:cs="宋体" w:eastAsia="宋体" w:hint="default"/>
        </w:rPr>
        <w:t>4,000</w:t>
      </w:r>
      <w:r>
        <w:rPr>
          <w:rFonts w:ascii="宋体" w:hAnsi="宋体" w:cs="宋体" w:eastAsia="宋体" w:hint="default"/>
          <w:spacing w:val="-55"/>
        </w:rPr>
        <w:t> </w:t>
      </w:r>
      <w:r>
        <w:rPr/>
        <w:t>万元，期限</w:t>
      </w:r>
      <w:r>
        <w:rPr>
          <w:spacing w:val="-55"/>
        </w:rPr>
        <w:t> </w:t>
      </w:r>
      <w:r>
        <w:rPr>
          <w:rFonts w:ascii="宋体" w:hAnsi="宋体" w:cs="宋体" w:eastAsia="宋体" w:hint="default"/>
        </w:rPr>
        <w:t>12</w:t>
      </w:r>
      <w:r>
        <w:rPr>
          <w:rFonts w:ascii="宋体" w:hAnsi="宋体" w:cs="宋体" w:eastAsia="宋体" w:hint="default"/>
          <w:spacing w:val="-55"/>
        </w:rPr>
        <w:t> </w:t>
      </w:r>
      <w:r>
        <w:rPr/>
        <w:t>个月，贷款利率为实际贷款基准利率加</w:t>
      </w:r>
      <w:r>
        <w:rPr>
          <w:spacing w:val="-55"/>
        </w:rPr>
        <w:t> </w:t>
      </w:r>
      <w:r>
        <w:rPr>
          <w:rFonts w:ascii="宋体" w:hAnsi="宋体" w:cs="宋体" w:eastAsia="宋体" w:hint="default"/>
        </w:rPr>
        <w:t>1.2%</w:t>
      </w:r>
      <w:r>
        <w:rPr/>
        <w:t>。</w:t>
      </w:r>
      <w:r>
        <w:rPr>
          <w:rFonts w:ascii="宋体" w:hAnsi="宋体" w:cs="宋体" w:eastAsia="宋体" w:hint="default"/>
        </w:rPr>
        <w:t>2015</w:t>
      </w:r>
      <w:r>
        <w:rPr>
          <w:rFonts w:ascii="宋体" w:hAnsi="宋体" w:cs="宋体" w:eastAsia="宋体" w:hint="default"/>
          <w:spacing w:val="-58"/>
        </w:rPr>
        <w:t> </w:t>
      </w:r>
      <w:r>
        <w:rPr/>
        <w:t>年</w:t>
      </w:r>
      <w:r>
        <w:rPr>
          <w:spacing w:val="-55"/>
        </w:rPr>
        <w:t> </w:t>
      </w:r>
      <w:r>
        <w:rPr>
          <w:rFonts w:ascii="宋体" w:hAnsi="宋体" w:cs="宋体" w:eastAsia="宋体" w:hint="default"/>
        </w:rPr>
        <w:t>8</w:t>
      </w:r>
    </w:p>
    <w:p>
      <w:pPr>
        <w:pStyle w:val="Heading7"/>
        <w:spacing w:line="240" w:lineRule="auto" w:before="103"/>
        <w:ind w:left="240" w:right="276"/>
        <w:jc w:val="left"/>
      </w:pPr>
      <w:r>
        <w:rPr/>
        <w:t>月 </w:t>
      </w:r>
      <w:r>
        <w:rPr>
          <w:rFonts w:ascii="宋体" w:hAnsi="宋体" w:cs="宋体" w:eastAsia="宋体" w:hint="default"/>
        </w:rPr>
        <w:t>24 </w:t>
      </w:r>
      <w:r>
        <w:rPr/>
        <w:t>日中国建设银行股份有限公司深圳市分行与本公司签订合同编号为</w:t>
      </w:r>
      <w:r>
        <w:rPr>
          <w:rFonts w:ascii="宋体" w:hAnsi="宋体" w:cs="宋体" w:eastAsia="宋体" w:hint="default"/>
        </w:rPr>
        <w:t>[</w:t>
      </w:r>
      <w:r>
        <w:rPr/>
        <w:t>保 </w:t>
      </w:r>
      <w:r>
        <w:rPr>
          <w:rFonts w:ascii="宋体" w:hAnsi="宋体" w:cs="宋体" w:eastAsia="宋体" w:hint="default"/>
        </w:rPr>
        <w:t>2015</w:t>
      </w:r>
      <w:r>
        <w:rPr>
          <w:rFonts w:ascii="宋体" w:hAnsi="宋体" w:cs="宋体" w:eastAsia="宋体" w:hint="default"/>
          <w:spacing w:val="53"/>
        </w:rPr>
        <w:t> </w:t>
      </w:r>
      <w:r>
        <w:rPr/>
        <w:t>额</w:t>
      </w:r>
    </w:p>
    <w:p>
      <w:pPr>
        <w:pStyle w:val="Heading7"/>
        <w:spacing w:line="240" w:lineRule="auto" w:before="101"/>
        <w:ind w:left="240" w:right="107"/>
        <w:jc w:val="left"/>
      </w:pPr>
      <w:r>
        <w:rPr>
          <w:rFonts w:ascii="宋体" w:hAnsi="宋体" w:cs="宋体" w:eastAsia="宋体" w:hint="default"/>
        </w:rPr>
        <w:t>05397</w:t>
      </w:r>
      <w:r>
        <w:rPr>
          <w:rFonts w:ascii="宋体" w:hAnsi="宋体" w:cs="宋体" w:eastAsia="宋体" w:hint="default"/>
          <w:spacing w:val="-61"/>
        </w:rPr>
        <w:t> </w:t>
      </w:r>
      <w:r>
        <w:rPr/>
        <w:t>营业部</w:t>
      </w:r>
      <w:r>
        <w:rPr>
          <w:rFonts w:ascii="宋体" w:hAnsi="宋体" w:cs="宋体" w:eastAsia="宋体" w:hint="default"/>
        </w:rPr>
        <w:t>]</w:t>
      </w:r>
      <w:r>
        <w:rPr/>
        <w:t>的借款保证合同，约定由本公司对本金、利息及罚款提供连带责任保证。</w:t>
      </w:r>
    </w:p>
    <w:p>
      <w:pPr>
        <w:pStyle w:val="Heading7"/>
        <w:spacing w:line="388" w:lineRule="auto" w:before="103"/>
        <w:ind w:left="679" w:right="5174" w:hanging="440"/>
        <w:jc w:val="left"/>
      </w:pPr>
      <w:r>
        <w:rPr/>
        <w:pict>
          <v:shape style="position:absolute;margin-left:83.183983pt;margin-top:47.157616pt;width:429.1pt;height:83.1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4"/>
                    <w:gridCol w:w="2842"/>
                    <w:gridCol w:w="2842"/>
                  </w:tblGrid>
                  <w:tr>
                    <w:trPr>
                      <w:trHeight w:val="416"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6"/>
                          <w:ind w:right="123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6"/>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远期合约</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613,119,218.40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282,801,823.00</w:t>
                        </w:r>
                      </w:p>
                    </w:tc>
                  </w:tr>
                  <w:tr>
                    <w:trPr>
                      <w:trHeight w:val="403"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期权</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221,775,920.80</w:t>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43,065,522.00</w:t>
                        </w:r>
                      </w:p>
                    </w:tc>
                  </w:tr>
                  <w:tr>
                    <w:trPr>
                      <w:trHeight w:val="413"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right="123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834,895,139.20</w:t>
                        </w:r>
                        <w:r>
                          <w:rPr>
                            <w:rFonts w:ascii="宋体"/>
                            <w:sz w:val="18"/>
                          </w:rPr>
                        </w:r>
                      </w:p>
                    </w:tc>
                    <w:tc>
                      <w:tcPr>
                        <w:tcW w:w="2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325,867,345.00</w:t>
                        </w:r>
                        <w:r>
                          <w:rPr>
                            <w:rFonts w:ascii="宋体"/>
                            <w:sz w:val="18"/>
                          </w:rPr>
                        </w:r>
                      </w:p>
                    </w:tc>
                  </w:tr>
                </w:tbl>
                <w:p>
                  <w:pPr/>
                </w:p>
              </w:txbxContent>
            </v:textbox>
            <w10:wrap type="none"/>
          </v:shape>
        </w:pict>
      </w:r>
      <w:r>
        <w:rPr/>
        <w:t>年末借款余额为</w:t>
      </w:r>
      <w:r>
        <w:rPr>
          <w:spacing w:val="-57"/>
        </w:rPr>
        <w:t> </w:t>
      </w:r>
      <w:r>
        <w:rPr>
          <w:rFonts w:ascii="宋体" w:hAnsi="宋体" w:cs="宋体" w:eastAsia="宋体" w:hint="default"/>
        </w:rPr>
        <w:t>20,000,000.00</w:t>
      </w:r>
      <w:r>
        <w:rPr>
          <w:rFonts w:ascii="宋体" w:hAnsi="宋体" w:cs="宋体" w:eastAsia="宋体" w:hint="default"/>
          <w:spacing w:val="-54"/>
        </w:rPr>
        <w:t> </w:t>
      </w:r>
      <w:r>
        <w:rPr>
          <w:spacing w:val="-3"/>
        </w:rPr>
        <w:t>元。</w:t>
      </w:r>
      <w:r>
        <w:rPr>
          <w:spacing w:val="-3"/>
          <w:w w:val="100"/>
        </w:rPr>
        <w:t> </w:t>
      </w:r>
      <w:r>
        <w:rPr>
          <w:rFonts w:ascii="宋体" w:hAnsi="宋体" w:cs="宋体" w:eastAsia="宋体" w:hint="default"/>
        </w:rPr>
        <w:t>23</w:t>
      </w:r>
      <w:r>
        <w:rPr/>
        <w:t>、衍生金融负债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7"/>
        <w:spacing w:line="240" w:lineRule="auto"/>
        <w:ind w:left="679" w:right="276"/>
        <w:jc w:val="left"/>
      </w:pPr>
      <w:r>
        <w:rPr>
          <w:rFonts w:ascii="宋体" w:hAnsi="宋体" w:cs="宋体" w:eastAsia="宋体" w:hint="default"/>
        </w:rPr>
        <w:t>24</w:t>
      </w:r>
      <w:r>
        <w:rPr/>
        <w:t>、应付票据</w:t>
      </w:r>
    </w:p>
    <w:p>
      <w:pPr>
        <w:spacing w:after="0" w:line="240" w:lineRule="auto"/>
        <w:jc w:val="left"/>
        <w:sectPr>
          <w:pgSz w:w="11910" w:h="16840"/>
          <w:pgMar w:header="881" w:footer="980" w:top="1600" w:bottom="1160" w:left="1560" w:right="1400"/>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54"/>
        <w:gridCol w:w="2842"/>
        <w:gridCol w:w="3002"/>
      </w:tblGrid>
      <w:tr>
        <w:trPr>
          <w:trHeight w:val="381"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3"/>
              <w:ind w:left="15" w:right="0"/>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3"/>
              <w:ind w:right="16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7"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1,081,947,774.66</w:t>
            </w:r>
          </w:p>
        </w:tc>
        <w:tc>
          <w:tcPr>
            <w:tcW w:w="3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1,058,497,001.45</w:t>
            </w:r>
          </w:p>
        </w:tc>
      </w:tr>
      <w:tr>
        <w:trPr>
          <w:trHeight w:val="374"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42" w:type="dxa"/>
            <w:tcBorders>
              <w:top w:val="single" w:sz="2" w:space="0" w:color="000000"/>
              <w:left w:val="single" w:sz="2" w:space="0" w:color="000000"/>
              <w:bottom w:val="single" w:sz="2" w:space="0" w:color="000000"/>
              <w:right w:val="single" w:sz="2" w:space="0" w:color="000000"/>
            </w:tcBorders>
          </w:tcPr>
          <w:p>
            <w:pPr/>
          </w:p>
        </w:tc>
        <w:tc>
          <w:tcPr>
            <w:tcW w:w="3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5"/>
              <w:jc w:val="right"/>
              <w:rPr>
                <w:rFonts w:ascii="宋体" w:hAnsi="宋体" w:cs="宋体" w:eastAsia="宋体" w:hint="default"/>
                <w:sz w:val="18"/>
                <w:szCs w:val="18"/>
              </w:rPr>
            </w:pPr>
            <w:r>
              <w:rPr>
                <w:rFonts w:ascii="宋体"/>
                <w:spacing w:val="-1"/>
                <w:sz w:val="18"/>
              </w:rPr>
              <w:t>953,313.19</w:t>
            </w:r>
          </w:p>
        </w:tc>
      </w:tr>
      <w:tr>
        <w:trPr>
          <w:trHeight w:val="386"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1,081,947,774.66</w:t>
            </w:r>
            <w:r>
              <w:rPr>
                <w:rFonts w:ascii="宋体"/>
                <w:sz w:val="18"/>
              </w:rPr>
            </w:r>
          </w:p>
        </w:tc>
        <w:tc>
          <w:tcPr>
            <w:tcW w:w="30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b/>
                <w:w w:val="95"/>
                <w:sz w:val="18"/>
              </w:rPr>
              <w:t>1,059,450,314.64</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276"/>
        <w:jc w:val="left"/>
      </w:pPr>
      <w:r>
        <w:rPr>
          <w:rFonts w:ascii="宋体" w:hAnsi="宋体" w:cs="宋体" w:eastAsia="宋体" w:hint="default"/>
        </w:rPr>
        <w:t>25</w:t>
      </w:r>
      <w:r>
        <w:rPr/>
        <w:t>、应付账款</w:t>
      </w:r>
    </w:p>
    <w:p>
      <w:pPr>
        <w:pStyle w:val="Heading7"/>
        <w:spacing w:line="240" w:lineRule="auto" w:before="180"/>
        <w:ind w:left="679" w:right="276"/>
        <w:jc w:val="left"/>
      </w:pPr>
      <w:r>
        <w:rPr/>
        <w:t>（</w:t>
      </w:r>
      <w:r>
        <w:rPr>
          <w:rFonts w:ascii="宋体" w:hAnsi="宋体" w:cs="宋体" w:eastAsia="宋体" w:hint="default"/>
        </w:rPr>
        <w:t>1</w:t>
      </w:r>
      <w:r>
        <w:rPr/>
        <w:t>）应付账款</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854"/>
        <w:gridCol w:w="2842"/>
        <w:gridCol w:w="2842"/>
      </w:tblGrid>
      <w:tr>
        <w:trPr>
          <w:trHeight w:val="415" w:hRule="exact"/>
        </w:trPr>
        <w:tc>
          <w:tcPr>
            <w:tcW w:w="28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right="123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123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14,074,331,510.25</w:t>
            </w:r>
            <w:r>
              <w:rPr>
                <w:rFonts w:ascii="宋体"/>
                <w:sz w:val="18"/>
              </w:rPr>
            </w:r>
          </w:p>
        </w:tc>
        <w:tc>
          <w:tcPr>
            <w:tcW w:w="2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b/>
                <w:w w:val="95"/>
                <w:sz w:val="18"/>
              </w:rPr>
              <w:t>15,084,250,916.36</w:t>
            </w:r>
            <w:r>
              <w:rPr>
                <w:rFonts w:ascii="宋体"/>
                <w:sz w:val="18"/>
              </w:rPr>
            </w:r>
          </w:p>
        </w:tc>
      </w:tr>
      <w:tr>
        <w:trPr>
          <w:trHeight w:val="415" w:hRule="exact"/>
        </w:trPr>
        <w:tc>
          <w:tcPr>
            <w:tcW w:w="28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53,464,530.27</w:t>
            </w:r>
          </w:p>
        </w:tc>
        <w:tc>
          <w:tcPr>
            <w:tcW w:w="2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33,911,429.19</w:t>
            </w:r>
          </w:p>
        </w:tc>
      </w:tr>
    </w:tbl>
    <w:p>
      <w:pPr>
        <w:spacing w:line="240" w:lineRule="auto" w:before="9"/>
        <w:rPr>
          <w:rFonts w:ascii="宋体" w:hAnsi="宋体" w:cs="宋体" w:eastAsia="宋体" w:hint="default"/>
          <w:sz w:val="4"/>
          <w:szCs w:val="4"/>
        </w:rPr>
      </w:pPr>
    </w:p>
    <w:p>
      <w:pPr>
        <w:pStyle w:val="Heading7"/>
        <w:spacing w:line="240" w:lineRule="auto"/>
        <w:ind w:left="679" w:right="276"/>
        <w:jc w:val="left"/>
      </w:pPr>
      <w:r>
        <w:rPr/>
        <w:t>注：账龄超过</w:t>
      </w:r>
      <w:r>
        <w:rPr>
          <w:spacing w:val="-56"/>
        </w:rPr>
        <w:t> </w:t>
      </w:r>
      <w:r>
        <w:rPr>
          <w:rFonts w:ascii="宋体" w:hAnsi="宋体" w:cs="宋体" w:eastAsia="宋体" w:hint="default"/>
        </w:rPr>
        <w:t>1</w:t>
      </w:r>
      <w:r>
        <w:rPr>
          <w:rFonts w:ascii="宋体" w:hAnsi="宋体" w:cs="宋体" w:eastAsia="宋体" w:hint="default"/>
          <w:spacing w:val="-59"/>
        </w:rPr>
        <w:t> </w:t>
      </w:r>
      <w:r>
        <w:rPr/>
        <w:t>年的大额应付账款主要为不良品未付款和未开发票款项。</w:t>
      </w:r>
    </w:p>
    <w:p>
      <w:pPr>
        <w:pStyle w:val="Heading7"/>
        <w:spacing w:line="240" w:lineRule="auto" w:before="180"/>
        <w:ind w:left="679" w:right="276"/>
        <w:jc w:val="left"/>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年的重要应付账款</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275"/>
        <w:gridCol w:w="2076"/>
        <w:gridCol w:w="2187"/>
      </w:tblGrid>
      <w:tr>
        <w:trPr>
          <w:trHeight w:val="415" w:hRule="exact"/>
        </w:trPr>
        <w:tc>
          <w:tcPr>
            <w:tcW w:w="42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left="67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left="275"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01" w:hRule="exact"/>
        </w:trPr>
        <w:tc>
          <w:tcPr>
            <w:tcW w:w="4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中国电子进出口总公司</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8,631,281.95</w:t>
            </w:r>
          </w:p>
        </w:tc>
        <w:tc>
          <w:tcPr>
            <w:tcW w:w="2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4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西安黄河机电有限公司</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4,119,000.00</w:t>
            </w:r>
          </w:p>
        </w:tc>
        <w:tc>
          <w:tcPr>
            <w:tcW w:w="2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尚未结算工程款</w:t>
            </w:r>
          </w:p>
        </w:tc>
      </w:tr>
      <w:tr>
        <w:trPr>
          <w:trHeight w:val="403" w:hRule="exact"/>
        </w:trPr>
        <w:tc>
          <w:tcPr>
            <w:tcW w:w="4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北京长城时代信息技术有限公司</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1,452,207.31</w:t>
            </w:r>
          </w:p>
        </w:tc>
        <w:tc>
          <w:tcPr>
            <w:tcW w:w="2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无法联系到供应商</w:t>
            </w:r>
          </w:p>
        </w:tc>
      </w:tr>
      <w:tr>
        <w:trPr>
          <w:trHeight w:val="401" w:hRule="exact"/>
        </w:trPr>
        <w:tc>
          <w:tcPr>
            <w:tcW w:w="4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博珩股份有限公司</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1,321,087.99</w:t>
            </w:r>
          </w:p>
        </w:tc>
        <w:tc>
          <w:tcPr>
            <w:tcW w:w="2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不良品未付</w:t>
            </w:r>
          </w:p>
        </w:tc>
      </w:tr>
      <w:tr>
        <w:trPr>
          <w:trHeight w:val="401" w:hRule="exact"/>
        </w:trPr>
        <w:tc>
          <w:tcPr>
            <w:tcW w:w="42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2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1,120,237.44</w:t>
            </w:r>
          </w:p>
        </w:tc>
        <w:tc>
          <w:tcPr>
            <w:tcW w:w="2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尾款</w:t>
            </w:r>
          </w:p>
        </w:tc>
      </w:tr>
      <w:tr>
        <w:trPr>
          <w:trHeight w:val="415" w:hRule="exact"/>
        </w:trPr>
        <w:tc>
          <w:tcPr>
            <w:tcW w:w="42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16,643,814.69</w:t>
            </w:r>
            <w:r>
              <w:rPr>
                <w:rFonts w:ascii="宋体"/>
                <w:sz w:val="18"/>
              </w:rPr>
            </w:r>
          </w:p>
        </w:tc>
        <w:tc>
          <w:tcPr>
            <w:tcW w:w="218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4"/>
          <w:szCs w:val="4"/>
        </w:rPr>
      </w:pPr>
    </w:p>
    <w:p>
      <w:pPr>
        <w:pStyle w:val="Heading7"/>
        <w:spacing w:line="240" w:lineRule="auto"/>
        <w:ind w:left="679" w:right="276"/>
        <w:jc w:val="left"/>
      </w:pPr>
      <w:r>
        <w:rPr>
          <w:rFonts w:ascii="宋体" w:hAnsi="宋体" w:cs="宋体" w:eastAsia="宋体" w:hint="default"/>
        </w:rPr>
        <w:t>26</w:t>
      </w:r>
      <w:r>
        <w:rPr/>
        <w:t>、预收款项</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993"/>
        <w:gridCol w:w="2770"/>
        <w:gridCol w:w="2775"/>
      </w:tblGrid>
      <w:tr>
        <w:trPr>
          <w:trHeight w:val="415" w:hRule="exact"/>
        </w:trPr>
        <w:tc>
          <w:tcPr>
            <w:tcW w:w="29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right="130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9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87,389,570.13</w:t>
            </w:r>
          </w:p>
        </w:tc>
        <w:tc>
          <w:tcPr>
            <w:tcW w:w="2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157,356,390.49</w:t>
            </w:r>
          </w:p>
        </w:tc>
      </w:tr>
      <w:tr>
        <w:trPr>
          <w:trHeight w:val="401" w:hRule="exact"/>
        </w:trPr>
        <w:tc>
          <w:tcPr>
            <w:tcW w:w="29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2,240,727.33</w:t>
            </w:r>
          </w:p>
        </w:tc>
        <w:tc>
          <w:tcPr>
            <w:tcW w:w="2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19,771,058.87</w:t>
            </w:r>
          </w:p>
        </w:tc>
      </w:tr>
      <w:tr>
        <w:trPr>
          <w:trHeight w:val="415" w:hRule="exact"/>
        </w:trPr>
        <w:tc>
          <w:tcPr>
            <w:tcW w:w="29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right="130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b/>
                <w:w w:val="95"/>
                <w:sz w:val="18"/>
              </w:rPr>
              <w:t>89,630,297.46</w:t>
            </w:r>
            <w:r>
              <w:rPr>
                <w:rFonts w:ascii="宋体"/>
                <w:sz w:val="18"/>
              </w:rPr>
            </w:r>
          </w:p>
        </w:tc>
        <w:tc>
          <w:tcPr>
            <w:tcW w:w="2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9"/>
              <w:jc w:val="right"/>
              <w:rPr>
                <w:rFonts w:ascii="宋体" w:hAnsi="宋体" w:cs="宋体" w:eastAsia="宋体" w:hint="default"/>
                <w:sz w:val="18"/>
                <w:szCs w:val="18"/>
              </w:rPr>
            </w:pPr>
            <w:r>
              <w:rPr>
                <w:rFonts w:ascii="宋体"/>
                <w:b/>
                <w:w w:val="95"/>
                <w:sz w:val="18"/>
              </w:rPr>
              <w:t>177,127,449.36</w:t>
            </w:r>
            <w:r>
              <w:rPr>
                <w:rFonts w:ascii="宋体"/>
                <w:sz w:val="18"/>
              </w:rPr>
            </w:r>
          </w:p>
        </w:tc>
      </w:tr>
    </w:tbl>
    <w:p>
      <w:pPr>
        <w:spacing w:line="240" w:lineRule="auto" w:before="8"/>
        <w:rPr>
          <w:rFonts w:ascii="宋体" w:hAnsi="宋体" w:cs="宋体" w:eastAsia="宋体" w:hint="default"/>
          <w:sz w:val="4"/>
          <w:szCs w:val="4"/>
        </w:rPr>
      </w:pPr>
    </w:p>
    <w:p>
      <w:pPr>
        <w:pStyle w:val="Heading7"/>
        <w:spacing w:line="391" w:lineRule="auto"/>
        <w:ind w:left="679" w:right="281"/>
        <w:jc w:val="left"/>
      </w:pPr>
      <w:r>
        <w:rPr>
          <w:spacing w:val="-15"/>
        </w:rPr>
        <w:t>注：账龄超过</w:t>
      </w:r>
      <w:r>
        <w:rPr>
          <w:spacing w:val="-35"/>
        </w:rPr>
        <w:t> </w:t>
      </w:r>
      <w:r>
        <w:rPr>
          <w:rFonts w:ascii="宋体" w:hAnsi="宋体" w:cs="宋体" w:eastAsia="宋体" w:hint="default"/>
        </w:rPr>
        <w:t>1</w:t>
      </w:r>
      <w:r>
        <w:rPr>
          <w:rFonts w:ascii="宋体" w:hAnsi="宋体" w:cs="宋体" w:eastAsia="宋体" w:hint="default"/>
          <w:spacing w:val="-39"/>
        </w:rPr>
        <w:t> </w:t>
      </w:r>
      <w:r>
        <w:rPr>
          <w:spacing w:val="-4"/>
        </w:rPr>
        <w:t>年的预收款项系客户的货款押金，在销售关系持续期间内不需归还。</w:t>
      </w:r>
      <w:r>
        <w:rPr>
          <w:spacing w:val="-105"/>
        </w:rPr>
        <w:t> </w:t>
      </w:r>
      <w:r>
        <w:rPr>
          <w:spacing w:val="-105"/>
        </w:rPr>
      </w:r>
      <w:r>
        <w:rPr>
          <w:rFonts w:ascii="宋体" w:hAnsi="宋体" w:cs="宋体" w:eastAsia="宋体" w:hint="default"/>
        </w:rPr>
        <w:t>27</w:t>
      </w:r>
      <w:r>
        <w:rPr/>
        <w:t>、应付职工薪酬</w:t>
      </w:r>
    </w:p>
    <w:p>
      <w:pPr>
        <w:pStyle w:val="Heading7"/>
        <w:spacing w:line="240" w:lineRule="auto" w:before="41"/>
        <w:ind w:left="679" w:right="276"/>
        <w:jc w:val="left"/>
      </w:pPr>
      <w:r>
        <w:rPr/>
        <w:t>（</w:t>
      </w:r>
      <w:r>
        <w:rPr>
          <w:rFonts w:ascii="宋体" w:hAnsi="宋体" w:cs="宋体" w:eastAsia="宋体" w:hint="default"/>
        </w:rPr>
        <w:t>1</w:t>
      </w:r>
      <w:r>
        <w:rPr/>
        <w:t>）应付职工薪酬分类</w:t>
      </w:r>
    </w:p>
    <w:p>
      <w:pPr>
        <w:spacing w:line="240" w:lineRule="auto" w:before="8"/>
        <w:rPr>
          <w:rFonts w:ascii="宋体" w:hAnsi="宋体" w:cs="宋体" w:eastAsia="宋体" w:hint="default"/>
          <w:sz w:val="6"/>
          <w:szCs w:val="6"/>
        </w:rPr>
      </w:pPr>
    </w:p>
    <w:tbl>
      <w:tblPr>
        <w:tblW w:w="0" w:type="auto"/>
        <w:jc w:val="left"/>
        <w:tblInd w:w="170" w:type="dxa"/>
        <w:tblLayout w:type="fixed"/>
        <w:tblCellMar>
          <w:top w:w="0" w:type="dxa"/>
          <w:left w:w="0" w:type="dxa"/>
          <w:bottom w:w="0" w:type="dxa"/>
          <w:right w:w="0" w:type="dxa"/>
        </w:tblCellMar>
        <w:tblLook w:val="01E0"/>
      </w:tblPr>
      <w:tblGrid>
        <w:gridCol w:w="2537"/>
        <w:gridCol w:w="1392"/>
        <w:gridCol w:w="1534"/>
        <w:gridCol w:w="1531"/>
        <w:gridCol w:w="1409"/>
      </w:tblGrid>
      <w:tr>
        <w:trPr>
          <w:trHeight w:val="415" w:hRule="exact"/>
        </w:trPr>
        <w:tc>
          <w:tcPr>
            <w:tcW w:w="25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33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4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40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left="34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1" w:hRule="exact"/>
        </w:trPr>
        <w:tc>
          <w:tcPr>
            <w:tcW w:w="25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55"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36"/>
              <w:jc w:val="right"/>
              <w:rPr>
                <w:rFonts w:ascii="宋体" w:hAnsi="宋体" w:cs="宋体" w:eastAsia="宋体" w:hint="default"/>
                <w:sz w:val="18"/>
                <w:szCs w:val="18"/>
              </w:rPr>
            </w:pPr>
            <w:r>
              <w:rPr>
                <w:rFonts w:ascii="宋体"/>
                <w:spacing w:val="-1"/>
                <w:sz w:val="18"/>
              </w:rPr>
              <w:t>732,330,127.93</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39"/>
              <w:jc w:val="right"/>
              <w:rPr>
                <w:rFonts w:ascii="宋体" w:hAnsi="宋体" w:cs="宋体" w:eastAsia="宋体" w:hint="default"/>
                <w:sz w:val="18"/>
                <w:szCs w:val="18"/>
              </w:rPr>
            </w:pPr>
            <w:r>
              <w:rPr>
                <w:rFonts w:ascii="宋体"/>
                <w:spacing w:val="-1"/>
                <w:sz w:val="18"/>
              </w:rPr>
              <w:t>3,666,256,589.18</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36"/>
              <w:jc w:val="right"/>
              <w:rPr>
                <w:rFonts w:ascii="宋体" w:hAnsi="宋体" w:cs="宋体" w:eastAsia="宋体" w:hint="default"/>
                <w:sz w:val="18"/>
                <w:szCs w:val="18"/>
              </w:rPr>
            </w:pPr>
            <w:r>
              <w:rPr>
                <w:rFonts w:ascii="宋体"/>
                <w:spacing w:val="-1"/>
                <w:sz w:val="18"/>
              </w:rPr>
              <w:t>3,703,650,168.50</w:t>
            </w:r>
          </w:p>
        </w:tc>
        <w:tc>
          <w:tcPr>
            <w:tcW w:w="1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39"/>
              <w:jc w:val="right"/>
              <w:rPr>
                <w:rFonts w:ascii="宋体" w:hAnsi="宋体" w:cs="宋体" w:eastAsia="宋体" w:hint="default"/>
                <w:sz w:val="18"/>
                <w:szCs w:val="18"/>
              </w:rPr>
            </w:pPr>
            <w:r>
              <w:rPr>
                <w:rFonts w:ascii="宋体"/>
                <w:spacing w:val="-1"/>
                <w:sz w:val="18"/>
              </w:rPr>
              <w:t>694,936,548.61</w:t>
            </w:r>
          </w:p>
        </w:tc>
      </w:tr>
      <w:tr>
        <w:trPr>
          <w:trHeight w:val="401" w:hRule="exact"/>
        </w:trPr>
        <w:tc>
          <w:tcPr>
            <w:tcW w:w="25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50,737,905.77</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274,893,529.71</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272,757,474.15</w:t>
            </w:r>
          </w:p>
        </w:tc>
        <w:tc>
          <w:tcPr>
            <w:tcW w:w="1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52,873,961.33</w:t>
            </w:r>
          </w:p>
        </w:tc>
      </w:tr>
      <w:tr>
        <w:trPr>
          <w:trHeight w:val="403" w:hRule="exact"/>
        </w:trPr>
        <w:tc>
          <w:tcPr>
            <w:tcW w:w="25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823,991.93</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48,882,358.69</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48,139,292.61</w:t>
            </w:r>
          </w:p>
        </w:tc>
        <w:tc>
          <w:tcPr>
            <w:tcW w:w="14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1,567,058.01</w:t>
            </w:r>
          </w:p>
        </w:tc>
      </w:tr>
      <w:tr>
        <w:trPr>
          <w:trHeight w:val="413" w:hRule="exact"/>
        </w:trPr>
        <w:tc>
          <w:tcPr>
            <w:tcW w:w="25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b/>
                <w:w w:val="95"/>
                <w:sz w:val="18"/>
              </w:rPr>
              <w:t>783,892,025.63</w:t>
            </w:r>
            <w:r>
              <w:rPr>
                <w:rFonts w:ascii="宋体"/>
                <w:sz w:val="18"/>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9"/>
              <w:jc w:val="right"/>
              <w:rPr>
                <w:rFonts w:ascii="宋体" w:hAnsi="宋体" w:cs="宋体" w:eastAsia="宋体" w:hint="default"/>
                <w:sz w:val="18"/>
                <w:szCs w:val="18"/>
              </w:rPr>
            </w:pPr>
            <w:r>
              <w:rPr>
                <w:rFonts w:ascii="宋体"/>
                <w:b/>
                <w:w w:val="95"/>
                <w:sz w:val="18"/>
              </w:rPr>
              <w:t>3,990,032,477.58</w:t>
            </w:r>
            <w:r>
              <w:rPr>
                <w:rFonts w:ascii="宋体"/>
                <w:sz w:val="18"/>
              </w:rPr>
            </w:r>
          </w:p>
        </w:tc>
        <w:tc>
          <w:tcPr>
            <w:tcW w:w="15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b/>
                <w:w w:val="95"/>
                <w:sz w:val="18"/>
              </w:rPr>
              <w:t>4,024,546,935.26</w:t>
            </w:r>
            <w:r>
              <w:rPr>
                <w:rFonts w:ascii="宋体"/>
                <w:sz w:val="18"/>
              </w:rPr>
            </w:r>
          </w:p>
        </w:tc>
        <w:tc>
          <w:tcPr>
            <w:tcW w:w="14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b/>
                <w:w w:val="95"/>
                <w:sz w:val="18"/>
              </w:rPr>
              <w:t>749,377,567.95</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276"/>
        <w:jc w:val="left"/>
      </w:pPr>
      <w:r>
        <w:rPr/>
        <w:t>（</w:t>
      </w:r>
      <w:r>
        <w:rPr>
          <w:rFonts w:ascii="宋体" w:hAnsi="宋体" w:cs="宋体" w:eastAsia="宋体" w:hint="default"/>
        </w:rPr>
        <w:t>2</w:t>
      </w:r>
      <w:r>
        <w:rPr/>
        <w:t>）短期薪酬</w:t>
      </w:r>
    </w:p>
    <w:p>
      <w:pPr>
        <w:spacing w:after="0" w:line="240" w:lineRule="auto"/>
        <w:jc w:val="left"/>
        <w:sectPr>
          <w:pgSz w:w="11910" w:h="16840"/>
          <w:pgMar w:header="881" w:footer="980" w:top="1600" w:bottom="1160" w:left="1560" w:right="1400"/>
        </w:sectPr>
      </w:pPr>
    </w:p>
    <w:p>
      <w:pPr>
        <w:spacing w:line="240" w:lineRule="auto" w:before="9"/>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2230"/>
        <w:gridCol w:w="1606"/>
        <w:gridCol w:w="1604"/>
        <w:gridCol w:w="1606"/>
        <w:gridCol w:w="1359"/>
        <w:gridCol w:w="227"/>
      </w:tblGrid>
      <w:tr>
        <w:trPr>
          <w:trHeight w:val="407" w:hRule="exact"/>
        </w:trPr>
        <w:tc>
          <w:tcPr>
            <w:tcW w:w="22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43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43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43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31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27" w:type="dxa"/>
            <w:vMerge w:val="restart"/>
            <w:tcBorders>
              <w:top w:val="single" w:sz="6" w:space="0" w:color="000000"/>
              <w:left w:val="nil" w:sz="6" w:space="0" w:color="auto"/>
              <w:right w:val="nil" w:sz="6" w:space="0" w:color="auto"/>
            </w:tcBorders>
          </w:tcPr>
          <w:p>
            <w:pPr/>
          </w:p>
        </w:tc>
      </w:tr>
      <w:tr>
        <w:trPr>
          <w:trHeight w:val="403"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55"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8"/>
              <w:jc w:val="right"/>
              <w:rPr>
                <w:rFonts w:ascii="宋体" w:hAnsi="宋体" w:cs="宋体" w:eastAsia="宋体" w:hint="default"/>
                <w:sz w:val="18"/>
                <w:szCs w:val="18"/>
              </w:rPr>
            </w:pPr>
            <w:r>
              <w:rPr>
                <w:rFonts w:ascii="宋体"/>
                <w:spacing w:val="-1"/>
                <w:sz w:val="18"/>
              </w:rPr>
              <w:t>691,429,066.94</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6"/>
              <w:jc w:val="right"/>
              <w:rPr>
                <w:rFonts w:ascii="宋体" w:hAnsi="宋体" w:cs="宋体" w:eastAsia="宋体" w:hint="default"/>
                <w:sz w:val="18"/>
                <w:szCs w:val="18"/>
              </w:rPr>
            </w:pPr>
            <w:r>
              <w:rPr>
                <w:rFonts w:ascii="宋体"/>
                <w:spacing w:val="-1"/>
                <w:sz w:val="18"/>
              </w:rPr>
              <w:t>3,342,192,351.71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6"/>
              <w:jc w:val="right"/>
              <w:rPr>
                <w:rFonts w:ascii="宋体" w:hAnsi="宋体" w:cs="宋体" w:eastAsia="宋体" w:hint="default"/>
                <w:sz w:val="18"/>
                <w:szCs w:val="18"/>
              </w:rPr>
            </w:pPr>
            <w:r>
              <w:rPr>
                <w:rFonts w:ascii="宋体"/>
                <w:spacing w:val="-1"/>
                <w:sz w:val="18"/>
              </w:rPr>
              <w:t>3,361,068,843.58</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39"/>
              <w:jc w:val="right"/>
              <w:rPr>
                <w:rFonts w:ascii="宋体" w:hAnsi="宋体" w:cs="宋体" w:eastAsia="宋体" w:hint="default"/>
                <w:sz w:val="18"/>
                <w:szCs w:val="18"/>
              </w:rPr>
            </w:pPr>
            <w:r>
              <w:rPr>
                <w:rFonts w:ascii="宋体"/>
                <w:spacing w:val="-1"/>
                <w:sz w:val="18"/>
              </w:rPr>
              <w:t>672,552,575.07</w:t>
            </w:r>
          </w:p>
        </w:tc>
        <w:tc>
          <w:tcPr>
            <w:tcW w:w="227" w:type="dxa"/>
            <w:vMerge/>
            <w:tcBorders>
              <w:left w:val="nil" w:sz="6" w:space="0" w:color="auto"/>
              <w:right w:val="nil" w:sz="6" w:space="0" w:color="auto"/>
            </w:tcBorders>
          </w:tcPr>
          <w:p>
            <w:pPr/>
          </w:p>
        </w:tc>
      </w:tr>
      <w:tr>
        <w:trPr>
          <w:trHeight w:val="401"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15,295,790.82</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144,512,087.64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156,405,232.06</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3,402,646.40</w:t>
            </w:r>
          </w:p>
        </w:tc>
        <w:tc>
          <w:tcPr>
            <w:tcW w:w="227" w:type="dxa"/>
            <w:vMerge/>
            <w:tcBorders>
              <w:left w:val="nil" w:sz="6" w:space="0" w:color="auto"/>
              <w:right w:val="nil" w:sz="6" w:space="0" w:color="auto"/>
            </w:tcBorders>
          </w:tcPr>
          <w:p>
            <w:pPr/>
          </w:p>
        </w:tc>
      </w:tr>
      <w:tr>
        <w:trPr>
          <w:trHeight w:val="401"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16,484,586.00</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126,437,239.10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130,673,188.43</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12,248,636.67</w:t>
            </w:r>
          </w:p>
        </w:tc>
        <w:tc>
          <w:tcPr>
            <w:tcW w:w="227" w:type="dxa"/>
            <w:vMerge/>
            <w:tcBorders>
              <w:left w:val="nil" w:sz="6" w:space="0" w:color="auto"/>
              <w:right w:val="nil" w:sz="6" w:space="0" w:color="auto"/>
            </w:tcBorders>
          </w:tcPr>
          <w:p>
            <w:pPr/>
          </w:p>
        </w:tc>
      </w:tr>
      <w:tr>
        <w:trPr>
          <w:trHeight w:val="403"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15,829,853.00</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108,275,560.63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112,416,549.18</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11,688,864.45</w:t>
            </w:r>
          </w:p>
        </w:tc>
        <w:tc>
          <w:tcPr>
            <w:tcW w:w="227" w:type="dxa"/>
            <w:vMerge/>
            <w:tcBorders>
              <w:left w:val="nil" w:sz="6" w:space="0" w:color="auto"/>
              <w:right w:val="nil" w:sz="6" w:space="0" w:color="auto"/>
            </w:tcBorders>
          </w:tcPr>
          <w:p>
            <w:pPr/>
          </w:p>
        </w:tc>
      </w:tr>
      <w:tr>
        <w:trPr>
          <w:trHeight w:val="401"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9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299,831.00</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11,901,333.02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11,895,377.04</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305,786.98</w:t>
            </w:r>
          </w:p>
        </w:tc>
        <w:tc>
          <w:tcPr>
            <w:tcW w:w="227" w:type="dxa"/>
            <w:vMerge/>
            <w:tcBorders>
              <w:left w:val="nil" w:sz="6" w:space="0" w:color="auto"/>
              <w:right w:val="nil" w:sz="6" w:space="0" w:color="auto"/>
            </w:tcBorders>
          </w:tcPr>
          <w:p>
            <w:pPr/>
          </w:p>
        </w:tc>
      </w:tr>
      <w:tr>
        <w:trPr>
          <w:trHeight w:val="401"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9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354,902.00</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6,260,345.45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6,361,262.21</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253,985.24</w:t>
            </w:r>
          </w:p>
        </w:tc>
        <w:tc>
          <w:tcPr>
            <w:tcW w:w="227" w:type="dxa"/>
            <w:vMerge/>
            <w:tcBorders>
              <w:left w:val="nil" w:sz="6" w:space="0" w:color="auto"/>
              <w:right w:val="nil" w:sz="6" w:space="0" w:color="auto"/>
            </w:tcBorders>
          </w:tcPr>
          <w:p>
            <w:pPr/>
          </w:p>
        </w:tc>
      </w:tr>
      <w:tr>
        <w:trPr>
          <w:trHeight w:val="401"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5,696,431.40</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45,710,463.61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46,816,988.61</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spacing w:val="-1"/>
                <w:sz w:val="18"/>
              </w:rPr>
              <w:t>4,589,906.40</w:t>
            </w:r>
          </w:p>
        </w:tc>
        <w:tc>
          <w:tcPr>
            <w:tcW w:w="227" w:type="dxa"/>
            <w:vMerge/>
            <w:tcBorders>
              <w:left w:val="nil" w:sz="6" w:space="0" w:color="auto"/>
              <w:right w:val="nil" w:sz="6" w:space="0" w:color="auto"/>
            </w:tcBorders>
          </w:tcPr>
          <w:p>
            <w:pPr/>
          </w:p>
        </w:tc>
      </w:tr>
      <w:tr>
        <w:trPr>
          <w:trHeight w:val="403"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55"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8"/>
              <w:jc w:val="right"/>
              <w:rPr>
                <w:rFonts w:ascii="宋体" w:hAnsi="宋体" w:cs="宋体" w:eastAsia="宋体" w:hint="default"/>
                <w:sz w:val="18"/>
                <w:szCs w:val="18"/>
              </w:rPr>
            </w:pPr>
            <w:r>
              <w:rPr>
                <w:rFonts w:ascii="宋体"/>
                <w:spacing w:val="-1"/>
                <w:sz w:val="18"/>
              </w:rPr>
              <w:t>3,220,252.77</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6"/>
              <w:jc w:val="right"/>
              <w:rPr>
                <w:rFonts w:ascii="宋体" w:hAnsi="宋体" w:cs="宋体" w:eastAsia="宋体" w:hint="default"/>
                <w:sz w:val="18"/>
                <w:szCs w:val="18"/>
              </w:rPr>
            </w:pPr>
            <w:r>
              <w:rPr>
                <w:rFonts w:ascii="宋体"/>
                <w:spacing w:val="-1"/>
                <w:sz w:val="18"/>
              </w:rPr>
              <w:t>3,938,963.07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6"/>
              <w:jc w:val="right"/>
              <w:rPr>
                <w:rFonts w:ascii="宋体" w:hAnsi="宋体" w:cs="宋体" w:eastAsia="宋体" w:hint="default"/>
                <w:sz w:val="18"/>
                <w:szCs w:val="18"/>
              </w:rPr>
            </w:pPr>
            <w:r>
              <w:rPr>
                <w:rFonts w:ascii="宋体"/>
                <w:spacing w:val="-1"/>
                <w:sz w:val="18"/>
              </w:rPr>
              <w:t>5,197,640.07</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39"/>
              <w:jc w:val="right"/>
              <w:rPr>
                <w:rFonts w:ascii="宋体" w:hAnsi="宋体" w:cs="宋体" w:eastAsia="宋体" w:hint="default"/>
                <w:sz w:val="18"/>
                <w:szCs w:val="18"/>
              </w:rPr>
            </w:pPr>
            <w:r>
              <w:rPr>
                <w:rFonts w:ascii="宋体"/>
                <w:spacing w:val="-1"/>
                <w:sz w:val="18"/>
              </w:rPr>
              <w:t>1,961,575.77</w:t>
            </w:r>
          </w:p>
        </w:tc>
        <w:tc>
          <w:tcPr>
            <w:tcW w:w="227" w:type="dxa"/>
            <w:vMerge/>
            <w:tcBorders>
              <w:left w:val="nil" w:sz="6" w:space="0" w:color="auto"/>
              <w:right w:val="nil" w:sz="6" w:space="0" w:color="auto"/>
            </w:tcBorders>
          </w:tcPr>
          <w:p>
            <w:pPr/>
          </w:p>
        </w:tc>
      </w:tr>
      <w:tr>
        <w:trPr>
          <w:trHeight w:val="401" w:hRule="exact"/>
        </w:trPr>
        <w:tc>
          <w:tcPr>
            <w:tcW w:w="22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204,000.00</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3,465,484.05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3,488,275.75</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181,208.30</w:t>
            </w:r>
          </w:p>
        </w:tc>
        <w:tc>
          <w:tcPr>
            <w:tcW w:w="227" w:type="dxa"/>
            <w:vMerge/>
            <w:tcBorders>
              <w:left w:val="nil" w:sz="6" w:space="0" w:color="auto"/>
              <w:right w:val="nil" w:sz="6" w:space="0" w:color="auto"/>
            </w:tcBorders>
          </w:tcPr>
          <w:p>
            <w:pPr/>
          </w:p>
        </w:tc>
      </w:tr>
      <w:tr>
        <w:trPr>
          <w:trHeight w:val="415" w:hRule="exact"/>
        </w:trPr>
        <w:tc>
          <w:tcPr>
            <w:tcW w:w="22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9"/>
              <w:jc w:val="right"/>
              <w:rPr>
                <w:rFonts w:ascii="宋体" w:hAnsi="宋体" w:cs="宋体" w:eastAsia="宋体" w:hint="default"/>
                <w:sz w:val="18"/>
                <w:szCs w:val="18"/>
              </w:rPr>
            </w:pPr>
            <w:r>
              <w:rPr>
                <w:rFonts w:ascii="宋体"/>
                <w:b/>
                <w:w w:val="95"/>
                <w:sz w:val="18"/>
              </w:rPr>
              <w:t>732,330,127.93</w:t>
            </w:r>
            <w:r>
              <w:rPr>
                <w:rFonts w:ascii="宋体"/>
                <w:sz w:val="18"/>
              </w:rPr>
            </w: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7"/>
              <w:jc w:val="right"/>
              <w:rPr>
                <w:rFonts w:ascii="宋体" w:hAnsi="宋体" w:cs="宋体" w:eastAsia="宋体" w:hint="default"/>
                <w:sz w:val="18"/>
                <w:szCs w:val="18"/>
              </w:rPr>
            </w:pPr>
            <w:r>
              <w:rPr>
                <w:rFonts w:ascii="宋体"/>
                <w:b/>
                <w:w w:val="95"/>
                <w:sz w:val="18"/>
              </w:rPr>
              <w:t>3,666,256,589.18</w:t>
            </w:r>
            <w:r>
              <w:rPr>
                <w:rFonts w:ascii="宋体"/>
                <w:sz w:val="18"/>
              </w:rPr>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b/>
                <w:w w:val="95"/>
                <w:sz w:val="18"/>
              </w:rPr>
              <w:t>3,703,650,168.50</w:t>
            </w:r>
            <w:r>
              <w:rPr>
                <w:rFonts w:ascii="宋体"/>
                <w:sz w:val="18"/>
              </w:rPr>
            </w:r>
          </w:p>
        </w:tc>
        <w:tc>
          <w:tcPr>
            <w:tcW w:w="13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39"/>
              <w:jc w:val="right"/>
              <w:rPr>
                <w:rFonts w:ascii="宋体" w:hAnsi="宋体" w:cs="宋体" w:eastAsia="宋体" w:hint="default"/>
                <w:sz w:val="18"/>
                <w:szCs w:val="18"/>
              </w:rPr>
            </w:pPr>
            <w:r>
              <w:rPr>
                <w:rFonts w:ascii="宋体"/>
                <w:b/>
                <w:w w:val="95"/>
                <w:sz w:val="18"/>
              </w:rPr>
              <w:t>694,936,548.61</w:t>
            </w:r>
            <w:r>
              <w:rPr>
                <w:rFonts w:ascii="宋体"/>
                <w:sz w:val="18"/>
              </w:rPr>
            </w:r>
          </w:p>
        </w:tc>
        <w:tc>
          <w:tcPr>
            <w:tcW w:w="227" w:type="dxa"/>
            <w:vMerge/>
            <w:tcBorders>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w:t>
      </w:r>
      <w:r>
        <w:rPr>
          <w:rFonts w:ascii="宋体" w:hAnsi="宋体" w:cs="宋体" w:eastAsia="宋体" w:hint="default"/>
        </w:rPr>
        <w:t>3</w:t>
      </w:r>
      <w:r>
        <w:rPr/>
        <w:t>）设定提存计划</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586"/>
        <w:gridCol w:w="1700"/>
        <w:gridCol w:w="1839"/>
        <w:gridCol w:w="1841"/>
        <w:gridCol w:w="1572"/>
      </w:tblGrid>
      <w:tr>
        <w:trPr>
          <w:trHeight w:val="413" w:hRule="exact"/>
        </w:trPr>
        <w:tc>
          <w:tcPr>
            <w:tcW w:w="15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48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5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55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left="42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3"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4"/>
              <w:jc w:val="right"/>
              <w:rPr>
                <w:rFonts w:ascii="宋体" w:hAnsi="宋体" w:cs="宋体" w:eastAsia="宋体" w:hint="default"/>
                <w:sz w:val="18"/>
                <w:szCs w:val="18"/>
              </w:rPr>
            </w:pPr>
            <w:r>
              <w:rPr>
                <w:rFonts w:ascii="宋体"/>
                <w:spacing w:val="-1"/>
                <w:sz w:val="18"/>
              </w:rPr>
              <w:t>49,734,389.77</w:t>
            </w:r>
          </w:p>
        </w:tc>
        <w:tc>
          <w:tcPr>
            <w:tcW w:w="1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宋体" w:hAnsi="宋体" w:cs="宋体" w:eastAsia="宋体" w:hint="default"/>
                <w:sz w:val="18"/>
                <w:szCs w:val="18"/>
              </w:rPr>
            </w:pPr>
            <w:r>
              <w:rPr>
                <w:rFonts w:ascii="宋体"/>
                <w:spacing w:val="-1"/>
                <w:sz w:val="18"/>
              </w:rPr>
              <w:t>218,519,863.36</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216,993,643.60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pacing w:val="-1"/>
                <w:sz w:val="18"/>
              </w:rPr>
              <w:t>51,260,609.53</w:t>
            </w:r>
          </w:p>
        </w:tc>
      </w:tr>
      <w:tr>
        <w:trPr>
          <w:trHeight w:val="401"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1,003,516.00</w:t>
            </w:r>
          </w:p>
        </w:tc>
        <w:tc>
          <w:tcPr>
            <w:tcW w:w="1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50,509,394.78</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49,899,558.98</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1,613,351.80</w:t>
            </w:r>
          </w:p>
        </w:tc>
      </w:tr>
      <w:tr>
        <w:trPr>
          <w:trHeight w:val="401" w:hRule="exact"/>
        </w:trPr>
        <w:tc>
          <w:tcPr>
            <w:tcW w:w="15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700" w:type="dxa"/>
            <w:tcBorders>
              <w:top w:val="single" w:sz="2" w:space="0" w:color="000000"/>
              <w:left w:val="single" w:sz="2" w:space="0" w:color="000000"/>
              <w:bottom w:val="single" w:sz="2" w:space="0" w:color="000000"/>
              <w:right w:val="single" w:sz="2" w:space="0" w:color="000000"/>
            </w:tcBorders>
          </w:tcPr>
          <w:p>
            <w:pPr/>
          </w:p>
        </w:tc>
        <w:tc>
          <w:tcPr>
            <w:tcW w:w="1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5,864,271.57</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5,864,271.57</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5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50,737,905.77</w:t>
            </w:r>
            <w:r>
              <w:rPr>
                <w:rFonts w:ascii="宋体"/>
                <w:sz w:val="18"/>
              </w:rPr>
            </w:r>
          </w:p>
        </w:tc>
        <w:tc>
          <w:tcPr>
            <w:tcW w:w="18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274,893,529.71</w:t>
            </w:r>
            <w:r>
              <w:rPr>
                <w:rFonts w:ascii="宋体"/>
                <w:sz w:val="18"/>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272,757,474.15</w:t>
            </w:r>
            <w:r>
              <w:rPr>
                <w:rFonts w:ascii="宋体"/>
                <w:sz w:val="18"/>
              </w:rPr>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52,873,961.33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28</w:t>
      </w:r>
      <w:r>
        <w:rPr/>
        <w:t>、应交税费</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853"/>
        <w:gridCol w:w="2369"/>
        <w:gridCol w:w="2316"/>
      </w:tblGrid>
      <w:tr>
        <w:trPr>
          <w:trHeight w:val="442" w:hRule="exact"/>
        </w:trPr>
        <w:tc>
          <w:tcPr>
            <w:tcW w:w="38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0"/>
              <w:ind w:right="173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132,713,549.85</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225,387,382.14</w:t>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1,399,437.39</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879,838.44</w:t>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144,308,190.74</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274,543,215.73</w:t>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25,804,255.86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29,128,022.70</w:t>
            </w:r>
          </w:p>
        </w:tc>
      </w:tr>
      <w:tr>
        <w:trPr>
          <w:trHeight w:val="427"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10,122,121.83</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10,912,068.82</w:t>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1,313,649.11</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799,833.03</w:t>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1,198,306.20</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539,675.06</w:t>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10,726,855.38</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7,713,808.47</w:t>
            </w:r>
          </w:p>
        </w:tc>
      </w:tr>
      <w:tr>
        <w:trPr>
          <w:trHeight w:val="430"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8"/>
                <w:szCs w:val="18"/>
              </w:rPr>
            </w:pPr>
            <w:r>
              <w:rPr>
                <w:rFonts w:ascii="宋体"/>
                <w:spacing w:val="-1"/>
                <w:sz w:val="18"/>
              </w:rPr>
              <w:t>7,490,327.53</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宋体" w:hAnsi="宋体" w:cs="宋体" w:eastAsia="宋体" w:hint="default"/>
                <w:sz w:val="18"/>
                <w:szCs w:val="18"/>
              </w:rPr>
            </w:pPr>
            <w:r>
              <w:rPr>
                <w:rFonts w:ascii="宋体"/>
                <w:spacing w:val="-1"/>
                <w:sz w:val="18"/>
              </w:rPr>
              <w:t>4,814,351.75</w:t>
            </w:r>
          </w:p>
        </w:tc>
      </w:tr>
      <w:tr>
        <w:trPr>
          <w:trHeight w:val="427"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其他税费</w:t>
            </w:r>
            <w:r>
              <w:rPr>
                <w:rFonts w:ascii="宋体" w:hAnsi="宋体" w:cs="宋体" w:eastAsia="宋体" w:hint="default"/>
                <w:position w:val="9"/>
                <w:sz w:val="9"/>
                <w:szCs w:val="9"/>
              </w:rPr>
              <w:t>注</w:t>
            </w:r>
            <w:r>
              <w:rPr>
                <w:rFonts w:ascii="宋体" w:hAnsi="宋体" w:cs="宋体" w:eastAsia="宋体" w:hint="default"/>
                <w:sz w:val="9"/>
                <w:szCs w:val="9"/>
              </w:rPr>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178,524,796.46</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203,158,964.23</w:t>
            </w:r>
          </w:p>
        </w:tc>
      </w:tr>
      <w:tr>
        <w:trPr>
          <w:trHeight w:val="444" w:hRule="exact"/>
        </w:trPr>
        <w:tc>
          <w:tcPr>
            <w:tcW w:w="38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right="173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513,601,490.35</w:t>
            </w:r>
            <w:r>
              <w:rPr>
                <w:rFonts w:ascii="宋体"/>
                <w:sz w:val="18"/>
              </w:rPr>
            </w:r>
          </w:p>
        </w:tc>
        <w:tc>
          <w:tcPr>
            <w:tcW w:w="23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b/>
                <w:w w:val="95"/>
                <w:sz w:val="18"/>
              </w:rPr>
              <w:t>757,877,160.37</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240" w:right="256" w:firstLine="439"/>
        <w:jc w:val="left"/>
      </w:pPr>
      <w:r>
        <w:rPr>
          <w:spacing w:val="-3"/>
        </w:rPr>
        <w:t>注：年末应交其他税费主要为冠捷科技应交境外税项，包括冠捷科技应交产品研发</w:t>
      </w:r>
      <w:r>
        <w:rPr>
          <w:w w:val="100"/>
        </w:rPr>
        <w:t> </w:t>
      </w:r>
      <w:r>
        <w:rPr/>
        <w:t>税</w:t>
      </w:r>
      <w:r>
        <w:rPr>
          <w:spacing w:val="-55"/>
        </w:rPr>
        <w:t> </w:t>
      </w:r>
      <w:r>
        <w:rPr>
          <w:rFonts w:ascii="宋体" w:hAnsi="宋体" w:cs="宋体" w:eastAsia="宋体" w:hint="default"/>
        </w:rPr>
        <w:t>462.99</w:t>
      </w:r>
      <w:r>
        <w:rPr>
          <w:rFonts w:ascii="宋体" w:hAnsi="宋体" w:cs="宋体" w:eastAsia="宋体" w:hint="default"/>
          <w:spacing w:val="-58"/>
        </w:rPr>
        <w:t> </w:t>
      </w:r>
      <w:r>
        <w:rPr/>
        <w:t>万元、关税</w:t>
      </w:r>
      <w:r>
        <w:rPr>
          <w:spacing w:val="-55"/>
        </w:rPr>
        <w:t> </w:t>
      </w:r>
      <w:r>
        <w:rPr>
          <w:rFonts w:ascii="宋体" w:hAnsi="宋体" w:cs="宋体" w:eastAsia="宋体" w:hint="default"/>
        </w:rPr>
        <w:t>3,491.61</w:t>
      </w:r>
      <w:r>
        <w:rPr>
          <w:rFonts w:ascii="宋体" w:hAnsi="宋体" w:cs="宋体" w:eastAsia="宋体" w:hint="default"/>
          <w:spacing w:val="-55"/>
        </w:rPr>
        <w:t> </w:t>
      </w:r>
      <w:r>
        <w:rPr/>
        <w:t>万元，其他海外税费</w:t>
      </w:r>
      <w:r>
        <w:rPr>
          <w:spacing w:val="-55"/>
        </w:rPr>
        <w:t> </w:t>
      </w:r>
      <w:r>
        <w:rPr>
          <w:rFonts w:ascii="宋体" w:hAnsi="宋体" w:cs="宋体" w:eastAsia="宋体" w:hint="default"/>
        </w:rPr>
        <w:t>10,881.33</w:t>
      </w:r>
      <w:r>
        <w:rPr>
          <w:rFonts w:ascii="宋体" w:hAnsi="宋体" w:cs="宋体" w:eastAsia="宋体" w:hint="default"/>
          <w:spacing w:val="-58"/>
        </w:rPr>
        <w:t> </w:t>
      </w:r>
      <w:r>
        <w:rPr/>
        <w:t>万元。</w:t>
      </w:r>
    </w:p>
    <w:p>
      <w:pPr>
        <w:spacing w:after="0" w:line="326" w:lineRule="auto"/>
        <w:jc w:val="left"/>
        <w:sectPr>
          <w:pgSz w:w="11910" w:h="16840"/>
          <w:pgMar w:header="881" w:footer="980" w:top="1600" w:bottom="1160" w:left="156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99" w:right="276"/>
        <w:jc w:val="left"/>
      </w:pPr>
      <w:r>
        <w:rPr>
          <w:rFonts w:ascii="宋体" w:hAnsi="宋体" w:cs="宋体" w:eastAsia="宋体" w:hint="default"/>
        </w:rPr>
        <w:t>29</w:t>
      </w:r>
      <w:r>
        <w:rPr/>
        <w:t>、应付利息</w:t>
      </w:r>
    </w:p>
    <w:p>
      <w:pPr>
        <w:pStyle w:val="Heading7"/>
        <w:spacing w:line="240" w:lineRule="auto" w:before="180"/>
        <w:ind w:left="699" w:right="276"/>
        <w:jc w:val="left"/>
      </w:pPr>
      <w:r>
        <w:rPr/>
        <w:t>（</w:t>
      </w:r>
      <w:r>
        <w:rPr>
          <w:rFonts w:ascii="宋体" w:hAnsi="宋体" w:cs="宋体" w:eastAsia="宋体" w:hint="default"/>
        </w:rPr>
        <w:t>1</w:t>
      </w:r>
      <w:r>
        <w:rPr/>
        <w:t>）应付利息分类</w:t>
      </w:r>
    </w:p>
    <w:p>
      <w:pPr>
        <w:spacing w:line="240" w:lineRule="auto" w:before="8"/>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3853"/>
        <w:gridCol w:w="2369"/>
        <w:gridCol w:w="2316"/>
      </w:tblGrid>
      <w:tr>
        <w:trPr>
          <w:trHeight w:val="389" w:hRule="exact"/>
        </w:trPr>
        <w:tc>
          <w:tcPr>
            <w:tcW w:w="38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13,450,000.00</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13,450,000.00</w:t>
            </w:r>
          </w:p>
        </w:tc>
      </w:tr>
      <w:tr>
        <w:trPr>
          <w:trHeight w:val="374"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3,324,723.20</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11,656,695.00</w:t>
            </w:r>
          </w:p>
        </w:tc>
      </w:tr>
      <w:tr>
        <w:trPr>
          <w:trHeight w:val="374" w:hRule="exact"/>
        </w:trPr>
        <w:tc>
          <w:tcPr>
            <w:tcW w:w="38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344,246.22</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4,008,821.56</w:t>
            </w:r>
          </w:p>
        </w:tc>
      </w:tr>
      <w:tr>
        <w:trPr>
          <w:trHeight w:val="389" w:hRule="exact"/>
        </w:trPr>
        <w:tc>
          <w:tcPr>
            <w:tcW w:w="38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17,118,969.42</w:t>
            </w:r>
            <w:r>
              <w:rPr>
                <w:rFonts w:ascii="宋体"/>
                <w:sz w:val="18"/>
              </w:rPr>
            </w:r>
          </w:p>
        </w:tc>
        <w:tc>
          <w:tcPr>
            <w:tcW w:w="23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29,115,516.56</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rFonts w:ascii="宋体" w:hAnsi="宋体" w:cs="宋体" w:eastAsia="宋体" w:hint="default"/>
        </w:rPr>
        <w:t>30</w:t>
      </w:r>
      <w:r>
        <w:rPr/>
        <w:t>、其他应付款</w:t>
      </w:r>
    </w:p>
    <w:p>
      <w:pPr>
        <w:pStyle w:val="Heading7"/>
        <w:spacing w:line="240" w:lineRule="auto" w:before="180"/>
        <w:ind w:left="699" w:right="276"/>
        <w:jc w:val="left"/>
      </w:pPr>
      <w:r>
        <w:rPr/>
        <w:t>（</w:t>
      </w:r>
      <w:r>
        <w:rPr>
          <w:rFonts w:ascii="宋体" w:hAnsi="宋体" w:cs="宋体" w:eastAsia="宋体" w:hint="default"/>
        </w:rPr>
        <w:t>1</w:t>
      </w:r>
      <w:r>
        <w:rPr/>
        <w:t>）其他应付款按款项性质分类</w:t>
      </w:r>
    </w:p>
    <w:p>
      <w:pPr>
        <w:spacing w:line="240" w:lineRule="auto" w:before="8"/>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3862"/>
        <w:gridCol w:w="2338"/>
        <w:gridCol w:w="2338"/>
      </w:tblGrid>
      <w:tr>
        <w:trPr>
          <w:trHeight w:val="389" w:hRule="exact"/>
        </w:trPr>
        <w:tc>
          <w:tcPr>
            <w:tcW w:w="38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3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信用证保理</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2,367,858,772.01</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3,185,337,234.99</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特许权使用费</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1,311,128,853.22</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1,267,116,372.69</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1,076,374,271.62</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1,573,070,970.57</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502,657,734.82</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485,940,019.63</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154,167,232.65</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227,855,486.68</w:t>
            </w:r>
          </w:p>
        </w:tc>
      </w:tr>
      <w:tr>
        <w:trPr>
          <w:trHeight w:val="377"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市场发展基金</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153,035,082.76</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105,014,278.00</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118,382,375.33</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123,554,848.00</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27,877,658.77</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24,644,231.84</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21,277,221.36</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49,061,186.73</w:t>
            </w:r>
          </w:p>
        </w:tc>
      </w:tr>
      <w:tr>
        <w:trPr>
          <w:trHeight w:val="375"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19,143,132.80</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30,166,670.00</w:t>
            </w:r>
          </w:p>
        </w:tc>
      </w:tr>
      <w:tr>
        <w:trPr>
          <w:trHeight w:val="374"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11,597,714.94</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24,922,687.00</w:t>
            </w:r>
          </w:p>
        </w:tc>
      </w:tr>
      <w:tr>
        <w:trPr>
          <w:trHeight w:val="377" w:hRule="exact"/>
        </w:trPr>
        <w:tc>
          <w:tcPr>
            <w:tcW w:w="38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66,546,203.14</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164,260,890.17</w:t>
            </w:r>
          </w:p>
        </w:tc>
      </w:tr>
      <w:tr>
        <w:trPr>
          <w:trHeight w:val="386" w:hRule="exact"/>
        </w:trPr>
        <w:tc>
          <w:tcPr>
            <w:tcW w:w="38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5,830,046,253.42</w:t>
            </w:r>
            <w:r>
              <w:rPr>
                <w:rFonts w:ascii="宋体"/>
                <w:sz w:val="18"/>
              </w:rPr>
            </w:r>
          </w:p>
        </w:tc>
        <w:tc>
          <w:tcPr>
            <w:tcW w:w="23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7,260,944,876.30</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年的重要其他应付款</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716"/>
        <w:gridCol w:w="2410"/>
        <w:gridCol w:w="2424"/>
      </w:tblGrid>
      <w:tr>
        <w:trPr>
          <w:trHeight w:val="389" w:hRule="exact"/>
        </w:trPr>
        <w:tc>
          <w:tcPr>
            <w:tcW w:w="37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74" w:hRule="exact"/>
        </w:trPr>
        <w:tc>
          <w:tcPr>
            <w:tcW w:w="3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香港爱卡电器有限公司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22,201,954.30</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结算单据未到</w:t>
            </w:r>
          </w:p>
        </w:tc>
      </w:tr>
      <w:tr>
        <w:trPr>
          <w:trHeight w:val="374" w:hRule="exact"/>
        </w:trPr>
        <w:tc>
          <w:tcPr>
            <w:tcW w:w="3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石岩二期</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厂房预提款</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7,931,408.41</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74" w:hRule="exact"/>
        </w:trPr>
        <w:tc>
          <w:tcPr>
            <w:tcW w:w="3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鹏博士电信传媒集团股份有限公司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1,737,841.12</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租赁期内保证金无需偿还</w:t>
            </w:r>
          </w:p>
        </w:tc>
      </w:tr>
      <w:tr>
        <w:trPr>
          <w:trHeight w:val="389" w:hRule="exact"/>
        </w:trPr>
        <w:tc>
          <w:tcPr>
            <w:tcW w:w="37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31,871,203.83</w:t>
            </w:r>
            <w:r>
              <w:rPr>
                <w:rFonts w:ascii="宋体"/>
                <w:sz w:val="18"/>
              </w:rPr>
            </w:r>
          </w:p>
        </w:tc>
        <w:tc>
          <w:tcPr>
            <w:tcW w:w="242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4"/>
          <w:szCs w:val="4"/>
        </w:rPr>
      </w:pPr>
    </w:p>
    <w:p>
      <w:pPr>
        <w:pStyle w:val="Heading7"/>
        <w:spacing w:line="240" w:lineRule="auto"/>
        <w:ind w:left="699" w:right="276"/>
        <w:jc w:val="left"/>
      </w:pPr>
      <w:r>
        <w:rPr>
          <w:rFonts w:ascii="宋体" w:hAnsi="宋体" w:cs="宋体" w:eastAsia="宋体" w:hint="default"/>
        </w:rPr>
        <w:t>31</w:t>
      </w:r>
      <w:r>
        <w:rPr/>
        <w:t>、一年内到期的非流动负债</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622"/>
        <w:gridCol w:w="2532"/>
        <w:gridCol w:w="2396"/>
      </w:tblGrid>
      <w:tr>
        <w:trPr>
          <w:trHeight w:val="389"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right="161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left="83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499,513,581.05</w:t>
            </w:r>
          </w:p>
        </w:tc>
        <w:tc>
          <w:tcPr>
            <w:tcW w:w="239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73,500,000.00</w:t>
            </w:r>
          </w:p>
        </w:tc>
        <w:tc>
          <w:tcPr>
            <w:tcW w:w="23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842" w:right="0"/>
              <w:jc w:val="left"/>
              <w:rPr>
                <w:rFonts w:ascii="宋体" w:hAnsi="宋体" w:cs="宋体" w:eastAsia="宋体" w:hint="default"/>
                <w:sz w:val="18"/>
                <w:szCs w:val="18"/>
              </w:rPr>
            </w:pPr>
            <w:r>
              <w:rPr>
                <w:rFonts w:ascii="宋体"/>
                <w:sz w:val="18"/>
              </w:rPr>
              <w:t>1,309,655,008.00</w:t>
            </w:r>
          </w:p>
        </w:tc>
      </w:tr>
      <w:tr>
        <w:trPr>
          <w:trHeight w:val="389"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161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573,013,581.05</w:t>
            </w:r>
            <w:r>
              <w:rPr>
                <w:rFonts w:ascii="宋体"/>
                <w:sz w:val="18"/>
              </w:rPr>
            </w:r>
          </w:p>
        </w:tc>
        <w:tc>
          <w:tcPr>
            <w:tcW w:w="23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830" w:right="0"/>
              <w:jc w:val="left"/>
              <w:rPr>
                <w:rFonts w:ascii="宋体" w:hAnsi="宋体" w:cs="宋体" w:eastAsia="宋体" w:hint="default"/>
                <w:sz w:val="18"/>
                <w:szCs w:val="18"/>
              </w:rPr>
            </w:pPr>
            <w:r>
              <w:rPr>
                <w:rFonts w:ascii="宋体"/>
                <w:b/>
                <w:sz w:val="18"/>
              </w:rPr>
              <w:t>1,309,655,008.00</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881" w:footer="980" w:top="1600" w:bottom="1160" w:left="1540" w:right="1420"/>
        </w:sectPr>
      </w:pPr>
    </w:p>
    <w:p>
      <w:pPr>
        <w:pStyle w:val="Heading6"/>
        <w:spacing w:line="240" w:lineRule="auto" w:before="7"/>
        <w:ind w:left="240" w:right="1708"/>
        <w:jc w:val="left"/>
        <w:rPr>
          <w:b w:val="0"/>
          <w:bCs w:val="0"/>
        </w:rPr>
      </w:pPr>
      <w:r>
        <w:rPr/>
        <w:t>中国长城计算机深圳股份有限公司财务报表附注</w:t>
      </w:r>
      <w:r>
        <w:rPr>
          <w:b w:val="0"/>
          <w:bCs w:val="0"/>
        </w:rPr>
      </w:r>
    </w:p>
    <w:p>
      <w:pPr>
        <w:pStyle w:val="BodyText"/>
        <w:spacing w:line="234" w:lineRule="exact" w:before="4"/>
        <w:ind w:left="240" w:right="1708"/>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40" w:right="1708"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5"/>
          <w:szCs w:val="15"/>
        </w:rPr>
      </w:pPr>
    </w:p>
    <w:p>
      <w:pPr>
        <w:pStyle w:val="Heading7"/>
        <w:spacing w:line="240" w:lineRule="auto"/>
        <w:ind w:left="679" w:right="1708"/>
        <w:jc w:val="left"/>
      </w:pPr>
      <w:r>
        <w:rPr/>
        <w:t>（</w:t>
      </w:r>
      <w:r>
        <w:rPr>
          <w:rFonts w:ascii="宋体" w:hAnsi="宋体" w:cs="宋体" w:eastAsia="宋体" w:hint="default"/>
        </w:rPr>
        <w:t>1</w:t>
      </w:r>
      <w:r>
        <w:rPr/>
        <w:t>）一年内到期的应付债券</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140"/>
        <w:gridCol w:w="703"/>
        <w:gridCol w:w="1106"/>
        <w:gridCol w:w="701"/>
        <w:gridCol w:w="1705"/>
        <w:gridCol w:w="1694"/>
        <w:gridCol w:w="989"/>
        <w:gridCol w:w="1697"/>
        <w:gridCol w:w="1274"/>
        <w:gridCol w:w="1553"/>
        <w:gridCol w:w="1627"/>
      </w:tblGrid>
      <w:tr>
        <w:trPr>
          <w:trHeight w:val="679" w:hRule="exact"/>
        </w:trPr>
        <w:tc>
          <w:tcPr>
            <w:tcW w:w="1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703"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49"/>
              <w:ind w:left="167" w:right="163"/>
              <w:jc w:val="lef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b/>
                <w:bCs/>
                <w:spacing w:val="-8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1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701"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10"/>
              <w:ind w:left="165" w:right="163"/>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89"/>
                <w:sz w:val="18"/>
                <w:szCs w:val="18"/>
              </w:rPr>
              <w:t> </w:t>
            </w:r>
            <w:r>
              <w:rPr>
                <w:rFonts w:ascii="宋体" w:hAnsi="宋体" w:cs="宋体" w:eastAsia="宋体" w:hint="default"/>
                <w:b/>
                <w:bCs/>
                <w:sz w:val="18"/>
                <w:szCs w:val="18"/>
              </w:rPr>
              <w:t>期限</w:t>
            </w:r>
            <w:r>
              <w:rPr>
                <w:rFonts w:ascii="宋体" w:hAnsi="宋体" w:cs="宋体" w:eastAsia="宋体" w:hint="default"/>
                <w:sz w:val="18"/>
                <w:szCs w:val="18"/>
              </w:rPr>
            </w:r>
          </w:p>
        </w:tc>
        <w:tc>
          <w:tcPr>
            <w:tcW w:w="17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10"/>
              <w:ind w:left="309" w:right="307"/>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89"/>
                <w:sz w:val="18"/>
                <w:szCs w:val="18"/>
              </w:rPr>
              <w:t> </w:t>
            </w:r>
            <w:r>
              <w:rPr>
                <w:rFonts w:ascii="宋体" w:hAnsi="宋体" w:cs="宋体" w:eastAsia="宋体" w:hint="default"/>
                <w:b/>
                <w:bCs/>
                <w:sz w:val="18"/>
                <w:szCs w:val="18"/>
              </w:rPr>
              <w:t>发行</w:t>
            </w:r>
            <w:r>
              <w:rPr>
                <w:rFonts w:ascii="宋体" w:hAnsi="宋体" w:cs="宋体" w:eastAsia="宋体" w:hint="default"/>
                <w:sz w:val="18"/>
                <w:szCs w:val="18"/>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按面值计提利息</w:t>
            </w:r>
            <w:r>
              <w:rPr>
                <w:rFonts w:ascii="宋体" w:hAnsi="宋体" w:cs="宋体" w:eastAsia="宋体" w:hint="default"/>
                <w:sz w:val="18"/>
                <w:szCs w:val="18"/>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b/>
                <w:bCs/>
                <w:sz w:val="18"/>
                <w:szCs w:val="18"/>
              </w:rPr>
              <w:t>溢折价摊销</w:t>
            </w:r>
            <w:r>
              <w:rPr>
                <w:rFonts w:ascii="宋体" w:hAnsi="宋体" w:cs="宋体" w:eastAsia="宋体" w:hint="default"/>
                <w:sz w:val="18"/>
                <w:szCs w:val="18"/>
              </w:rPr>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本年偿还</w:t>
            </w:r>
            <w:r>
              <w:rPr>
                <w:rFonts w:ascii="宋体" w:hAnsi="宋体" w:cs="宋体" w:eastAsia="宋体" w:hint="default"/>
                <w:sz w:val="18"/>
                <w:szCs w:val="18"/>
              </w:rPr>
            </w:r>
          </w:p>
        </w:tc>
        <w:tc>
          <w:tcPr>
            <w:tcW w:w="16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1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中期票据</w:t>
            </w:r>
          </w:p>
        </w:tc>
        <w:tc>
          <w:tcPr>
            <w:tcW w:w="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亿</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2013-7-2</w:t>
            </w:r>
          </w:p>
        </w:tc>
        <w:tc>
          <w:tcPr>
            <w:tcW w:w="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498,900,000.00</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499,480,933.85</w:t>
            </w:r>
          </w:p>
        </w:tc>
        <w:tc>
          <w:tcPr>
            <w:tcW w:w="989" w:type="dxa"/>
            <w:tcBorders>
              <w:top w:val="single" w:sz="2" w:space="0" w:color="000000"/>
              <w:left w:val="single" w:sz="2" w:space="0" w:color="000000"/>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26,900,000.00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32,647.20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26,900,000.00</w:t>
            </w:r>
          </w:p>
        </w:tc>
        <w:tc>
          <w:tcPr>
            <w:tcW w:w="16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499,513,581.05</w:t>
            </w:r>
          </w:p>
        </w:tc>
      </w:tr>
      <w:tr>
        <w:trPr>
          <w:trHeight w:val="389" w:hRule="exact"/>
        </w:trPr>
        <w:tc>
          <w:tcPr>
            <w:tcW w:w="1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03" w:type="dxa"/>
            <w:tcBorders>
              <w:top w:val="single" w:sz="2" w:space="0" w:color="000000"/>
              <w:left w:val="single" w:sz="2" w:space="0" w:color="000000"/>
              <w:bottom w:val="single" w:sz="12" w:space="0" w:color="000000"/>
              <w:right w:val="single" w:sz="2" w:space="0" w:color="000000"/>
            </w:tcBorders>
          </w:tcPr>
          <w:p>
            <w:pPr/>
          </w:p>
        </w:tc>
        <w:tc>
          <w:tcPr>
            <w:tcW w:w="1106" w:type="dxa"/>
            <w:tcBorders>
              <w:top w:val="single" w:sz="2" w:space="0" w:color="000000"/>
              <w:left w:val="single" w:sz="2" w:space="0" w:color="000000"/>
              <w:bottom w:val="single" w:sz="12" w:space="0" w:color="000000"/>
              <w:right w:val="single" w:sz="2" w:space="0" w:color="000000"/>
            </w:tcBorders>
          </w:tcPr>
          <w:p>
            <w:pPr/>
          </w:p>
        </w:tc>
        <w:tc>
          <w:tcPr>
            <w:tcW w:w="701" w:type="dxa"/>
            <w:tcBorders>
              <w:top w:val="single" w:sz="2" w:space="0" w:color="000000"/>
              <w:left w:val="single" w:sz="2" w:space="0" w:color="000000"/>
              <w:bottom w:val="single" w:sz="12" w:space="0" w:color="000000"/>
              <w:right w:val="single" w:sz="2" w:space="0" w:color="000000"/>
            </w:tcBorders>
          </w:tcPr>
          <w:p>
            <w:pPr/>
          </w:p>
        </w:tc>
        <w:tc>
          <w:tcPr>
            <w:tcW w:w="17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498,900,000.00</w:t>
            </w:r>
            <w:r>
              <w:rPr>
                <w:rFonts w:ascii="宋体"/>
                <w:sz w:val="18"/>
              </w:rPr>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499,480,933.85</w:t>
            </w:r>
            <w:r>
              <w:rPr>
                <w:rFonts w:ascii="宋体"/>
                <w:sz w:val="18"/>
              </w:rPr>
            </w:r>
          </w:p>
        </w:tc>
        <w:tc>
          <w:tcPr>
            <w:tcW w:w="989" w:type="dxa"/>
            <w:tcBorders>
              <w:top w:val="single" w:sz="2" w:space="0" w:color="000000"/>
              <w:left w:val="single" w:sz="2" w:space="0" w:color="000000"/>
              <w:bottom w:val="single" w:sz="12" w:space="0" w:color="000000"/>
              <w:right w:val="single" w:sz="2" w:space="0" w:color="000000"/>
            </w:tcBorders>
          </w:tcPr>
          <w:p>
            <w:pP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26,900,000.00</w:t>
            </w:r>
            <w:r>
              <w:rPr>
                <w:rFonts w:ascii="宋体"/>
                <w:sz w:val="18"/>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b/>
                <w:w w:val="95"/>
                <w:sz w:val="18"/>
              </w:rPr>
              <w:t>32,647.20</w:t>
            </w:r>
            <w:r>
              <w:rPr>
                <w:rFonts w:ascii="宋体"/>
                <w:sz w:val="18"/>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26,900,000.00</w:t>
            </w:r>
            <w:r>
              <w:rPr>
                <w:rFonts w:ascii="宋体"/>
                <w:sz w:val="18"/>
              </w:rPr>
            </w:r>
          </w:p>
        </w:tc>
        <w:tc>
          <w:tcPr>
            <w:tcW w:w="16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499,513,581.05</w:t>
            </w:r>
            <w:r>
              <w:rPr>
                <w:rFonts w:ascii="宋体"/>
                <w:sz w:val="18"/>
              </w:rPr>
            </w:r>
          </w:p>
        </w:tc>
      </w:tr>
    </w:tbl>
    <w:p>
      <w:pPr>
        <w:spacing w:line="240" w:lineRule="auto" w:before="9"/>
        <w:rPr>
          <w:rFonts w:ascii="宋体" w:hAnsi="宋体" w:cs="宋体" w:eastAsia="宋体" w:hint="default"/>
          <w:sz w:val="4"/>
          <w:szCs w:val="4"/>
        </w:rPr>
      </w:pPr>
    </w:p>
    <w:p>
      <w:pPr>
        <w:pStyle w:val="Heading7"/>
        <w:spacing w:line="391" w:lineRule="auto"/>
        <w:ind w:left="679" w:right="1708"/>
        <w:jc w:val="left"/>
      </w:pPr>
      <w:r>
        <w:rPr/>
        <w:t>注：一年内到期的长期借款较年初减少</w:t>
      </w:r>
      <w:r>
        <w:rPr>
          <w:spacing w:val="-59"/>
        </w:rPr>
        <w:t> </w:t>
      </w:r>
      <w:r>
        <w:rPr>
          <w:rFonts w:ascii="宋体" w:hAnsi="宋体" w:cs="宋体" w:eastAsia="宋体" w:hint="default"/>
        </w:rPr>
        <w:t>123,615.50</w:t>
      </w:r>
      <w:r>
        <w:rPr>
          <w:rFonts w:ascii="宋体" w:hAnsi="宋体" w:cs="宋体" w:eastAsia="宋体" w:hint="default"/>
          <w:spacing w:val="-60"/>
        </w:rPr>
        <w:t> </w:t>
      </w:r>
      <w:r>
        <w:rPr/>
        <w:t>万元，降幅</w:t>
      </w:r>
      <w:r>
        <w:rPr>
          <w:spacing w:val="-60"/>
        </w:rPr>
        <w:t> </w:t>
      </w:r>
      <w:r>
        <w:rPr>
          <w:rFonts w:ascii="宋体" w:hAnsi="宋体" w:cs="宋体" w:eastAsia="宋体" w:hint="default"/>
        </w:rPr>
        <w:t>94.39%</w:t>
      </w:r>
      <w:r>
        <w:rPr/>
        <w:t>，主要由于本年冠捷科技偿还飞利浦集团的借款所致。</w:t>
      </w:r>
      <w:r>
        <w:rPr>
          <w:w w:val="100"/>
        </w:rPr>
        <w:t> </w:t>
      </w:r>
      <w:r>
        <w:rPr/>
        <w:t>截至本报告对外报出日，资产负债表日后已偿还金额为</w:t>
      </w:r>
      <w:r>
        <w:rPr>
          <w:spacing w:val="-56"/>
        </w:rPr>
        <w:t> </w:t>
      </w:r>
      <w:r>
        <w:rPr>
          <w:rFonts w:ascii="宋体" w:hAnsi="宋体" w:cs="宋体" w:eastAsia="宋体" w:hint="default"/>
        </w:rPr>
        <w:t>0</w:t>
      </w:r>
      <w:r>
        <w:rPr>
          <w:rFonts w:ascii="宋体" w:hAnsi="宋体" w:cs="宋体" w:eastAsia="宋体" w:hint="default"/>
          <w:spacing w:val="-57"/>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7110" w:right="7108"/>
        <w:jc w:val="center"/>
        <w:rPr>
          <w:rFonts w:ascii="Times New Roman" w:hAnsi="Times New Roman" w:cs="Times New Roman" w:eastAsia="Times New Roman" w:hint="default"/>
        </w:rPr>
      </w:pPr>
      <w:r>
        <w:rPr>
          <w:rFonts w:ascii="Times New Roman"/>
        </w:rPr>
        <w:t>58</w:t>
      </w:r>
    </w:p>
    <w:p>
      <w:pPr>
        <w:spacing w:after="0" w:line="240" w:lineRule="auto"/>
        <w:jc w:val="center"/>
        <w:rPr>
          <w:rFonts w:ascii="Times New Roman" w:hAnsi="Times New Roman" w:cs="Times New Roman" w:eastAsia="Times New Roman" w:hint="default"/>
        </w:rPr>
        <w:sectPr>
          <w:headerReference w:type="default" r:id="rId54"/>
          <w:footerReference w:type="default" r:id="rId55"/>
          <w:pgSz w:w="16840" w:h="11910" w:orient="landscape"/>
          <w:pgMar w:header="0" w:footer="0" w:top="800" w:bottom="280" w:left="1200" w:right="1200"/>
        </w:sectPr>
      </w:pPr>
    </w:p>
    <w:p>
      <w:pPr>
        <w:spacing w:line="240" w:lineRule="auto" w:before="8"/>
        <w:rPr>
          <w:rFonts w:ascii="Times New Roman" w:hAnsi="Times New Roman" w:cs="Times New Roman" w:eastAsia="Times New Roman" w:hint="default"/>
          <w:sz w:val="3"/>
          <w:szCs w:val="3"/>
        </w:rPr>
      </w:pPr>
    </w:p>
    <w:p>
      <w:pPr>
        <w:spacing w:line="20" w:lineRule="exact"/>
        <w:ind w:left="5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pStyle w:val="Heading7"/>
        <w:spacing w:line="240" w:lineRule="auto" w:before="61"/>
        <w:ind w:left="959" w:right="0"/>
        <w:jc w:val="left"/>
      </w:pPr>
      <w:r>
        <w:rPr>
          <w:rFonts w:ascii="宋体" w:hAnsi="宋体" w:cs="宋体" w:eastAsia="宋体" w:hint="default"/>
        </w:rPr>
        <w:t>32</w:t>
      </w:r>
      <w:r>
        <w:rPr/>
        <w:t>、其他流动负债</w:t>
      </w:r>
    </w:p>
    <w:p>
      <w:pPr>
        <w:pStyle w:val="Heading7"/>
        <w:spacing w:line="240" w:lineRule="auto" w:before="180"/>
        <w:ind w:left="959" w:right="0"/>
        <w:jc w:val="left"/>
      </w:pPr>
      <w:r>
        <w:rPr/>
        <w:t>（</w:t>
      </w:r>
      <w:r>
        <w:rPr>
          <w:rFonts w:ascii="宋体" w:hAnsi="宋体" w:cs="宋体" w:eastAsia="宋体" w:hint="default"/>
        </w:rPr>
        <w:t>1</w:t>
      </w:r>
      <w:r>
        <w:rPr/>
        <w:t>）其他流动负债分类</w:t>
      </w:r>
    </w:p>
    <w:p>
      <w:pPr>
        <w:spacing w:line="240" w:lineRule="auto" w:before="8"/>
        <w:rPr>
          <w:rFonts w:ascii="宋体" w:hAnsi="宋体" w:cs="宋体" w:eastAsia="宋体" w:hint="default"/>
          <w:sz w:val="6"/>
          <w:szCs w:val="6"/>
        </w:rPr>
      </w:pPr>
    </w:p>
    <w:tbl>
      <w:tblPr>
        <w:tblW w:w="0" w:type="auto"/>
        <w:jc w:val="left"/>
        <w:tblInd w:w="376" w:type="dxa"/>
        <w:tblLayout w:type="fixed"/>
        <w:tblCellMar>
          <w:top w:w="0" w:type="dxa"/>
          <w:left w:w="0" w:type="dxa"/>
          <w:bottom w:w="0" w:type="dxa"/>
          <w:right w:w="0" w:type="dxa"/>
        </w:tblCellMar>
        <w:tblLook w:val="01E0"/>
      </w:tblPr>
      <w:tblGrid>
        <w:gridCol w:w="3622"/>
        <w:gridCol w:w="2532"/>
        <w:gridCol w:w="2396"/>
      </w:tblGrid>
      <w:tr>
        <w:trPr>
          <w:trHeight w:val="386"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7"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9"/>
                <w:szCs w:val="9"/>
              </w:rPr>
            </w:pPr>
            <w:r>
              <w:rPr>
                <w:rFonts w:ascii="宋体" w:hAnsi="宋体" w:cs="宋体" w:eastAsia="宋体" w:hint="default"/>
                <w:sz w:val="18"/>
                <w:szCs w:val="18"/>
              </w:rPr>
              <w:t>Warranty provisions</w:t>
            </w:r>
            <w:r>
              <w:rPr>
                <w:rFonts w:ascii="宋体" w:hAnsi="宋体" w:cs="宋体" w:eastAsia="宋体" w:hint="default"/>
                <w:sz w:val="18"/>
                <w:szCs w:val="18"/>
              </w:rPr>
              <w:t>（保用拨备）</w:t>
            </w:r>
            <w:r>
              <w:rPr>
                <w:rFonts w:ascii="宋体" w:hAnsi="宋体" w:cs="宋体" w:eastAsia="宋体" w:hint="default"/>
                <w:position w:val="9"/>
                <w:sz w:val="9"/>
                <w:szCs w:val="9"/>
              </w:rPr>
              <w:t>注</w:t>
            </w:r>
            <w:r>
              <w:rPr>
                <w:rFonts w:ascii="宋体" w:hAnsi="宋体" w:cs="宋体" w:eastAsia="宋体" w:hint="default"/>
                <w:spacing w:val="-31"/>
                <w:position w:val="9"/>
                <w:sz w:val="9"/>
                <w:szCs w:val="9"/>
              </w:rPr>
              <w:t> </w:t>
            </w:r>
            <w:r>
              <w:rPr>
                <w:rFonts w:ascii="宋体" w:hAnsi="宋体" w:cs="宋体" w:eastAsia="宋体" w:hint="default"/>
                <w:position w:val="9"/>
                <w:sz w:val="9"/>
                <w:szCs w:val="9"/>
              </w:rPr>
              <w:t>1</w:t>
            </w:r>
            <w:r>
              <w:rPr>
                <w:rFonts w:ascii="宋体" w:hAnsi="宋体" w:cs="宋体" w:eastAsia="宋体" w:hint="default"/>
                <w:sz w:val="9"/>
                <w:szCs w:val="9"/>
              </w:rPr>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1,160,692,192.08</w:t>
            </w:r>
          </w:p>
        </w:tc>
        <w:tc>
          <w:tcPr>
            <w:tcW w:w="23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834,699,677.08</w:t>
            </w:r>
          </w:p>
        </w:tc>
      </w:tr>
      <w:tr>
        <w:trPr>
          <w:trHeight w:val="37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一年内结转的递延收益</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11,527,745.85</w:t>
            </w:r>
          </w:p>
        </w:tc>
        <w:tc>
          <w:tcPr>
            <w:tcW w:w="23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4,476,633.27</w:t>
            </w:r>
          </w:p>
        </w:tc>
      </w:tr>
      <w:tr>
        <w:trPr>
          <w:trHeight w:val="37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9"/>
                <w:szCs w:val="9"/>
              </w:rPr>
            </w:pPr>
            <w:r>
              <w:rPr>
                <w:rFonts w:ascii="宋体" w:hAnsi="宋体" w:cs="宋体" w:eastAsia="宋体" w:hint="default"/>
                <w:sz w:val="18"/>
                <w:szCs w:val="18"/>
              </w:rPr>
              <w:t>重组费用</w:t>
            </w:r>
            <w:r>
              <w:rPr>
                <w:rFonts w:ascii="宋体" w:hAnsi="宋体" w:cs="宋体" w:eastAsia="宋体" w:hint="default"/>
                <w:position w:val="9"/>
                <w:sz w:val="9"/>
                <w:szCs w:val="9"/>
              </w:rPr>
              <w:t>注</w:t>
            </w:r>
            <w:r>
              <w:rPr>
                <w:rFonts w:ascii="宋体" w:hAnsi="宋体" w:cs="宋体" w:eastAsia="宋体" w:hint="default"/>
                <w:spacing w:val="-24"/>
                <w:position w:val="9"/>
                <w:sz w:val="9"/>
                <w:szCs w:val="9"/>
              </w:rPr>
              <w:t> </w:t>
            </w:r>
            <w:r>
              <w:rPr>
                <w:rFonts w:ascii="宋体" w:hAnsi="宋体" w:cs="宋体" w:eastAsia="宋体" w:hint="default"/>
                <w:position w:val="9"/>
                <w:sz w:val="9"/>
                <w:szCs w:val="9"/>
              </w:rPr>
              <w:t>2</w:t>
            </w:r>
            <w:r>
              <w:rPr>
                <w:rFonts w:ascii="宋体" w:hAnsi="宋体" w:cs="宋体" w:eastAsia="宋体" w:hint="default"/>
                <w:sz w:val="9"/>
                <w:szCs w:val="9"/>
              </w:rPr>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4,889,680.80</w:t>
            </w:r>
          </w:p>
        </w:tc>
        <w:tc>
          <w:tcPr>
            <w:tcW w:w="23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28,826,609.00</w:t>
            </w:r>
          </w:p>
        </w:tc>
      </w:tr>
      <w:tr>
        <w:trPr>
          <w:trHeight w:val="37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941,572.00</w:t>
            </w:r>
          </w:p>
        </w:tc>
        <w:tc>
          <w:tcPr>
            <w:tcW w:w="23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1,842,699.62</w:t>
            </w:r>
          </w:p>
        </w:tc>
      </w:tr>
      <w:tr>
        <w:trPr>
          <w:trHeight w:val="389"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1,178,051,190.73</w:t>
            </w:r>
            <w:r>
              <w:rPr>
                <w:rFonts w:ascii="宋体"/>
                <w:sz w:val="18"/>
              </w:rPr>
            </w:r>
          </w:p>
        </w:tc>
        <w:tc>
          <w:tcPr>
            <w:tcW w:w="23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9"/>
              <w:jc w:val="right"/>
              <w:rPr>
                <w:rFonts w:ascii="宋体" w:hAnsi="宋体" w:cs="宋体" w:eastAsia="宋体" w:hint="default"/>
                <w:sz w:val="18"/>
                <w:szCs w:val="18"/>
              </w:rPr>
            </w:pPr>
            <w:r>
              <w:rPr>
                <w:rFonts w:ascii="宋体"/>
                <w:b/>
                <w:w w:val="95"/>
                <w:sz w:val="18"/>
              </w:rPr>
              <w:t>869,845,618.97</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520" w:right="517" w:firstLine="439"/>
        <w:jc w:val="both"/>
      </w:pPr>
      <w:r>
        <w:rPr/>
        <w:t>注</w:t>
      </w:r>
      <w:r>
        <w:rPr>
          <w:spacing w:val="-59"/>
        </w:rPr>
        <w:t> </w:t>
      </w:r>
      <w:r>
        <w:rPr>
          <w:rFonts w:ascii="宋体" w:hAnsi="宋体" w:cs="宋体" w:eastAsia="宋体" w:hint="default"/>
        </w:rPr>
        <w:t>1</w:t>
      </w:r>
      <w:r>
        <w:rPr/>
        <w:t>：保用拨备主要系本公司与冠捷科技需承担的产品售后维修成本，本公司和冠</w:t>
      </w:r>
      <w:r>
        <w:rPr>
          <w:w w:val="100"/>
        </w:rPr>
        <w:t> </w:t>
      </w:r>
      <w:r>
        <w:rPr>
          <w:spacing w:val="2"/>
        </w:rPr>
        <w:t>捷科技为部分产品提供质量保证并承诺在保修期内若产品出现质量问题提供维修或更</w:t>
      </w:r>
      <w:r>
        <w:rPr>
          <w:spacing w:val="-39"/>
        </w:rPr>
        <w:t> </w:t>
      </w:r>
      <w:r>
        <w:rPr>
          <w:spacing w:val="-39"/>
        </w:rPr>
      </w:r>
      <w:r>
        <w:rPr/>
        <w:t>换相关产品服务。</w:t>
      </w:r>
    </w:p>
    <w:p>
      <w:pPr>
        <w:pStyle w:val="Heading7"/>
        <w:spacing w:line="240" w:lineRule="auto" w:before="101"/>
        <w:ind w:left="959" w:right="0"/>
        <w:jc w:val="left"/>
      </w:pPr>
      <w:r>
        <w:rPr/>
        <w:t>注</w:t>
      </w:r>
      <w:r>
        <w:rPr>
          <w:spacing w:val="-56"/>
        </w:rPr>
        <w:t> </w:t>
      </w:r>
      <w:r>
        <w:rPr>
          <w:rFonts w:ascii="宋体" w:hAnsi="宋体" w:cs="宋体" w:eastAsia="宋体" w:hint="default"/>
        </w:rPr>
        <w:t>2</w:t>
      </w:r>
      <w:r>
        <w:rPr/>
        <w:t>：重组费用系冠捷科技对于欧洲下属子公司进行重组于</w:t>
      </w:r>
      <w:r>
        <w:rPr>
          <w:spacing w:val="-57"/>
        </w:rPr>
        <w:t> </w:t>
      </w:r>
      <w:r>
        <w:rPr>
          <w:rFonts w:ascii="宋体" w:hAnsi="宋体" w:cs="宋体" w:eastAsia="宋体" w:hint="default"/>
        </w:rPr>
        <w:t>2016</w:t>
      </w:r>
      <w:r>
        <w:rPr>
          <w:rFonts w:ascii="宋体" w:hAnsi="宋体" w:cs="宋体" w:eastAsia="宋体" w:hint="default"/>
          <w:spacing w:val="-56"/>
        </w:rPr>
        <w:t> </w:t>
      </w:r>
      <w:r>
        <w:rPr/>
        <w:t>年支付的费用。</w:t>
      </w:r>
    </w:p>
    <w:p>
      <w:pPr>
        <w:pStyle w:val="Heading7"/>
        <w:spacing w:line="240" w:lineRule="auto" w:before="180"/>
        <w:ind w:left="959" w:right="0"/>
        <w:jc w:val="left"/>
      </w:pPr>
      <w:r>
        <w:rPr/>
        <w:t>（</w:t>
      </w:r>
      <w:r>
        <w:rPr>
          <w:rFonts w:ascii="宋体" w:hAnsi="宋体" w:cs="宋体" w:eastAsia="宋体" w:hint="default"/>
        </w:rPr>
        <w:t>2</w:t>
      </w:r>
      <w:r>
        <w:rPr/>
        <w:t>）政府补助项目</w:t>
      </w:r>
    </w:p>
    <w:p>
      <w:pPr>
        <w:spacing w:line="240" w:lineRule="auto" w:before="8"/>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026"/>
        <w:gridCol w:w="1275"/>
        <w:gridCol w:w="850"/>
        <w:gridCol w:w="1277"/>
        <w:gridCol w:w="1274"/>
        <w:gridCol w:w="1277"/>
        <w:gridCol w:w="1102"/>
      </w:tblGrid>
      <w:tr>
        <w:trPr>
          <w:trHeight w:val="679" w:hRule="exact"/>
        </w:trPr>
        <w:tc>
          <w:tcPr>
            <w:tcW w:w="20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49"/>
              <w:ind w:left="62" w:right="58"/>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49"/>
              <w:ind w:left="184" w:right="92" w:hanging="92"/>
              <w:jc w:val="left"/>
              <w:rPr>
                <w:rFonts w:ascii="宋体" w:hAnsi="宋体" w:cs="宋体" w:eastAsia="宋体" w:hint="default"/>
                <w:sz w:val="18"/>
                <w:szCs w:val="18"/>
              </w:rPr>
            </w:pPr>
            <w:r>
              <w:rPr>
                <w:rFonts w:ascii="宋体" w:hAnsi="宋体" w:cs="宋体" w:eastAsia="宋体" w:hint="default"/>
                <w:b/>
                <w:bCs/>
                <w:sz w:val="18"/>
                <w:szCs w:val="18"/>
              </w:rPr>
              <w:t>本年计入营业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02"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49"/>
              <w:ind w:left="98" w:right="53"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74"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波兰政府项目</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2,472,076.00</w:t>
            </w: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2,521,061.00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419,120.20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370,135.20</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4"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虚拟化安全防护系统</w:t>
            </w:r>
          </w:p>
        </w:tc>
        <w:tc>
          <w:tcPr>
            <w:tcW w:w="127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5,000,000.00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5,000,000.00</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7"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2" w:right="24"/>
              <w:jc w:val="left"/>
              <w:rPr>
                <w:rFonts w:ascii="宋体" w:hAnsi="宋体" w:cs="宋体" w:eastAsia="宋体" w:hint="default"/>
                <w:sz w:val="18"/>
                <w:szCs w:val="18"/>
              </w:rPr>
            </w:pPr>
            <w:r>
              <w:rPr>
                <w:rFonts w:ascii="宋体" w:hAnsi="宋体" w:cs="宋体" w:eastAsia="宋体" w:hint="default"/>
                <w:spacing w:val="14"/>
                <w:sz w:val="18"/>
                <w:szCs w:val="18"/>
              </w:rPr>
              <w:t>可信计算机系统研发与 </w:t>
            </w:r>
            <w:r>
              <w:rPr>
                <w:rFonts w:ascii="宋体" w:hAnsi="宋体" w:cs="宋体" w:eastAsia="宋体" w:hint="default"/>
                <w:sz w:val="18"/>
                <w:szCs w:val="18"/>
              </w:rPr>
              <w:t>标准制定项目</w:t>
            </w:r>
          </w:p>
        </w:tc>
        <w:tc>
          <w:tcPr>
            <w:tcW w:w="127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3,000,000.00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3,000,000.00</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5"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分离解析的云计算平台</w:t>
            </w:r>
          </w:p>
        </w:tc>
        <w:tc>
          <w:tcPr>
            <w:tcW w:w="127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1,200,000.00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1,200,000.00</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7"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2" w:right="31"/>
              <w:jc w:val="left"/>
              <w:rPr>
                <w:rFonts w:ascii="宋体" w:hAnsi="宋体" w:cs="宋体" w:eastAsia="宋体" w:hint="default"/>
                <w:sz w:val="18"/>
                <w:szCs w:val="18"/>
              </w:rPr>
            </w:pPr>
            <w:r>
              <w:rPr>
                <w:rFonts w:ascii="宋体" w:hAnsi="宋体" w:cs="宋体" w:eastAsia="宋体" w:hint="default"/>
                <w:spacing w:val="3"/>
                <w:sz w:val="18"/>
                <w:szCs w:val="18"/>
              </w:rPr>
              <w:t>基于国产 </w:t>
            </w:r>
            <w:r>
              <w:rPr>
                <w:rFonts w:ascii="宋体" w:hAnsi="宋体" w:cs="宋体" w:eastAsia="宋体" w:hint="default"/>
                <w:sz w:val="18"/>
                <w:szCs w:val="18"/>
              </w:rPr>
              <w:t>CPUOS</w:t>
            </w:r>
            <w:r>
              <w:rPr>
                <w:rFonts w:ascii="宋体" w:hAnsi="宋体" w:cs="宋体" w:eastAsia="宋体" w:hint="default"/>
                <w:spacing w:val="12"/>
                <w:sz w:val="18"/>
                <w:szCs w:val="18"/>
              </w:rPr>
              <w:t> </w:t>
            </w:r>
            <w:r>
              <w:rPr>
                <w:rFonts w:ascii="宋体" w:hAnsi="宋体" w:cs="宋体" w:eastAsia="宋体" w:hint="default"/>
                <w:spacing w:val="4"/>
                <w:sz w:val="18"/>
                <w:szCs w:val="18"/>
              </w:rPr>
              <w:t>结项转 </w:t>
            </w:r>
            <w:r>
              <w:rPr>
                <w:rFonts w:ascii="宋体" w:hAnsi="宋体" w:cs="宋体" w:eastAsia="宋体" w:hint="default"/>
                <w:sz w:val="18"/>
                <w:szCs w:val="18"/>
              </w:rPr>
              <w:t>入资产</w:t>
            </w:r>
          </w:p>
        </w:tc>
        <w:tc>
          <w:tcPr>
            <w:tcW w:w="127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17,480.08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603,707.20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586,227.12</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4"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自主密码模块</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506,795.33</w:t>
            </w: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560,842.36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614,861.27</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560,814.24</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4"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安全电脑专项资产</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560,500.00</w:t>
            </w: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560,500.00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373,666.64</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373,666.64</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7"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2" w:right="24"/>
              <w:jc w:val="left"/>
              <w:rPr>
                <w:rFonts w:ascii="宋体" w:hAnsi="宋体" w:cs="宋体" w:eastAsia="宋体" w:hint="default"/>
                <w:sz w:val="18"/>
                <w:szCs w:val="18"/>
              </w:rPr>
            </w:pPr>
            <w:r>
              <w:rPr>
                <w:rFonts w:ascii="宋体" w:hAnsi="宋体" w:cs="宋体" w:eastAsia="宋体" w:hint="default"/>
                <w:spacing w:val="14"/>
                <w:sz w:val="18"/>
                <w:szCs w:val="18"/>
              </w:rPr>
              <w:t>电源关键技术结项转入 </w:t>
            </w:r>
            <w:r>
              <w:rPr>
                <w:rFonts w:ascii="宋体" w:hAnsi="宋体" w:cs="宋体" w:eastAsia="宋体" w:hint="default"/>
                <w:sz w:val="18"/>
                <w:szCs w:val="18"/>
              </w:rPr>
              <w:t>资产</w:t>
            </w:r>
          </w:p>
        </w:tc>
        <w:tc>
          <w:tcPr>
            <w:tcW w:w="127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80,365.06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448,799.38</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368,434.32</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4"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6"/>
                <w:sz w:val="18"/>
                <w:szCs w:val="18"/>
              </w:rPr>
              <w:t> </w:t>
            </w:r>
            <w:r>
              <w:rPr>
                <w:rFonts w:ascii="宋体" w:hAnsi="宋体" w:cs="宋体" w:eastAsia="宋体" w:hint="default"/>
                <w:sz w:val="18"/>
                <w:szCs w:val="18"/>
              </w:rPr>
              <w:t>CPU</w:t>
            </w:r>
            <w:r>
              <w:rPr>
                <w:rFonts w:ascii="宋体" w:hAnsi="宋体" w:cs="宋体" w:eastAsia="宋体" w:hint="default"/>
                <w:spacing w:val="-45"/>
                <w:sz w:val="18"/>
                <w:szCs w:val="18"/>
              </w:rPr>
              <w:t> </w:t>
            </w:r>
            <w:r>
              <w:rPr>
                <w:rFonts w:ascii="宋体" w:hAnsi="宋体" w:cs="宋体" w:eastAsia="宋体" w:hint="default"/>
                <w:sz w:val="18"/>
                <w:szCs w:val="18"/>
              </w:rPr>
              <w:t>的云终端</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750,000.00</w:t>
            </w: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750,000.00</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4" w:hRule="exact"/>
        </w:trPr>
        <w:tc>
          <w:tcPr>
            <w:tcW w:w="20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187,261.94</w:t>
            </w:r>
          </w:p>
        </w:tc>
        <w:tc>
          <w:tcPr>
            <w:tcW w:w="850"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189,951.30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71,157.69</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68,468.33</w:t>
            </w:r>
          </w:p>
        </w:tc>
        <w:tc>
          <w:tcPr>
            <w:tcW w:w="11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89" w:hRule="exact"/>
        </w:trPr>
        <w:tc>
          <w:tcPr>
            <w:tcW w:w="20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4,476,633.27</w:t>
            </w:r>
            <w:r>
              <w:rPr>
                <w:rFonts w:ascii="宋体"/>
                <w:sz w:val="18"/>
              </w:rPr>
            </w:r>
          </w:p>
        </w:tc>
        <w:tc>
          <w:tcPr>
            <w:tcW w:w="850"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4,680,199.80</w:t>
            </w:r>
            <w:r>
              <w:rPr>
                <w:rFonts w:ascii="宋体"/>
                <w:sz w:val="18"/>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11,731,312.38</w:t>
            </w:r>
            <w:r>
              <w:rPr>
                <w:rFonts w:ascii="宋体"/>
                <w:sz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11,527,745.85</w:t>
            </w:r>
            <w:r>
              <w:rPr>
                <w:rFonts w:ascii="宋体"/>
                <w:sz w:val="18"/>
              </w:rPr>
            </w:r>
          </w:p>
        </w:tc>
        <w:tc>
          <w:tcPr>
            <w:tcW w:w="11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959" w:right="0"/>
        <w:jc w:val="left"/>
      </w:pPr>
      <w:r>
        <w:rPr>
          <w:rFonts w:ascii="宋体" w:hAnsi="宋体" w:cs="宋体" w:eastAsia="宋体" w:hint="default"/>
        </w:rPr>
        <w:t>33</w:t>
      </w:r>
      <w:r>
        <w:rPr/>
        <w:t>、长期借款</w:t>
      </w:r>
    </w:p>
    <w:p>
      <w:pPr>
        <w:pStyle w:val="Heading7"/>
        <w:spacing w:line="240" w:lineRule="auto" w:before="180"/>
        <w:ind w:left="959" w:right="0"/>
        <w:jc w:val="left"/>
      </w:pPr>
      <w:r>
        <w:rPr/>
        <w:t>（</w:t>
      </w:r>
      <w:r>
        <w:rPr>
          <w:rFonts w:ascii="宋体" w:hAnsi="宋体" w:cs="宋体" w:eastAsia="宋体" w:hint="default"/>
        </w:rPr>
        <w:t>1</w:t>
      </w:r>
      <w:r>
        <w:rPr/>
        <w:t>）长期借款分类</w:t>
      </w:r>
    </w:p>
    <w:p>
      <w:pPr>
        <w:spacing w:line="240" w:lineRule="auto" w:before="8"/>
        <w:rPr>
          <w:rFonts w:ascii="宋体" w:hAnsi="宋体" w:cs="宋体" w:eastAsia="宋体" w:hint="default"/>
          <w:sz w:val="6"/>
          <w:szCs w:val="6"/>
        </w:rPr>
      </w:pPr>
    </w:p>
    <w:tbl>
      <w:tblPr>
        <w:tblW w:w="0" w:type="auto"/>
        <w:jc w:val="left"/>
        <w:tblInd w:w="383" w:type="dxa"/>
        <w:tblLayout w:type="fixed"/>
        <w:tblCellMar>
          <w:top w:w="0" w:type="dxa"/>
          <w:left w:w="0" w:type="dxa"/>
          <w:bottom w:w="0" w:type="dxa"/>
          <w:right w:w="0" w:type="dxa"/>
        </w:tblCellMar>
        <w:tblLook w:val="01E0"/>
      </w:tblPr>
      <w:tblGrid>
        <w:gridCol w:w="2864"/>
        <w:gridCol w:w="2837"/>
        <w:gridCol w:w="2837"/>
      </w:tblGrid>
      <w:tr>
        <w:trPr>
          <w:trHeight w:val="386" w:hRule="exact"/>
        </w:trPr>
        <w:tc>
          <w:tcPr>
            <w:tcW w:w="28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7"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2,865,203,581.60</w:t>
            </w:r>
          </w:p>
        </w:tc>
        <w:tc>
          <w:tcPr>
            <w:tcW w:w="28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97"/>
              <w:jc w:val="right"/>
              <w:rPr>
                <w:rFonts w:ascii="宋体" w:hAnsi="宋体" w:cs="宋体" w:eastAsia="宋体" w:hint="default"/>
                <w:sz w:val="18"/>
                <w:szCs w:val="18"/>
              </w:rPr>
            </w:pPr>
            <w:r>
              <w:rPr>
                <w:rFonts w:ascii="宋体"/>
                <w:spacing w:val="-1"/>
                <w:sz w:val="18"/>
              </w:rPr>
              <w:t>1,225,578,467.00</w:t>
            </w:r>
          </w:p>
        </w:tc>
      </w:tr>
      <w:tr>
        <w:trPr>
          <w:trHeight w:val="374"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100,000,000.00</w:t>
            </w:r>
          </w:p>
        </w:tc>
        <w:tc>
          <w:tcPr>
            <w:tcW w:w="2837" w:type="dxa"/>
            <w:tcBorders>
              <w:top w:val="single" w:sz="2" w:space="0" w:color="000000"/>
              <w:left w:val="single" w:sz="2" w:space="0" w:color="000000"/>
              <w:bottom w:val="single" w:sz="2" w:space="0" w:color="000000"/>
              <w:right w:val="nil" w:sz="6" w:space="0" w:color="auto"/>
            </w:tcBorders>
          </w:tcPr>
          <w:p>
            <w:pPr/>
          </w:p>
        </w:tc>
      </w:tr>
      <w:tr>
        <w:trPr>
          <w:trHeight w:val="386" w:hRule="exact"/>
        </w:trPr>
        <w:tc>
          <w:tcPr>
            <w:tcW w:w="2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2,965,203,581.60</w:t>
            </w:r>
            <w:r>
              <w:rPr>
                <w:rFonts w:ascii="宋体"/>
                <w:sz w:val="18"/>
              </w:rPr>
            </w:r>
          </w:p>
        </w:tc>
        <w:tc>
          <w:tcPr>
            <w:tcW w:w="28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1,225,578,467.00</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56"/>
          <w:pgSz w:w="11910" w:h="16840"/>
          <w:pgMar w:footer="980" w:header="0" w:top="1600" w:bottom="1160" w:left="1280" w:right="1280"/>
          <w:pgNumType w:start="59"/>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99" w:right="276"/>
        <w:jc w:val="left"/>
      </w:pPr>
      <w:r>
        <w:rPr/>
        <w:t>注</w:t>
      </w:r>
      <w:r>
        <w:rPr>
          <w:spacing w:val="-57"/>
        </w:rPr>
        <w:t> </w:t>
      </w:r>
      <w:r>
        <w:rPr>
          <w:rFonts w:ascii="宋体" w:hAnsi="宋体" w:cs="宋体" w:eastAsia="宋体" w:hint="default"/>
        </w:rPr>
        <w:t>1</w:t>
      </w:r>
      <w:r>
        <w:rPr/>
        <w:t>：长期借款利率为</w:t>
      </w:r>
      <w:r>
        <w:rPr>
          <w:spacing w:val="-57"/>
        </w:rPr>
        <w:t> </w:t>
      </w:r>
      <w:r>
        <w:rPr>
          <w:rFonts w:ascii="宋体" w:hAnsi="宋体" w:cs="宋体" w:eastAsia="宋体" w:hint="default"/>
        </w:rPr>
        <w:t>1.77%-5.84%</w:t>
      </w:r>
      <w:r>
        <w:rPr/>
        <w:t>。</w:t>
      </w:r>
    </w:p>
    <w:p>
      <w:pPr>
        <w:pStyle w:val="Heading7"/>
        <w:spacing w:line="326" w:lineRule="auto" w:before="180"/>
        <w:ind w:left="260" w:right="107" w:firstLine="439"/>
        <w:jc w:val="left"/>
      </w:pPr>
      <w:r>
        <w:rPr/>
        <w:t>注</w:t>
      </w:r>
      <w:r>
        <w:rPr>
          <w:spacing w:val="-47"/>
        </w:rPr>
        <w:t> </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47"/>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t>月</w:t>
      </w:r>
      <w:r>
        <w:rPr>
          <w:spacing w:val="-46"/>
        </w:rPr>
        <w:t> </w:t>
      </w:r>
      <w:r>
        <w:rPr>
          <w:rFonts w:ascii="宋体" w:hAnsi="宋体" w:cs="宋体" w:eastAsia="宋体" w:hint="default"/>
        </w:rPr>
        <w:t>21</w:t>
      </w:r>
      <w:r>
        <w:rPr>
          <w:rFonts w:ascii="宋体" w:hAnsi="宋体" w:cs="宋体" w:eastAsia="宋体" w:hint="default"/>
          <w:spacing w:val="-47"/>
        </w:rPr>
        <w:t> </w:t>
      </w:r>
      <w:r>
        <w:rPr/>
        <w:t>日本公司与中国进出口银行深圳分行签订《高新技术产品出</w:t>
      </w:r>
      <w:r>
        <w:rPr>
          <w:w w:val="100"/>
        </w:rPr>
        <w:t> </w:t>
      </w:r>
      <w:r>
        <w:rPr>
          <w:spacing w:val="-7"/>
          <w:w w:val="100"/>
        </w:rPr>
        <w:t>口卖方信贷合同》，约定最高借款金额壹亿元人民币，合同号为：</w:t>
      </w:r>
      <w:r>
        <w:rPr>
          <w:rFonts w:ascii="宋体" w:hAnsi="宋体" w:cs="宋体" w:eastAsia="宋体" w:hint="default"/>
          <w:spacing w:val="-7"/>
          <w:w w:val="100"/>
        </w:rPr>
        <w:t>2020001022015112003</w:t>
      </w:r>
      <w:r>
        <w:rPr>
          <w:spacing w:val="-7"/>
          <w:w w:val="100"/>
        </w:rPr>
        <w:t>；</w:t>
      </w:r>
      <w:r>
        <w:rPr>
          <w:spacing w:val="-78"/>
          <w:w w:val="100"/>
        </w:rPr>
        <w:t> </w:t>
      </w:r>
      <w:r>
        <w:rPr/>
        <w:t>就</w:t>
      </w:r>
      <w:r>
        <w:rPr>
          <w:spacing w:val="-31"/>
        </w:rPr>
        <w:t> </w:t>
      </w:r>
      <w:r>
        <w:rPr/>
        <w:t>该</w:t>
      </w:r>
      <w:r>
        <w:rPr>
          <w:spacing w:val="-31"/>
        </w:rPr>
        <w:t> </w:t>
      </w:r>
      <w:r>
        <w:rPr/>
        <w:t>项</w:t>
      </w:r>
      <w:r>
        <w:rPr>
          <w:spacing w:val="-31"/>
        </w:rPr>
        <w:t> </w:t>
      </w:r>
      <w:r>
        <w:rPr/>
        <w:t>借</w:t>
      </w:r>
      <w:r>
        <w:rPr>
          <w:spacing w:val="-31"/>
        </w:rPr>
        <w:t> </w:t>
      </w:r>
      <w:r>
        <w:rPr/>
        <w:t>款</w:t>
      </w:r>
      <w:r>
        <w:rPr>
          <w:spacing w:val="-31"/>
        </w:rPr>
        <w:t> </w:t>
      </w:r>
      <w:r>
        <w:rPr/>
        <w:t>合</w:t>
      </w:r>
      <w:r>
        <w:rPr>
          <w:spacing w:val="-31"/>
        </w:rPr>
        <w:t> </w:t>
      </w:r>
      <w:r>
        <w:rPr/>
        <w:t>同</w:t>
      </w:r>
      <w:r>
        <w:rPr>
          <w:spacing w:val="-34"/>
        </w:rPr>
        <w:t> </w:t>
      </w:r>
      <w:r>
        <w:rPr/>
        <w:t>本</w:t>
      </w:r>
      <w:r>
        <w:rPr>
          <w:spacing w:val="-34"/>
        </w:rPr>
        <w:t> </w:t>
      </w:r>
      <w:r>
        <w:rPr/>
        <w:t>公</w:t>
      </w:r>
      <w:r>
        <w:rPr>
          <w:spacing w:val="-31"/>
        </w:rPr>
        <w:t> </w:t>
      </w:r>
      <w:r>
        <w:rPr/>
        <w:t>司</w:t>
      </w:r>
      <w:r>
        <w:rPr>
          <w:spacing w:val="-31"/>
        </w:rPr>
        <w:t> </w:t>
      </w:r>
      <w:r>
        <w:rPr/>
        <w:t>与</w:t>
      </w:r>
      <w:r>
        <w:rPr>
          <w:spacing w:val="-31"/>
        </w:rPr>
        <w:t> </w:t>
      </w:r>
      <w:r>
        <w:rPr/>
        <w:t>中</w:t>
      </w:r>
      <w:r>
        <w:rPr>
          <w:spacing w:val="-31"/>
        </w:rPr>
        <w:t> </w:t>
      </w:r>
      <w:r>
        <w:rPr/>
        <w:t>国</w:t>
      </w:r>
      <w:r>
        <w:rPr>
          <w:spacing w:val="-31"/>
        </w:rPr>
        <w:t> </w:t>
      </w:r>
      <w:r>
        <w:rPr/>
        <w:t>进</w:t>
      </w:r>
      <w:r>
        <w:rPr>
          <w:spacing w:val="-31"/>
        </w:rPr>
        <w:t> </w:t>
      </w:r>
      <w:r>
        <w:rPr/>
        <w:t>出</w:t>
      </w:r>
      <w:r>
        <w:rPr>
          <w:spacing w:val="-34"/>
        </w:rPr>
        <w:t> </w:t>
      </w:r>
      <w:r>
        <w:rPr/>
        <w:t>口</w:t>
      </w:r>
      <w:r>
        <w:rPr>
          <w:spacing w:val="-34"/>
        </w:rPr>
        <w:t> </w:t>
      </w:r>
      <w:r>
        <w:rPr/>
        <w:t>银</w:t>
      </w:r>
      <w:r>
        <w:rPr>
          <w:spacing w:val="-31"/>
        </w:rPr>
        <w:t> </w:t>
      </w:r>
      <w:r>
        <w:rPr/>
        <w:t>行</w:t>
      </w:r>
      <w:r>
        <w:rPr>
          <w:spacing w:val="-31"/>
        </w:rPr>
        <w:t> </w:t>
      </w:r>
      <w:r>
        <w:rPr/>
        <w:t>深</w:t>
      </w:r>
      <w:r>
        <w:rPr>
          <w:spacing w:val="-31"/>
        </w:rPr>
        <w:t> </w:t>
      </w:r>
      <w:r>
        <w:rPr/>
        <w:t>圳</w:t>
      </w:r>
      <w:r>
        <w:rPr>
          <w:spacing w:val="-31"/>
        </w:rPr>
        <w:t> </w:t>
      </w:r>
      <w:r>
        <w:rPr/>
        <w:t>分</w:t>
      </w:r>
      <w:r>
        <w:rPr>
          <w:spacing w:val="-31"/>
        </w:rPr>
        <w:t> </w:t>
      </w:r>
      <w:r>
        <w:rPr/>
        <w:t>行</w:t>
      </w:r>
      <w:r>
        <w:rPr>
          <w:spacing w:val="-31"/>
        </w:rPr>
        <w:t> </w:t>
      </w:r>
      <w:r>
        <w:rPr/>
        <w:t>签</w:t>
      </w:r>
      <w:r>
        <w:rPr>
          <w:spacing w:val="-34"/>
        </w:rPr>
        <w:t> </w:t>
      </w:r>
      <w:r>
        <w:rPr/>
        <w:t>订</w:t>
      </w:r>
      <w:r>
        <w:rPr>
          <w:spacing w:val="-34"/>
        </w:rPr>
        <w:t> </w:t>
      </w:r>
      <w:r>
        <w:rPr/>
        <w:t>合</w:t>
      </w:r>
      <w:r>
        <w:rPr>
          <w:spacing w:val="-31"/>
        </w:rPr>
        <w:t> </w:t>
      </w:r>
      <w:r>
        <w:rPr/>
        <w:t>同</w:t>
      </w:r>
      <w:r>
        <w:rPr>
          <w:spacing w:val="-31"/>
        </w:rPr>
        <w:t> </w:t>
      </w:r>
      <w:r>
        <w:rPr/>
        <w:t>号</w:t>
      </w:r>
      <w:r>
        <w:rPr>
          <w:spacing w:val="-31"/>
        </w:rPr>
        <w:t> </w:t>
      </w:r>
      <w:r>
        <w:rPr/>
        <w:t>为</w:t>
      </w:r>
      <w:r>
        <w:rPr>
          <w:w w:val="100"/>
        </w:rPr>
        <w:t> </w:t>
      </w:r>
      <w:r>
        <w:rPr>
          <w:rFonts w:ascii="宋体" w:hAnsi="宋体" w:cs="宋体" w:eastAsia="宋体" w:hint="default"/>
          <w:spacing w:val="-1"/>
          <w:w w:val="100"/>
        </w:rPr>
        <w:t>2020001022015112003DY01</w:t>
      </w:r>
      <w:r>
        <w:rPr>
          <w:rFonts w:ascii="宋体" w:hAnsi="宋体" w:cs="宋体" w:eastAsia="宋体" w:hint="default"/>
          <w:spacing w:val="-53"/>
          <w:w w:val="100"/>
        </w:rPr>
        <w:t> </w:t>
      </w:r>
      <w:r>
        <w:rPr>
          <w:spacing w:val="-8"/>
          <w:w w:val="100"/>
        </w:rPr>
        <w:t>的《房地产抵押合同》，抵押期限为</w:t>
      </w:r>
      <w:r>
        <w:rPr>
          <w:spacing w:val="-53"/>
          <w:w w:val="100"/>
        </w:rPr>
        <w:t> </w:t>
      </w:r>
      <w:r>
        <w:rPr>
          <w:rFonts w:ascii="宋体" w:hAnsi="宋体" w:cs="宋体" w:eastAsia="宋体" w:hint="default"/>
          <w:w w:val="100"/>
        </w:rPr>
        <w:t>24</w:t>
      </w:r>
      <w:r>
        <w:rPr>
          <w:rFonts w:ascii="宋体" w:hAnsi="宋体" w:cs="宋体" w:eastAsia="宋体" w:hint="default"/>
          <w:spacing w:val="-53"/>
          <w:w w:val="100"/>
        </w:rPr>
        <w:t> </w:t>
      </w:r>
      <w:r>
        <w:rPr>
          <w:spacing w:val="-1"/>
          <w:w w:val="100"/>
        </w:rPr>
        <w:t>个月，抵押物为长城</w:t>
      </w:r>
      <w:r>
        <w:rPr>
          <w:spacing w:val="-103"/>
          <w:w w:val="100"/>
        </w:rPr>
        <w:t> </w:t>
      </w:r>
      <w:r>
        <w:rPr>
          <w:spacing w:val="-103"/>
          <w:w w:val="100"/>
        </w:rPr>
      </w:r>
      <w:r>
        <w:rPr/>
        <w:t>电脑</w:t>
      </w:r>
      <w:r>
        <w:rPr>
          <w:spacing w:val="-54"/>
        </w:rPr>
        <w:t> </w:t>
      </w:r>
      <w:r>
        <w:rPr>
          <w:rFonts w:ascii="宋体" w:hAnsi="宋体" w:cs="宋体" w:eastAsia="宋体" w:hint="default"/>
        </w:rPr>
        <w:t>1</w:t>
      </w:r>
      <w:r>
        <w:rPr>
          <w:rFonts w:ascii="宋体" w:hAnsi="宋体" w:cs="宋体" w:eastAsia="宋体" w:hint="default"/>
          <w:spacing w:val="-54"/>
        </w:rPr>
        <w:t> </w:t>
      </w:r>
      <w:r>
        <w:rPr/>
        <w:t>号主厂房整栋及</w:t>
      </w:r>
      <w:r>
        <w:rPr>
          <w:spacing w:val="-56"/>
        </w:rPr>
        <w:t> </w:t>
      </w:r>
      <w:r>
        <w:rPr>
          <w:rFonts w:ascii="宋体" w:hAnsi="宋体" w:cs="宋体" w:eastAsia="宋体" w:hint="default"/>
        </w:rPr>
        <w:t>2</w:t>
      </w:r>
      <w:r>
        <w:rPr>
          <w:rFonts w:ascii="宋体" w:hAnsi="宋体" w:cs="宋体" w:eastAsia="宋体" w:hint="default"/>
          <w:spacing w:val="-57"/>
        </w:rPr>
        <w:t> </w:t>
      </w:r>
      <w:r>
        <w:rPr/>
        <w:t>号办公楼整栋。</w:t>
      </w:r>
    </w:p>
    <w:p>
      <w:pPr>
        <w:pStyle w:val="Heading7"/>
        <w:spacing w:line="240" w:lineRule="auto" w:before="98"/>
        <w:ind w:left="699" w:right="276"/>
        <w:jc w:val="left"/>
      </w:pPr>
      <w:r>
        <w:rPr>
          <w:rFonts w:ascii="宋体" w:hAnsi="宋体" w:cs="宋体" w:eastAsia="宋体" w:hint="default"/>
        </w:rPr>
        <w:t>34</w:t>
      </w:r>
      <w:r>
        <w:rPr/>
        <w:t>、应付债券</w:t>
      </w:r>
    </w:p>
    <w:p>
      <w:pPr>
        <w:pStyle w:val="Heading7"/>
        <w:spacing w:line="240" w:lineRule="auto" w:before="180"/>
        <w:ind w:left="699" w:right="276"/>
        <w:jc w:val="left"/>
      </w:pPr>
      <w:r>
        <w:rPr/>
        <w:t>（</w:t>
      </w:r>
      <w:r>
        <w:rPr>
          <w:rFonts w:ascii="宋体" w:hAnsi="宋体" w:cs="宋体" w:eastAsia="宋体" w:hint="default"/>
        </w:rPr>
        <w:t>1</w:t>
      </w:r>
      <w:r>
        <w:rPr/>
        <w:t>）应付债券分类</w:t>
      </w:r>
    </w:p>
    <w:p>
      <w:pPr>
        <w:spacing w:line="240" w:lineRule="auto" w:before="8"/>
        <w:rPr>
          <w:rFonts w:ascii="宋体" w:hAnsi="宋体" w:cs="宋体" w:eastAsia="宋体" w:hint="default"/>
          <w:sz w:val="6"/>
          <w:szCs w:val="6"/>
        </w:rPr>
      </w:pPr>
    </w:p>
    <w:tbl>
      <w:tblPr>
        <w:tblW w:w="0" w:type="auto"/>
        <w:jc w:val="left"/>
        <w:tblInd w:w="202" w:type="dxa"/>
        <w:tblLayout w:type="fixed"/>
        <w:tblCellMar>
          <w:top w:w="0" w:type="dxa"/>
          <w:left w:w="0" w:type="dxa"/>
          <w:bottom w:w="0" w:type="dxa"/>
          <w:right w:w="0" w:type="dxa"/>
        </w:tblCellMar>
        <w:tblLook w:val="01E0"/>
      </w:tblPr>
      <w:tblGrid>
        <w:gridCol w:w="2751"/>
        <w:gridCol w:w="2842"/>
        <w:gridCol w:w="2787"/>
      </w:tblGrid>
      <w:tr>
        <w:trPr>
          <w:trHeight w:val="360" w:hRule="exact"/>
        </w:trPr>
        <w:tc>
          <w:tcPr>
            <w:tcW w:w="27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4"/>
              <w:ind w:right="118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9" w:hRule="exact"/>
        </w:trPr>
        <w:tc>
          <w:tcPr>
            <w:tcW w:w="2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2842" w:type="dxa"/>
            <w:tcBorders>
              <w:top w:val="single" w:sz="2" w:space="0" w:color="000000"/>
              <w:left w:val="single" w:sz="2" w:space="0" w:color="000000"/>
              <w:bottom w:val="single" w:sz="2" w:space="0" w:color="000000"/>
              <w:right w:val="single" w:sz="2" w:space="0" w:color="000000"/>
            </w:tcBorders>
          </w:tcPr>
          <w:p>
            <w:pPr/>
          </w:p>
        </w:tc>
        <w:tc>
          <w:tcPr>
            <w:tcW w:w="2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499,480,933.85</w:t>
            </w:r>
          </w:p>
        </w:tc>
      </w:tr>
      <w:tr>
        <w:trPr>
          <w:trHeight w:val="360" w:hRule="exact"/>
        </w:trPr>
        <w:tc>
          <w:tcPr>
            <w:tcW w:w="27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right="118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2" w:space="0" w:color="000000"/>
              <w:left w:val="single" w:sz="2" w:space="0" w:color="000000"/>
              <w:bottom w:val="single" w:sz="12" w:space="0" w:color="000000"/>
              <w:right w:val="single" w:sz="2" w:space="0" w:color="000000"/>
            </w:tcBorders>
          </w:tcPr>
          <w:p>
            <w:pPr/>
          </w:p>
        </w:tc>
        <w:tc>
          <w:tcPr>
            <w:tcW w:w="27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b/>
                <w:w w:val="95"/>
                <w:sz w:val="18"/>
              </w:rPr>
              <w:t>499,480,933.85</w:t>
            </w:r>
            <w:r>
              <w:rPr>
                <w:rFonts w:ascii="宋体"/>
                <w:sz w:val="18"/>
              </w:rPr>
            </w:r>
          </w:p>
        </w:tc>
      </w:tr>
    </w:tbl>
    <w:p>
      <w:pPr>
        <w:spacing w:line="240" w:lineRule="auto" w:before="8"/>
        <w:rPr>
          <w:rFonts w:ascii="宋体" w:hAnsi="宋体" w:cs="宋体" w:eastAsia="宋体" w:hint="default"/>
          <w:sz w:val="4"/>
          <w:szCs w:val="4"/>
        </w:rPr>
      </w:pPr>
    </w:p>
    <w:p>
      <w:pPr>
        <w:pStyle w:val="Heading7"/>
        <w:spacing w:line="391" w:lineRule="auto"/>
        <w:ind w:left="699" w:right="2455"/>
        <w:jc w:val="left"/>
      </w:pPr>
      <w:r>
        <w:rPr>
          <w:spacing w:val="-2"/>
        </w:rPr>
        <w:t>注：本年将中期票据结转至一年内到期的应付债券。</w:t>
      </w:r>
      <w:r>
        <w:rPr>
          <w:spacing w:val="-70"/>
        </w:rPr>
        <w:t> </w:t>
      </w:r>
      <w:r>
        <w:rPr>
          <w:spacing w:val="-70"/>
        </w:rPr>
      </w:r>
      <w:r>
        <w:rPr>
          <w:rFonts w:ascii="宋体" w:hAnsi="宋体" w:cs="宋体" w:eastAsia="宋体" w:hint="default"/>
        </w:rPr>
        <w:t>35</w:t>
      </w:r>
      <w:r>
        <w:rPr/>
        <w:t>、长期应付款</w:t>
      </w:r>
    </w:p>
    <w:p>
      <w:pPr>
        <w:pStyle w:val="Heading7"/>
        <w:spacing w:line="240" w:lineRule="auto" w:before="41"/>
        <w:ind w:left="699" w:right="276"/>
        <w:jc w:val="left"/>
      </w:pPr>
      <w:r>
        <w:rPr/>
        <w:t>（</w:t>
      </w:r>
      <w:r>
        <w:rPr>
          <w:rFonts w:ascii="宋体" w:hAnsi="宋体" w:cs="宋体" w:eastAsia="宋体" w:hint="default"/>
        </w:rPr>
        <w:t>1</w:t>
      </w:r>
      <w:r>
        <w:rPr/>
        <w:t>）长期应付款按款项性质分类</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861"/>
        <w:gridCol w:w="2844"/>
        <w:gridCol w:w="2844"/>
      </w:tblGrid>
      <w:tr>
        <w:trPr>
          <w:trHeight w:val="360" w:hRule="exact"/>
        </w:trPr>
        <w:tc>
          <w:tcPr>
            <w:tcW w:w="28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4"/>
              <w:ind w:left="13"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9"/>
                <w:szCs w:val="9"/>
              </w:rPr>
            </w:pPr>
            <w:r>
              <w:rPr>
                <w:rFonts w:ascii="宋体" w:hAnsi="宋体" w:cs="宋体" w:eastAsia="宋体" w:hint="default"/>
                <w:sz w:val="18"/>
                <w:szCs w:val="18"/>
              </w:rPr>
              <w:t>飞利浦许可证和摊销</w:t>
            </w:r>
            <w:r>
              <w:rPr>
                <w:rFonts w:ascii="宋体" w:hAnsi="宋体" w:cs="宋体" w:eastAsia="宋体" w:hint="default"/>
                <w:position w:val="9"/>
                <w:sz w:val="9"/>
                <w:szCs w:val="9"/>
              </w:rPr>
              <w:t>注</w:t>
            </w:r>
            <w:r>
              <w:rPr>
                <w:rFonts w:ascii="宋体" w:hAnsi="宋体" w:cs="宋体" w:eastAsia="宋体" w:hint="default"/>
                <w:spacing w:val="-24"/>
                <w:position w:val="9"/>
                <w:sz w:val="9"/>
                <w:szCs w:val="9"/>
              </w:rPr>
              <w:t> </w:t>
            </w:r>
            <w:r>
              <w:rPr>
                <w:rFonts w:ascii="宋体" w:hAnsi="宋体" w:cs="宋体" w:eastAsia="宋体" w:hint="default"/>
                <w:position w:val="9"/>
                <w:sz w:val="9"/>
                <w:szCs w:val="9"/>
              </w:rPr>
              <w:t>1</w:t>
            </w:r>
            <w:r>
              <w:rPr>
                <w:rFonts w:ascii="宋体" w:hAnsi="宋体" w:cs="宋体" w:eastAsia="宋体" w:hint="default"/>
                <w:sz w:val="9"/>
                <w:szCs w:val="9"/>
              </w:rPr>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290,263,920.00</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464,217,935.00</w:t>
            </w:r>
          </w:p>
        </w:tc>
      </w:tr>
      <w:tr>
        <w:trPr>
          <w:trHeight w:val="346"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9"/>
                <w:szCs w:val="9"/>
              </w:rPr>
            </w:pPr>
            <w:r>
              <w:rPr>
                <w:rFonts w:ascii="宋体" w:hAnsi="宋体" w:cs="宋体" w:eastAsia="宋体" w:hint="default"/>
                <w:sz w:val="18"/>
                <w:szCs w:val="18"/>
              </w:rPr>
              <w:t>或有对价</w:t>
            </w:r>
            <w:r>
              <w:rPr>
                <w:rFonts w:ascii="宋体" w:hAnsi="宋体" w:cs="宋体" w:eastAsia="宋体" w:hint="default"/>
                <w:position w:val="9"/>
                <w:sz w:val="9"/>
                <w:szCs w:val="9"/>
              </w:rPr>
              <w:t>注</w:t>
            </w:r>
            <w:r>
              <w:rPr>
                <w:rFonts w:ascii="宋体" w:hAnsi="宋体" w:cs="宋体" w:eastAsia="宋体" w:hint="default"/>
                <w:spacing w:val="-24"/>
                <w:position w:val="9"/>
                <w:sz w:val="9"/>
                <w:szCs w:val="9"/>
              </w:rPr>
              <w:t> </w:t>
            </w:r>
            <w:r>
              <w:rPr>
                <w:rFonts w:ascii="宋体" w:hAnsi="宋体" w:cs="宋体" w:eastAsia="宋体" w:hint="default"/>
                <w:position w:val="9"/>
                <w:sz w:val="9"/>
                <w:szCs w:val="9"/>
              </w:rPr>
              <w:t>2</w:t>
            </w:r>
            <w:r>
              <w:rPr>
                <w:rFonts w:ascii="宋体" w:hAnsi="宋体" w:cs="宋体" w:eastAsia="宋体" w:hint="default"/>
                <w:sz w:val="9"/>
                <w:szCs w:val="9"/>
              </w:rPr>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16,259,974.40</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30,154,432.00</w:t>
            </w:r>
          </w:p>
        </w:tc>
      </w:tr>
      <w:tr>
        <w:trPr>
          <w:trHeight w:val="348"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214,288.80</w:t>
            </w:r>
          </w:p>
        </w:tc>
        <w:tc>
          <w:tcPr>
            <w:tcW w:w="2844"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28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b/>
                <w:w w:val="95"/>
                <w:sz w:val="18"/>
              </w:rPr>
              <w:t>306,738,183.20</w:t>
            </w:r>
            <w:r>
              <w:rPr>
                <w:rFonts w:ascii="宋体"/>
                <w:sz w:val="18"/>
              </w:rPr>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b/>
                <w:w w:val="95"/>
                <w:sz w:val="18"/>
              </w:rPr>
              <w:t>494,372,367.00</w:t>
            </w:r>
            <w:r>
              <w:rPr>
                <w:rFonts w:ascii="宋体"/>
                <w:sz w:val="18"/>
              </w:rPr>
            </w:r>
          </w:p>
        </w:tc>
      </w:tr>
    </w:tbl>
    <w:p>
      <w:pPr>
        <w:spacing w:line="240" w:lineRule="auto" w:before="9"/>
        <w:rPr>
          <w:rFonts w:ascii="宋体" w:hAnsi="宋体" w:cs="宋体" w:eastAsia="宋体" w:hint="default"/>
          <w:sz w:val="4"/>
          <w:szCs w:val="4"/>
        </w:rPr>
      </w:pPr>
    </w:p>
    <w:p>
      <w:pPr>
        <w:pStyle w:val="Heading7"/>
        <w:spacing w:line="326" w:lineRule="auto"/>
        <w:ind w:left="260" w:right="371" w:firstLine="439"/>
        <w:jc w:val="both"/>
      </w:pPr>
      <w:r>
        <w:rPr/>
        <w:t>注</w:t>
      </w:r>
      <w:r>
        <w:rPr>
          <w:spacing w:val="-55"/>
        </w:rPr>
        <w:t> </w:t>
      </w:r>
      <w:r>
        <w:rPr>
          <w:rFonts w:ascii="宋体" w:hAnsi="宋体" w:cs="宋体" w:eastAsia="宋体" w:hint="default"/>
        </w:rPr>
        <w:t>1</w:t>
      </w:r>
      <w:r>
        <w:rPr/>
        <w:t>：应付飞利浦许可证和摊销依据</w:t>
      </w:r>
      <w:r>
        <w:rPr>
          <w:spacing w:val="-55"/>
        </w:rPr>
        <w:t> </w:t>
      </w:r>
      <w:r>
        <w:rPr>
          <w:rFonts w:ascii="宋体" w:hAnsi="宋体" w:cs="宋体" w:eastAsia="宋体" w:hint="default"/>
        </w:rPr>
        <w:t>TP</w:t>
      </w:r>
      <w:r>
        <w:rPr>
          <w:rFonts w:ascii="宋体" w:hAnsi="宋体" w:cs="宋体" w:eastAsia="宋体" w:hint="default"/>
          <w:spacing w:val="1"/>
        </w:rPr>
        <w:t> </w:t>
      </w:r>
      <w:r>
        <w:rPr>
          <w:rFonts w:ascii="宋体" w:hAnsi="宋体" w:cs="宋体" w:eastAsia="宋体" w:hint="default"/>
        </w:rPr>
        <w:t>Vision</w:t>
      </w:r>
      <w:r>
        <w:rPr>
          <w:rFonts w:ascii="宋体" w:hAnsi="宋体" w:cs="宋体" w:eastAsia="宋体" w:hint="default"/>
          <w:spacing w:val="-55"/>
        </w:rPr>
        <w:t> </w:t>
      </w:r>
      <w:r>
        <w:rPr/>
        <w:t>销量确定，由于</w:t>
      </w:r>
      <w:r>
        <w:rPr>
          <w:spacing w:val="-55"/>
        </w:rPr>
        <w:t> </w:t>
      </w:r>
      <w:r>
        <w:rPr>
          <w:rFonts w:ascii="宋体" w:hAnsi="宋体" w:cs="宋体" w:eastAsia="宋体" w:hint="default"/>
        </w:rPr>
        <w:t>TP</w:t>
      </w:r>
      <w:r>
        <w:rPr>
          <w:rFonts w:ascii="宋体" w:hAnsi="宋体" w:cs="宋体" w:eastAsia="宋体" w:hint="default"/>
          <w:spacing w:val="-2"/>
        </w:rPr>
        <w:t> </w:t>
      </w:r>
      <w:r>
        <w:rPr>
          <w:rFonts w:ascii="宋体" w:hAnsi="宋体" w:cs="宋体" w:eastAsia="宋体" w:hint="default"/>
        </w:rPr>
        <w:t>Vision</w:t>
      </w:r>
      <w:r>
        <w:rPr>
          <w:rFonts w:ascii="宋体" w:hAnsi="宋体" w:cs="宋体" w:eastAsia="宋体" w:hint="default"/>
          <w:spacing w:val="-57"/>
        </w:rPr>
        <w:t> </w:t>
      </w:r>
      <w:r>
        <w:rPr/>
        <w:t>本年业</w:t>
      </w:r>
      <w:r>
        <w:rPr>
          <w:w w:val="100"/>
        </w:rPr>
        <w:t> </w:t>
      </w:r>
      <w:r>
        <w:rPr/>
        <w:t>绩变动，管理层按照预期未来业绩调整应付款项。</w:t>
      </w:r>
    </w:p>
    <w:p>
      <w:pPr>
        <w:pStyle w:val="Heading7"/>
        <w:spacing w:line="324" w:lineRule="auto" w:before="101"/>
        <w:ind w:left="260" w:right="373" w:firstLine="439"/>
        <w:jc w:val="both"/>
      </w:pPr>
      <w:r>
        <w:rPr/>
        <w:t>注</w:t>
      </w:r>
      <w:r>
        <w:rPr>
          <w:spacing w:val="-38"/>
        </w:rPr>
        <w:t> </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3</w:t>
      </w:r>
      <w:r>
        <w:rPr>
          <w:rFonts w:ascii="宋体" w:hAnsi="宋体" w:cs="宋体" w:eastAsia="宋体" w:hint="default"/>
          <w:spacing w:val="-41"/>
        </w:rPr>
        <w:t> </w:t>
      </w:r>
      <w:r>
        <w:rPr/>
        <w:t>月</w:t>
      </w:r>
      <w:r>
        <w:rPr>
          <w:spacing w:val="-38"/>
        </w:rPr>
        <w:t> </w:t>
      </w:r>
      <w:r>
        <w:rPr>
          <w:rFonts w:ascii="宋体" w:hAnsi="宋体" w:cs="宋体" w:eastAsia="宋体" w:hint="default"/>
        </w:rPr>
        <w:t>25</w:t>
      </w:r>
      <w:r>
        <w:rPr>
          <w:rFonts w:ascii="宋体" w:hAnsi="宋体" w:cs="宋体" w:eastAsia="宋体" w:hint="default"/>
          <w:spacing w:val="-41"/>
        </w:rPr>
        <w:t> </w:t>
      </w:r>
      <w:r>
        <w:rPr/>
        <w:t>日冠捷科技与飞利浦签订购买协议收购其持有的</w:t>
      </w:r>
      <w:r>
        <w:rPr>
          <w:spacing w:val="-40"/>
        </w:rPr>
        <w:t> </w:t>
      </w:r>
      <w:r>
        <w:rPr>
          <w:rFonts w:ascii="宋体" w:hAnsi="宋体" w:cs="宋体" w:eastAsia="宋体" w:hint="default"/>
        </w:rPr>
        <w:t>TP</w:t>
      </w:r>
      <w:r>
        <w:rPr>
          <w:rFonts w:ascii="宋体" w:hAnsi="宋体" w:cs="宋体" w:eastAsia="宋体" w:hint="default"/>
          <w:spacing w:val="-3"/>
        </w:rPr>
        <w:t> </w:t>
      </w:r>
      <w:r>
        <w:rPr>
          <w:rFonts w:ascii="宋体" w:hAnsi="宋体" w:cs="宋体" w:eastAsia="宋体" w:hint="default"/>
        </w:rPr>
        <w:t>Vision</w:t>
      </w:r>
      <w:r>
        <w:rPr>
          <w:rFonts w:ascii="宋体" w:hAnsi="宋体" w:cs="宋体" w:eastAsia="宋体" w:hint="default"/>
          <w:w w:val="100"/>
        </w:rPr>
        <w:t> </w:t>
      </w:r>
      <w:r>
        <w:rPr/>
        <w:t>集团剩余</w:t>
      </w:r>
      <w:r>
        <w:rPr>
          <w:spacing w:val="-52"/>
        </w:rPr>
        <w:t> </w:t>
      </w:r>
      <w:r>
        <w:rPr>
          <w:rFonts w:ascii="宋体" w:hAnsi="宋体" w:cs="宋体" w:eastAsia="宋体" w:hint="default"/>
        </w:rPr>
        <w:t>30%</w:t>
      </w:r>
      <w:r>
        <w:rPr/>
        <w:t>股权。</w:t>
      </w:r>
      <w:r>
        <w:rPr>
          <w:rFonts w:ascii="宋体" w:hAnsi="宋体" w:cs="宋体" w:eastAsia="宋体" w:hint="default"/>
        </w:rPr>
        <w:t>2014</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49"/>
        </w:rPr>
        <w:t> </w:t>
      </w:r>
      <w:r>
        <w:rPr/>
        <w:t>月</w:t>
      </w:r>
      <w:r>
        <w:rPr>
          <w:spacing w:val="-49"/>
        </w:rPr>
        <w:t> </w:t>
      </w:r>
      <w:r>
        <w:rPr>
          <w:rFonts w:ascii="宋体" w:hAnsi="宋体" w:cs="宋体" w:eastAsia="宋体" w:hint="default"/>
        </w:rPr>
        <w:t>30</w:t>
      </w:r>
      <w:r>
        <w:rPr>
          <w:rFonts w:ascii="宋体" w:hAnsi="宋体" w:cs="宋体" w:eastAsia="宋体" w:hint="default"/>
          <w:spacing w:val="-49"/>
        </w:rPr>
        <w:t> </w:t>
      </w:r>
      <w:r>
        <w:rPr/>
        <w:t>日收购事项完成，自此</w:t>
      </w:r>
      <w:r>
        <w:rPr>
          <w:spacing w:val="-51"/>
        </w:rPr>
        <w:t> </w:t>
      </w:r>
      <w:r>
        <w:rPr>
          <w:rFonts w:ascii="宋体" w:hAnsi="宋体" w:cs="宋体" w:eastAsia="宋体" w:hint="default"/>
        </w:rPr>
        <w:t>TP</w:t>
      </w:r>
      <w:r>
        <w:rPr>
          <w:rFonts w:ascii="宋体" w:hAnsi="宋体" w:cs="宋体" w:eastAsia="宋体" w:hint="default"/>
          <w:spacing w:val="-1"/>
        </w:rPr>
        <w:t> </w:t>
      </w:r>
      <w:r>
        <w:rPr>
          <w:rFonts w:ascii="宋体" w:hAnsi="宋体" w:cs="宋体" w:eastAsia="宋体" w:hint="default"/>
        </w:rPr>
        <w:t>Vision</w:t>
      </w:r>
      <w:r>
        <w:rPr>
          <w:rFonts w:ascii="宋体" w:hAnsi="宋体" w:cs="宋体" w:eastAsia="宋体" w:hint="default"/>
          <w:spacing w:val="-49"/>
        </w:rPr>
        <w:t> </w:t>
      </w:r>
      <w:r>
        <w:rPr/>
        <w:t>集团成为冠捷科</w:t>
      </w:r>
      <w:r>
        <w:rPr>
          <w:w w:val="100"/>
        </w:rPr>
        <w:t> </w:t>
      </w:r>
      <w:r>
        <w:rPr/>
        <w:t>技全资子公司。根据购买协议，收购</w:t>
      </w:r>
      <w:r>
        <w:rPr>
          <w:spacing w:val="-56"/>
        </w:rPr>
        <w:t> </w:t>
      </w:r>
      <w:r>
        <w:rPr>
          <w:rFonts w:ascii="宋体" w:hAnsi="宋体" w:cs="宋体" w:eastAsia="宋体" w:hint="default"/>
        </w:rPr>
        <w:t>TP</w:t>
      </w:r>
      <w:r>
        <w:rPr>
          <w:rFonts w:ascii="宋体" w:hAnsi="宋体" w:cs="宋体" w:eastAsia="宋体" w:hint="default"/>
          <w:spacing w:val="-2"/>
        </w:rPr>
        <w:t> </w:t>
      </w:r>
      <w:r>
        <w:rPr>
          <w:rFonts w:ascii="宋体" w:hAnsi="宋体" w:cs="宋体" w:eastAsia="宋体" w:hint="default"/>
        </w:rPr>
        <w:t>Vision</w:t>
      </w:r>
      <w:r>
        <w:rPr>
          <w:rFonts w:ascii="宋体" w:hAnsi="宋体" w:cs="宋体" w:eastAsia="宋体" w:hint="default"/>
          <w:spacing w:val="-56"/>
        </w:rPr>
        <w:t> </w:t>
      </w:r>
      <w:r>
        <w:rPr/>
        <w:t>集团剩余</w:t>
      </w:r>
      <w:r>
        <w:rPr>
          <w:spacing w:val="-56"/>
        </w:rPr>
        <w:t> </w:t>
      </w:r>
      <w:r>
        <w:rPr>
          <w:rFonts w:ascii="宋体" w:hAnsi="宋体" w:cs="宋体" w:eastAsia="宋体" w:hint="default"/>
        </w:rPr>
        <w:t>30%</w:t>
      </w:r>
      <w:r>
        <w:rPr/>
        <w:t>股权的或有对价与之前收</w:t>
      </w:r>
      <w:r>
        <w:rPr>
          <w:w w:val="100"/>
        </w:rPr>
        <w:t> </w:t>
      </w:r>
      <w:r>
        <w:rPr/>
        <w:t>购其</w:t>
      </w:r>
      <w:r>
        <w:rPr>
          <w:spacing w:val="-56"/>
        </w:rPr>
        <w:t> </w:t>
      </w:r>
      <w:r>
        <w:rPr>
          <w:rFonts w:ascii="宋体" w:hAnsi="宋体" w:cs="宋体" w:eastAsia="宋体" w:hint="default"/>
        </w:rPr>
        <w:t>70%</w:t>
      </w:r>
      <w:r>
        <w:rPr/>
        <w:t>股权的或有对价合并计算。该或有对价系根据平均比例息税前盈利乘</w:t>
      </w:r>
      <w:r>
        <w:rPr>
          <w:spacing w:val="-55"/>
        </w:rPr>
        <w:t> </w:t>
      </w:r>
      <w:r>
        <w:rPr>
          <w:rFonts w:ascii="宋体" w:hAnsi="宋体" w:cs="宋体" w:eastAsia="宋体" w:hint="default"/>
        </w:rPr>
        <w:t>4</w:t>
      </w:r>
      <w:r>
        <w:rPr>
          <w:rFonts w:ascii="宋体" w:hAnsi="宋体" w:cs="宋体" w:eastAsia="宋体" w:hint="default"/>
          <w:spacing w:val="-56"/>
        </w:rPr>
        <w:t> </w:t>
      </w:r>
      <w:r>
        <w:rPr/>
        <w:t>的公式</w:t>
      </w:r>
      <w:r>
        <w:rPr>
          <w:w w:val="100"/>
        </w:rPr>
        <w:t> </w:t>
      </w:r>
      <w:r>
        <w:rPr/>
        <w:t>计算，若计算结果为负数，或有对价将被视为零。于</w:t>
      </w:r>
      <w:r>
        <w:rPr>
          <w:spacing w:val="-46"/>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t>日，或有对价公</w:t>
      </w:r>
    </w:p>
    <w:p>
      <w:pPr>
        <w:pStyle w:val="Heading7"/>
        <w:spacing w:line="388" w:lineRule="auto" w:before="26"/>
        <w:ind w:left="699" w:right="4050" w:hanging="440"/>
        <w:jc w:val="left"/>
      </w:pPr>
      <w:r>
        <w:rPr/>
        <w:t>允价值为</w:t>
      </w:r>
      <w:r>
        <w:rPr>
          <w:spacing w:val="-56"/>
        </w:rPr>
        <w:t> </w:t>
      </w:r>
      <w:r>
        <w:rPr>
          <w:rFonts w:ascii="宋体" w:hAnsi="宋体" w:cs="宋体" w:eastAsia="宋体" w:hint="default"/>
        </w:rPr>
        <w:t>250.4</w:t>
      </w:r>
      <w:r>
        <w:rPr>
          <w:rFonts w:ascii="宋体" w:hAnsi="宋体" w:cs="宋体" w:eastAsia="宋体" w:hint="default"/>
          <w:spacing w:val="-56"/>
        </w:rPr>
        <w:t> </w:t>
      </w:r>
      <w:r>
        <w:rPr/>
        <w:t>万美元，折人民币</w:t>
      </w:r>
      <w:r>
        <w:rPr>
          <w:spacing w:val="-55"/>
        </w:rPr>
        <w:t> </w:t>
      </w:r>
      <w:r>
        <w:rPr>
          <w:rFonts w:ascii="宋体" w:hAnsi="宋体" w:cs="宋体" w:eastAsia="宋体" w:hint="default"/>
        </w:rPr>
        <w:t>1,626</w:t>
      </w:r>
      <w:r>
        <w:rPr>
          <w:rFonts w:ascii="宋体" w:hAnsi="宋体" w:cs="宋体" w:eastAsia="宋体" w:hint="default"/>
          <w:spacing w:val="-56"/>
        </w:rPr>
        <w:t> </w:t>
      </w:r>
      <w:r>
        <w:rPr/>
        <w:t>万元。</w:t>
      </w:r>
      <w:r>
        <w:rPr>
          <w:w w:val="100"/>
        </w:rPr>
        <w:t> </w:t>
      </w:r>
      <w:r>
        <w:rPr>
          <w:rFonts w:ascii="宋体" w:hAnsi="宋体" w:cs="宋体" w:eastAsia="宋体" w:hint="default"/>
        </w:rPr>
        <w:t>36</w:t>
      </w:r>
      <w:r>
        <w:rPr/>
        <w:t>、长期应付职工薪酬</w:t>
      </w:r>
    </w:p>
    <w:p>
      <w:pPr>
        <w:pStyle w:val="Heading7"/>
        <w:spacing w:line="240" w:lineRule="auto" w:before="44"/>
        <w:ind w:left="699" w:right="276"/>
        <w:jc w:val="left"/>
      </w:pPr>
      <w:r>
        <w:rPr/>
        <w:t>（</w:t>
      </w:r>
      <w:r>
        <w:rPr>
          <w:rFonts w:ascii="宋体" w:hAnsi="宋体" w:cs="宋体" w:eastAsia="宋体" w:hint="default"/>
        </w:rPr>
        <w:t>1</w:t>
      </w:r>
      <w:r>
        <w:rPr/>
        <w:t>）长期应付职工薪酬分类</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809"/>
        <w:gridCol w:w="2369"/>
        <w:gridCol w:w="2372"/>
      </w:tblGrid>
      <w:tr>
        <w:trPr>
          <w:trHeight w:val="360" w:hRule="exact"/>
        </w:trPr>
        <w:tc>
          <w:tcPr>
            <w:tcW w:w="38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4"/>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4"/>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设定受益计划净负债</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134,105,827.20</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130,126,654.00</w:t>
            </w:r>
          </w:p>
        </w:tc>
      </w:tr>
      <w:tr>
        <w:trPr>
          <w:trHeight w:val="348"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262,386.66</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18"/>
                <w:szCs w:val="18"/>
              </w:rPr>
            </w:pPr>
            <w:r>
              <w:rPr>
                <w:rFonts w:ascii="宋体"/>
                <w:spacing w:val="-1"/>
                <w:sz w:val="18"/>
              </w:rPr>
              <w:t>562,386.66</w:t>
            </w:r>
          </w:p>
        </w:tc>
      </w:tr>
      <w:tr>
        <w:trPr>
          <w:trHeight w:val="34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应付特殊花红</w:t>
            </w:r>
          </w:p>
        </w:tc>
        <w:tc>
          <w:tcPr>
            <w:tcW w:w="2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5,500,079.20</w:t>
            </w:r>
          </w:p>
        </w:tc>
        <w:tc>
          <w:tcPr>
            <w:tcW w:w="23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8,725,694.00</w:t>
            </w:r>
          </w:p>
        </w:tc>
      </w:tr>
      <w:tr>
        <w:trPr>
          <w:trHeight w:val="360" w:hRule="exact"/>
        </w:trPr>
        <w:tc>
          <w:tcPr>
            <w:tcW w:w="38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b/>
                <w:w w:val="95"/>
                <w:sz w:val="18"/>
              </w:rPr>
              <w:t>139,868,293.06</w:t>
            </w:r>
            <w:r>
              <w:rPr>
                <w:rFonts w:ascii="宋体"/>
                <w:sz w:val="18"/>
              </w:rPr>
            </w:r>
          </w:p>
        </w:tc>
        <w:tc>
          <w:tcPr>
            <w:tcW w:w="23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9"/>
              <w:jc w:val="right"/>
              <w:rPr>
                <w:rFonts w:ascii="宋体" w:hAnsi="宋体" w:cs="宋体" w:eastAsia="宋体" w:hint="default"/>
                <w:sz w:val="18"/>
                <w:szCs w:val="18"/>
              </w:rPr>
            </w:pPr>
            <w:r>
              <w:rPr>
                <w:rFonts w:ascii="宋体"/>
                <w:b/>
                <w:w w:val="95"/>
                <w:sz w:val="18"/>
              </w:rPr>
              <w:t>139,414,734.66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0" w:top="1600" w:bottom="1160" w:left="154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99" w:right="276"/>
        <w:jc w:val="left"/>
      </w:pPr>
      <w:r>
        <w:rPr/>
        <w:t>（</w:t>
      </w:r>
      <w:r>
        <w:rPr>
          <w:rFonts w:ascii="宋体" w:hAnsi="宋体" w:cs="宋体" w:eastAsia="宋体" w:hint="default"/>
        </w:rPr>
        <w:t>2</w:t>
      </w:r>
      <w:r>
        <w:rPr/>
        <w:t>）设定受益计划变动情况</w:t>
      </w:r>
      <w:r>
        <w:rPr>
          <w:rFonts w:ascii="宋体" w:hAnsi="宋体" w:cs="宋体" w:eastAsia="宋体" w:hint="default"/>
        </w:rPr>
        <w:t>---</w:t>
      </w:r>
      <w:r>
        <w:rPr/>
        <w:t>设定受益计划义务现值</w:t>
      </w:r>
    </w:p>
    <w:p>
      <w:pPr>
        <w:spacing w:line="240" w:lineRule="auto" w:before="8"/>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891"/>
        <w:gridCol w:w="2321"/>
        <w:gridCol w:w="2321"/>
      </w:tblGrid>
      <w:tr>
        <w:trPr>
          <w:trHeight w:val="389" w:hRule="exact"/>
        </w:trPr>
        <w:tc>
          <w:tcPr>
            <w:tcW w:w="38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281,896,211.00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126,181,442.40</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计入当期损益的设定受益成本</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30,858,036.25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7,146,739.67</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本年服务成本</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20,043,683.00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5,610,467.17</w:t>
            </w:r>
          </w:p>
        </w:tc>
      </w:tr>
      <w:tr>
        <w:trPr>
          <w:trHeight w:val="377"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过去服务成本</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5,503,900.50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-2,605,518.16</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结算利得（损失以“－”表示）</w:t>
            </w:r>
          </w:p>
        </w:tc>
        <w:tc>
          <w:tcPr>
            <w:tcW w:w="2321"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利息净额</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5,310,452.75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4,141,790.66</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计入其他综合收益的设定收益成本</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45,291,734.50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191,911,160.70</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精算利得（损失以“－”表示）</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45,291,734.50</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222,636,610.70</w:t>
            </w:r>
          </w:p>
        </w:tc>
      </w:tr>
      <w:tr>
        <w:trPr>
          <w:trHeight w:val="375"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计划资产回报（计入利息净额的除外）</w:t>
            </w:r>
          </w:p>
        </w:tc>
        <w:tc>
          <w:tcPr>
            <w:tcW w:w="2321"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321"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-30,725,450.00</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-8,508,480.95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-43,343,131.77</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结算时消除的负债</w:t>
            </w:r>
          </w:p>
        </w:tc>
        <w:tc>
          <w:tcPr>
            <w:tcW w:w="2321"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已支付的福利</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-2,065,522.75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-26,964,654.92</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汇兑差异</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-26,639,627.25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460,332.81</w:t>
            </w: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3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20,196,669.05</w:t>
            </w: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159,772.34</w:t>
            </w:r>
          </w:p>
        </w:tc>
      </w:tr>
      <w:tr>
        <w:trPr>
          <w:trHeight w:val="377"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供款</w:t>
            </w:r>
          </w:p>
        </w:tc>
        <w:tc>
          <w:tcPr>
            <w:tcW w:w="2321"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8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流动部分转出</w:t>
            </w:r>
          </w:p>
        </w:tc>
        <w:tc>
          <w:tcPr>
            <w:tcW w:w="2321" w:type="dxa"/>
            <w:tcBorders>
              <w:top w:val="single" w:sz="2" w:space="0" w:color="000000"/>
              <w:left w:val="single" w:sz="2" w:space="0" w:color="000000"/>
              <w:bottom w:val="single" w:sz="2" w:space="0" w:color="000000"/>
              <w:right w:val="single" w:sz="2" w:space="0" w:color="000000"/>
            </w:tcBorders>
          </w:tcPr>
          <w:p>
            <w:pPr/>
          </w:p>
        </w:tc>
        <w:tc>
          <w:tcPr>
            <w:tcW w:w="23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-16,998,582.00</w:t>
            </w:r>
          </w:p>
        </w:tc>
      </w:tr>
      <w:tr>
        <w:trPr>
          <w:trHeight w:val="386" w:hRule="exact"/>
        </w:trPr>
        <w:tc>
          <w:tcPr>
            <w:tcW w:w="38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349,537,500.80</w:t>
            </w:r>
            <w:r>
              <w:rPr>
                <w:rFonts w:ascii="宋体"/>
                <w:sz w:val="18"/>
              </w:rPr>
            </w:r>
          </w:p>
        </w:tc>
        <w:tc>
          <w:tcPr>
            <w:tcW w:w="23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281,896,211.00</w:t>
            </w:r>
            <w:r>
              <w:rPr>
                <w:rFonts w:ascii="宋体"/>
                <w:sz w:val="18"/>
              </w:rPr>
            </w:r>
          </w:p>
        </w:tc>
      </w:tr>
    </w:tbl>
    <w:p>
      <w:pPr>
        <w:spacing w:line="240" w:lineRule="auto" w:before="9"/>
        <w:rPr>
          <w:rFonts w:ascii="宋体" w:hAnsi="宋体" w:cs="宋体" w:eastAsia="宋体" w:hint="default"/>
          <w:sz w:val="4"/>
          <w:szCs w:val="4"/>
        </w:rPr>
      </w:pPr>
    </w:p>
    <w:p>
      <w:pPr>
        <w:pStyle w:val="Heading7"/>
        <w:spacing w:line="240" w:lineRule="auto"/>
        <w:ind w:left="699" w:right="276"/>
        <w:jc w:val="left"/>
      </w:pPr>
      <w:r>
        <w:rPr/>
        <w:t>（</w:t>
      </w:r>
      <w:r>
        <w:rPr>
          <w:rFonts w:ascii="宋体" w:hAnsi="宋体" w:cs="宋体" w:eastAsia="宋体" w:hint="default"/>
        </w:rPr>
        <w:t>3</w:t>
      </w:r>
      <w:r>
        <w:rPr/>
        <w:t>）设定受益计划变动情况</w:t>
      </w:r>
      <w:r>
        <w:rPr>
          <w:rFonts w:ascii="宋体" w:hAnsi="宋体" w:cs="宋体" w:eastAsia="宋体" w:hint="default"/>
        </w:rPr>
        <w:t>---</w:t>
      </w:r>
      <w:r>
        <w:rPr/>
        <w:t>计划资产的公允价值</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565"/>
        <w:gridCol w:w="1985"/>
        <w:gridCol w:w="2000"/>
      </w:tblGrid>
      <w:tr>
        <w:trPr>
          <w:trHeight w:val="389" w:hRule="exact"/>
        </w:trPr>
        <w:tc>
          <w:tcPr>
            <w:tcW w:w="45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151,769,557.00</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26,820,263.10</w:t>
            </w: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计入当期损益的设定受益成本</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3,020,281.00</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854,167.51</w:t>
            </w: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利息净额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3,020,281.00</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854,167.51</w:t>
            </w:r>
          </w:p>
        </w:tc>
      </w:tr>
      <w:tr>
        <w:trPr>
          <w:trHeight w:val="377"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计入其他综合收益的设定收益成本</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54,246,493.25</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147,758,689.05</w:t>
            </w: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计划资产回报（计入利息净额的除外）</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3,531,981.50</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147,758,689.05</w:t>
            </w: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资产上限影响的变动（计入利息净额的除外）</w:t>
            </w:r>
          </w:p>
        </w:tc>
        <w:tc>
          <w:tcPr>
            <w:tcW w:w="1985"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精算利得（损失以“－”表示）</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50,714,511.75</w:t>
            </w: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6,395,342.35</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-23,663,562.66</w:t>
            </w:r>
          </w:p>
        </w:tc>
      </w:tr>
      <w:tr>
        <w:trPr>
          <w:trHeight w:val="375"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结算时消除的负债</w:t>
            </w:r>
          </w:p>
        </w:tc>
        <w:tc>
          <w:tcPr>
            <w:tcW w:w="1985"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已支付的福利</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-5,678,627.50</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-25,274,755.17</w:t>
            </w: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汇兑差异</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-15,170,047.75</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-15,705,671.11</w:t>
            </w: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11,412,503.35</w:t>
            </w: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4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供款</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15,831,514.25</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17,316,863.62</w:t>
            </w:r>
          </w:p>
        </w:tc>
      </w:tr>
      <w:tr>
        <w:trPr>
          <w:trHeight w:val="389" w:hRule="exact"/>
        </w:trPr>
        <w:tc>
          <w:tcPr>
            <w:tcW w:w="45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215,431,673.60</w:t>
            </w:r>
            <w:r>
              <w:rPr>
                <w:rFonts w:ascii="宋体"/>
                <w:sz w:val="18"/>
              </w:rPr>
            </w:r>
          </w:p>
        </w:tc>
        <w:tc>
          <w:tcPr>
            <w:tcW w:w="20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151,769,557.00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0" w:top="1600" w:bottom="1160" w:left="1540" w:right="1420"/>
        </w:sectPr>
      </w:pPr>
    </w:p>
    <w:p>
      <w:pPr>
        <w:spacing w:line="240" w:lineRule="auto" w:before="3"/>
        <w:rPr>
          <w:rFonts w:ascii="宋体" w:hAnsi="宋体" w:cs="宋体" w:eastAsia="宋体" w:hint="default"/>
          <w:sz w:val="3"/>
          <w:szCs w:val="3"/>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779" w:right="0"/>
        <w:jc w:val="left"/>
      </w:pPr>
      <w:r>
        <w:rPr/>
        <w:t>（</w:t>
      </w:r>
      <w:r>
        <w:rPr>
          <w:rFonts w:ascii="宋体" w:hAnsi="宋体" w:cs="宋体" w:eastAsia="宋体" w:hint="default"/>
        </w:rPr>
        <w:t>4</w:t>
      </w:r>
      <w:r>
        <w:rPr/>
        <w:t>）设定受益计划变动情况</w:t>
      </w:r>
      <w:r>
        <w:rPr>
          <w:rFonts w:ascii="宋体" w:hAnsi="宋体" w:cs="宋体" w:eastAsia="宋体" w:hint="default"/>
        </w:rPr>
        <w:t>---</w:t>
      </w:r>
      <w:r>
        <w:rPr/>
        <w:t>设定受益计划净负债（净资产）</w:t>
      </w:r>
    </w:p>
    <w:p>
      <w:pPr>
        <w:spacing w:line="240" w:lineRule="auto" w:before="8"/>
        <w:rPr>
          <w:rFonts w:ascii="宋体" w:hAnsi="宋体" w:cs="宋体" w:eastAsia="宋体" w:hint="default"/>
          <w:sz w:val="6"/>
          <w:szCs w:val="6"/>
        </w:rPr>
      </w:pPr>
    </w:p>
    <w:tbl>
      <w:tblPr>
        <w:tblW w:w="0" w:type="auto"/>
        <w:jc w:val="left"/>
        <w:tblInd w:w="196" w:type="dxa"/>
        <w:tblLayout w:type="fixed"/>
        <w:tblCellMar>
          <w:top w:w="0" w:type="dxa"/>
          <w:left w:w="0" w:type="dxa"/>
          <w:bottom w:w="0" w:type="dxa"/>
          <w:right w:w="0" w:type="dxa"/>
        </w:tblCellMar>
        <w:tblLook w:val="01E0"/>
      </w:tblPr>
      <w:tblGrid>
        <w:gridCol w:w="3809"/>
        <w:gridCol w:w="2266"/>
        <w:gridCol w:w="2475"/>
      </w:tblGrid>
      <w:tr>
        <w:trPr>
          <w:trHeight w:val="389" w:hRule="exact"/>
        </w:trPr>
        <w:tc>
          <w:tcPr>
            <w:tcW w:w="38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130,126,654.00</w:t>
            </w:r>
          </w:p>
        </w:tc>
        <w:tc>
          <w:tcPr>
            <w:tcW w:w="24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99,361,179.30</w:t>
            </w:r>
          </w:p>
        </w:tc>
      </w:tr>
      <w:tr>
        <w:trPr>
          <w:trHeight w:val="374"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计入当期损益的设定受益成本</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27,837,755.25</w:t>
            </w:r>
          </w:p>
        </w:tc>
        <w:tc>
          <w:tcPr>
            <w:tcW w:w="24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6,292,572.16</w:t>
            </w:r>
          </w:p>
        </w:tc>
      </w:tr>
      <w:tr>
        <w:trPr>
          <w:trHeight w:val="374"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计入其他综合收益的设定收益成本</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-8,954,758.75</w:t>
            </w:r>
          </w:p>
        </w:tc>
        <w:tc>
          <w:tcPr>
            <w:tcW w:w="24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44,152,471.65</w:t>
            </w:r>
          </w:p>
        </w:tc>
      </w:tr>
      <w:tr>
        <w:trPr>
          <w:trHeight w:val="377"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-14,903,823.30</w:t>
            </w:r>
          </w:p>
        </w:tc>
        <w:tc>
          <w:tcPr>
            <w:tcW w:w="24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-19,679,569.11</w:t>
            </w:r>
          </w:p>
        </w:tc>
      </w:tr>
      <w:tr>
        <w:trPr>
          <w:trHeight w:val="386" w:hRule="exact"/>
        </w:trPr>
        <w:tc>
          <w:tcPr>
            <w:tcW w:w="38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134,105,827.20</w:t>
            </w:r>
            <w:r>
              <w:rPr>
                <w:rFonts w:ascii="宋体"/>
                <w:sz w:val="18"/>
              </w:rPr>
            </w:r>
          </w:p>
        </w:tc>
        <w:tc>
          <w:tcPr>
            <w:tcW w:w="24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130,126,654.00</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rFonts w:ascii="宋体" w:hAnsi="宋体" w:cs="宋体" w:eastAsia="宋体" w:hint="default"/>
        </w:rPr>
        <w:t>37</w:t>
      </w:r>
      <w:r>
        <w:rPr/>
        <w:t>、专项应付款</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816"/>
        <w:gridCol w:w="1418"/>
        <w:gridCol w:w="1133"/>
        <w:gridCol w:w="994"/>
        <w:gridCol w:w="1419"/>
        <w:gridCol w:w="960"/>
      </w:tblGrid>
      <w:tr>
        <w:trPr>
          <w:trHeight w:val="389"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668"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49"/>
              <w:ind w:left="55" w:right="34"/>
              <w:jc w:val="left"/>
              <w:rPr>
                <w:rFonts w:ascii="宋体" w:hAnsi="宋体" w:cs="宋体" w:eastAsia="宋体" w:hint="default"/>
                <w:sz w:val="18"/>
                <w:szCs w:val="18"/>
              </w:rPr>
            </w:pPr>
            <w:r>
              <w:rPr>
                <w:rFonts w:ascii="宋体" w:hAnsi="宋体" w:cs="宋体" w:eastAsia="宋体" w:hint="default"/>
                <w:sz w:val="18"/>
                <w:szCs w:val="18"/>
              </w:rPr>
              <w:t>太阳能和云计算技术研发与产业化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项目</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6" w:right="0"/>
              <w:jc w:val="center"/>
              <w:rPr>
                <w:rFonts w:ascii="宋体" w:hAnsi="宋体" w:cs="宋体" w:eastAsia="宋体" w:hint="default"/>
                <w:sz w:val="18"/>
                <w:szCs w:val="18"/>
              </w:rPr>
            </w:pPr>
            <w:r>
              <w:rPr>
                <w:rFonts w:ascii="宋体"/>
                <w:sz w:val="18"/>
              </w:rPr>
              <w:t>100,000,000.00</w:t>
            </w: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100,000,000.00</w:t>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上级拨入</w:t>
            </w:r>
          </w:p>
        </w:tc>
      </w:tr>
      <w:tr>
        <w:trPr>
          <w:trHeight w:val="6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5" w:right="34"/>
              <w:jc w:val="left"/>
              <w:rPr>
                <w:rFonts w:ascii="宋体" w:hAnsi="宋体" w:cs="宋体" w:eastAsia="宋体" w:hint="default"/>
                <w:sz w:val="18"/>
                <w:szCs w:val="18"/>
              </w:rPr>
            </w:pPr>
            <w:r>
              <w:rPr>
                <w:rFonts w:ascii="宋体" w:hAnsi="宋体" w:cs="宋体" w:eastAsia="宋体" w:hint="default"/>
                <w:sz w:val="18"/>
                <w:szCs w:val="18"/>
              </w:rPr>
              <w:t>云计算安全产品研发及服务平台建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设</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5" w:right="0"/>
              <w:jc w:val="center"/>
              <w:rPr>
                <w:rFonts w:ascii="宋体" w:hAnsi="宋体" w:cs="宋体" w:eastAsia="宋体" w:hint="default"/>
                <w:sz w:val="18"/>
                <w:szCs w:val="18"/>
              </w:rPr>
            </w:pPr>
            <w:r>
              <w:rPr>
                <w:rFonts w:ascii="宋体"/>
                <w:sz w:val="18"/>
              </w:rPr>
              <w:t>45,000,000.00</w:t>
            </w: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45,000,000.00</w:t>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上级拨入</w:t>
            </w:r>
          </w:p>
        </w:tc>
      </w:tr>
      <w:tr>
        <w:trPr>
          <w:trHeight w:val="667"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5" w:right="34"/>
              <w:jc w:val="left"/>
              <w:rPr>
                <w:rFonts w:ascii="宋体" w:hAnsi="宋体" w:cs="宋体" w:eastAsia="宋体" w:hint="default"/>
                <w:sz w:val="18"/>
                <w:szCs w:val="18"/>
              </w:rPr>
            </w:pPr>
            <w:r>
              <w:rPr>
                <w:rFonts w:ascii="宋体" w:hAnsi="宋体" w:cs="宋体" w:eastAsia="宋体" w:hint="default"/>
                <w:sz w:val="18"/>
                <w:szCs w:val="18"/>
              </w:rPr>
              <w:t>基于可信计算的高等级安全防护系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统研发与产业化项目</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center"/>
              <w:rPr>
                <w:rFonts w:ascii="宋体" w:hAnsi="宋体" w:cs="宋体" w:eastAsia="宋体" w:hint="default"/>
                <w:sz w:val="18"/>
                <w:szCs w:val="18"/>
              </w:rPr>
            </w:pPr>
            <w:r>
              <w:rPr>
                <w:rFonts w:ascii="宋体"/>
                <w:sz w:val="18"/>
              </w:rPr>
              <w:t>20,000,000.00</w:t>
            </w: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20,000,000.00</w:t>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上级拨入</w:t>
            </w:r>
          </w:p>
        </w:tc>
      </w:tr>
      <w:tr>
        <w:trPr>
          <w:trHeight w:val="389"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66" w:right="0"/>
              <w:jc w:val="center"/>
              <w:rPr>
                <w:rFonts w:ascii="宋体" w:hAnsi="宋体" w:cs="宋体" w:eastAsia="宋体" w:hint="default"/>
                <w:sz w:val="18"/>
                <w:szCs w:val="18"/>
              </w:rPr>
            </w:pPr>
            <w:r>
              <w:rPr>
                <w:rFonts w:ascii="宋体"/>
                <w:b/>
                <w:sz w:val="18"/>
              </w:rPr>
              <w:t>165,000,000.00</w:t>
            </w:r>
            <w:r>
              <w:rPr>
                <w:rFonts w:ascii="宋体"/>
                <w:sz w:val="18"/>
              </w:rPr>
            </w:r>
          </w:p>
        </w:tc>
        <w:tc>
          <w:tcPr>
            <w:tcW w:w="1133" w:type="dxa"/>
            <w:tcBorders>
              <w:top w:val="single" w:sz="2" w:space="0" w:color="000000"/>
              <w:left w:val="single" w:sz="2" w:space="0" w:color="000000"/>
              <w:bottom w:val="single" w:sz="12" w:space="0" w:color="000000"/>
              <w:right w:val="single" w:sz="2" w:space="0" w:color="000000"/>
            </w:tcBorders>
          </w:tcPr>
          <w:p>
            <w:pPr/>
          </w:p>
        </w:tc>
        <w:tc>
          <w:tcPr>
            <w:tcW w:w="994"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9"/>
              <w:jc w:val="right"/>
              <w:rPr>
                <w:rFonts w:ascii="宋体" w:hAnsi="宋体" w:cs="宋体" w:eastAsia="宋体" w:hint="default"/>
                <w:sz w:val="18"/>
                <w:szCs w:val="18"/>
              </w:rPr>
            </w:pPr>
            <w:r>
              <w:rPr>
                <w:rFonts w:ascii="宋体"/>
                <w:b/>
                <w:w w:val="95"/>
                <w:sz w:val="18"/>
              </w:rPr>
              <w:t>165,000,000.00</w:t>
            </w:r>
            <w:r>
              <w:rPr>
                <w:rFonts w:ascii="宋体"/>
                <w:sz w:val="18"/>
              </w:rPr>
            </w:r>
          </w:p>
        </w:tc>
        <w:tc>
          <w:tcPr>
            <w:tcW w:w="9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rFonts w:ascii="宋体" w:hAnsi="宋体" w:cs="宋体" w:eastAsia="宋体" w:hint="default"/>
        </w:rPr>
        <w:t>38</w:t>
      </w:r>
      <w:r>
        <w:rPr/>
        <w:t>、预计负债</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2619"/>
        <w:gridCol w:w="2150"/>
        <w:gridCol w:w="2151"/>
        <w:gridCol w:w="1618"/>
      </w:tblGrid>
      <w:tr>
        <w:trPr>
          <w:trHeight w:val="386" w:hRule="exact"/>
        </w:trPr>
        <w:tc>
          <w:tcPr>
            <w:tcW w:w="26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74" w:hRule="exact"/>
        </w:trPr>
        <w:tc>
          <w:tcPr>
            <w:tcW w:w="26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8,697,443.69</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48,663,974.72</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维修责任</w:t>
            </w:r>
          </w:p>
        </w:tc>
      </w:tr>
      <w:tr>
        <w:trPr>
          <w:trHeight w:val="377" w:hRule="exact"/>
        </w:trPr>
        <w:tc>
          <w:tcPr>
            <w:tcW w:w="26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600,510.92</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5,532,038.60</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客户破产</w:t>
            </w:r>
          </w:p>
        </w:tc>
      </w:tr>
      <w:tr>
        <w:trPr>
          <w:trHeight w:val="375" w:hRule="exact"/>
        </w:trPr>
        <w:tc>
          <w:tcPr>
            <w:tcW w:w="26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150" w:type="dxa"/>
            <w:tcBorders>
              <w:top w:val="single" w:sz="2" w:space="0" w:color="000000"/>
              <w:left w:val="single" w:sz="2" w:space="0" w:color="000000"/>
              <w:bottom w:val="single" w:sz="2" w:space="0" w:color="000000"/>
              <w:right w:val="single" w:sz="2" w:space="0" w:color="000000"/>
            </w:tcBorders>
          </w:tcPr>
          <w:p>
            <w:pP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1,696,436.15</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交易纠纷</w:t>
            </w:r>
          </w:p>
        </w:tc>
      </w:tr>
      <w:tr>
        <w:trPr>
          <w:trHeight w:val="386" w:hRule="exact"/>
        </w:trPr>
        <w:tc>
          <w:tcPr>
            <w:tcW w:w="26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9,297,954.61</w:t>
            </w:r>
            <w:r>
              <w:rPr>
                <w:rFonts w:ascii="宋体"/>
                <w:sz w:val="18"/>
              </w:rPr>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55,892,449.47</w:t>
            </w:r>
            <w:r>
              <w:rPr>
                <w:rFonts w:ascii="宋体"/>
                <w:sz w:val="18"/>
              </w:rPr>
            </w:r>
          </w:p>
        </w:tc>
        <w:tc>
          <w:tcPr>
            <w:tcW w:w="161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980" w:top="1600" w:bottom="1160" w:left="1460" w:right="1420"/>
        </w:sectPr>
      </w:pPr>
    </w:p>
    <w:p>
      <w:pPr>
        <w:spacing w:line="240" w:lineRule="auto" w:before="7"/>
        <w:rPr>
          <w:rFonts w:ascii="宋体" w:hAnsi="宋体" w:cs="宋体" w:eastAsia="宋体" w:hint="default"/>
          <w:sz w:val="15"/>
          <w:szCs w:val="15"/>
        </w:rPr>
      </w:pPr>
    </w:p>
    <w:p>
      <w:pPr>
        <w:pStyle w:val="Heading7"/>
        <w:spacing w:line="240" w:lineRule="auto"/>
        <w:ind w:left="679" w:right="1708"/>
        <w:jc w:val="left"/>
      </w:pPr>
      <w:r>
        <w:rPr>
          <w:rFonts w:ascii="宋体" w:hAnsi="宋体" w:cs="宋体" w:eastAsia="宋体" w:hint="default"/>
        </w:rPr>
        <w:t>39</w:t>
      </w:r>
      <w:r>
        <w:rPr/>
        <w:t>、递延收益</w:t>
      </w:r>
    </w:p>
    <w:p>
      <w:pPr>
        <w:pStyle w:val="Heading7"/>
        <w:spacing w:line="240" w:lineRule="auto" w:before="180"/>
        <w:ind w:left="679" w:right="1708"/>
        <w:jc w:val="left"/>
      </w:pPr>
      <w:r>
        <w:rPr/>
        <w:t>（</w:t>
      </w:r>
      <w:r>
        <w:rPr>
          <w:rFonts w:ascii="宋体" w:hAnsi="宋体" w:cs="宋体" w:eastAsia="宋体" w:hint="default"/>
        </w:rPr>
        <w:t>1</w:t>
      </w:r>
      <w:r>
        <w:rPr/>
        <w:t>）递延收益分类</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892"/>
        <w:gridCol w:w="2785"/>
        <w:gridCol w:w="2659"/>
        <w:gridCol w:w="2552"/>
        <w:gridCol w:w="2552"/>
        <w:gridCol w:w="1752"/>
      </w:tblGrid>
      <w:tr>
        <w:trPr>
          <w:trHeight w:val="415" w:hRule="exact"/>
        </w:trPr>
        <w:tc>
          <w:tcPr>
            <w:tcW w:w="18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right="75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left="511"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401" w:hRule="exact"/>
        </w:trPr>
        <w:tc>
          <w:tcPr>
            <w:tcW w:w="18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62,696,163.45</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18,741,962.40</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17,897,537.87</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63,540,587.98</w:t>
            </w:r>
          </w:p>
        </w:tc>
        <w:tc>
          <w:tcPr>
            <w:tcW w:w="1752" w:type="dxa"/>
            <w:tcBorders>
              <w:top w:val="single" w:sz="2" w:space="0" w:color="000000"/>
              <w:left w:val="single" w:sz="2" w:space="0" w:color="000000"/>
              <w:bottom w:val="single" w:sz="2" w:space="0" w:color="000000"/>
              <w:right w:val="nil" w:sz="6" w:space="0" w:color="auto"/>
            </w:tcBorders>
          </w:tcPr>
          <w:p>
            <w:pPr/>
          </w:p>
        </w:tc>
      </w:tr>
      <w:tr>
        <w:trPr>
          <w:trHeight w:val="416" w:hRule="exact"/>
        </w:trPr>
        <w:tc>
          <w:tcPr>
            <w:tcW w:w="18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right="75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62,696,163.45</w:t>
            </w:r>
            <w:r>
              <w:rPr>
                <w:rFonts w:ascii="宋体"/>
                <w:sz w:val="18"/>
              </w:rPr>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18,741,962.40</w:t>
            </w:r>
            <w:r>
              <w:rPr>
                <w:rFonts w:ascii="宋体"/>
                <w:sz w:val="18"/>
              </w:rPr>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17,897,537.87</w:t>
            </w:r>
            <w:r>
              <w:rPr>
                <w:rFonts w:ascii="宋体"/>
                <w:sz w:val="18"/>
              </w:rPr>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63,540,587.98</w:t>
            </w:r>
            <w:r>
              <w:rPr>
                <w:rFonts w:ascii="宋体"/>
                <w:sz w:val="18"/>
              </w:rPr>
            </w:r>
          </w:p>
        </w:tc>
        <w:tc>
          <w:tcPr>
            <w:tcW w:w="175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79" w:right="1708"/>
        <w:jc w:val="left"/>
      </w:pPr>
      <w:r>
        <w:rPr/>
        <w:t>（</w:t>
      </w:r>
      <w:r>
        <w:rPr>
          <w:rFonts w:ascii="宋体" w:hAnsi="宋体" w:cs="宋体" w:eastAsia="宋体" w:hint="default"/>
        </w:rPr>
        <w:t>2</w:t>
      </w:r>
      <w:r>
        <w:rPr/>
        <w:t>）政府补助项目</w:t>
      </w:r>
    </w:p>
    <w:p>
      <w:pPr>
        <w:spacing w:line="240" w:lineRule="auto" w:before="8"/>
        <w:rPr>
          <w:rFonts w:ascii="宋体" w:hAnsi="宋体" w:cs="宋体" w:eastAsia="宋体" w:hint="default"/>
          <w:sz w:val="6"/>
          <w:szCs w:val="6"/>
        </w:rPr>
      </w:pPr>
    </w:p>
    <w:tbl>
      <w:tblPr>
        <w:tblW w:w="0" w:type="auto"/>
        <w:jc w:val="left"/>
        <w:tblInd w:w="206" w:type="dxa"/>
        <w:tblLayout w:type="fixed"/>
        <w:tblCellMar>
          <w:top w:w="0" w:type="dxa"/>
          <w:left w:w="0" w:type="dxa"/>
          <w:bottom w:w="0" w:type="dxa"/>
          <w:right w:w="0" w:type="dxa"/>
        </w:tblCellMar>
        <w:tblLook w:val="01E0"/>
      </w:tblPr>
      <w:tblGrid>
        <w:gridCol w:w="4078"/>
        <w:gridCol w:w="1726"/>
        <w:gridCol w:w="1879"/>
        <w:gridCol w:w="1570"/>
        <w:gridCol w:w="1723"/>
        <w:gridCol w:w="1729"/>
        <w:gridCol w:w="1279"/>
      </w:tblGrid>
      <w:tr>
        <w:trPr>
          <w:trHeight w:val="718" w:hRule="exact"/>
        </w:trPr>
        <w:tc>
          <w:tcPr>
            <w:tcW w:w="40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7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本年新增补助金额</w:t>
            </w:r>
            <w:r>
              <w:rPr>
                <w:rFonts w:ascii="宋体" w:hAnsi="宋体" w:cs="宋体" w:eastAsia="宋体" w:hint="default"/>
                <w:sz w:val="18"/>
                <w:szCs w:val="18"/>
              </w:rPr>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3"/>
              <w:ind w:left="420" w:right="150" w:hanging="272"/>
              <w:jc w:val="left"/>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7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3"/>
              <w:ind w:left="184" w:right="143"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波兰政府项目</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1,132,015.00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-378,757.40</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753,257.60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虚拟化安全防护系统</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5,000,000.00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-5,000,000.00</w:t>
            </w:r>
          </w:p>
        </w:tc>
        <w:tc>
          <w:tcPr>
            <w:tcW w:w="1729"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可信计算机系统研发与标准制定项目</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533" w:right="0"/>
              <w:jc w:val="left"/>
              <w:rPr>
                <w:rFonts w:ascii="宋体" w:hAnsi="宋体" w:cs="宋体" w:eastAsia="宋体" w:hint="default"/>
                <w:sz w:val="18"/>
                <w:szCs w:val="18"/>
              </w:rPr>
            </w:pPr>
            <w:r>
              <w:rPr>
                <w:rFonts w:ascii="宋体"/>
                <w:sz w:val="18"/>
              </w:rPr>
              <w:t>3,000,000.00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-3,000,000.00</w:t>
            </w:r>
          </w:p>
        </w:tc>
        <w:tc>
          <w:tcPr>
            <w:tcW w:w="1729"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国产</w:t>
            </w:r>
            <w:r>
              <w:rPr>
                <w:rFonts w:ascii="宋体" w:hAnsi="宋体" w:cs="宋体" w:eastAsia="宋体" w:hint="default"/>
                <w:spacing w:val="-45"/>
                <w:sz w:val="18"/>
                <w:szCs w:val="18"/>
              </w:rPr>
              <w:t> </w:t>
            </w:r>
            <w:r>
              <w:rPr>
                <w:rFonts w:ascii="宋体" w:hAnsi="宋体" w:cs="宋体" w:eastAsia="宋体" w:hint="default"/>
                <w:sz w:val="18"/>
                <w:szCs w:val="18"/>
              </w:rPr>
              <w:t>CPUOS</w:t>
            </w:r>
            <w:r>
              <w:rPr>
                <w:rFonts w:ascii="宋体" w:hAnsi="宋体" w:cs="宋体" w:eastAsia="宋体" w:hint="default"/>
                <w:spacing w:val="-44"/>
                <w:sz w:val="18"/>
                <w:szCs w:val="18"/>
              </w:rPr>
              <w:t> </w:t>
            </w:r>
            <w:r>
              <w:rPr>
                <w:rFonts w:ascii="宋体" w:hAnsi="宋体" w:cs="宋体" w:eastAsia="宋体" w:hint="default"/>
                <w:sz w:val="18"/>
                <w:szCs w:val="18"/>
              </w:rPr>
              <w:t>的信息终端</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2,800,000.00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-2,800,000.00</w:t>
            </w:r>
          </w:p>
        </w:tc>
        <w:tc>
          <w:tcPr>
            <w:tcW w:w="1729"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电源关键技术实验室</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2,000,000.00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390,000.00</w:t>
            </w: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-1,610,000.00</w:t>
            </w:r>
          </w:p>
        </w:tc>
        <w:tc>
          <w:tcPr>
            <w:tcW w:w="1729"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分离解析的云计算平台</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1,200,000.00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-1,200,000.00</w:t>
            </w:r>
          </w:p>
        </w:tc>
        <w:tc>
          <w:tcPr>
            <w:tcW w:w="1729"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电子政务的自主可信云</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1,000,000.00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800,692.29</w:t>
            </w: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-199,307.71</w:t>
            </w:r>
          </w:p>
        </w:tc>
        <w:tc>
          <w:tcPr>
            <w:tcW w:w="1729"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安全可靠技术支持</w:t>
            </w:r>
            <w:r>
              <w:rPr>
                <w:rFonts w:ascii="宋体" w:hAnsi="宋体" w:cs="宋体" w:eastAsia="宋体" w:hint="default"/>
                <w:spacing w:val="-45"/>
                <w:sz w:val="18"/>
                <w:szCs w:val="18"/>
              </w:rPr>
              <w:t> </w:t>
            </w:r>
            <w:r>
              <w:rPr>
                <w:rFonts w:ascii="宋体" w:hAnsi="宋体" w:cs="宋体" w:eastAsia="宋体" w:hint="default"/>
                <w:sz w:val="18"/>
                <w:szCs w:val="18"/>
              </w:rPr>
              <w:t>2014</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6,000,000.00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6,000,000.00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安全可靠办公信息系统</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5,000,000.00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5,000,000.00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安全可靠系统技术支持</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533" w:right="0"/>
              <w:jc w:val="left"/>
              <w:rPr>
                <w:rFonts w:ascii="宋体" w:hAnsi="宋体" w:cs="宋体" w:eastAsia="宋体" w:hint="default"/>
                <w:sz w:val="18"/>
                <w:szCs w:val="18"/>
              </w:rPr>
            </w:pPr>
            <w:r>
              <w:rPr>
                <w:rFonts w:ascii="宋体"/>
                <w:sz w:val="18"/>
              </w:rPr>
              <w:t>5,000,000.00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5,000,000.00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宋体" w:hAnsi="宋体" w:cs="宋体" w:eastAsia="宋体" w:hint="default"/>
                <w:sz w:val="18"/>
                <w:szCs w:val="18"/>
              </w:rPr>
              <w:t>RAM</w:t>
            </w:r>
            <w:r>
              <w:rPr>
                <w:rFonts w:ascii="宋体" w:hAnsi="宋体" w:cs="宋体" w:eastAsia="宋体" w:hint="default"/>
                <w:spacing w:val="-45"/>
                <w:sz w:val="18"/>
                <w:szCs w:val="18"/>
              </w:rPr>
              <w:t> </w:t>
            </w:r>
            <w:r>
              <w:rPr>
                <w:rFonts w:ascii="宋体" w:hAnsi="宋体" w:cs="宋体" w:eastAsia="宋体" w:hint="default"/>
                <w:sz w:val="18"/>
                <w:szCs w:val="18"/>
              </w:rPr>
              <w:t>的国产处理器</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688" w:right="0"/>
              <w:jc w:val="left"/>
              <w:rPr>
                <w:rFonts w:ascii="宋体" w:hAnsi="宋体" w:cs="宋体" w:eastAsia="宋体" w:hint="default"/>
                <w:sz w:val="18"/>
                <w:szCs w:val="18"/>
              </w:rPr>
            </w:pPr>
            <w:r>
              <w:rPr>
                <w:rFonts w:ascii="宋体"/>
                <w:sz w:val="18"/>
              </w:rPr>
              <w:t>4,800,000.00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4,800,000.00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40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基于安全性整机产品的固件产业化项目</w:t>
            </w:r>
          </w:p>
        </w:tc>
        <w:tc>
          <w:tcPr>
            <w:tcW w:w="17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533" w:right="0"/>
              <w:jc w:val="left"/>
              <w:rPr>
                <w:rFonts w:ascii="宋体" w:hAnsi="宋体" w:cs="宋体" w:eastAsia="宋体" w:hint="default"/>
                <w:sz w:val="18"/>
                <w:szCs w:val="18"/>
              </w:rPr>
            </w:pPr>
            <w:r>
              <w:rPr>
                <w:rFonts w:ascii="宋体"/>
                <w:sz w:val="18"/>
              </w:rPr>
              <w:t>4,400,000.00</w:t>
            </w:r>
          </w:p>
        </w:tc>
        <w:tc>
          <w:tcPr>
            <w:tcW w:w="1879" w:type="dxa"/>
            <w:tcBorders>
              <w:top w:val="single" w:sz="2" w:space="0" w:color="000000"/>
              <w:left w:val="single" w:sz="2" w:space="0" w:color="000000"/>
              <w:bottom w:val="single" w:sz="12" w:space="0" w:color="000000"/>
              <w:right w:val="single" w:sz="2" w:space="0" w:color="000000"/>
            </w:tcBorders>
          </w:tcPr>
          <w:p>
            <w:pPr/>
          </w:p>
        </w:tc>
        <w:tc>
          <w:tcPr>
            <w:tcW w:w="1570" w:type="dxa"/>
            <w:tcBorders>
              <w:top w:val="single" w:sz="2" w:space="0" w:color="000000"/>
              <w:left w:val="single" w:sz="2" w:space="0" w:color="000000"/>
              <w:bottom w:val="single" w:sz="12" w:space="0" w:color="000000"/>
              <w:right w:val="single" w:sz="2" w:space="0" w:color="000000"/>
            </w:tcBorders>
          </w:tcPr>
          <w:p>
            <w:pPr/>
          </w:p>
        </w:tc>
        <w:tc>
          <w:tcPr>
            <w:tcW w:w="1723" w:type="dxa"/>
            <w:tcBorders>
              <w:top w:val="single" w:sz="2" w:space="0" w:color="000000"/>
              <w:left w:val="single" w:sz="2" w:space="0" w:color="000000"/>
              <w:bottom w:val="single" w:sz="12" w:space="0" w:color="000000"/>
              <w:right w:val="single" w:sz="2" w:space="0" w:color="000000"/>
            </w:tcBorders>
          </w:tcPr>
          <w:p>
            <w:pPr/>
          </w:p>
        </w:tc>
        <w:tc>
          <w:tcPr>
            <w:tcW w:w="17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4,400,000.00</w:t>
            </w:r>
          </w:p>
        </w:tc>
        <w:tc>
          <w:tcPr>
            <w:tcW w:w="12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headerReference w:type="default" r:id="rId57"/>
          <w:footerReference w:type="default" r:id="rId58"/>
          <w:pgSz w:w="16840" w:h="11910" w:orient="landscape"/>
          <w:pgMar w:header="881" w:footer="980" w:top="1640" w:bottom="1160" w:left="1200" w:right="1200"/>
          <w:pgNumType w:start="63"/>
        </w:sect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078"/>
        <w:gridCol w:w="1726"/>
        <w:gridCol w:w="1879"/>
        <w:gridCol w:w="1570"/>
        <w:gridCol w:w="1723"/>
        <w:gridCol w:w="1729"/>
        <w:gridCol w:w="1279"/>
      </w:tblGrid>
      <w:tr>
        <w:trPr>
          <w:trHeight w:val="718" w:hRule="exact"/>
        </w:trPr>
        <w:tc>
          <w:tcPr>
            <w:tcW w:w="40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7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本年新增补助金额</w:t>
            </w:r>
            <w:r>
              <w:rPr>
                <w:rFonts w:ascii="宋体" w:hAnsi="宋体" w:cs="宋体" w:eastAsia="宋体" w:hint="default"/>
                <w:sz w:val="18"/>
                <w:szCs w:val="18"/>
              </w:rPr>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5"/>
              <w:ind w:left="420" w:right="150" w:hanging="272"/>
              <w:jc w:val="left"/>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7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5"/>
              <w:ind w:left="184" w:right="143"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信息通信设备及系统</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4,000,000.00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4,000,000.00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安全可靠技术攻关</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2,370,000.00</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1,180,000.00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3,550,000.00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支持协同互联的数字产品研发与产业化项目</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3,000,000.00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国产</w:t>
            </w:r>
            <w:r>
              <w:rPr>
                <w:rFonts w:ascii="宋体" w:hAnsi="宋体" w:cs="宋体" w:eastAsia="宋体" w:hint="default"/>
                <w:spacing w:val="-45"/>
                <w:sz w:val="18"/>
                <w:szCs w:val="18"/>
              </w:rPr>
              <w:t> </w:t>
            </w:r>
            <w:r>
              <w:rPr>
                <w:rFonts w:ascii="宋体" w:hAnsi="宋体" w:cs="宋体" w:eastAsia="宋体" w:hint="default"/>
                <w:sz w:val="18"/>
                <w:szCs w:val="18"/>
              </w:rPr>
              <w:t>CPUOS</w:t>
            </w:r>
            <w:r>
              <w:rPr>
                <w:rFonts w:ascii="宋体" w:hAnsi="宋体" w:cs="宋体" w:eastAsia="宋体" w:hint="default"/>
                <w:spacing w:val="-44"/>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宋体" w:hAnsi="宋体" w:cs="宋体" w:eastAsia="宋体" w:hint="default"/>
                <w:sz w:val="18"/>
                <w:szCs w:val="18"/>
              </w:rPr>
              <w:t>TCM</w:t>
            </w:r>
            <w:r>
              <w:rPr>
                <w:rFonts w:ascii="宋体" w:hAnsi="宋体" w:cs="宋体" w:eastAsia="宋体" w:hint="default"/>
                <w:spacing w:val="-45"/>
                <w:sz w:val="18"/>
                <w:szCs w:val="18"/>
              </w:rPr>
              <w:t> </w:t>
            </w:r>
            <w:r>
              <w:rPr>
                <w:rFonts w:ascii="宋体" w:hAnsi="宋体" w:cs="宋体" w:eastAsia="宋体" w:hint="default"/>
                <w:sz w:val="18"/>
                <w:szCs w:val="18"/>
              </w:rPr>
              <w:t>关键技</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3,000,000.00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3,000,000.00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企业技术中心</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3,000,000.00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-406,953.22</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2,593,046.78</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自主密码结项转入资产</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2,904,622.28</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-563,503.60</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2,341,118.68</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5"/>
                <w:sz w:val="18"/>
                <w:szCs w:val="18"/>
              </w:rPr>
              <w:t> </w:t>
            </w:r>
            <w:r>
              <w:rPr>
                <w:rFonts w:ascii="宋体" w:hAnsi="宋体" w:cs="宋体" w:eastAsia="宋体" w:hint="default"/>
                <w:sz w:val="18"/>
                <w:szCs w:val="18"/>
              </w:rPr>
              <w:t>CPUOS</w:t>
            </w:r>
            <w:r>
              <w:rPr>
                <w:rFonts w:ascii="宋体" w:hAnsi="宋体" w:cs="宋体" w:eastAsia="宋体" w:hint="default"/>
                <w:spacing w:val="-44"/>
                <w:sz w:val="18"/>
                <w:szCs w:val="18"/>
              </w:rPr>
              <w:t> </w:t>
            </w:r>
            <w:r>
              <w:rPr>
                <w:rFonts w:ascii="宋体" w:hAnsi="宋体" w:cs="宋体" w:eastAsia="宋体" w:hint="default"/>
                <w:sz w:val="18"/>
                <w:szCs w:val="18"/>
              </w:rPr>
              <w:t>结项转入资产</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2,800,000.00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-603,707.20</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2,196,292.80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安全可靠技术地配款</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虚拟化安全防护地配</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2,000,000.00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农大项目</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1,627,188.00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337.06</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1,627,525.06</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安全可靠整机评价分析</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873,300.00</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440,700.00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1,314,000.00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桌面操作系统研发</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1,290,000.00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1,290,000.00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桌面操作配套项目</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5"/>
              <w:jc w:val="right"/>
              <w:rPr>
                <w:rFonts w:ascii="宋体" w:hAnsi="宋体" w:cs="宋体" w:eastAsia="宋体" w:hint="default"/>
                <w:sz w:val="18"/>
                <w:szCs w:val="18"/>
              </w:rPr>
            </w:pPr>
            <w:r>
              <w:rPr>
                <w:rFonts w:ascii="宋体"/>
                <w:spacing w:val="-1"/>
                <w:sz w:val="18"/>
              </w:rPr>
              <w:t>1,290,000.00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6"/>
              <w:jc w:val="right"/>
              <w:rPr>
                <w:rFonts w:ascii="宋体" w:hAnsi="宋体" w:cs="宋体" w:eastAsia="宋体" w:hint="default"/>
                <w:sz w:val="18"/>
                <w:szCs w:val="18"/>
              </w:rPr>
            </w:pPr>
            <w:r>
              <w:rPr>
                <w:rFonts w:ascii="宋体"/>
                <w:spacing w:val="-1"/>
                <w:sz w:val="18"/>
              </w:rPr>
              <w:t>1,290,000.00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信息通信设备系统地配</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1,170,000.00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1,170,000.00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电源关键技术结项转入资产</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1,610,000.00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-448,799.38</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1,161,200.62</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医疗手机</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15.40</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1,000,015.40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国产</w:t>
            </w:r>
            <w:r>
              <w:rPr>
                <w:rFonts w:ascii="宋体" w:hAnsi="宋体" w:cs="宋体" w:eastAsia="宋体" w:hint="default"/>
                <w:spacing w:val="-44"/>
                <w:sz w:val="18"/>
                <w:szCs w:val="18"/>
              </w:rPr>
              <w:t> </w:t>
            </w:r>
            <w:r>
              <w:rPr>
                <w:rFonts w:ascii="宋体" w:hAnsi="宋体" w:cs="宋体" w:eastAsia="宋体" w:hint="default"/>
                <w:sz w:val="18"/>
                <w:szCs w:val="18"/>
              </w:rPr>
              <w:t>CPU</w:t>
            </w:r>
            <w:r>
              <w:rPr>
                <w:rFonts w:ascii="宋体" w:hAnsi="宋体" w:cs="宋体" w:eastAsia="宋体" w:hint="default"/>
                <w:spacing w:val="-44"/>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宋体" w:hAnsi="宋体" w:cs="宋体" w:eastAsia="宋体" w:hint="default"/>
                <w:sz w:val="18"/>
                <w:szCs w:val="18"/>
              </w:rPr>
              <w:t>OS</w:t>
            </w:r>
            <w:r>
              <w:rPr>
                <w:rFonts w:ascii="宋体" w:hAnsi="宋体" w:cs="宋体" w:eastAsia="宋体" w:hint="default"/>
                <w:spacing w:val="-44"/>
                <w:sz w:val="18"/>
                <w:szCs w:val="18"/>
              </w:rPr>
              <w:t> </w:t>
            </w:r>
            <w:r>
              <w:rPr>
                <w:rFonts w:ascii="宋体" w:hAnsi="宋体" w:cs="宋体" w:eastAsia="宋体" w:hint="default"/>
                <w:sz w:val="18"/>
                <w:szCs w:val="18"/>
              </w:rPr>
              <w:t>存储服务</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5"/>
              <w:jc w:val="right"/>
              <w:rPr>
                <w:rFonts w:ascii="宋体" w:hAnsi="宋体" w:cs="宋体" w:eastAsia="宋体" w:hint="default"/>
                <w:sz w:val="18"/>
                <w:szCs w:val="18"/>
              </w:rPr>
            </w:pPr>
            <w:r>
              <w:rPr>
                <w:rFonts w:ascii="宋体"/>
                <w:spacing w:val="-1"/>
                <w:sz w:val="18"/>
              </w:rPr>
              <w:t>1,000,000.00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1,000,000.00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40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农大配套项目</w:t>
            </w:r>
          </w:p>
        </w:tc>
        <w:tc>
          <w:tcPr>
            <w:tcW w:w="17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810,000.00</w:t>
            </w:r>
          </w:p>
        </w:tc>
        <w:tc>
          <w:tcPr>
            <w:tcW w:w="1879" w:type="dxa"/>
            <w:tcBorders>
              <w:top w:val="single" w:sz="2" w:space="0" w:color="000000"/>
              <w:left w:val="single" w:sz="2" w:space="0" w:color="000000"/>
              <w:bottom w:val="single" w:sz="12" w:space="0" w:color="000000"/>
              <w:right w:val="single" w:sz="2" w:space="0" w:color="000000"/>
            </w:tcBorders>
          </w:tcPr>
          <w:p>
            <w:pPr/>
          </w:p>
        </w:tc>
        <w:tc>
          <w:tcPr>
            <w:tcW w:w="1570" w:type="dxa"/>
            <w:tcBorders>
              <w:top w:val="single" w:sz="2" w:space="0" w:color="000000"/>
              <w:left w:val="single" w:sz="2" w:space="0" w:color="000000"/>
              <w:bottom w:val="single" w:sz="12" w:space="0" w:color="000000"/>
              <w:right w:val="single" w:sz="2" w:space="0" w:color="000000"/>
            </w:tcBorders>
          </w:tcPr>
          <w:p>
            <w:pPr/>
          </w:p>
        </w:tc>
        <w:tc>
          <w:tcPr>
            <w:tcW w:w="17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12.47</w:t>
            </w:r>
          </w:p>
        </w:tc>
        <w:tc>
          <w:tcPr>
            <w:tcW w:w="17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810,012.47</w:t>
            </w:r>
          </w:p>
        </w:tc>
        <w:tc>
          <w:tcPr>
            <w:tcW w:w="12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6840" w:h="11910" w:orient="landscape"/>
          <w:pgMar w:header="881" w:footer="980" w:top="1640" w:bottom="1160" w:left="1300" w:right="1300"/>
        </w:sectPr>
      </w:pPr>
    </w:p>
    <w:p>
      <w:pPr>
        <w:spacing w:line="240" w:lineRule="auto" w:before="5"/>
        <w:rPr>
          <w:rFonts w:ascii="Times New Roman" w:hAnsi="Times New Roman" w:cs="Times New Roman" w:eastAsia="Times New Roman" w:hint="default"/>
          <w:sz w:val="12"/>
          <w:szCs w:val="12"/>
        </w:rPr>
      </w:pPr>
    </w:p>
    <w:tbl>
      <w:tblPr>
        <w:tblW w:w="0" w:type="auto"/>
        <w:jc w:val="left"/>
        <w:tblInd w:w="206" w:type="dxa"/>
        <w:tblLayout w:type="fixed"/>
        <w:tblCellMar>
          <w:top w:w="0" w:type="dxa"/>
          <w:left w:w="0" w:type="dxa"/>
          <w:bottom w:w="0" w:type="dxa"/>
          <w:right w:w="0" w:type="dxa"/>
        </w:tblCellMar>
        <w:tblLook w:val="01E0"/>
      </w:tblPr>
      <w:tblGrid>
        <w:gridCol w:w="4078"/>
        <w:gridCol w:w="1726"/>
        <w:gridCol w:w="1879"/>
        <w:gridCol w:w="1570"/>
        <w:gridCol w:w="1723"/>
        <w:gridCol w:w="1729"/>
        <w:gridCol w:w="1279"/>
      </w:tblGrid>
      <w:tr>
        <w:trPr>
          <w:trHeight w:val="718" w:hRule="exact"/>
        </w:trPr>
        <w:tc>
          <w:tcPr>
            <w:tcW w:w="40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7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本年新增补助金额</w:t>
            </w:r>
            <w:r>
              <w:rPr>
                <w:rFonts w:ascii="宋体" w:hAnsi="宋体" w:cs="宋体" w:eastAsia="宋体" w:hint="default"/>
                <w:sz w:val="18"/>
                <w:szCs w:val="18"/>
              </w:rPr>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5"/>
              <w:ind w:left="420" w:right="150" w:hanging="272"/>
              <w:jc w:val="left"/>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7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5"/>
              <w:ind w:left="184" w:right="143"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智能移动终端关键应用</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750,000.00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750,000.00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产业集聚基地规划</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470,000.00</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470,000.00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面向电子政务地配</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170,000.00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170,000.00</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面向电子政务结项转入资产</w:t>
            </w:r>
          </w:p>
        </w:tc>
        <w:tc>
          <w:tcPr>
            <w:tcW w:w="1726"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199,307.71</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-62,275.08</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137,032.63</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安全研发转入资产</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491,666.71</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-427,713.67</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63,953.04</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便携式电源转入资产</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19,086.88</w:t>
            </w:r>
          </w:p>
        </w:tc>
        <w:tc>
          <w:tcPr>
            <w:tcW w:w="187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19,086.88</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4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18,284.58</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621,954.69</w:t>
            </w:r>
          </w:p>
        </w:tc>
        <w:tc>
          <w:tcPr>
            <w:tcW w:w="1570" w:type="dxa"/>
            <w:tcBorders>
              <w:top w:val="single" w:sz="2" w:space="0" w:color="000000"/>
              <w:left w:val="single" w:sz="2" w:space="0" w:color="000000"/>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-6,193.25</w:t>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634,046.02</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40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62,696,163.45</w:t>
            </w:r>
            <w:r>
              <w:rPr>
                <w:rFonts w:ascii="宋体"/>
                <w:sz w:val="18"/>
              </w:rPr>
            </w:r>
          </w:p>
        </w:tc>
        <w:tc>
          <w:tcPr>
            <w:tcW w:w="18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18,741,962.40</w:t>
            </w:r>
            <w:r>
              <w:rPr>
                <w:rFonts w:ascii="宋体"/>
                <w:sz w:val="18"/>
              </w:rPr>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370" w:right="0"/>
              <w:jc w:val="left"/>
              <w:rPr>
                <w:rFonts w:ascii="宋体" w:hAnsi="宋体" w:cs="宋体" w:eastAsia="宋体" w:hint="default"/>
                <w:sz w:val="18"/>
                <w:szCs w:val="18"/>
              </w:rPr>
            </w:pPr>
            <w:r>
              <w:rPr>
                <w:rFonts w:ascii="宋体"/>
                <w:b/>
                <w:sz w:val="18"/>
              </w:rPr>
              <w:t>1,190,692.29</w:t>
            </w:r>
            <w:r>
              <w:rPr>
                <w:rFonts w:ascii="宋体"/>
                <w:sz w:val="18"/>
              </w:rPr>
            </w:r>
          </w:p>
        </w:tc>
        <w:tc>
          <w:tcPr>
            <w:tcW w:w="17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-16,706,845.58</w:t>
            </w:r>
            <w:r>
              <w:rPr>
                <w:rFonts w:ascii="宋体"/>
                <w:sz w:val="18"/>
              </w:rPr>
            </w:r>
          </w:p>
        </w:tc>
        <w:tc>
          <w:tcPr>
            <w:tcW w:w="17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63,540,587.98</w:t>
            </w:r>
            <w:r>
              <w:rPr>
                <w:rFonts w:ascii="宋体"/>
                <w:sz w:val="18"/>
              </w:rPr>
            </w:r>
          </w:p>
        </w:tc>
        <w:tc>
          <w:tcPr>
            <w:tcW w:w="12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Times New Roman" w:hAnsi="Times New Roman" w:cs="Times New Roman" w:eastAsia="Times New Roman" w:hint="default"/>
          <w:sz w:val="5"/>
          <w:szCs w:val="5"/>
        </w:rPr>
      </w:pPr>
    </w:p>
    <w:p>
      <w:pPr>
        <w:pStyle w:val="Heading7"/>
        <w:spacing w:line="391" w:lineRule="auto"/>
        <w:ind w:left="679" w:right="4682"/>
        <w:jc w:val="left"/>
      </w:pPr>
      <w:r>
        <w:rPr/>
        <w:pict>
          <v:shape style="position:absolute;margin-left:65.159996pt;margin-top:43.747669pt;width:711.7pt;height:83.0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12"/>
                    <w:gridCol w:w="4138"/>
                    <w:gridCol w:w="4140"/>
                  </w:tblGrid>
                  <w:tr>
                    <w:trPr>
                      <w:trHeight w:val="415" w:hRule="exact"/>
                    </w:trPr>
                    <w:tc>
                      <w:tcPr>
                        <w:tcW w:w="59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right="276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1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59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长期衍生金融负债</w:t>
                        </w:r>
                      </w:p>
                    </w:tc>
                    <w:tc>
                      <w:tcPr>
                        <w:tcW w:w="4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291,134,062.40</w:t>
                        </w:r>
                      </w:p>
                    </w:tc>
                    <w:tc>
                      <w:tcPr>
                        <w:tcW w:w="4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258,876,533.00</w:t>
                        </w:r>
                      </w:p>
                    </w:tc>
                  </w:tr>
                  <w:tr>
                    <w:trPr>
                      <w:trHeight w:val="401" w:hRule="exact"/>
                    </w:trPr>
                    <w:tc>
                      <w:tcPr>
                        <w:tcW w:w="59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16,772,968.80</w:t>
                        </w:r>
                      </w:p>
                    </w:tc>
                    <w:tc>
                      <w:tcPr>
                        <w:tcW w:w="4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14,795,742.00</w:t>
                        </w:r>
                      </w:p>
                    </w:tc>
                  </w:tr>
                  <w:tr>
                    <w:trPr>
                      <w:trHeight w:val="415" w:hRule="exact"/>
                    </w:trPr>
                    <w:tc>
                      <w:tcPr>
                        <w:tcW w:w="59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right="276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b/>
                            <w:w w:val="95"/>
                            <w:sz w:val="18"/>
                          </w:rPr>
                          <w:t>307,907,031.20</w:t>
                        </w:r>
                        <w:r>
                          <w:rPr>
                            <w:rFonts w:ascii="宋体"/>
                            <w:sz w:val="18"/>
                          </w:rPr>
                        </w:r>
                      </w:p>
                    </w:tc>
                    <w:tc>
                      <w:tcPr>
                        <w:tcW w:w="41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273,672,275.00</w:t>
                        </w:r>
                        <w:r>
                          <w:rPr>
                            <w:rFonts w:ascii="宋体"/>
                            <w:sz w:val="18"/>
                          </w:rPr>
                        </w:r>
                      </w:p>
                    </w:tc>
                  </w:tr>
                </w:tbl>
                <w:p>
                  <w:pPr/>
                </w:p>
              </w:txbxContent>
            </v:textbox>
            <w10:wrap type="none"/>
          </v:shape>
        </w:pict>
      </w:r>
      <w:r>
        <w:rPr>
          <w:spacing w:val="-1"/>
        </w:rPr>
        <w:t>注：其他变动包括转入其他流动负债</w:t>
      </w:r>
      <w:r>
        <w:rPr>
          <w:rFonts w:ascii="宋体" w:hAnsi="宋体" w:cs="宋体" w:eastAsia="宋体" w:hint="default"/>
          <w:spacing w:val="-1"/>
        </w:rPr>
        <w:t>-</w:t>
      </w:r>
      <w:r>
        <w:rPr>
          <w:spacing w:val="-1"/>
        </w:rPr>
        <w:t>一年内结转的递延收益及汇率差异。</w:t>
      </w:r>
      <w:r>
        <w:rPr>
          <w:spacing w:val="-81"/>
        </w:rPr>
        <w:t> </w:t>
      </w:r>
      <w:r>
        <w:rPr>
          <w:spacing w:val="-81"/>
        </w:rPr>
      </w:r>
      <w:r>
        <w:rPr>
          <w:rFonts w:ascii="宋体" w:hAnsi="宋体" w:cs="宋体" w:eastAsia="宋体" w:hint="default"/>
        </w:rPr>
        <w:t>40</w:t>
      </w:r>
      <w:r>
        <w:rPr/>
        <w:t>、其他非流动负债</w:t>
      </w:r>
    </w:p>
    <w:p>
      <w:pPr>
        <w:spacing w:after="0" w:line="391" w:lineRule="auto"/>
        <w:jc w:val="left"/>
        <w:sectPr>
          <w:pgSz w:w="16840" w:h="11910" w:orient="landscape"/>
          <w:pgMar w:header="881" w:footer="980" w:top="1640" w:bottom="1160" w:left="1200" w:right="1200"/>
        </w:sectPr>
      </w:pPr>
    </w:p>
    <w:p>
      <w:pPr>
        <w:spacing w:line="240" w:lineRule="auto" w:before="7"/>
        <w:rPr>
          <w:rFonts w:ascii="宋体" w:hAnsi="宋体" w:cs="宋体" w:eastAsia="宋体" w:hint="default"/>
          <w:sz w:val="15"/>
          <w:szCs w:val="15"/>
        </w:rPr>
      </w:pPr>
    </w:p>
    <w:p>
      <w:pPr>
        <w:pStyle w:val="Heading7"/>
        <w:spacing w:line="240" w:lineRule="auto"/>
        <w:ind w:left="679" w:right="1708"/>
        <w:jc w:val="left"/>
      </w:pPr>
      <w:r>
        <w:rPr>
          <w:rFonts w:ascii="宋体" w:hAnsi="宋体" w:cs="宋体" w:eastAsia="宋体" w:hint="default"/>
        </w:rPr>
        <w:t>41</w:t>
      </w:r>
      <w:r>
        <w:rPr/>
        <w:t>、股本</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173"/>
        <w:gridCol w:w="2595"/>
        <w:gridCol w:w="1450"/>
        <w:gridCol w:w="878"/>
        <w:gridCol w:w="1738"/>
        <w:gridCol w:w="881"/>
        <w:gridCol w:w="881"/>
        <w:gridCol w:w="2595"/>
      </w:tblGrid>
      <w:tr>
        <w:trPr>
          <w:trHeight w:val="415" w:hRule="exact"/>
        </w:trPr>
        <w:tc>
          <w:tcPr>
            <w:tcW w:w="3173"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95"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5828"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95"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1" w:hRule="exact"/>
        </w:trPr>
        <w:tc>
          <w:tcPr>
            <w:tcW w:w="3173" w:type="dxa"/>
            <w:vMerge/>
            <w:tcBorders>
              <w:left w:val="nil" w:sz="6" w:space="0" w:color="auto"/>
              <w:bottom w:val="single" w:sz="2" w:space="0" w:color="000000"/>
              <w:right w:val="single" w:sz="2" w:space="0" w:color="000000"/>
            </w:tcBorders>
          </w:tcPr>
          <w:p>
            <w:pPr/>
          </w:p>
        </w:tc>
        <w:tc>
          <w:tcPr>
            <w:tcW w:w="2595" w:type="dxa"/>
            <w:vMerge/>
            <w:tcBorders>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60"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54"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415"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5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56"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595" w:type="dxa"/>
            <w:vMerge/>
            <w:tcBorders>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2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23,760.00</w:t>
            </w: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23,760.00</w:t>
            </w: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124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2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23,760.00</w:t>
            </w: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23,760.00</w:t>
            </w: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right="124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sz w:val="18"/>
                <w:szCs w:val="18"/>
              </w:rPr>
            </w:r>
          </w:p>
        </w:tc>
        <w:tc>
          <w:tcPr>
            <w:tcW w:w="2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b/>
                <w:w w:val="95"/>
                <w:sz w:val="18"/>
              </w:rPr>
              <w:t>23,760.00</w:t>
            </w:r>
            <w:r>
              <w:rPr>
                <w:rFonts w:ascii="宋体"/>
                <w:sz w:val="18"/>
              </w:rPr>
            </w: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5"/>
              <w:jc w:val="right"/>
              <w:rPr>
                <w:rFonts w:ascii="宋体" w:hAnsi="宋体" w:cs="宋体" w:eastAsia="宋体" w:hint="default"/>
                <w:sz w:val="18"/>
                <w:szCs w:val="18"/>
              </w:rPr>
            </w:pPr>
            <w:r>
              <w:rPr>
                <w:rFonts w:ascii="宋体"/>
                <w:b/>
                <w:w w:val="95"/>
                <w:sz w:val="18"/>
              </w:rPr>
              <w:t>23,760.00</w:t>
            </w:r>
            <w:r>
              <w:rPr>
                <w:rFonts w:ascii="宋体"/>
                <w:sz w:val="18"/>
              </w:rPr>
            </w: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1,323,570,126.00</w:t>
            </w: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1,323,570,126.00</w:t>
            </w:r>
          </w:p>
        </w:tc>
      </w:tr>
      <w:tr>
        <w:trPr>
          <w:trHeight w:val="403"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5"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2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1,323,570,126.00</w:t>
            </w:r>
            <w:r>
              <w:rPr>
                <w:rFonts w:ascii="宋体"/>
                <w:sz w:val="18"/>
              </w:rPr>
            </w:r>
          </w:p>
        </w:tc>
        <w:tc>
          <w:tcPr>
            <w:tcW w:w="1450"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738"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25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1,323,570,126.00</w:t>
            </w:r>
            <w:r>
              <w:rPr>
                <w:rFonts w:ascii="宋体"/>
                <w:sz w:val="18"/>
              </w:rPr>
            </w:r>
          </w:p>
        </w:tc>
      </w:tr>
      <w:tr>
        <w:trPr>
          <w:trHeight w:val="415" w:hRule="exact"/>
        </w:trPr>
        <w:tc>
          <w:tcPr>
            <w:tcW w:w="31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2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1,323,593,886.00</w:t>
            </w:r>
            <w:r>
              <w:rPr>
                <w:rFonts w:ascii="宋体"/>
                <w:sz w:val="18"/>
              </w:rPr>
            </w:r>
          </w:p>
        </w:tc>
        <w:tc>
          <w:tcPr>
            <w:tcW w:w="1450" w:type="dxa"/>
            <w:tcBorders>
              <w:top w:val="single" w:sz="2" w:space="0" w:color="000000"/>
              <w:left w:val="single" w:sz="2" w:space="0" w:color="000000"/>
              <w:bottom w:val="single" w:sz="12" w:space="0" w:color="000000"/>
              <w:right w:val="single" w:sz="2" w:space="0" w:color="000000"/>
            </w:tcBorders>
          </w:tcPr>
          <w:p>
            <w:pPr/>
          </w:p>
        </w:tc>
        <w:tc>
          <w:tcPr>
            <w:tcW w:w="878" w:type="dxa"/>
            <w:tcBorders>
              <w:top w:val="single" w:sz="2" w:space="0" w:color="000000"/>
              <w:left w:val="single" w:sz="2" w:space="0" w:color="000000"/>
              <w:bottom w:val="single" w:sz="12" w:space="0" w:color="000000"/>
              <w:right w:val="single" w:sz="2" w:space="0" w:color="000000"/>
            </w:tcBorders>
          </w:tcPr>
          <w:p>
            <w:pPr/>
          </w:p>
        </w:tc>
        <w:tc>
          <w:tcPr>
            <w:tcW w:w="1738" w:type="dxa"/>
            <w:tcBorders>
              <w:top w:val="single" w:sz="2" w:space="0" w:color="000000"/>
              <w:left w:val="single" w:sz="2" w:space="0" w:color="000000"/>
              <w:bottom w:val="single" w:sz="12" w:space="0" w:color="000000"/>
              <w:right w:val="single" w:sz="2" w:space="0" w:color="000000"/>
            </w:tcBorders>
          </w:tcPr>
          <w:p>
            <w:pPr/>
          </w:p>
        </w:tc>
        <w:tc>
          <w:tcPr>
            <w:tcW w:w="881" w:type="dxa"/>
            <w:tcBorders>
              <w:top w:val="single" w:sz="2" w:space="0" w:color="000000"/>
              <w:left w:val="single" w:sz="2" w:space="0" w:color="000000"/>
              <w:bottom w:val="single" w:sz="12" w:space="0" w:color="000000"/>
              <w:right w:val="single" w:sz="2" w:space="0" w:color="000000"/>
            </w:tcBorders>
          </w:tcPr>
          <w:p>
            <w:pPr/>
          </w:p>
        </w:tc>
        <w:tc>
          <w:tcPr>
            <w:tcW w:w="881" w:type="dxa"/>
            <w:tcBorders>
              <w:top w:val="single" w:sz="2" w:space="0" w:color="000000"/>
              <w:left w:val="single" w:sz="2" w:space="0" w:color="000000"/>
              <w:bottom w:val="single" w:sz="12" w:space="0" w:color="000000"/>
              <w:right w:val="single" w:sz="2" w:space="0" w:color="000000"/>
            </w:tcBorders>
          </w:tcPr>
          <w:p>
            <w:pPr/>
          </w:p>
        </w:tc>
        <w:tc>
          <w:tcPr>
            <w:tcW w:w="25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1,323,593,886.00</w:t>
            </w:r>
            <w:r>
              <w:rPr>
                <w:rFonts w:ascii="宋体"/>
                <w:sz w:val="18"/>
              </w:rPr>
            </w:r>
          </w:p>
        </w:tc>
      </w:tr>
    </w:tbl>
    <w:p>
      <w:pPr>
        <w:spacing w:after="0" w:line="240" w:lineRule="auto"/>
        <w:jc w:val="right"/>
        <w:rPr>
          <w:rFonts w:ascii="宋体" w:hAnsi="宋体" w:cs="宋体" w:eastAsia="宋体" w:hint="default"/>
          <w:sz w:val="18"/>
          <w:szCs w:val="18"/>
        </w:rPr>
        <w:sectPr>
          <w:pgSz w:w="16840" w:h="11910" w:orient="landscape"/>
          <w:pgMar w:header="881" w:footer="980" w:top="1640" w:bottom="1160" w:left="1200" w:right="1200"/>
        </w:sectPr>
      </w:pPr>
    </w:p>
    <w:p>
      <w:pPr>
        <w:spacing w:line="240" w:lineRule="auto" w:before="9"/>
        <w:rPr>
          <w:rFonts w:ascii="宋体" w:hAnsi="宋体" w:cs="宋体" w:eastAsia="宋体" w:hint="default"/>
          <w:sz w:val="9"/>
          <w:szCs w:val="9"/>
        </w:rPr>
      </w:pPr>
    </w:p>
    <w:p>
      <w:pPr>
        <w:pStyle w:val="Heading7"/>
        <w:spacing w:line="240" w:lineRule="auto"/>
        <w:ind w:left="679" w:right="1708"/>
        <w:jc w:val="left"/>
      </w:pPr>
      <w:r>
        <w:rPr>
          <w:rFonts w:ascii="宋体" w:hAnsi="宋体" w:cs="宋体" w:eastAsia="宋体" w:hint="default"/>
        </w:rPr>
        <w:t>42</w:t>
      </w:r>
      <w:r>
        <w:rPr/>
        <w:t>、资本公积</w:t>
      </w:r>
    </w:p>
    <w:p>
      <w:pPr>
        <w:spacing w:line="240" w:lineRule="auto" w:before="6"/>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808"/>
        <w:gridCol w:w="3008"/>
        <w:gridCol w:w="2792"/>
        <w:gridCol w:w="2794"/>
        <w:gridCol w:w="2789"/>
      </w:tblGrid>
      <w:tr>
        <w:trPr>
          <w:trHeight w:val="389" w:hRule="exact"/>
        </w:trPr>
        <w:tc>
          <w:tcPr>
            <w:tcW w:w="28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right="121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7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7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7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2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3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686,624,663.07</w:t>
            </w:r>
          </w:p>
        </w:tc>
        <w:tc>
          <w:tcPr>
            <w:tcW w:w="2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6,075,585.44</w:t>
            </w:r>
          </w:p>
        </w:tc>
        <w:tc>
          <w:tcPr>
            <w:tcW w:w="2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568,788.82</w:t>
            </w:r>
          </w:p>
        </w:tc>
        <w:tc>
          <w:tcPr>
            <w:tcW w:w="2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692,131,459.69</w:t>
            </w:r>
          </w:p>
        </w:tc>
      </w:tr>
      <w:tr>
        <w:trPr>
          <w:trHeight w:val="374" w:hRule="exact"/>
        </w:trPr>
        <w:tc>
          <w:tcPr>
            <w:tcW w:w="28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3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2,186,819.75</w:t>
            </w:r>
          </w:p>
        </w:tc>
        <w:tc>
          <w:tcPr>
            <w:tcW w:w="2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39,458.35</w:t>
            </w:r>
          </w:p>
        </w:tc>
        <w:tc>
          <w:tcPr>
            <w:tcW w:w="2794" w:type="dxa"/>
            <w:tcBorders>
              <w:top w:val="single" w:sz="2" w:space="0" w:color="000000"/>
              <w:left w:val="single" w:sz="2" w:space="0" w:color="000000"/>
              <w:bottom w:val="single" w:sz="2" w:space="0" w:color="000000"/>
              <w:right w:val="single" w:sz="2" w:space="0" w:color="000000"/>
            </w:tcBorders>
          </w:tcPr>
          <w:p>
            <w:pPr/>
          </w:p>
        </w:tc>
        <w:tc>
          <w:tcPr>
            <w:tcW w:w="2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2,226,278.10</w:t>
            </w:r>
          </w:p>
        </w:tc>
      </w:tr>
      <w:tr>
        <w:trPr>
          <w:trHeight w:val="389" w:hRule="exact"/>
        </w:trPr>
        <w:tc>
          <w:tcPr>
            <w:tcW w:w="28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121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688,811,482.82</w:t>
            </w:r>
            <w:r>
              <w:rPr>
                <w:rFonts w:ascii="宋体"/>
                <w:sz w:val="18"/>
              </w:rPr>
            </w:r>
          </w:p>
        </w:tc>
        <w:tc>
          <w:tcPr>
            <w:tcW w:w="27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6,115,043.79</w:t>
            </w:r>
            <w:r>
              <w:rPr>
                <w:rFonts w:ascii="宋体"/>
                <w:sz w:val="18"/>
              </w:rPr>
            </w:r>
          </w:p>
        </w:tc>
        <w:tc>
          <w:tcPr>
            <w:tcW w:w="27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b/>
                <w:w w:val="95"/>
                <w:sz w:val="18"/>
              </w:rPr>
              <w:t>568,788.82</w:t>
            </w:r>
            <w:r>
              <w:rPr>
                <w:rFonts w:ascii="宋体"/>
                <w:sz w:val="18"/>
              </w:rPr>
            </w:r>
          </w:p>
        </w:tc>
        <w:tc>
          <w:tcPr>
            <w:tcW w:w="27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694,357,737.79</w:t>
            </w:r>
            <w:r>
              <w:rPr>
                <w:rFonts w:ascii="宋体"/>
                <w:sz w:val="18"/>
              </w:rPr>
            </w:r>
          </w:p>
        </w:tc>
      </w:tr>
    </w:tbl>
    <w:p>
      <w:pPr>
        <w:spacing w:line="240" w:lineRule="auto" w:before="9"/>
        <w:rPr>
          <w:rFonts w:ascii="宋体" w:hAnsi="宋体" w:cs="宋体" w:eastAsia="宋体" w:hint="default"/>
          <w:sz w:val="4"/>
          <w:szCs w:val="4"/>
        </w:rPr>
      </w:pPr>
    </w:p>
    <w:p>
      <w:pPr>
        <w:pStyle w:val="Heading7"/>
        <w:spacing w:line="240" w:lineRule="auto"/>
        <w:ind w:left="679" w:right="0"/>
        <w:jc w:val="left"/>
      </w:pPr>
      <w:r>
        <w:rPr/>
        <w:t>注：本年股本溢价变动系合并范围变化及享有子公司权益份额变化所致，包括冠捷科技同一控制下企业合并调增资本公积</w:t>
      </w:r>
      <w:r>
        <w:rPr>
          <w:spacing w:val="-59"/>
        </w:rPr>
        <w:t> </w:t>
      </w:r>
      <w:r>
        <w:rPr>
          <w:rFonts w:ascii="宋体" w:hAnsi="宋体" w:cs="宋体" w:eastAsia="宋体" w:hint="default"/>
        </w:rPr>
        <w:t>4,646,979.39</w:t>
      </w:r>
      <w:r>
        <w:rPr>
          <w:rFonts w:ascii="宋体" w:hAnsi="宋体" w:cs="宋体" w:eastAsia="宋体" w:hint="default"/>
          <w:spacing w:val="-60"/>
        </w:rPr>
        <w:t> </w:t>
      </w:r>
      <w:r>
        <w:rPr/>
        <w:t>元、</w:t>
      </w:r>
    </w:p>
    <w:p>
      <w:pPr>
        <w:pStyle w:val="Heading7"/>
        <w:spacing w:line="391" w:lineRule="auto" w:before="103"/>
        <w:ind w:left="679" w:right="2421" w:hanging="440"/>
        <w:jc w:val="left"/>
      </w:pPr>
      <w:r>
        <w:rPr/>
        <w:pict>
          <v:shape style="position:absolute;margin-left:71.759995pt;margin-top:47.277645pt;width:698.5pt;height:192.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8"/>
                    <w:gridCol w:w="1695"/>
                    <w:gridCol w:w="1620"/>
                    <w:gridCol w:w="1260"/>
                    <w:gridCol w:w="900"/>
                    <w:gridCol w:w="1620"/>
                    <w:gridCol w:w="1532"/>
                    <w:gridCol w:w="1632"/>
                  </w:tblGrid>
                  <w:tr>
                    <w:trPr>
                      <w:trHeight w:val="386" w:hRule="exact"/>
                    </w:trPr>
                    <w:tc>
                      <w:tcPr>
                        <w:tcW w:w="366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6932"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32"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881" w:hRule="exact"/>
                    </w:trPr>
                    <w:tc>
                      <w:tcPr>
                        <w:tcW w:w="3668" w:type="dxa"/>
                        <w:vMerge/>
                        <w:tcBorders>
                          <w:left w:val="nil" w:sz="6" w:space="0" w:color="auto"/>
                          <w:bottom w:val="single" w:sz="2" w:space="0" w:color="000000"/>
                          <w:right w:val="single" w:sz="2" w:space="0" w:color="000000"/>
                        </w:tcBorders>
                      </w:tcPr>
                      <w:p>
                        <w:pPr/>
                      </w:p>
                    </w:tc>
                    <w:tc>
                      <w:tcPr>
                        <w:tcW w:w="1695" w:type="dxa"/>
                        <w:vMerge/>
                        <w:tcBorders>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37" w:right="262" w:hanging="272"/>
                          <w:jc w:val="left"/>
                          <w:rPr>
                            <w:rFonts w:ascii="宋体" w:hAnsi="宋体" w:cs="宋体" w:eastAsia="宋体" w:hint="default"/>
                            <w:sz w:val="18"/>
                            <w:szCs w:val="18"/>
                          </w:rPr>
                        </w:pPr>
                        <w:r>
                          <w:rPr>
                            <w:rFonts w:ascii="宋体" w:hAnsi="宋体" w:cs="宋体" w:eastAsia="宋体" w:hint="default"/>
                            <w:b/>
                            <w:bCs/>
                            <w:sz w:val="18"/>
                            <w:szCs w:val="18"/>
                          </w:rPr>
                          <w:t>本年所得税前</w:t>
                        </w:r>
                        <w:r>
                          <w:rPr>
                            <w:rFonts w:ascii="宋体" w:hAnsi="宋体" w:cs="宋体" w:eastAsia="宋体" w:hint="default"/>
                            <w:b/>
                            <w:bCs/>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b/>
                            <w:bCs/>
                            <w:spacing w:val="-82"/>
                            <w:w w:val="99"/>
                            <w:sz w:val="18"/>
                            <w:szCs w:val="18"/>
                          </w:rPr>
                          <w:t>：</w:t>
                        </w:r>
                        <w:r>
                          <w:rPr>
                            <w:rFonts w:ascii="宋体" w:hAnsi="宋体" w:cs="宋体" w:eastAsia="宋体" w:hint="default"/>
                            <w:b/>
                            <w:bCs/>
                            <w:w w:val="99"/>
                            <w:sz w:val="18"/>
                            <w:szCs w:val="18"/>
                          </w:rPr>
                          <w:t>前期计</w:t>
                        </w:r>
                        <w:r>
                          <w:rPr>
                            <w:rFonts w:ascii="宋体" w:hAnsi="宋体" w:cs="宋体" w:eastAsia="宋体" w:hint="default"/>
                            <w:b/>
                            <w:bCs/>
                            <w:spacing w:val="2"/>
                            <w:w w:val="99"/>
                            <w:sz w:val="18"/>
                            <w:szCs w:val="18"/>
                          </w:rPr>
                          <w:t>入</w:t>
                        </w:r>
                        <w:r>
                          <w:rPr>
                            <w:rFonts w:ascii="宋体" w:hAnsi="宋体" w:cs="宋体" w:eastAsia="宋体" w:hint="default"/>
                            <w:b/>
                            <w:bCs/>
                            <w:w w:val="99"/>
                            <w:sz w:val="18"/>
                            <w:szCs w:val="18"/>
                          </w:rPr>
                          <w:t>其</w:t>
                        </w:r>
                        <w:r>
                          <w:rPr>
                            <w:rFonts w:ascii="宋体" w:hAnsi="宋体" w:cs="宋体" w:eastAsia="宋体" w:hint="default"/>
                            <w:sz w:val="18"/>
                            <w:szCs w:val="18"/>
                          </w:rPr>
                        </w:r>
                      </w:p>
                      <w:p>
                        <w:pPr>
                          <w:pStyle w:val="TableParagraph"/>
                          <w:spacing w:line="295" w:lineRule="auto" w:before="57"/>
                          <w:ind w:left="86" w:right="82"/>
                          <w:jc w:val="center"/>
                          <w:rPr>
                            <w:rFonts w:ascii="宋体" w:hAnsi="宋体" w:cs="宋体" w:eastAsia="宋体" w:hint="default"/>
                            <w:sz w:val="18"/>
                            <w:szCs w:val="18"/>
                          </w:rPr>
                        </w:pPr>
                        <w:r>
                          <w:rPr>
                            <w:rFonts w:ascii="宋体" w:hAnsi="宋体" w:cs="宋体" w:eastAsia="宋体" w:hint="default"/>
                            <w:b/>
                            <w:bCs/>
                            <w:sz w:val="18"/>
                            <w:szCs w:val="18"/>
                          </w:rPr>
                          <w:t>他综合收益</w:t>
                        </w:r>
                        <w:r>
                          <w:rPr>
                            <w:rFonts w:ascii="宋体" w:hAnsi="宋体" w:cs="宋体" w:eastAsia="宋体" w:hint="default"/>
                            <w:b/>
                            <w:bCs/>
                            <w:w w:val="99"/>
                            <w:sz w:val="18"/>
                            <w:szCs w:val="18"/>
                          </w:rPr>
                          <w:t> </w:t>
                        </w:r>
                        <w:r>
                          <w:rPr>
                            <w:rFonts w:ascii="宋体" w:hAnsi="宋体" w:cs="宋体" w:eastAsia="宋体" w:hint="default"/>
                            <w:b/>
                            <w:bCs/>
                            <w:sz w:val="18"/>
                            <w:szCs w:val="18"/>
                          </w:rPr>
                          <w:t>本期转入损益</w:t>
                        </w:r>
                        <w:r>
                          <w:rPr>
                            <w:rFonts w:ascii="宋体" w:hAnsi="宋体" w:cs="宋体" w:eastAsia="宋体" w:hint="default"/>
                            <w:sz w:val="18"/>
                            <w:szCs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157"/>
                          <w:ind w:left="266" w:right="34" w:hanging="228"/>
                          <w:jc w:val="left"/>
                          <w:rPr>
                            <w:rFonts w:ascii="宋体" w:hAnsi="宋体" w:cs="宋体" w:eastAsia="宋体" w:hint="default"/>
                            <w:sz w:val="18"/>
                            <w:szCs w:val="18"/>
                          </w:rPr>
                        </w:pPr>
                        <w:r>
                          <w:rPr>
                            <w:rFonts w:ascii="宋体" w:hAnsi="宋体" w:cs="宋体" w:eastAsia="宋体" w:hint="default"/>
                            <w:b/>
                            <w:bCs/>
                            <w:spacing w:val="-17"/>
                            <w:w w:val="99"/>
                            <w:sz w:val="18"/>
                            <w:szCs w:val="18"/>
                          </w:rPr>
                          <w:t>减：所得税</w:t>
                        </w:r>
                        <w:r>
                          <w:rPr>
                            <w:rFonts w:ascii="宋体" w:hAnsi="宋体" w:cs="宋体" w:eastAsia="宋体" w:hint="default"/>
                            <w:b/>
                            <w:bCs/>
                            <w:spacing w:val="-87"/>
                            <w:w w:val="99"/>
                            <w:sz w:val="18"/>
                            <w:szCs w:val="18"/>
                          </w:rPr>
                          <w:t> </w:t>
                        </w:r>
                        <w:r>
                          <w:rPr>
                            <w:rFonts w:ascii="宋体" w:hAnsi="宋体" w:cs="宋体" w:eastAsia="宋体" w:hint="default"/>
                            <w:b/>
                            <w:bCs/>
                            <w:spacing w:val="-87"/>
                            <w:w w:val="99"/>
                            <w:sz w:val="18"/>
                            <w:szCs w:val="18"/>
                          </w:rPr>
                        </w:r>
                        <w:r>
                          <w:rPr>
                            <w:rFonts w:ascii="宋体" w:hAnsi="宋体" w:cs="宋体" w:eastAsia="宋体" w:hint="default"/>
                            <w:b/>
                            <w:bCs/>
                            <w:sz w:val="18"/>
                            <w:szCs w:val="18"/>
                          </w:rPr>
                          <w:t>费用</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b/>
                            <w:bCs/>
                            <w:w w:val="95"/>
                            <w:sz w:val="18"/>
                            <w:szCs w:val="18"/>
                          </w:rPr>
                          <w:t>税后归属于母公司</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00" w:right="310" w:hanging="89"/>
                          <w:jc w:val="left"/>
                          <w:rPr>
                            <w:rFonts w:ascii="宋体" w:hAnsi="宋体" w:cs="宋体" w:eastAsia="宋体" w:hint="default"/>
                            <w:sz w:val="18"/>
                            <w:szCs w:val="18"/>
                          </w:rPr>
                        </w:pPr>
                        <w:r>
                          <w:rPr>
                            <w:rFonts w:ascii="宋体" w:hAnsi="宋体" w:cs="宋体" w:eastAsia="宋体" w:hint="default"/>
                            <w:b/>
                            <w:bCs/>
                            <w:sz w:val="18"/>
                            <w:szCs w:val="18"/>
                          </w:rPr>
                          <w:t>税后归属于</w:t>
                        </w:r>
                        <w:r>
                          <w:rPr>
                            <w:rFonts w:ascii="宋体" w:hAnsi="宋体" w:cs="宋体" w:eastAsia="宋体" w:hint="default"/>
                            <w:b/>
                            <w:bCs/>
                            <w:w w:val="99"/>
                            <w:sz w:val="18"/>
                            <w:szCs w:val="18"/>
                          </w:rPr>
                          <w:t> </w:t>
                        </w:r>
                        <w:r>
                          <w:rPr>
                            <w:rFonts w:ascii="宋体" w:hAnsi="宋体" w:cs="宋体" w:eastAsia="宋体" w:hint="default"/>
                            <w:b/>
                            <w:bCs/>
                            <w:sz w:val="18"/>
                            <w:szCs w:val="18"/>
                          </w:rPr>
                          <w:t>少数股东</w:t>
                        </w:r>
                        <w:r>
                          <w:rPr>
                            <w:rFonts w:ascii="宋体" w:hAnsi="宋体" w:cs="宋体" w:eastAsia="宋体" w:hint="default"/>
                            <w:sz w:val="18"/>
                            <w:szCs w:val="18"/>
                          </w:rPr>
                        </w:r>
                      </w:p>
                    </w:tc>
                    <w:tc>
                      <w:tcPr>
                        <w:tcW w:w="1632" w:type="dxa"/>
                        <w:vMerge/>
                        <w:tcBorders>
                          <w:left w:val="single" w:sz="2" w:space="0" w:color="000000"/>
                          <w:bottom w:val="single" w:sz="2" w:space="0" w:color="000000"/>
                          <w:right w:val="nil" w:sz="6" w:space="0" w:color="auto"/>
                        </w:tcBorders>
                      </w:tcPr>
                      <w:p>
                        <w:pPr/>
                      </w:p>
                    </w:tc>
                  </w:tr>
                  <w:tr>
                    <w:trPr>
                      <w:trHeight w:val="375"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-13,105,977.79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5,085,803.75</w:t>
                        </w: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1,236,867.47</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3,848,936.28</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-11,869,110.32</w:t>
                        </w:r>
                      </w:p>
                    </w:tc>
                  </w:tr>
                  <w:tr>
                    <w:trPr>
                      <w:trHeight w:val="667"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5" w:right="34" w:firstLine="4"/>
                          <w:jc w:val="left"/>
                          <w:rPr>
                            <w:rFonts w:ascii="宋体" w:hAnsi="宋体" w:cs="宋体" w:eastAsia="宋体" w:hint="default"/>
                            <w:sz w:val="18"/>
                            <w:szCs w:val="18"/>
                          </w:rPr>
                        </w:pPr>
                        <w:r>
                          <w:rPr>
                            <w:rFonts w:ascii="宋体" w:hAnsi="宋体" w:cs="宋体" w:eastAsia="宋体" w:hint="default"/>
                            <w:spacing w:val="-2"/>
                            <w:sz w:val="18"/>
                            <w:szCs w:val="18"/>
                          </w:rPr>
                          <w:t>其中：重新计算设定受益计划净负债和净资产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的变动</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-13,105,977.79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5,085,803.75</w:t>
                        </w: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1,236,867.47</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3,848,936.28</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-11,869,110.32</w:t>
                        </w:r>
                      </w:p>
                    </w:tc>
                  </w:tr>
                  <w:tr>
                    <w:trPr>
                      <w:trHeight w:val="374"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-423,019,872.35</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spacing w:val="-1"/>
                            <w:sz w:val="18"/>
                          </w:rPr>
                          <w:t>335,124,104.24</w:t>
                        </w: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78,150,805.67</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256,973,298.57</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-344,869,066.68</w:t>
                        </w:r>
                      </w:p>
                    </w:tc>
                  </w:tr>
                  <w:tr>
                    <w:trPr>
                      <w:trHeight w:val="374"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其中：可供出售金融资产公允价值变动损益</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6,528,118.69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-37,497.54</w:t>
                        </w: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-24,118.44</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-13,379.10</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6,504,000.25</w:t>
                        </w:r>
                      </w:p>
                    </w:tc>
                  </w:tr>
                  <w:tr>
                    <w:trPr>
                      <w:trHeight w:val="374" w:hRule="exact"/>
                    </w:trPr>
                    <w:tc>
                      <w:tcPr>
                        <w:tcW w:w="3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-429,547,991.04</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spacing w:val="-1"/>
                            <w:sz w:val="18"/>
                          </w:rPr>
                          <w:t>335,161,601.78</w:t>
                        </w: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78,174,924.11</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256,986,677.67</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-351,373,066.93</w:t>
                        </w:r>
                      </w:p>
                    </w:tc>
                  </w:tr>
                  <w:tr>
                    <w:trPr>
                      <w:trHeight w:val="389" w:hRule="exact"/>
                    </w:trPr>
                    <w:tc>
                      <w:tcPr>
                        <w:tcW w:w="36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b/>
                            <w:bCs/>
                            <w:sz w:val="18"/>
                            <w:szCs w:val="18"/>
                          </w:rPr>
                          <w:t>其他综合收益合计</w:t>
                        </w:r>
                        <w:r>
                          <w:rPr>
                            <w:rFonts w:ascii="宋体" w:hAnsi="宋体" w:cs="宋体" w:eastAsia="宋体" w:hint="default"/>
                            <w:sz w:val="18"/>
                            <w:szCs w:val="18"/>
                          </w:rPr>
                        </w:r>
                      </w:p>
                    </w:tc>
                    <w:tc>
                      <w:tcPr>
                        <w:tcW w:w="16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-436,125,850.14</w:t>
                        </w:r>
                        <w:r>
                          <w:rPr>
                            <w:rFonts w:ascii="宋体"/>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340,209,907.99</w:t>
                        </w:r>
                        <w:r>
                          <w:rPr>
                            <w:rFonts w:ascii="宋体"/>
                            <w:sz w:val="18"/>
                          </w:rPr>
                        </w:r>
                      </w:p>
                    </w:tc>
                    <w:tc>
                      <w:tcPr>
                        <w:tcW w:w="1260" w:type="dxa"/>
                        <w:tcBorders>
                          <w:top w:val="single" w:sz="2" w:space="0" w:color="000000"/>
                          <w:left w:val="single" w:sz="2" w:space="0" w:color="000000"/>
                          <w:bottom w:val="single" w:sz="12" w:space="0" w:color="000000"/>
                          <w:right w:val="single" w:sz="2" w:space="0" w:color="000000"/>
                        </w:tcBorders>
                      </w:tcPr>
                      <w:p>
                        <w:pPr/>
                      </w:p>
                    </w:tc>
                    <w:tc>
                      <w:tcPr>
                        <w:tcW w:w="900"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b/>
                            <w:w w:val="95"/>
                            <w:sz w:val="18"/>
                          </w:rPr>
                          <w:t>79,387,673.14</w:t>
                        </w:r>
                        <w:r>
                          <w:rPr>
                            <w:rFonts w:ascii="宋体"/>
                            <w:sz w:val="18"/>
                          </w:rPr>
                        </w:r>
                      </w:p>
                    </w:tc>
                    <w:tc>
                      <w:tcPr>
                        <w:tcW w:w="1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260,822,234.85</w:t>
                        </w:r>
                        <w:r>
                          <w:rPr>
                            <w:rFonts w:ascii="宋体"/>
                            <w:sz w:val="18"/>
                          </w:rPr>
                        </w:r>
                      </w:p>
                    </w:tc>
                    <w:tc>
                      <w:tcPr>
                        <w:tcW w:w="16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-356,738,177.00</w:t>
                        </w:r>
                        <w:r>
                          <w:rPr>
                            <w:rFonts w:ascii="宋体"/>
                            <w:sz w:val="18"/>
                          </w:rPr>
                        </w:r>
                      </w:p>
                    </w:tc>
                  </w:tr>
                </w:tbl>
                <w:p>
                  <w:pPr/>
                </w:p>
              </w:txbxContent>
            </v:textbox>
            <w10:wrap type="none"/>
          </v:shape>
        </w:pict>
      </w:r>
      <w:r>
        <w:rPr/>
        <w:t>享有子公司权益份额变化调增资本公积</w:t>
      </w:r>
      <w:r>
        <w:rPr>
          <w:spacing w:val="-58"/>
        </w:rPr>
        <w:t> </w:t>
      </w:r>
      <w:r>
        <w:rPr>
          <w:rFonts w:ascii="宋体" w:hAnsi="宋体" w:cs="宋体" w:eastAsia="宋体" w:hint="default"/>
        </w:rPr>
        <w:t>859,817.24</w:t>
      </w:r>
      <w:r>
        <w:rPr>
          <w:rFonts w:ascii="宋体" w:hAnsi="宋体" w:cs="宋体" w:eastAsia="宋体" w:hint="default"/>
          <w:spacing w:val="-58"/>
        </w:rPr>
        <w:t> </w:t>
      </w:r>
      <w:r>
        <w:rPr/>
        <w:t>元。冠捷科技股份支付本期计入权益部分调增资本公积</w:t>
      </w:r>
      <w:r>
        <w:rPr>
          <w:spacing w:val="-58"/>
        </w:rPr>
        <w:t> </w:t>
      </w:r>
      <w:r>
        <w:rPr>
          <w:rFonts w:ascii="宋体" w:hAnsi="宋体" w:cs="宋体" w:eastAsia="宋体" w:hint="default"/>
        </w:rPr>
        <w:t>39,458.35</w:t>
      </w:r>
      <w:r>
        <w:rPr>
          <w:rFonts w:ascii="宋体" w:hAnsi="宋体" w:cs="宋体" w:eastAsia="宋体" w:hint="default"/>
          <w:spacing w:val="-58"/>
        </w:rPr>
        <w:t> </w:t>
      </w:r>
      <w:r>
        <w:rPr/>
        <w:t>元。</w:t>
      </w:r>
      <w:r>
        <w:rPr>
          <w:w w:val="100"/>
        </w:rPr>
        <w:t> </w:t>
      </w:r>
      <w:r>
        <w:rPr>
          <w:rFonts w:ascii="宋体" w:hAnsi="宋体" w:cs="宋体" w:eastAsia="宋体" w:hint="default"/>
        </w:rPr>
        <w:t>43</w:t>
      </w:r>
      <w:r>
        <w:rPr/>
        <w:t>、其他综合收益</w:t>
      </w:r>
    </w:p>
    <w:p>
      <w:pPr>
        <w:spacing w:after="0" w:line="391" w:lineRule="auto"/>
        <w:jc w:val="left"/>
        <w:sectPr>
          <w:pgSz w:w="16840" w:h="11910" w:orient="landscape"/>
          <w:pgMar w:header="881" w:footer="980" w:top="1640" w:bottom="1160" w:left="1200" w:right="120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61"/>
        <w:ind w:left="679" w:right="0"/>
        <w:jc w:val="left"/>
      </w:pPr>
      <w:r>
        <w:rPr>
          <w:rFonts w:ascii="宋体" w:hAnsi="宋体" w:cs="宋体" w:eastAsia="宋体" w:hint="default"/>
        </w:rPr>
        <w:t>44</w:t>
      </w:r>
      <w:r>
        <w:rPr/>
        <w:t>、盈余公积</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610"/>
        <w:gridCol w:w="1733"/>
        <w:gridCol w:w="1731"/>
        <w:gridCol w:w="1733"/>
        <w:gridCol w:w="1731"/>
      </w:tblGrid>
      <w:tr>
        <w:trPr>
          <w:trHeight w:val="386" w:hRule="exact"/>
        </w:trPr>
        <w:tc>
          <w:tcPr>
            <w:tcW w:w="16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7" w:hRule="exact"/>
        </w:trPr>
        <w:tc>
          <w:tcPr>
            <w:tcW w:w="16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346,239,878.16</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726,157.58</w:t>
            </w:r>
          </w:p>
        </w:tc>
        <w:tc>
          <w:tcPr>
            <w:tcW w:w="1733" w:type="dxa"/>
            <w:tcBorders>
              <w:top w:val="single" w:sz="2" w:space="0" w:color="000000"/>
              <w:left w:val="single" w:sz="2" w:space="0" w:color="000000"/>
              <w:bottom w:val="single" w:sz="2" w:space="0" w:color="000000"/>
              <w:right w:val="single" w:sz="2" w:space="0" w:color="000000"/>
            </w:tcBorders>
          </w:tcPr>
          <w:p>
            <w:pPr/>
          </w:p>
        </w:tc>
        <w:tc>
          <w:tcPr>
            <w:tcW w:w="1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346,966,035.74</w:t>
            </w:r>
          </w:p>
        </w:tc>
      </w:tr>
      <w:tr>
        <w:trPr>
          <w:trHeight w:val="386" w:hRule="exact"/>
        </w:trPr>
        <w:tc>
          <w:tcPr>
            <w:tcW w:w="16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346,239,878.16</w:t>
            </w:r>
            <w:r>
              <w:rPr>
                <w:rFonts w:ascii="宋体"/>
                <w:sz w:val="18"/>
              </w:rPr>
            </w:r>
          </w:p>
        </w:tc>
        <w:tc>
          <w:tcPr>
            <w:tcW w:w="17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726,157.58</w:t>
            </w:r>
            <w:r>
              <w:rPr>
                <w:rFonts w:ascii="宋体"/>
                <w:sz w:val="18"/>
              </w:rPr>
            </w:r>
          </w:p>
        </w:tc>
        <w:tc>
          <w:tcPr>
            <w:tcW w:w="1733" w:type="dxa"/>
            <w:tcBorders>
              <w:top w:val="single" w:sz="2" w:space="0" w:color="000000"/>
              <w:left w:val="single" w:sz="2" w:space="0" w:color="000000"/>
              <w:bottom w:val="single" w:sz="12" w:space="0" w:color="000000"/>
              <w:right w:val="single" w:sz="2" w:space="0" w:color="000000"/>
            </w:tcBorders>
          </w:tcPr>
          <w:p>
            <w:pPr/>
          </w:p>
        </w:tc>
        <w:tc>
          <w:tcPr>
            <w:tcW w:w="17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346,966,035.74</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240" w:right="362" w:firstLine="439"/>
        <w:jc w:val="left"/>
      </w:pPr>
      <w:r>
        <w:rPr>
          <w:rFonts w:ascii="宋体" w:hAnsi="宋体" w:cs="宋体" w:eastAsia="宋体" w:hint="default"/>
        </w:rPr>
        <w:t>2015</w:t>
      </w:r>
      <w:r>
        <w:rPr>
          <w:rFonts w:ascii="宋体" w:hAnsi="宋体" w:cs="宋体" w:eastAsia="宋体" w:hint="default"/>
          <w:spacing w:val="-54"/>
        </w:rPr>
        <w:t> </w:t>
      </w:r>
      <w:r>
        <w:rPr/>
        <w:t>年度本公司净利润为</w:t>
      </w:r>
      <w:r>
        <w:rPr>
          <w:spacing w:val="-54"/>
        </w:rPr>
        <w:t> </w:t>
      </w:r>
      <w:r>
        <w:rPr>
          <w:rFonts w:ascii="宋体" w:hAnsi="宋体" w:cs="宋体" w:eastAsia="宋体" w:hint="default"/>
        </w:rPr>
        <w:t>7,261,575.77</w:t>
      </w:r>
      <w:r>
        <w:rPr>
          <w:rFonts w:ascii="宋体" w:hAnsi="宋体" w:cs="宋体" w:eastAsia="宋体" w:hint="default"/>
          <w:spacing w:val="-57"/>
        </w:rPr>
        <w:t> </w:t>
      </w:r>
      <w:r>
        <w:rPr/>
        <w:t>元，按</w:t>
      </w:r>
      <w:r>
        <w:rPr>
          <w:spacing w:val="-56"/>
        </w:rPr>
        <w:t> </w:t>
      </w:r>
      <w:r>
        <w:rPr>
          <w:rFonts w:ascii="宋体" w:hAnsi="宋体" w:cs="宋体" w:eastAsia="宋体" w:hint="default"/>
        </w:rPr>
        <w:t>10%</w:t>
      </w:r>
      <w:r>
        <w:rPr/>
        <w:t>计提盈余公积共计</w:t>
      </w:r>
      <w:r>
        <w:rPr>
          <w:spacing w:val="-54"/>
        </w:rPr>
        <w:t> </w:t>
      </w:r>
      <w:r>
        <w:rPr>
          <w:rFonts w:ascii="宋体" w:hAnsi="宋体" w:cs="宋体" w:eastAsia="宋体" w:hint="default"/>
        </w:rPr>
        <w:t>726,157.58</w:t>
      </w:r>
      <w:r>
        <w:rPr>
          <w:rFonts w:ascii="宋体" w:hAnsi="宋体" w:cs="宋体" w:eastAsia="宋体" w:hint="default"/>
          <w:w w:val="100"/>
        </w:rPr>
        <w:t> </w:t>
      </w:r>
      <w:r>
        <w:rPr/>
        <w:t>元。</w:t>
      </w:r>
    </w:p>
    <w:p>
      <w:pPr>
        <w:pStyle w:val="Heading7"/>
        <w:spacing w:line="240" w:lineRule="auto" w:before="101"/>
        <w:ind w:left="679" w:right="0"/>
        <w:jc w:val="left"/>
      </w:pPr>
      <w:r>
        <w:rPr>
          <w:rFonts w:ascii="宋体" w:hAnsi="宋体" w:cs="宋体" w:eastAsia="宋体" w:hint="default"/>
        </w:rPr>
        <w:t>45</w:t>
      </w:r>
      <w:r>
        <w:rPr/>
        <w:t>、未分配利润</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011"/>
        <w:gridCol w:w="2340"/>
        <w:gridCol w:w="2187"/>
      </w:tblGrid>
      <w:tr>
        <w:trPr>
          <w:trHeight w:val="389" w:hRule="exact"/>
        </w:trPr>
        <w:tc>
          <w:tcPr>
            <w:tcW w:w="40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82"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上年年末余额</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618,570,201.63</w:t>
            </w:r>
            <w:r>
              <w:rPr>
                <w:rFonts w:ascii="宋体"/>
                <w:sz w:val="18"/>
              </w:rPr>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9"/>
              <w:jc w:val="right"/>
              <w:rPr>
                <w:rFonts w:ascii="宋体" w:hAnsi="宋体" w:cs="宋体" w:eastAsia="宋体" w:hint="default"/>
                <w:sz w:val="18"/>
                <w:szCs w:val="18"/>
              </w:rPr>
            </w:pPr>
            <w:r>
              <w:rPr>
                <w:rFonts w:ascii="宋体"/>
                <w:b/>
                <w:w w:val="95"/>
                <w:sz w:val="18"/>
              </w:rPr>
              <w:t>636,323,270.90</w:t>
            </w:r>
            <w:r>
              <w:rPr>
                <w:rFonts w:ascii="宋体"/>
                <w:sz w:val="18"/>
              </w:rPr>
            </w:r>
          </w:p>
        </w:tc>
      </w:tr>
      <w:tr>
        <w:trPr>
          <w:trHeight w:val="380"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-4,388,665.28</w:t>
            </w:r>
          </w:p>
        </w:tc>
      </w:tr>
      <w:tr>
        <w:trPr>
          <w:trHeight w:val="379"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本年年初余额</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618,570,201.63</w:t>
            </w:r>
            <w:r>
              <w:rPr>
                <w:rFonts w:ascii="宋体"/>
                <w:sz w:val="18"/>
              </w:rPr>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9"/>
              <w:jc w:val="right"/>
              <w:rPr>
                <w:rFonts w:ascii="宋体" w:hAnsi="宋体" w:cs="宋体" w:eastAsia="宋体" w:hint="default"/>
                <w:sz w:val="18"/>
                <w:szCs w:val="18"/>
              </w:rPr>
            </w:pPr>
            <w:r>
              <w:rPr>
                <w:rFonts w:ascii="宋体"/>
                <w:b/>
                <w:w w:val="95"/>
                <w:sz w:val="18"/>
              </w:rPr>
              <w:t>631,934,605.62</w:t>
            </w:r>
            <w:r>
              <w:rPr>
                <w:rFonts w:ascii="宋体"/>
                <w:sz w:val="18"/>
              </w:rPr>
            </w:r>
          </w:p>
        </w:tc>
      </w:tr>
      <w:tr>
        <w:trPr>
          <w:trHeight w:val="379"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-35,666,709.39</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-13,074,608.76</w:t>
            </w:r>
          </w:p>
        </w:tc>
      </w:tr>
      <w:tr>
        <w:trPr>
          <w:trHeight w:val="382"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726,157.58</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289,795.23</w:t>
            </w:r>
          </w:p>
        </w:tc>
      </w:tr>
      <w:tr>
        <w:trPr>
          <w:trHeight w:val="379"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nil" w:sz="6" w:space="0" w:color="auto"/>
            </w:tcBorders>
          </w:tcPr>
          <w:p>
            <w:pPr/>
          </w:p>
        </w:tc>
      </w:tr>
      <w:tr>
        <w:trPr>
          <w:trHeight w:val="391" w:hRule="exact"/>
        </w:trPr>
        <w:tc>
          <w:tcPr>
            <w:tcW w:w="401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本年年末余额</w:t>
            </w:r>
            <w:r>
              <w:rPr>
                <w:rFonts w:ascii="宋体" w:hAnsi="宋体" w:cs="宋体" w:eastAsia="宋体" w:hint="default"/>
                <w:sz w:val="18"/>
                <w:szCs w:val="18"/>
              </w:rPr>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582,177,334.66</w:t>
            </w:r>
            <w:r>
              <w:rPr>
                <w:rFonts w:ascii="宋体"/>
                <w:sz w:val="18"/>
              </w:rPr>
            </w:r>
          </w:p>
        </w:tc>
        <w:tc>
          <w:tcPr>
            <w:tcW w:w="21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9"/>
              <w:jc w:val="right"/>
              <w:rPr>
                <w:rFonts w:ascii="宋体" w:hAnsi="宋体" w:cs="宋体" w:eastAsia="宋体" w:hint="default"/>
                <w:sz w:val="18"/>
                <w:szCs w:val="18"/>
              </w:rPr>
            </w:pPr>
            <w:r>
              <w:rPr>
                <w:rFonts w:ascii="宋体"/>
                <w:b/>
                <w:w w:val="95"/>
                <w:sz w:val="18"/>
              </w:rPr>
              <w:t>618,570,201.63</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240" w:right="0" w:firstLine="439"/>
        <w:jc w:val="left"/>
      </w:pPr>
      <w:r>
        <w:rPr>
          <w:spacing w:val="-3"/>
        </w:rPr>
        <w:t>注：上年年初未分配利润调整为冠捷科技发生同一控制下企业合并所进行的相应调</w:t>
      </w:r>
      <w:r>
        <w:rPr>
          <w:w w:val="100"/>
        </w:rPr>
        <w:t> </w:t>
      </w:r>
      <w:r>
        <w:rPr/>
        <w:t>整，详细事项见本附注“四、</w:t>
      </w:r>
      <w:r>
        <w:rPr>
          <w:rFonts w:ascii="宋体" w:hAnsi="宋体" w:cs="宋体" w:eastAsia="宋体" w:hint="default"/>
        </w:rPr>
        <w:t>30</w:t>
      </w:r>
      <w:r>
        <w:rPr>
          <w:rFonts w:ascii="宋体" w:hAnsi="宋体" w:cs="宋体" w:eastAsia="宋体" w:hint="default"/>
          <w:spacing w:val="-59"/>
        </w:rPr>
        <w:t> </w:t>
      </w:r>
      <w:r>
        <w:rPr/>
        <w:t>期初数据调整”相关说明。</w:t>
      </w:r>
    </w:p>
    <w:p>
      <w:pPr>
        <w:pStyle w:val="Heading7"/>
        <w:spacing w:line="240" w:lineRule="auto" w:before="98"/>
        <w:ind w:left="679" w:right="0"/>
        <w:jc w:val="left"/>
      </w:pPr>
      <w:r>
        <w:rPr>
          <w:rFonts w:ascii="宋体" w:hAnsi="宋体" w:cs="宋体" w:eastAsia="宋体" w:hint="default"/>
        </w:rPr>
        <w:t>46</w:t>
      </w:r>
      <w:r>
        <w:rPr/>
        <w:t>、营业收入、营业成本</w:t>
      </w:r>
    </w:p>
    <w:p>
      <w:pPr>
        <w:spacing w:line="240" w:lineRule="auto" w:before="8"/>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368"/>
        <w:gridCol w:w="1793"/>
        <w:gridCol w:w="1793"/>
        <w:gridCol w:w="1793"/>
        <w:gridCol w:w="1793"/>
      </w:tblGrid>
      <w:tr>
        <w:trPr>
          <w:trHeight w:val="389" w:hRule="exact"/>
        </w:trPr>
        <w:tc>
          <w:tcPr>
            <w:tcW w:w="1368"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8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1368" w:type="dxa"/>
            <w:vMerge/>
            <w:tcBorders>
              <w:left w:val="nil" w:sz="6" w:space="0" w:color="auto"/>
              <w:bottom w:val="single" w:sz="2" w:space="0" w:color="000000"/>
              <w:right w:val="single" w:sz="2" w:space="0" w:color="000000"/>
            </w:tcBorders>
          </w:tcPr>
          <w:p>
            <w:pP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74" w:hRule="exact"/>
        </w:trPr>
        <w:tc>
          <w:tcPr>
            <w:tcW w:w="1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right="521"/>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72,335,166,664.58</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65,861,614,133.32</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76,462,180,664.12</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69,126,566,520.09</w:t>
            </w:r>
          </w:p>
        </w:tc>
      </w:tr>
      <w:tr>
        <w:trPr>
          <w:trHeight w:val="374" w:hRule="exact"/>
        </w:trPr>
        <w:tc>
          <w:tcPr>
            <w:tcW w:w="13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right="521"/>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600,684,985.87</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404,178,958.04</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743,194,971.44</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488,658,772.16</w:t>
            </w:r>
          </w:p>
        </w:tc>
      </w:tr>
      <w:tr>
        <w:trPr>
          <w:trHeight w:val="389" w:hRule="exact"/>
        </w:trPr>
        <w:tc>
          <w:tcPr>
            <w:tcW w:w="13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49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72,935,851,650.45</w:t>
            </w:r>
            <w:r>
              <w:rPr>
                <w:rFonts w:ascii="宋体"/>
                <w:sz w:val="18"/>
              </w:rPr>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66,265,793,091.36</w:t>
            </w:r>
            <w:r>
              <w:rPr>
                <w:rFonts w:ascii="宋体"/>
                <w:sz w:val="18"/>
              </w:rPr>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77,205,375,635.56</w:t>
            </w:r>
            <w:r>
              <w:rPr>
                <w:rFonts w:ascii="宋体"/>
                <w:sz w:val="18"/>
              </w:rPr>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b/>
                <w:w w:val="95"/>
                <w:sz w:val="18"/>
              </w:rPr>
              <w:t>69,615,225,292.25</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47</w:t>
      </w:r>
      <w:r>
        <w:rPr/>
        <w:t>、营业税金及附加</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041"/>
        <w:gridCol w:w="2746"/>
        <w:gridCol w:w="2751"/>
      </w:tblGrid>
      <w:tr>
        <w:trPr>
          <w:trHeight w:val="389" w:hRule="exact"/>
        </w:trPr>
        <w:tc>
          <w:tcPr>
            <w:tcW w:w="30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right="132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13,132,926.67</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13,930,638.19</w:t>
            </w:r>
          </w:p>
        </w:tc>
      </w:tr>
      <w:tr>
        <w:trPr>
          <w:trHeight w:val="374"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城建税及教育费附加</w:t>
            </w:r>
          </w:p>
        </w:tc>
        <w:tc>
          <w:tcPr>
            <w:tcW w:w="2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79,469,803.11</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59,725,694.80</w:t>
            </w:r>
          </w:p>
        </w:tc>
      </w:tr>
      <w:tr>
        <w:trPr>
          <w:trHeight w:val="375"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832,689.38</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1,625,471.98</w:t>
            </w:r>
          </w:p>
        </w:tc>
      </w:tr>
      <w:tr>
        <w:trPr>
          <w:trHeight w:val="389" w:hRule="exact"/>
        </w:trPr>
        <w:tc>
          <w:tcPr>
            <w:tcW w:w="30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132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93,435,419.16</w:t>
            </w:r>
            <w:r>
              <w:rPr>
                <w:rFonts w:ascii="宋体"/>
                <w:sz w:val="18"/>
              </w:rPr>
            </w:r>
          </w:p>
        </w:tc>
        <w:tc>
          <w:tcPr>
            <w:tcW w:w="27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b/>
                <w:w w:val="95"/>
                <w:sz w:val="18"/>
              </w:rPr>
              <w:t>75,281,804.97</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48</w:t>
      </w:r>
      <w:r>
        <w:rPr/>
        <w:t>、销售费用</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029"/>
        <w:gridCol w:w="2753"/>
        <w:gridCol w:w="2756"/>
      </w:tblGrid>
      <w:tr>
        <w:trPr>
          <w:trHeight w:val="386" w:hRule="exact"/>
        </w:trPr>
        <w:tc>
          <w:tcPr>
            <w:tcW w:w="30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985,829,714.82</w:t>
            </w:r>
          </w:p>
        </w:tc>
        <w:tc>
          <w:tcPr>
            <w:tcW w:w="2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1,051,418,602.64</w:t>
            </w:r>
          </w:p>
        </w:tc>
      </w:tr>
      <w:tr>
        <w:trPr>
          <w:trHeight w:val="389" w:hRule="exact"/>
        </w:trPr>
        <w:tc>
          <w:tcPr>
            <w:tcW w:w="30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工资费用</w:t>
            </w:r>
          </w:p>
        </w:tc>
        <w:tc>
          <w:tcPr>
            <w:tcW w:w="27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820,496,816.96</w:t>
            </w:r>
          </w:p>
        </w:tc>
        <w:tc>
          <w:tcPr>
            <w:tcW w:w="27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1"/>
                <w:sz w:val="18"/>
              </w:rPr>
              <w:t>1,091,463,367.44</w:t>
            </w:r>
          </w:p>
        </w:tc>
      </w:tr>
    </w:tbl>
    <w:p>
      <w:pPr>
        <w:spacing w:after="0" w:line="240" w:lineRule="auto"/>
        <w:jc w:val="right"/>
        <w:rPr>
          <w:rFonts w:ascii="宋体" w:hAnsi="宋体" w:cs="宋体" w:eastAsia="宋体" w:hint="default"/>
          <w:sz w:val="18"/>
          <w:szCs w:val="18"/>
        </w:rPr>
        <w:sectPr>
          <w:headerReference w:type="default" r:id="rId59"/>
          <w:footerReference w:type="default" r:id="rId60"/>
          <w:pgSz w:w="11910" w:h="16840"/>
          <w:pgMar w:header="881" w:footer="980" w:top="1600" w:bottom="1160" w:left="1560" w:right="1420"/>
          <w:pgNumType w:start="68"/>
        </w:sectPr>
      </w:pPr>
    </w:p>
    <w:p>
      <w:pPr>
        <w:spacing w:line="240" w:lineRule="auto" w:before="9"/>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029"/>
        <w:gridCol w:w="2753"/>
        <w:gridCol w:w="2915"/>
      </w:tblGrid>
      <w:tr>
        <w:trPr>
          <w:trHeight w:val="381" w:hRule="exact"/>
        </w:trPr>
        <w:tc>
          <w:tcPr>
            <w:tcW w:w="30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3"/>
              <w:ind w:right="132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3"/>
              <w:ind w:left="92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7"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525,895,972.82</w:t>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8"/>
              <w:jc w:val="right"/>
              <w:rPr>
                <w:rFonts w:ascii="宋体" w:hAnsi="宋体" w:cs="宋体" w:eastAsia="宋体" w:hint="default"/>
                <w:sz w:val="18"/>
                <w:szCs w:val="18"/>
              </w:rPr>
            </w:pPr>
            <w:r>
              <w:rPr>
                <w:rFonts w:ascii="宋体"/>
                <w:spacing w:val="-1"/>
                <w:sz w:val="18"/>
              </w:rPr>
              <w:t>616,333,394.28</w:t>
            </w:r>
          </w:p>
        </w:tc>
      </w:tr>
      <w:tr>
        <w:trPr>
          <w:trHeight w:val="374"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75,741,021.37</w:t>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8"/>
              <w:jc w:val="right"/>
              <w:rPr>
                <w:rFonts w:ascii="宋体" w:hAnsi="宋体" w:cs="宋体" w:eastAsia="宋体" w:hint="default"/>
                <w:sz w:val="18"/>
                <w:szCs w:val="18"/>
              </w:rPr>
            </w:pPr>
            <w:r>
              <w:rPr>
                <w:rFonts w:ascii="宋体"/>
                <w:spacing w:val="-1"/>
                <w:sz w:val="18"/>
              </w:rPr>
              <w:t>90,719,017.22</w:t>
            </w:r>
          </w:p>
        </w:tc>
      </w:tr>
      <w:tr>
        <w:trPr>
          <w:trHeight w:val="374"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60,396,410.03</w:t>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8"/>
              <w:jc w:val="right"/>
              <w:rPr>
                <w:rFonts w:ascii="宋体" w:hAnsi="宋体" w:cs="宋体" w:eastAsia="宋体" w:hint="default"/>
                <w:sz w:val="18"/>
                <w:szCs w:val="18"/>
              </w:rPr>
            </w:pPr>
            <w:r>
              <w:rPr>
                <w:rFonts w:ascii="宋体"/>
                <w:spacing w:val="-1"/>
                <w:sz w:val="18"/>
              </w:rPr>
              <w:t>67,860,020.71</w:t>
            </w:r>
          </w:p>
        </w:tc>
      </w:tr>
      <w:tr>
        <w:trPr>
          <w:trHeight w:val="374"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57,938,810.64</w:t>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8"/>
              <w:jc w:val="right"/>
              <w:rPr>
                <w:rFonts w:ascii="宋体" w:hAnsi="宋体" w:cs="宋体" w:eastAsia="宋体" w:hint="default"/>
                <w:sz w:val="18"/>
                <w:szCs w:val="18"/>
              </w:rPr>
            </w:pPr>
            <w:r>
              <w:rPr>
                <w:rFonts w:ascii="宋体"/>
                <w:spacing w:val="-1"/>
                <w:sz w:val="18"/>
              </w:rPr>
              <w:t>72,055,848.66</w:t>
            </w:r>
          </w:p>
        </w:tc>
      </w:tr>
      <w:tr>
        <w:trPr>
          <w:trHeight w:val="374"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56,647,165.29</w:t>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8"/>
              <w:jc w:val="right"/>
              <w:rPr>
                <w:rFonts w:ascii="宋体" w:hAnsi="宋体" w:cs="宋体" w:eastAsia="宋体" w:hint="default"/>
                <w:sz w:val="18"/>
                <w:szCs w:val="18"/>
              </w:rPr>
            </w:pPr>
            <w:r>
              <w:rPr>
                <w:rFonts w:ascii="宋体"/>
                <w:spacing w:val="-1"/>
                <w:sz w:val="18"/>
              </w:rPr>
              <w:t>84,979,069.52</w:t>
            </w:r>
          </w:p>
        </w:tc>
      </w:tr>
      <w:tr>
        <w:trPr>
          <w:trHeight w:val="374"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32,942,076.94</w:t>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8"/>
              <w:jc w:val="right"/>
              <w:rPr>
                <w:rFonts w:ascii="宋体" w:hAnsi="宋体" w:cs="宋体" w:eastAsia="宋体" w:hint="default"/>
                <w:sz w:val="18"/>
                <w:szCs w:val="18"/>
              </w:rPr>
            </w:pPr>
            <w:r>
              <w:rPr>
                <w:rFonts w:ascii="宋体"/>
                <w:spacing w:val="-1"/>
                <w:sz w:val="18"/>
              </w:rPr>
              <w:t>53,040,552.45</w:t>
            </w:r>
          </w:p>
        </w:tc>
      </w:tr>
      <w:tr>
        <w:trPr>
          <w:trHeight w:val="377" w:hRule="exact"/>
        </w:trPr>
        <w:tc>
          <w:tcPr>
            <w:tcW w:w="30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219,566,155.54</w:t>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8"/>
              <w:jc w:val="right"/>
              <w:rPr>
                <w:rFonts w:ascii="宋体" w:hAnsi="宋体" w:cs="宋体" w:eastAsia="宋体" w:hint="default"/>
                <w:sz w:val="18"/>
                <w:szCs w:val="18"/>
              </w:rPr>
            </w:pPr>
            <w:r>
              <w:rPr>
                <w:rFonts w:ascii="宋体"/>
                <w:spacing w:val="-1"/>
                <w:sz w:val="18"/>
              </w:rPr>
              <w:t>320,020,337.91</w:t>
            </w:r>
          </w:p>
        </w:tc>
      </w:tr>
      <w:tr>
        <w:trPr>
          <w:trHeight w:val="386" w:hRule="exact"/>
        </w:trPr>
        <w:tc>
          <w:tcPr>
            <w:tcW w:w="30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132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2,835,454,144.41</w:t>
            </w:r>
            <w:r>
              <w:rPr>
                <w:rFonts w:ascii="宋体"/>
                <w:sz w:val="18"/>
              </w:rPr>
            </w:r>
          </w:p>
        </w:tc>
        <w:tc>
          <w:tcPr>
            <w:tcW w:w="2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269"/>
              <w:jc w:val="right"/>
              <w:rPr>
                <w:rFonts w:ascii="宋体" w:hAnsi="宋体" w:cs="宋体" w:eastAsia="宋体" w:hint="default"/>
                <w:sz w:val="18"/>
                <w:szCs w:val="18"/>
              </w:rPr>
            </w:pPr>
            <w:r>
              <w:rPr>
                <w:rFonts w:ascii="宋体"/>
                <w:b/>
                <w:w w:val="95"/>
                <w:sz w:val="18"/>
              </w:rPr>
              <w:t>3,447,890,210.83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19" w:right="0"/>
        <w:jc w:val="left"/>
      </w:pPr>
      <w:r>
        <w:rPr>
          <w:rFonts w:ascii="宋体" w:hAnsi="宋体" w:cs="宋体" w:eastAsia="宋体" w:hint="default"/>
        </w:rPr>
        <w:t>49</w:t>
      </w:r>
      <w:r>
        <w:rPr/>
        <w:t>、管理费用</w:t>
      </w:r>
    </w:p>
    <w:p>
      <w:pPr>
        <w:spacing w:line="240" w:lineRule="auto" w:before="8"/>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044"/>
        <w:gridCol w:w="2789"/>
        <w:gridCol w:w="2792"/>
      </w:tblGrid>
      <w:tr>
        <w:trPr>
          <w:trHeight w:val="361" w:hRule="exact"/>
        </w:trPr>
        <w:tc>
          <w:tcPr>
            <w:tcW w:w="30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5"/>
              <w:ind w:right="132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5"/>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8"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spacing w:val="-1"/>
                <w:sz w:val="18"/>
              </w:rPr>
              <w:t>1,464,388,561.05</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1,761,864,230.87</w:t>
            </w:r>
          </w:p>
        </w:tc>
      </w:tr>
      <w:tr>
        <w:trPr>
          <w:trHeight w:val="348"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工资费用</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684,382,793.86</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757,235,038.60</w:t>
            </w:r>
          </w:p>
        </w:tc>
      </w:tr>
      <w:tr>
        <w:trPr>
          <w:trHeight w:val="346"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136,101,463.60</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86,398,805.29</w:t>
            </w:r>
          </w:p>
        </w:tc>
      </w:tr>
      <w:tr>
        <w:trPr>
          <w:trHeight w:val="348"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法律服务费</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91,927,126.45</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99,520,764.69</w:t>
            </w:r>
          </w:p>
        </w:tc>
      </w:tr>
      <w:tr>
        <w:trPr>
          <w:trHeight w:val="346"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46,711,443.57</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52,859,769.99</w:t>
            </w:r>
          </w:p>
        </w:tc>
      </w:tr>
      <w:tr>
        <w:trPr>
          <w:trHeight w:val="348"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46,687,966.81</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108"/>
              <w:jc w:val="right"/>
              <w:rPr>
                <w:rFonts w:ascii="宋体" w:hAnsi="宋体" w:cs="宋体" w:eastAsia="宋体" w:hint="default"/>
                <w:sz w:val="18"/>
                <w:szCs w:val="18"/>
              </w:rPr>
            </w:pPr>
            <w:r>
              <w:rPr>
                <w:rFonts w:ascii="宋体"/>
                <w:spacing w:val="-1"/>
                <w:sz w:val="18"/>
              </w:rPr>
              <w:t>51,436,983.40</w:t>
            </w:r>
          </w:p>
        </w:tc>
      </w:tr>
      <w:tr>
        <w:trPr>
          <w:trHeight w:val="348"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44,751,120.52</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62,448,107.43</w:t>
            </w:r>
          </w:p>
        </w:tc>
      </w:tr>
      <w:tr>
        <w:trPr>
          <w:trHeight w:val="346"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22,021,366.52</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31,757,748.01</w:t>
            </w:r>
          </w:p>
        </w:tc>
      </w:tr>
      <w:tr>
        <w:trPr>
          <w:trHeight w:val="348"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299,156,757.48</w:t>
            </w:r>
          </w:p>
        </w:tc>
        <w:tc>
          <w:tcPr>
            <w:tcW w:w="27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8"/>
              <w:jc w:val="right"/>
              <w:rPr>
                <w:rFonts w:ascii="宋体" w:hAnsi="宋体" w:cs="宋体" w:eastAsia="宋体" w:hint="default"/>
                <w:sz w:val="18"/>
                <w:szCs w:val="18"/>
              </w:rPr>
            </w:pPr>
            <w:r>
              <w:rPr>
                <w:rFonts w:ascii="宋体"/>
                <w:spacing w:val="-1"/>
                <w:sz w:val="18"/>
              </w:rPr>
              <w:t>341,830,092.68</w:t>
            </w:r>
          </w:p>
        </w:tc>
      </w:tr>
      <w:tr>
        <w:trPr>
          <w:trHeight w:val="360" w:hRule="exact"/>
        </w:trPr>
        <w:tc>
          <w:tcPr>
            <w:tcW w:w="30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right="132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b/>
                <w:w w:val="95"/>
                <w:sz w:val="18"/>
              </w:rPr>
              <w:t>2,836,128,599.86</w:t>
            </w:r>
            <w:r>
              <w:rPr>
                <w:rFonts w:ascii="宋体"/>
                <w:sz w:val="18"/>
              </w:rPr>
            </w:r>
          </w:p>
        </w:tc>
        <w:tc>
          <w:tcPr>
            <w:tcW w:w="27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9"/>
              <w:jc w:val="right"/>
              <w:rPr>
                <w:rFonts w:ascii="宋体" w:hAnsi="宋体" w:cs="宋体" w:eastAsia="宋体" w:hint="default"/>
                <w:sz w:val="18"/>
                <w:szCs w:val="18"/>
              </w:rPr>
            </w:pPr>
            <w:r>
              <w:rPr>
                <w:rFonts w:ascii="宋体"/>
                <w:b/>
                <w:w w:val="95"/>
                <w:sz w:val="18"/>
              </w:rPr>
              <w:t>3,245,351,540.96</w:t>
            </w:r>
            <w:r>
              <w:rPr>
                <w:rFonts w:ascii="宋体"/>
                <w:sz w:val="18"/>
              </w:rPr>
            </w:r>
          </w:p>
        </w:tc>
      </w:tr>
    </w:tbl>
    <w:p>
      <w:pPr>
        <w:spacing w:line="240" w:lineRule="auto" w:before="9"/>
        <w:rPr>
          <w:rFonts w:ascii="宋体" w:hAnsi="宋体" w:cs="宋体" w:eastAsia="宋体" w:hint="default"/>
          <w:sz w:val="4"/>
          <w:szCs w:val="4"/>
        </w:rPr>
      </w:pPr>
    </w:p>
    <w:p>
      <w:pPr>
        <w:pStyle w:val="Heading7"/>
        <w:spacing w:line="240" w:lineRule="auto"/>
        <w:ind w:left="719" w:right="0"/>
        <w:jc w:val="left"/>
      </w:pPr>
      <w:r>
        <w:rPr>
          <w:rFonts w:ascii="宋体" w:hAnsi="宋体" w:cs="宋体" w:eastAsia="宋体" w:hint="default"/>
        </w:rPr>
        <w:t>50</w:t>
      </w:r>
      <w:r>
        <w:rPr/>
        <w:t>、财务费用</w:t>
      </w:r>
    </w:p>
    <w:p>
      <w:pPr>
        <w:spacing w:line="240" w:lineRule="auto" w:before="8"/>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3005"/>
        <w:gridCol w:w="2772"/>
        <w:gridCol w:w="2772"/>
      </w:tblGrid>
      <w:tr>
        <w:trPr>
          <w:trHeight w:val="389"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right="131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396,503,982.97</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487,519,267.74</w:t>
            </w: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48,866,330.08</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53,083,102.82</w:t>
            </w: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1,281,549,844.18</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1,063,953,309.22</w:t>
            </w: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21,226,355.69</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19,973,158.49</w:t>
            </w:r>
          </w:p>
        </w:tc>
      </w:tr>
      <w:tr>
        <w:trPr>
          <w:trHeight w:val="389"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131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1,650,413,852.76</w:t>
            </w:r>
            <w:r>
              <w:rPr>
                <w:rFonts w:ascii="宋体"/>
                <w:sz w:val="18"/>
              </w:rPr>
            </w:r>
          </w:p>
        </w:tc>
        <w:tc>
          <w:tcPr>
            <w:tcW w:w="27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1,518,362,632.63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19" w:right="0"/>
        <w:jc w:val="left"/>
      </w:pPr>
      <w:r>
        <w:rPr>
          <w:rFonts w:ascii="宋体" w:hAnsi="宋体" w:cs="宋体" w:eastAsia="宋体" w:hint="default"/>
        </w:rPr>
        <w:t>51</w:t>
      </w:r>
      <w:r>
        <w:rPr/>
        <w:t>、资产减值损失</w:t>
      </w:r>
    </w:p>
    <w:p>
      <w:pPr>
        <w:spacing w:line="240" w:lineRule="auto" w:before="8"/>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3005"/>
        <w:gridCol w:w="2772"/>
        <w:gridCol w:w="2772"/>
      </w:tblGrid>
      <w:tr>
        <w:trPr>
          <w:trHeight w:val="389"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29,021,174.83</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34,691,027.01</w:t>
            </w: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471,983,021.44</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319,556,473.96</w:t>
            </w: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1,641,185.75</w:t>
            </w:r>
          </w:p>
        </w:tc>
        <w:tc>
          <w:tcPr>
            <w:tcW w:w="2772"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8,630,265.75</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14,176,722.63</w:t>
            </w:r>
          </w:p>
        </w:tc>
      </w:tr>
      <w:tr>
        <w:trPr>
          <w:trHeight w:val="37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51,925,120.25</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283,824,585.36</w:t>
            </w:r>
          </w:p>
        </w:tc>
      </w:tr>
      <w:tr>
        <w:trPr>
          <w:trHeight w:val="389"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563,200,768.02</w:t>
            </w:r>
            <w:r>
              <w:rPr>
                <w:rFonts w:ascii="宋体"/>
                <w:sz w:val="18"/>
              </w:rPr>
            </w:r>
          </w:p>
        </w:tc>
        <w:tc>
          <w:tcPr>
            <w:tcW w:w="27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b/>
                <w:w w:val="95"/>
                <w:sz w:val="18"/>
              </w:rPr>
              <w:t>652,248,808.96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1" w:footer="980" w:top="1600" w:bottom="1160" w:left="1520" w:right="140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99" w:right="276"/>
        <w:jc w:val="left"/>
      </w:pPr>
      <w:r>
        <w:rPr>
          <w:rFonts w:ascii="宋体" w:hAnsi="宋体" w:cs="宋体" w:eastAsia="宋体" w:hint="default"/>
        </w:rPr>
        <w:t>52</w:t>
      </w:r>
      <w:r>
        <w:rPr/>
        <w:t>、公允价值变动收益</w:t>
      </w:r>
      <w:r>
        <w:rPr>
          <w:rFonts w:ascii="宋体" w:hAnsi="宋体" w:cs="宋体" w:eastAsia="宋体" w:hint="default"/>
        </w:rPr>
        <w:t>/</w:t>
      </w:r>
      <w:r>
        <w:rPr/>
        <w:t>损失</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522"/>
        <w:gridCol w:w="2014"/>
        <w:gridCol w:w="2014"/>
      </w:tblGrid>
      <w:tr>
        <w:trPr>
          <w:trHeight w:val="415" w:hRule="exact"/>
        </w:trPr>
        <w:tc>
          <w:tcPr>
            <w:tcW w:w="45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left="55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left="55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1" w:hRule="exact"/>
        </w:trPr>
        <w:tc>
          <w:tcPr>
            <w:tcW w:w="4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208,617,797.75</w:t>
            </w:r>
          </w:p>
        </w:tc>
        <w:tc>
          <w:tcPr>
            <w:tcW w:w="2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323,262,459.45</w:t>
            </w:r>
          </w:p>
        </w:tc>
      </w:tr>
      <w:tr>
        <w:trPr>
          <w:trHeight w:val="403" w:hRule="exact"/>
        </w:trPr>
        <w:tc>
          <w:tcPr>
            <w:tcW w:w="4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87,039,007.00</w:t>
            </w:r>
          </w:p>
        </w:tc>
        <w:tc>
          <w:tcPr>
            <w:tcW w:w="2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328,006,468.93</w:t>
            </w:r>
          </w:p>
        </w:tc>
      </w:tr>
      <w:tr>
        <w:trPr>
          <w:trHeight w:val="401" w:hRule="exact"/>
        </w:trPr>
        <w:tc>
          <w:tcPr>
            <w:tcW w:w="4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或有对价及股权受让责任</w:t>
            </w:r>
          </w:p>
        </w:tc>
        <w:tc>
          <w:tcPr>
            <w:tcW w:w="20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23,450,859.50</w:t>
            </w:r>
          </w:p>
        </w:tc>
        <w:tc>
          <w:tcPr>
            <w:tcW w:w="2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71,442,816.34</w:t>
            </w:r>
          </w:p>
        </w:tc>
      </w:tr>
      <w:tr>
        <w:trPr>
          <w:trHeight w:val="415" w:hRule="exact"/>
        </w:trPr>
        <w:tc>
          <w:tcPr>
            <w:tcW w:w="45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232,068,657.25</w:t>
            </w:r>
            <w:r>
              <w:rPr>
                <w:rFonts w:ascii="宋体"/>
                <w:sz w:val="18"/>
              </w:rPr>
            </w:r>
          </w:p>
        </w:tc>
        <w:tc>
          <w:tcPr>
            <w:tcW w:w="2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394,705,275.79</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rFonts w:ascii="宋体" w:hAnsi="宋体" w:cs="宋体" w:eastAsia="宋体" w:hint="default"/>
        </w:rPr>
        <w:t>53</w:t>
      </w:r>
      <w:r>
        <w:rPr/>
        <w:t>、投资收益</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529"/>
        <w:gridCol w:w="2105"/>
        <w:gridCol w:w="1916"/>
      </w:tblGrid>
      <w:tr>
        <w:trPr>
          <w:trHeight w:val="413"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59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left="50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3"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34,526,767.86</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25,732,328.54</w:t>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44,578,820.98</w:t>
            </w:r>
          </w:p>
        </w:tc>
        <w:tc>
          <w:tcPr>
            <w:tcW w:w="1916" w:type="dxa"/>
            <w:tcBorders>
              <w:top w:val="single" w:sz="2" w:space="0" w:color="000000"/>
              <w:left w:val="single" w:sz="2" w:space="0" w:color="000000"/>
              <w:bottom w:val="single" w:sz="2" w:space="0" w:color="000000"/>
              <w:right w:val="nil" w:sz="6" w:space="0" w:color="auto"/>
            </w:tcBorders>
          </w:tcPr>
          <w:p>
            <w:pPr/>
          </w:p>
        </w:tc>
      </w:tr>
      <w:tr>
        <w:trPr>
          <w:trHeight w:val="70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307" w:lineRule="auto" w:before="63"/>
              <w:ind w:left="122" w:right="98"/>
              <w:jc w:val="left"/>
              <w:rPr>
                <w:rFonts w:ascii="宋体" w:hAnsi="宋体" w:cs="宋体" w:eastAsia="宋体" w:hint="default"/>
                <w:sz w:val="18"/>
                <w:szCs w:val="18"/>
              </w:rPr>
            </w:pPr>
            <w:r>
              <w:rPr>
                <w:rFonts w:ascii="宋体" w:hAnsi="宋体" w:cs="宋体" w:eastAsia="宋体" w:hint="default"/>
                <w:spacing w:val="7"/>
                <w:sz w:val="18"/>
                <w:szCs w:val="18"/>
              </w:rPr>
              <w:t>处置以公允价值计量且其变动计入当期损益的金融资 </w:t>
            </w:r>
            <w:r>
              <w:rPr>
                <w:rFonts w:ascii="宋体" w:hAnsi="宋体" w:cs="宋体" w:eastAsia="宋体" w:hint="default"/>
                <w:sz w:val="18"/>
                <w:szCs w:val="18"/>
              </w:rPr>
              <w:t>产取得的投资收益</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773,260,578.75</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188,820,180.43</w:t>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1,361,439.73</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1,365,602.63</w:t>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18,882,996.50</w:t>
            </w:r>
          </w:p>
        </w:tc>
        <w:tc>
          <w:tcPr>
            <w:tcW w:w="1916"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9"/>
                <w:szCs w:val="9"/>
              </w:rPr>
            </w:pPr>
            <w:r>
              <w:rPr>
                <w:rFonts w:ascii="宋体" w:hAnsi="宋体" w:cs="宋体" w:eastAsia="宋体" w:hint="default"/>
                <w:position w:val="-8"/>
                <w:sz w:val="18"/>
                <w:szCs w:val="18"/>
              </w:rPr>
              <w:t>其他</w:t>
            </w:r>
            <w:r>
              <w:rPr>
                <w:rFonts w:ascii="宋体" w:hAnsi="宋体" w:cs="宋体" w:eastAsia="宋体" w:hint="default"/>
                <w:sz w:val="9"/>
                <w:szCs w:val="9"/>
              </w:rPr>
              <w:t>注</w:t>
            </w:r>
            <w:r>
              <w:rPr>
                <w:rFonts w:ascii="宋体" w:hAnsi="宋体" w:cs="宋体" w:eastAsia="宋体" w:hint="default"/>
                <w:spacing w:val="-24"/>
                <w:sz w:val="9"/>
                <w:szCs w:val="9"/>
              </w:rPr>
              <w:t> </w:t>
            </w:r>
            <w:r>
              <w:rPr>
                <w:rFonts w:ascii="宋体" w:hAnsi="宋体" w:cs="宋体" w:eastAsia="宋体" w:hint="default"/>
                <w:sz w:val="9"/>
                <w:szCs w:val="9"/>
              </w:rPr>
              <w:t>1</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28,449,299.75</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44,551,902.50</w:t>
            </w:r>
          </w:p>
        </w:tc>
      </w:tr>
      <w:tr>
        <w:trPr>
          <w:trHeight w:val="415"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901,059,903.57</w:t>
            </w:r>
            <w:r>
              <w:rPr>
                <w:rFonts w:ascii="宋体"/>
                <w:sz w:val="18"/>
              </w:rPr>
            </w:r>
          </w:p>
        </w:tc>
        <w:tc>
          <w:tcPr>
            <w:tcW w:w="19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260,470,014.10</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260" w:right="276" w:firstLine="439"/>
        <w:jc w:val="left"/>
      </w:pPr>
      <w:r>
        <w:rPr>
          <w:spacing w:val="2"/>
        </w:rPr>
        <w:t>本年投资收益发生额较上年增加幅度较大主要是由于处置了本年到期的衍生品从</w:t>
      </w:r>
      <w:r>
        <w:rPr>
          <w:w w:val="100"/>
        </w:rPr>
        <w:t> </w:t>
      </w:r>
      <w:r>
        <w:rPr/>
        <w:t>而使得外汇远期及期权合约产生了较大的收益。</w:t>
      </w:r>
    </w:p>
    <w:p>
      <w:pPr>
        <w:pStyle w:val="Heading7"/>
        <w:spacing w:line="391" w:lineRule="auto" w:before="101"/>
        <w:ind w:left="699" w:right="2565"/>
        <w:jc w:val="left"/>
      </w:pPr>
      <w:r>
        <w:rPr/>
        <w:t>注</w:t>
      </w:r>
      <w:r>
        <w:rPr>
          <w:spacing w:val="-58"/>
        </w:rPr>
        <w:t> </w:t>
      </w:r>
      <w:r>
        <w:rPr>
          <w:rFonts w:ascii="宋体" w:hAnsi="宋体" w:cs="宋体" w:eastAsia="宋体" w:hint="default"/>
        </w:rPr>
        <w:t>1</w:t>
      </w:r>
      <w:r>
        <w:rPr/>
        <w:t>：其他投资收益系冠捷科技理财产品到期取得的收益。</w:t>
      </w:r>
      <w:r>
        <w:rPr>
          <w:w w:val="100"/>
        </w:rPr>
        <w:t> </w:t>
      </w:r>
      <w:r>
        <w:rPr>
          <w:rFonts w:ascii="宋体" w:hAnsi="宋体" w:cs="宋体" w:eastAsia="宋体" w:hint="default"/>
        </w:rPr>
        <w:t>54</w:t>
      </w:r>
      <w:r>
        <w:rPr/>
        <w:t>、营业外收入</w:t>
      </w:r>
    </w:p>
    <w:p>
      <w:pPr>
        <w:pStyle w:val="Heading7"/>
        <w:spacing w:line="240" w:lineRule="auto" w:before="41"/>
        <w:ind w:left="699" w:right="276"/>
        <w:jc w:val="left"/>
      </w:pPr>
      <w:r>
        <w:rPr/>
        <w:t>（</w:t>
      </w:r>
      <w:r>
        <w:rPr>
          <w:rFonts w:ascii="宋体" w:hAnsi="宋体" w:cs="宋体" w:eastAsia="宋体" w:hint="default"/>
        </w:rPr>
        <w:t>1</w:t>
      </w:r>
      <w:r>
        <w:rPr/>
        <w:t>）营业外收入明细</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837"/>
        <w:gridCol w:w="1992"/>
        <w:gridCol w:w="1802"/>
        <w:gridCol w:w="1918"/>
      </w:tblGrid>
      <w:tr>
        <w:trPr>
          <w:trHeight w:val="718" w:hRule="exact"/>
        </w:trPr>
        <w:tc>
          <w:tcPr>
            <w:tcW w:w="28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18"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3"/>
              <w:ind w:left="595" w:right="145" w:hanging="454"/>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401"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878,574.69</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917,777.70</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878,574.69</w:t>
            </w:r>
          </w:p>
        </w:tc>
      </w:tr>
      <w:tr>
        <w:trPr>
          <w:trHeight w:val="401"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382,769.21</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421,972.23</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382,769.21</w:t>
            </w:r>
          </w:p>
        </w:tc>
      </w:tr>
      <w:tr>
        <w:trPr>
          <w:trHeight w:val="403"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6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495,805.48</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495,805.47</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495,805.48</w:t>
            </w:r>
          </w:p>
        </w:tc>
      </w:tr>
      <w:tr>
        <w:trPr>
          <w:trHeight w:val="401"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276,801,713.26</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227,534,920.56</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276,801,713.26</w:t>
            </w:r>
          </w:p>
        </w:tc>
      </w:tr>
      <w:tr>
        <w:trPr>
          <w:trHeight w:val="401"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1,809,221.97</w:t>
            </w:r>
          </w:p>
        </w:tc>
        <w:tc>
          <w:tcPr>
            <w:tcW w:w="1802" w:type="dxa"/>
            <w:tcBorders>
              <w:top w:val="single" w:sz="2" w:space="0" w:color="000000"/>
              <w:left w:val="single" w:sz="2" w:space="0" w:color="000000"/>
              <w:bottom w:val="single" w:sz="2" w:space="0" w:color="000000"/>
              <w:right w:val="single" w:sz="2" w:space="0" w:color="000000"/>
            </w:tcBorders>
          </w:tcPr>
          <w:p>
            <w:pP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1,809,221.97</w:t>
            </w:r>
          </w:p>
        </w:tc>
      </w:tr>
      <w:tr>
        <w:trPr>
          <w:trHeight w:val="401"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罚款利得</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1,724,873.19</w:t>
            </w:r>
          </w:p>
        </w:tc>
        <w:tc>
          <w:tcPr>
            <w:tcW w:w="1802" w:type="dxa"/>
            <w:tcBorders>
              <w:top w:val="single" w:sz="2" w:space="0" w:color="000000"/>
              <w:left w:val="single" w:sz="2" w:space="0" w:color="000000"/>
              <w:bottom w:val="single" w:sz="2" w:space="0" w:color="000000"/>
              <w:right w:val="single" w:sz="2" w:space="0" w:color="000000"/>
            </w:tcBorders>
          </w:tcPr>
          <w:p>
            <w:pP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1,724,873.19</w:t>
            </w:r>
          </w:p>
        </w:tc>
      </w:tr>
      <w:tr>
        <w:trPr>
          <w:trHeight w:val="403"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飞利浦补贴收入</w:t>
            </w:r>
          </w:p>
        </w:tc>
        <w:tc>
          <w:tcPr>
            <w:tcW w:w="1992"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401,010,138.13</w:t>
            </w: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28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14,066,137.88</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10,857,736.14</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14,066,137.88</w:t>
            </w:r>
          </w:p>
        </w:tc>
      </w:tr>
      <w:tr>
        <w:trPr>
          <w:trHeight w:val="415" w:hRule="exact"/>
        </w:trPr>
        <w:tc>
          <w:tcPr>
            <w:tcW w:w="28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295,280,520.99</w:t>
            </w:r>
            <w:r>
              <w:rPr>
                <w:rFonts w:ascii="宋体"/>
                <w:sz w:val="18"/>
              </w:rPr>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640,320,572.53</w:t>
            </w:r>
            <w:r>
              <w:rPr>
                <w:rFonts w:ascii="宋体"/>
                <w:sz w:val="18"/>
              </w:rPr>
            </w:r>
          </w:p>
        </w:tc>
        <w:tc>
          <w:tcPr>
            <w:tcW w:w="19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295,280,520.99</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t>（</w:t>
      </w:r>
      <w:r>
        <w:rPr>
          <w:rFonts w:ascii="宋体" w:hAnsi="宋体" w:cs="宋体" w:eastAsia="宋体" w:hint="default"/>
        </w:rPr>
        <w:t>2</w:t>
      </w:r>
      <w:r>
        <w:rPr/>
        <w:t>）政府补助明细</w:t>
      </w:r>
    </w:p>
    <w:p>
      <w:pPr>
        <w:spacing w:after="0" w:line="240" w:lineRule="auto"/>
        <w:jc w:val="left"/>
        <w:sectPr>
          <w:pgSz w:w="11910" w:h="16840"/>
          <w:pgMar w:header="881" w:footer="980" w:top="1600" w:bottom="1160" w:left="1540" w:right="1420"/>
        </w:sectPr>
      </w:pPr>
    </w:p>
    <w:p>
      <w:pPr>
        <w:spacing w:line="240" w:lineRule="auto" w:before="1"/>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901"/>
        <w:gridCol w:w="1599"/>
        <w:gridCol w:w="1659"/>
        <w:gridCol w:w="2134"/>
        <w:gridCol w:w="1112"/>
        <w:gridCol w:w="227"/>
      </w:tblGrid>
      <w:tr>
        <w:trPr>
          <w:trHeight w:val="674" w:hRule="exact"/>
        </w:trPr>
        <w:tc>
          <w:tcPr>
            <w:tcW w:w="19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112"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43"/>
              <w:ind w:left="101" w:right="59"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c>
          <w:tcPr>
            <w:tcW w:w="227" w:type="dxa"/>
            <w:vMerge w:val="restart"/>
            <w:tcBorders>
              <w:top w:val="single" w:sz="6" w:space="0" w:color="000000"/>
              <w:left w:val="nil" w:sz="6" w:space="0" w:color="auto"/>
              <w:right w:val="nil" w:sz="6" w:space="0" w:color="auto"/>
            </w:tcBorders>
          </w:tcPr>
          <w:p>
            <w:pPr/>
          </w:p>
        </w:tc>
      </w:tr>
      <w:tr>
        <w:trPr>
          <w:trHeight w:val="667"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5" w:right="36"/>
              <w:jc w:val="left"/>
              <w:rPr>
                <w:rFonts w:ascii="宋体" w:hAnsi="宋体" w:cs="宋体" w:eastAsia="宋体" w:hint="default"/>
                <w:sz w:val="18"/>
                <w:szCs w:val="18"/>
              </w:rPr>
            </w:pPr>
            <w:r>
              <w:rPr>
                <w:rFonts w:ascii="宋体" w:hAnsi="宋体" w:cs="宋体" w:eastAsia="宋体" w:hint="default"/>
                <w:b/>
                <w:bCs/>
                <w:sz w:val="18"/>
                <w:szCs w:val="18"/>
              </w:rPr>
              <w:t>其中：与资产相关政府</w:t>
            </w:r>
            <w:r>
              <w:rPr>
                <w:rFonts w:ascii="宋体" w:hAnsi="宋体" w:cs="宋体" w:eastAsia="宋体" w:hint="default"/>
                <w:b/>
                <w:bCs/>
                <w:w w:val="99"/>
                <w:sz w:val="18"/>
                <w:szCs w:val="18"/>
              </w:rPr>
              <w:t> </w:t>
            </w:r>
            <w:r>
              <w:rPr>
                <w:rFonts w:ascii="宋体" w:hAnsi="宋体" w:cs="宋体" w:eastAsia="宋体" w:hint="default"/>
                <w:b/>
                <w:bCs/>
                <w:sz w:val="18"/>
                <w:szCs w:val="18"/>
              </w:rPr>
              <w:t>补助转入</w:t>
            </w:r>
            <w:r>
              <w:rPr>
                <w:rFonts w:ascii="宋体" w:hAnsi="宋体" w:cs="宋体" w:eastAsia="宋体" w:hint="default"/>
                <w:sz w:val="18"/>
                <w:szCs w:val="18"/>
              </w:rPr>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b/>
                <w:w w:val="95"/>
                <w:sz w:val="18"/>
              </w:rPr>
              <w:t>3,349,831.09</w:t>
            </w:r>
            <w:r>
              <w:rPr>
                <w:rFonts w:ascii="宋体"/>
                <w:sz w:val="18"/>
              </w:rPr>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b/>
                <w:w w:val="95"/>
                <w:sz w:val="18"/>
              </w:rPr>
              <w:t>17,072,959.06</w:t>
            </w:r>
            <w:r>
              <w:rPr>
                <w:rFonts w:ascii="宋体"/>
                <w:sz w:val="18"/>
              </w:rPr>
            </w:r>
          </w:p>
        </w:tc>
        <w:tc>
          <w:tcPr>
            <w:tcW w:w="2134" w:type="dxa"/>
            <w:tcBorders>
              <w:top w:val="single" w:sz="2" w:space="0" w:color="000000"/>
              <w:left w:val="single" w:sz="2" w:space="0" w:color="000000"/>
              <w:bottom w:val="single" w:sz="2" w:space="0" w:color="000000"/>
              <w:right w:val="single" w:sz="2" w:space="0" w:color="000000"/>
            </w:tcBorders>
          </w:tcPr>
          <w:p>
            <w:pP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227" w:type="dxa"/>
            <w:vMerge/>
            <w:tcBorders>
              <w:left w:val="nil" w:sz="6" w:space="0" w:color="auto"/>
              <w:right w:val="nil" w:sz="6" w:space="0" w:color="auto"/>
            </w:tcBorders>
          </w:tcPr>
          <w:p>
            <w:pPr/>
          </w:p>
        </w:tc>
      </w:tr>
      <w:tr>
        <w:trPr>
          <w:trHeight w:val="665"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5" w:right="38"/>
              <w:jc w:val="left"/>
              <w:rPr>
                <w:rFonts w:ascii="宋体" w:hAnsi="宋体" w:cs="宋体" w:eastAsia="宋体" w:hint="default"/>
                <w:sz w:val="18"/>
                <w:szCs w:val="18"/>
              </w:rPr>
            </w:pPr>
            <w:r>
              <w:rPr>
                <w:rFonts w:ascii="宋体" w:hAnsi="宋体" w:cs="宋体" w:eastAsia="宋体" w:hint="default"/>
                <w:sz w:val="18"/>
                <w:szCs w:val="18"/>
              </w:rPr>
              <w:t>与资产相关的递延收益 分摊转入</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1,409,138.80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1,382,959.06</w:t>
            </w:r>
          </w:p>
        </w:tc>
        <w:tc>
          <w:tcPr>
            <w:tcW w:w="2134" w:type="dxa"/>
            <w:tcBorders>
              <w:top w:val="single" w:sz="2" w:space="0" w:color="000000"/>
              <w:left w:val="single" w:sz="2" w:space="0" w:color="000000"/>
              <w:bottom w:val="single" w:sz="2" w:space="0" w:color="000000"/>
              <w:right w:val="single" w:sz="2" w:space="0" w:color="000000"/>
            </w:tcBorders>
          </w:tcPr>
          <w:p>
            <w:pP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227" w:type="dxa"/>
            <w:vMerge/>
            <w:tcBorders>
              <w:left w:val="nil" w:sz="6" w:space="0" w:color="auto"/>
              <w:right w:val="nil" w:sz="6" w:space="0" w:color="auto"/>
            </w:tcBorders>
          </w:tcPr>
          <w:p>
            <w:pPr/>
          </w:p>
        </w:tc>
      </w:tr>
      <w:tr>
        <w:trPr>
          <w:trHeight w:val="667"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51"/>
              <w:ind w:left="55" w:right="38"/>
              <w:jc w:val="left"/>
              <w:rPr>
                <w:rFonts w:ascii="宋体" w:hAnsi="宋体" w:cs="宋体" w:eastAsia="宋体" w:hint="default"/>
                <w:sz w:val="18"/>
                <w:szCs w:val="18"/>
              </w:rPr>
            </w:pPr>
            <w:r>
              <w:rPr>
                <w:rFonts w:ascii="宋体" w:hAnsi="宋体" w:cs="宋体" w:eastAsia="宋体" w:hint="default"/>
                <w:sz w:val="18"/>
                <w:szCs w:val="18"/>
              </w:rPr>
              <w:t>结转节能环保电源技术 项目</w:t>
            </w:r>
          </w:p>
        </w:tc>
        <w:tc>
          <w:tcPr>
            <w:tcW w:w="1599"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15,010,000.00</w:t>
            </w:r>
          </w:p>
        </w:tc>
        <w:tc>
          <w:tcPr>
            <w:tcW w:w="2134" w:type="dxa"/>
            <w:tcBorders>
              <w:top w:val="single" w:sz="2" w:space="0" w:color="000000"/>
              <w:left w:val="single" w:sz="2" w:space="0" w:color="000000"/>
              <w:bottom w:val="single" w:sz="2" w:space="0" w:color="000000"/>
              <w:right w:val="single" w:sz="2" w:space="0" w:color="000000"/>
            </w:tcBorders>
          </w:tcPr>
          <w:p>
            <w:pP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项目结项转入</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1,940,692.29</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680,000.00</w:t>
            </w:r>
          </w:p>
        </w:tc>
        <w:tc>
          <w:tcPr>
            <w:tcW w:w="2134" w:type="dxa"/>
            <w:tcBorders>
              <w:top w:val="single" w:sz="2" w:space="0" w:color="000000"/>
              <w:left w:val="single" w:sz="2" w:space="0" w:color="000000"/>
              <w:bottom w:val="single" w:sz="2" w:space="0" w:color="000000"/>
              <w:right w:val="single" w:sz="2" w:space="0" w:color="000000"/>
            </w:tcBorders>
          </w:tcPr>
          <w:p>
            <w:pP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227" w:type="dxa"/>
            <w:vMerge/>
            <w:tcBorders>
              <w:left w:val="nil" w:sz="6" w:space="0" w:color="auto"/>
              <w:right w:val="nil" w:sz="6" w:space="0" w:color="auto"/>
            </w:tcBorders>
          </w:tcPr>
          <w:p>
            <w:pPr/>
          </w:p>
        </w:tc>
      </w:tr>
      <w:tr>
        <w:trPr>
          <w:trHeight w:val="377"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b/>
                <w:bCs/>
                <w:sz w:val="18"/>
                <w:szCs w:val="18"/>
              </w:rPr>
              <w:t>与收益相关政府补助</w:t>
            </w:r>
            <w:r>
              <w:rPr>
                <w:rFonts w:ascii="宋体" w:hAnsi="宋体" w:cs="宋体" w:eastAsia="宋体" w:hint="default"/>
                <w:sz w:val="18"/>
                <w:szCs w:val="18"/>
              </w:rPr>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273,451,882.17</w:t>
            </w:r>
            <w:r>
              <w:rPr>
                <w:rFonts w:ascii="宋体"/>
                <w:sz w:val="18"/>
              </w:rPr>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7"/>
              <w:jc w:val="right"/>
              <w:rPr>
                <w:rFonts w:ascii="宋体" w:hAnsi="宋体" w:cs="宋体" w:eastAsia="宋体" w:hint="default"/>
                <w:sz w:val="18"/>
                <w:szCs w:val="18"/>
              </w:rPr>
            </w:pPr>
            <w:r>
              <w:rPr>
                <w:rFonts w:ascii="宋体"/>
                <w:b/>
                <w:w w:val="95"/>
                <w:sz w:val="18"/>
              </w:rPr>
              <w:t>210,461,961.50</w:t>
            </w:r>
            <w:r>
              <w:rPr>
                <w:rFonts w:ascii="宋体"/>
                <w:sz w:val="18"/>
              </w:rPr>
            </w:r>
          </w:p>
        </w:tc>
        <w:tc>
          <w:tcPr>
            <w:tcW w:w="2134" w:type="dxa"/>
            <w:tcBorders>
              <w:top w:val="single" w:sz="2" w:space="0" w:color="000000"/>
              <w:left w:val="single" w:sz="2" w:space="0" w:color="000000"/>
              <w:bottom w:val="single" w:sz="2" w:space="0" w:color="000000"/>
              <w:right w:val="single" w:sz="2" w:space="0" w:color="000000"/>
            </w:tcBorders>
          </w:tcPr>
          <w:p>
            <w:pPr/>
          </w:p>
        </w:tc>
        <w:tc>
          <w:tcPr>
            <w:tcW w:w="1112" w:type="dxa"/>
            <w:tcBorders>
              <w:top w:val="single" w:sz="2" w:space="0" w:color="000000"/>
              <w:left w:val="single" w:sz="2" w:space="0" w:color="000000"/>
              <w:bottom w:val="single" w:sz="2" w:space="0" w:color="000000"/>
              <w:right w:val="nil" w:sz="6" w:space="0" w:color="auto"/>
            </w:tcBorders>
          </w:tcPr>
          <w:p>
            <w:pPr/>
          </w:p>
        </w:tc>
        <w:tc>
          <w:tcPr>
            <w:tcW w:w="227" w:type="dxa"/>
            <w:vMerge/>
            <w:tcBorders>
              <w:left w:val="nil" w:sz="6" w:space="0" w:color="auto"/>
              <w:right w:val="nil" w:sz="6" w:space="0" w:color="auto"/>
            </w:tcBorders>
          </w:tcPr>
          <w:p>
            <w:pPr/>
          </w:p>
        </w:tc>
      </w:tr>
      <w:tr>
        <w:trPr>
          <w:trHeight w:val="958"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55"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spacing w:val="-1"/>
                <w:sz w:val="18"/>
              </w:rPr>
              <w:t>43,219,971.50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spacing w:val="-1"/>
                <w:sz w:val="18"/>
              </w:rPr>
              <w:t>57,120,946.69</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49"/>
              <w:ind w:left="38" w:right="29"/>
              <w:jc w:val="both"/>
              <w:rPr>
                <w:rFonts w:ascii="宋体" w:hAnsi="宋体" w:cs="宋体" w:eastAsia="宋体" w:hint="default"/>
                <w:sz w:val="18"/>
                <w:szCs w:val="18"/>
              </w:rPr>
            </w:pPr>
            <w:r>
              <w:rPr>
                <w:rFonts w:ascii="宋体" w:hAnsi="宋体" w:cs="宋体" w:eastAsia="宋体" w:hint="default"/>
                <w:spacing w:val="7"/>
                <w:sz w:val="18"/>
                <w:szCs w:val="18"/>
              </w:rPr>
              <w:t>厦门、福清等地管委会、 财政局、广西北海工业园 </w:t>
            </w:r>
            <w:r>
              <w:rPr>
                <w:rFonts w:ascii="宋体" w:hAnsi="宋体" w:cs="宋体" w:eastAsia="宋体" w:hint="default"/>
                <w:sz w:val="18"/>
                <w:szCs w:val="18"/>
              </w:rPr>
              <w:t>区管委会</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投资奖励</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41,017,163.25</w:t>
            </w:r>
          </w:p>
        </w:tc>
        <w:tc>
          <w:tcPr>
            <w:tcW w:w="1659" w:type="dxa"/>
            <w:tcBorders>
              <w:top w:val="single" w:sz="2" w:space="0" w:color="000000"/>
              <w:left w:val="single" w:sz="2" w:space="0" w:color="000000"/>
              <w:bottom w:val="single" w:sz="2" w:space="0" w:color="000000"/>
              <w:right w:val="single" w:sz="2" w:space="0" w:color="000000"/>
            </w:tcBorders>
          </w:tcPr>
          <w:p>
            <w:pP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福清市财政局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增产奖励资金</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39,076,445.50</w:t>
            </w:r>
          </w:p>
        </w:tc>
        <w:tc>
          <w:tcPr>
            <w:tcW w:w="1659" w:type="dxa"/>
            <w:tcBorders>
              <w:top w:val="single" w:sz="2" w:space="0" w:color="000000"/>
              <w:left w:val="single" w:sz="2" w:space="0" w:color="000000"/>
              <w:bottom w:val="single" w:sz="2" w:space="0" w:color="000000"/>
              <w:right w:val="single" w:sz="2" w:space="0" w:color="000000"/>
            </w:tcBorders>
          </w:tcPr>
          <w:p>
            <w:pP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厦门火炬管委会</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960"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55" w:right="0"/>
              <w:jc w:val="left"/>
              <w:rPr>
                <w:rFonts w:ascii="宋体" w:hAnsi="宋体" w:cs="宋体" w:eastAsia="宋体" w:hint="default"/>
                <w:sz w:val="18"/>
                <w:szCs w:val="18"/>
              </w:rPr>
            </w:pPr>
            <w:r>
              <w:rPr>
                <w:rFonts w:ascii="宋体" w:hAnsi="宋体" w:cs="宋体" w:eastAsia="宋体" w:hint="default"/>
                <w:sz w:val="18"/>
                <w:szCs w:val="18"/>
              </w:rPr>
              <w:t>政府扶持资金补助</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36"/>
              <w:jc w:val="right"/>
              <w:rPr>
                <w:rFonts w:ascii="宋体" w:hAnsi="宋体" w:cs="宋体" w:eastAsia="宋体" w:hint="default"/>
                <w:sz w:val="18"/>
                <w:szCs w:val="18"/>
              </w:rPr>
            </w:pPr>
            <w:r>
              <w:rPr>
                <w:rFonts w:ascii="宋体"/>
                <w:spacing w:val="-1"/>
                <w:sz w:val="18"/>
              </w:rPr>
              <w:t>30,000,000.00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36"/>
              <w:jc w:val="right"/>
              <w:rPr>
                <w:rFonts w:ascii="宋体" w:hAnsi="宋体" w:cs="宋体" w:eastAsia="宋体" w:hint="default"/>
                <w:sz w:val="18"/>
                <w:szCs w:val="18"/>
              </w:rPr>
            </w:pPr>
            <w:r>
              <w:rPr>
                <w:rFonts w:ascii="宋体"/>
                <w:spacing w:val="-1"/>
                <w:sz w:val="18"/>
              </w:rPr>
              <w:t>38,849,689.11</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49"/>
              <w:ind w:left="38" w:right="29"/>
              <w:jc w:val="both"/>
              <w:rPr>
                <w:rFonts w:ascii="宋体" w:hAnsi="宋体" w:cs="宋体" w:eastAsia="宋体" w:hint="default"/>
                <w:sz w:val="18"/>
                <w:szCs w:val="18"/>
              </w:rPr>
            </w:pPr>
            <w:r>
              <w:rPr>
                <w:rFonts w:ascii="宋体" w:hAnsi="宋体" w:cs="宋体" w:eastAsia="宋体" w:hint="default"/>
                <w:spacing w:val="7"/>
                <w:sz w:val="18"/>
                <w:szCs w:val="18"/>
              </w:rPr>
              <w:t>株洲市政府、广西北海工 业园区管理委员会、上海 </w:t>
            </w:r>
            <w:r>
              <w:rPr>
                <w:rFonts w:ascii="宋体" w:hAnsi="宋体" w:cs="宋体" w:eastAsia="宋体" w:hint="default"/>
                <w:sz w:val="18"/>
                <w:szCs w:val="18"/>
              </w:rPr>
              <w:t>市闵行区税务局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境外政府补助</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29,129,487.00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23,726,192.49</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比利时、波兰政府等</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958"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55"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spacing w:val="-1"/>
                <w:sz w:val="18"/>
              </w:rPr>
              <w:t>26,796,973.67</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spacing w:val="-1"/>
                <w:sz w:val="18"/>
              </w:rPr>
              <w:t>22,150,960.12</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49"/>
              <w:ind w:left="38" w:right="2"/>
              <w:jc w:val="both"/>
              <w:rPr>
                <w:rFonts w:ascii="宋体" w:hAnsi="宋体" w:cs="宋体" w:eastAsia="宋体" w:hint="default"/>
                <w:sz w:val="18"/>
                <w:szCs w:val="18"/>
              </w:rPr>
            </w:pPr>
            <w:r>
              <w:rPr>
                <w:rFonts w:ascii="宋体" w:hAnsi="宋体" w:cs="宋体" w:eastAsia="宋体" w:hint="default"/>
                <w:spacing w:val="7"/>
                <w:sz w:val="18"/>
                <w:szCs w:val="18"/>
              </w:rPr>
              <w:t>武汉蔡甸区财政局、上海 </w:t>
            </w:r>
            <w:r>
              <w:rPr>
                <w:rFonts w:ascii="宋体" w:hAnsi="宋体" w:cs="宋体" w:eastAsia="宋体" w:hint="default"/>
                <w:spacing w:val="24"/>
                <w:sz w:val="18"/>
                <w:szCs w:val="18"/>
              </w:rPr>
              <w:t>市地方税务局闵行</w:t>
            </w:r>
            <w:r>
              <w:rPr>
                <w:rFonts w:ascii="宋体" w:hAnsi="宋体" w:cs="宋体" w:eastAsia="宋体" w:hint="default"/>
                <w:spacing w:val="-63"/>
                <w:sz w:val="18"/>
                <w:szCs w:val="18"/>
              </w:rPr>
              <w:t> </w:t>
            </w:r>
            <w:r>
              <w:rPr>
                <w:rFonts w:ascii="宋体" w:hAnsi="宋体" w:cs="宋体" w:eastAsia="宋体" w:hint="default"/>
                <w:spacing w:val="14"/>
                <w:sz w:val="18"/>
                <w:szCs w:val="18"/>
              </w:rPr>
              <w:t>区分</w:t>
            </w:r>
            <w:r>
              <w:rPr>
                <w:rFonts w:ascii="宋体" w:hAnsi="宋体" w:cs="宋体" w:eastAsia="宋体" w:hint="default"/>
                <w:spacing w:val="-88"/>
                <w:sz w:val="18"/>
                <w:szCs w:val="18"/>
              </w:rPr>
              <w:t> </w:t>
            </w:r>
            <w:r>
              <w:rPr>
                <w:rFonts w:ascii="宋体" w:hAnsi="宋体" w:cs="宋体" w:eastAsia="宋体" w:hint="default"/>
                <w:sz w:val="18"/>
                <w:szCs w:val="18"/>
              </w:rPr>
              <w:t>局、福清市财政局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154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政府企业发展奖励</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19,193,527.25</w:t>
            </w:r>
          </w:p>
        </w:tc>
        <w:tc>
          <w:tcPr>
            <w:tcW w:w="1659" w:type="dxa"/>
            <w:tcBorders>
              <w:top w:val="single" w:sz="2" w:space="0" w:color="000000"/>
              <w:left w:val="single" w:sz="2" w:space="0" w:color="000000"/>
              <w:bottom w:val="single" w:sz="2" w:space="0" w:color="000000"/>
              <w:right w:val="single" w:sz="2" w:space="0" w:color="000000"/>
            </w:tcBorders>
          </w:tcPr>
          <w:p>
            <w:pP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49"/>
              <w:ind w:left="38" w:right="29"/>
              <w:jc w:val="both"/>
              <w:rPr>
                <w:rFonts w:ascii="宋体" w:hAnsi="宋体" w:cs="宋体" w:eastAsia="宋体" w:hint="default"/>
                <w:sz w:val="18"/>
                <w:szCs w:val="18"/>
              </w:rPr>
            </w:pPr>
            <w:r>
              <w:rPr>
                <w:rFonts w:ascii="宋体" w:hAnsi="宋体" w:cs="宋体" w:eastAsia="宋体" w:hint="default"/>
                <w:spacing w:val="7"/>
                <w:sz w:val="18"/>
                <w:szCs w:val="18"/>
              </w:rPr>
              <w:t>广西北海工业园区管理委 员会、青岛高新区管委、 北京国有文化资产监督管 理办公室、厦门火炬管委 </w:t>
            </w:r>
            <w:r>
              <w:rPr>
                <w:rFonts w:ascii="宋体" w:hAnsi="宋体" w:cs="宋体" w:eastAsia="宋体" w:hint="default"/>
                <w:sz w:val="18"/>
                <w:szCs w:val="18"/>
              </w:rPr>
              <w:t>会等</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958"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55" w:right="0"/>
              <w:jc w:val="left"/>
              <w:rPr>
                <w:rFonts w:ascii="宋体" w:hAnsi="宋体" w:cs="宋体" w:eastAsia="宋体" w:hint="default"/>
                <w:sz w:val="18"/>
                <w:szCs w:val="18"/>
              </w:rPr>
            </w:pPr>
            <w:r>
              <w:rPr>
                <w:rFonts w:ascii="宋体" w:hAnsi="宋体" w:cs="宋体" w:eastAsia="宋体" w:hint="default"/>
                <w:sz w:val="18"/>
                <w:szCs w:val="18"/>
              </w:rPr>
              <w:t>科研补贴</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spacing w:val="-1"/>
                <w:sz w:val="18"/>
              </w:rPr>
              <w:t>16,567,863.75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spacing w:val="-1"/>
                <w:sz w:val="18"/>
              </w:rPr>
              <w:t>3,217,200.42</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49"/>
              <w:ind w:left="38" w:right="29"/>
              <w:jc w:val="left"/>
              <w:rPr>
                <w:rFonts w:ascii="宋体" w:hAnsi="宋体" w:cs="宋体" w:eastAsia="宋体" w:hint="default"/>
                <w:sz w:val="18"/>
                <w:szCs w:val="18"/>
              </w:rPr>
            </w:pPr>
            <w:r>
              <w:rPr>
                <w:rFonts w:ascii="宋体" w:hAnsi="宋体" w:cs="宋体" w:eastAsia="宋体" w:hint="default"/>
                <w:sz w:val="18"/>
                <w:szCs w:val="18"/>
              </w:rPr>
              <w:t>厦门科技局、火炬管委会 </w:t>
            </w:r>
            <w:r>
              <w:rPr>
                <w:rFonts w:ascii="宋体" w:hAnsi="宋体" w:cs="宋体" w:eastAsia="宋体" w:hint="default"/>
                <w:spacing w:val="7"/>
                <w:sz w:val="18"/>
                <w:szCs w:val="18"/>
              </w:rPr>
              <w:t>武汉蔡甸区财政局、武汉</w:t>
            </w:r>
            <w:r>
              <w:rPr>
                <w:rFonts w:ascii="宋体" w:hAnsi="宋体" w:cs="宋体" w:eastAsia="宋体" w:hint="default"/>
                <w:spacing w:val="7"/>
                <w:sz w:val="18"/>
                <w:szCs w:val="18"/>
              </w:rPr>
              <w:t> </w:t>
            </w:r>
            <w:r>
              <w:rPr>
                <w:rFonts w:ascii="宋体" w:hAnsi="宋体" w:cs="宋体" w:eastAsia="宋体" w:hint="default"/>
                <w:sz w:val="18"/>
                <w:szCs w:val="18"/>
              </w:rPr>
              <w:t>市财政局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667"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出口补贴</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8,940,788.75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22,551,005.48</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49"/>
              <w:ind w:left="38" w:right="29"/>
              <w:jc w:val="left"/>
              <w:rPr>
                <w:rFonts w:ascii="宋体" w:hAnsi="宋体" w:cs="宋体" w:eastAsia="宋体" w:hint="default"/>
                <w:sz w:val="18"/>
                <w:szCs w:val="18"/>
              </w:rPr>
            </w:pPr>
            <w:r>
              <w:rPr>
                <w:rFonts w:ascii="宋体" w:hAnsi="宋体" w:cs="宋体" w:eastAsia="宋体" w:hint="default"/>
                <w:spacing w:val="7"/>
                <w:sz w:val="18"/>
                <w:szCs w:val="18"/>
              </w:rPr>
              <w:t>福州市财政局、厦门商务 </w:t>
            </w:r>
            <w:r>
              <w:rPr>
                <w:rFonts w:ascii="宋体" w:hAnsi="宋体" w:cs="宋体" w:eastAsia="宋体" w:hint="default"/>
                <w:sz w:val="18"/>
                <w:szCs w:val="18"/>
              </w:rPr>
              <w:t>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665"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物流补贴</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5,890,952.00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2,159,814.78</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49"/>
              <w:ind w:left="38" w:right="29"/>
              <w:jc w:val="left"/>
              <w:rPr>
                <w:rFonts w:ascii="宋体" w:hAnsi="宋体" w:cs="宋体" w:eastAsia="宋体" w:hint="default"/>
                <w:sz w:val="18"/>
                <w:szCs w:val="18"/>
              </w:rPr>
            </w:pPr>
            <w:r>
              <w:rPr>
                <w:rFonts w:ascii="宋体" w:hAnsi="宋体" w:cs="宋体" w:eastAsia="宋体" w:hint="default"/>
                <w:spacing w:val="7"/>
                <w:sz w:val="18"/>
                <w:szCs w:val="18"/>
              </w:rPr>
              <w:t>北海市财政局、武汉蔡甸 </w:t>
            </w:r>
            <w:r>
              <w:rPr>
                <w:rFonts w:ascii="宋体" w:hAnsi="宋体" w:cs="宋体" w:eastAsia="宋体" w:hint="default"/>
                <w:sz w:val="18"/>
                <w:szCs w:val="18"/>
              </w:rPr>
              <w:t>区财政局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961"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55" w:right="0"/>
              <w:jc w:val="left"/>
              <w:rPr>
                <w:rFonts w:ascii="宋体" w:hAnsi="宋体" w:cs="宋体" w:eastAsia="宋体" w:hint="default"/>
                <w:sz w:val="18"/>
                <w:szCs w:val="18"/>
              </w:rPr>
            </w:pPr>
            <w:r>
              <w:rPr>
                <w:rFonts w:ascii="宋体" w:hAnsi="宋体" w:cs="宋体" w:eastAsia="宋体" w:hint="default"/>
                <w:sz w:val="18"/>
                <w:szCs w:val="18"/>
              </w:rPr>
              <w:t>项目补贴</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36"/>
              <w:jc w:val="right"/>
              <w:rPr>
                <w:rFonts w:ascii="宋体" w:hAnsi="宋体" w:cs="宋体" w:eastAsia="宋体" w:hint="default"/>
                <w:sz w:val="18"/>
                <w:szCs w:val="18"/>
              </w:rPr>
            </w:pPr>
            <w:r>
              <w:rPr>
                <w:rFonts w:ascii="宋体"/>
                <w:spacing w:val="-1"/>
                <w:sz w:val="18"/>
              </w:rPr>
              <w:t>4,836,193.75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36"/>
              <w:jc w:val="right"/>
              <w:rPr>
                <w:rFonts w:ascii="宋体" w:hAnsi="宋体" w:cs="宋体" w:eastAsia="宋体" w:hint="default"/>
                <w:sz w:val="18"/>
                <w:szCs w:val="18"/>
              </w:rPr>
            </w:pPr>
            <w:r>
              <w:rPr>
                <w:rFonts w:ascii="宋体"/>
                <w:spacing w:val="-1"/>
                <w:sz w:val="18"/>
              </w:rPr>
              <w:t>6,632,579.99</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49"/>
              <w:ind w:left="38" w:right="29"/>
              <w:jc w:val="both"/>
              <w:rPr>
                <w:rFonts w:ascii="宋体" w:hAnsi="宋体" w:cs="宋体" w:eastAsia="宋体" w:hint="default"/>
                <w:sz w:val="18"/>
                <w:szCs w:val="18"/>
              </w:rPr>
            </w:pPr>
            <w:r>
              <w:rPr>
                <w:rFonts w:ascii="宋体" w:hAnsi="宋体" w:cs="宋体" w:eastAsia="宋体" w:hint="default"/>
                <w:spacing w:val="7"/>
                <w:sz w:val="18"/>
                <w:szCs w:val="18"/>
              </w:rPr>
              <w:t>福清市财政局、厦门经发 局、北京市经济和信息委 </w:t>
            </w:r>
            <w:r>
              <w:rPr>
                <w:rFonts w:ascii="宋体" w:hAnsi="宋体" w:cs="宋体" w:eastAsia="宋体" w:hint="default"/>
                <w:sz w:val="18"/>
                <w:szCs w:val="18"/>
              </w:rPr>
              <w:t>员会、武汉蔡甸区财政局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社保补差</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2,365,054.75</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2,851,014.51</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厦门火炬管委会</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586,583.50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1,159,947.19</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武汉蔡甸区财政局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技改补贴</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150,000.00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1,499,437.44</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厦门火炬管委会等</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89" w:hRule="exact"/>
        </w:trPr>
        <w:tc>
          <w:tcPr>
            <w:tcW w:w="19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599" w:type="dxa"/>
            <w:tcBorders>
              <w:top w:val="single" w:sz="2" w:space="0" w:color="000000"/>
              <w:left w:val="single" w:sz="2" w:space="0" w:color="000000"/>
              <w:bottom w:val="single" w:sz="12" w:space="0" w:color="000000"/>
              <w:right w:val="single" w:sz="2" w:space="0" w:color="000000"/>
            </w:tcBorders>
          </w:tcPr>
          <w:p>
            <w:pPr/>
          </w:p>
        </w:tc>
        <w:tc>
          <w:tcPr>
            <w:tcW w:w="1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9,773,151.14</w:t>
            </w:r>
          </w:p>
        </w:tc>
        <w:tc>
          <w:tcPr>
            <w:tcW w:w="2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福清融侨开发区管委会</w:t>
            </w:r>
          </w:p>
        </w:tc>
        <w:tc>
          <w:tcPr>
            <w:tcW w:w="11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bottom w:val="nil" w:sz="6" w:space="0" w:color="auto"/>
              <w:right w:val="nil" w:sz="6" w:space="0" w:color="auto"/>
            </w:tcBorders>
          </w:tcPr>
          <w:p>
            <w:pPr/>
          </w:p>
        </w:tc>
      </w:tr>
    </w:tbl>
    <w:p>
      <w:pPr>
        <w:spacing w:after="0"/>
        <w:sectPr>
          <w:pgSz w:w="11910" w:h="16840"/>
          <w:pgMar w:header="881" w:footer="980" w:top="1600" w:bottom="1160" w:left="1620" w:right="1420"/>
        </w:sectPr>
      </w:pPr>
    </w:p>
    <w:p>
      <w:pPr>
        <w:spacing w:line="240" w:lineRule="auto" w:before="1"/>
        <w:rPr>
          <w:rFonts w:ascii="Times New Roman" w:hAnsi="Times New Roman" w:cs="Times New Roman" w:eastAsia="Times New Roman" w:hint="default"/>
          <w:sz w:val="3"/>
          <w:szCs w:val="3"/>
        </w:rPr>
      </w:pPr>
    </w:p>
    <w:tbl>
      <w:tblPr>
        <w:tblW w:w="0" w:type="auto"/>
        <w:jc w:val="left"/>
        <w:tblInd w:w="270" w:type="dxa"/>
        <w:tblLayout w:type="fixed"/>
        <w:tblCellMar>
          <w:top w:w="0" w:type="dxa"/>
          <w:left w:w="0" w:type="dxa"/>
          <w:bottom w:w="0" w:type="dxa"/>
          <w:right w:w="0" w:type="dxa"/>
        </w:tblCellMar>
        <w:tblLook w:val="01E0"/>
      </w:tblPr>
      <w:tblGrid>
        <w:gridCol w:w="1901"/>
        <w:gridCol w:w="1599"/>
        <w:gridCol w:w="1659"/>
        <w:gridCol w:w="2134"/>
        <w:gridCol w:w="1112"/>
        <w:gridCol w:w="227"/>
      </w:tblGrid>
      <w:tr>
        <w:trPr>
          <w:trHeight w:val="674" w:hRule="exact"/>
        </w:trPr>
        <w:tc>
          <w:tcPr>
            <w:tcW w:w="19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112"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43"/>
              <w:ind w:left="101" w:right="59"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c>
          <w:tcPr>
            <w:tcW w:w="227" w:type="dxa"/>
            <w:vMerge w:val="restart"/>
            <w:tcBorders>
              <w:top w:val="single" w:sz="6" w:space="0" w:color="000000"/>
              <w:left w:val="nil" w:sz="6" w:space="0" w:color="auto"/>
              <w:right w:val="nil" w:sz="6" w:space="0" w:color="auto"/>
            </w:tcBorders>
          </w:tcPr>
          <w:p>
            <w:pPr/>
          </w:p>
        </w:tc>
      </w:tr>
      <w:tr>
        <w:trPr>
          <w:trHeight w:val="667"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外贸扶持金</w:t>
            </w:r>
          </w:p>
        </w:tc>
        <w:tc>
          <w:tcPr>
            <w:tcW w:w="1599"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3,211,669.84</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49"/>
              <w:ind w:left="38" w:right="29"/>
              <w:jc w:val="left"/>
              <w:rPr>
                <w:rFonts w:ascii="宋体" w:hAnsi="宋体" w:cs="宋体" w:eastAsia="宋体" w:hint="default"/>
                <w:sz w:val="18"/>
                <w:szCs w:val="18"/>
              </w:rPr>
            </w:pPr>
            <w:r>
              <w:rPr>
                <w:rFonts w:ascii="宋体" w:hAnsi="宋体" w:cs="宋体" w:eastAsia="宋体" w:hint="default"/>
                <w:spacing w:val="7"/>
                <w:sz w:val="18"/>
                <w:szCs w:val="18"/>
              </w:rPr>
              <w:t>福州市对外贸易经济合作 </w:t>
            </w:r>
            <w:r>
              <w:rPr>
                <w:rFonts w:ascii="宋体" w:hAnsi="宋体" w:cs="宋体" w:eastAsia="宋体" w:hint="default"/>
                <w:sz w:val="18"/>
                <w:szCs w:val="18"/>
              </w:rPr>
              <w:t>局、福清市财政局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958"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55" w:right="0"/>
              <w:jc w:val="left"/>
              <w:rPr>
                <w:rFonts w:ascii="宋体" w:hAnsi="宋体" w:cs="宋体" w:eastAsia="宋体" w:hint="default"/>
                <w:sz w:val="18"/>
                <w:szCs w:val="18"/>
              </w:rPr>
            </w:pPr>
            <w:r>
              <w:rPr>
                <w:rFonts w:ascii="宋体" w:hAnsi="宋体" w:cs="宋体" w:eastAsia="宋体" w:hint="default"/>
                <w:sz w:val="18"/>
                <w:szCs w:val="18"/>
              </w:rPr>
              <w:t>专项资金补助</w:t>
            </w:r>
          </w:p>
        </w:tc>
        <w:tc>
          <w:tcPr>
            <w:tcW w:w="1599"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36"/>
              <w:jc w:val="right"/>
              <w:rPr>
                <w:rFonts w:ascii="宋体" w:hAnsi="宋体" w:cs="宋体" w:eastAsia="宋体" w:hint="default"/>
                <w:sz w:val="18"/>
                <w:szCs w:val="18"/>
              </w:rPr>
            </w:pPr>
            <w:r>
              <w:rPr>
                <w:rFonts w:ascii="宋体"/>
                <w:spacing w:val="-1"/>
                <w:sz w:val="18"/>
              </w:rPr>
              <w:t>3,033,067.58</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5" w:lineRule="auto" w:before="49"/>
              <w:ind w:left="38" w:right="29"/>
              <w:jc w:val="both"/>
              <w:rPr>
                <w:rFonts w:ascii="宋体" w:hAnsi="宋体" w:cs="宋体" w:eastAsia="宋体" w:hint="default"/>
                <w:sz w:val="18"/>
                <w:szCs w:val="18"/>
              </w:rPr>
            </w:pPr>
            <w:r>
              <w:rPr>
                <w:rFonts w:ascii="宋体" w:hAnsi="宋体" w:cs="宋体" w:eastAsia="宋体" w:hint="default"/>
                <w:spacing w:val="7"/>
                <w:sz w:val="18"/>
                <w:szCs w:val="18"/>
              </w:rPr>
              <w:t>中关村海外科技园、北海 工业园管委会、武汉市财 </w:t>
            </w:r>
            <w:r>
              <w:rPr>
                <w:rFonts w:ascii="宋体" w:hAnsi="宋体" w:cs="宋体" w:eastAsia="宋体" w:hint="default"/>
                <w:sz w:val="18"/>
                <w:szCs w:val="18"/>
              </w:rPr>
              <w:t>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金太阳太阳能补贴</w:t>
            </w:r>
          </w:p>
        </w:tc>
        <w:tc>
          <w:tcPr>
            <w:tcW w:w="1599"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2,540,000.00</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深圳市财政部</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SAP</w:t>
            </w:r>
            <w:r>
              <w:rPr>
                <w:rFonts w:ascii="宋体" w:hAnsi="宋体" w:cs="宋体" w:eastAsia="宋体" w:hint="default"/>
                <w:spacing w:val="-45"/>
                <w:sz w:val="18"/>
                <w:szCs w:val="18"/>
              </w:rPr>
              <w:t> </w:t>
            </w:r>
            <w:r>
              <w:rPr>
                <w:rFonts w:ascii="宋体" w:hAnsi="宋体" w:cs="宋体" w:eastAsia="宋体" w:hint="default"/>
                <w:sz w:val="18"/>
                <w:szCs w:val="18"/>
              </w:rPr>
              <w:t>专项资金</w:t>
            </w:r>
          </w:p>
        </w:tc>
        <w:tc>
          <w:tcPr>
            <w:tcW w:w="1599"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1,500,000.00</w:t>
            </w:r>
          </w:p>
        </w:tc>
        <w:tc>
          <w:tcPr>
            <w:tcW w:w="2134" w:type="dxa"/>
            <w:tcBorders>
              <w:top w:val="single" w:sz="2" w:space="0" w:color="000000"/>
              <w:left w:val="single" w:sz="2" w:space="0" w:color="000000"/>
              <w:bottom w:val="single" w:sz="2" w:space="0" w:color="000000"/>
              <w:right w:val="single" w:sz="2" w:space="0" w:color="000000"/>
            </w:tcBorders>
          </w:tcPr>
          <w:p>
            <w:pP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667"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融资贴息</w:t>
            </w:r>
          </w:p>
        </w:tc>
        <w:tc>
          <w:tcPr>
            <w:tcW w:w="1599"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1,111,093.72</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49"/>
              <w:ind w:left="38" w:right="29"/>
              <w:jc w:val="left"/>
              <w:rPr>
                <w:rFonts w:ascii="宋体" w:hAnsi="宋体" w:cs="宋体" w:eastAsia="宋体" w:hint="default"/>
                <w:sz w:val="18"/>
                <w:szCs w:val="18"/>
              </w:rPr>
            </w:pPr>
            <w:r>
              <w:rPr>
                <w:rFonts w:ascii="宋体" w:hAnsi="宋体" w:cs="宋体" w:eastAsia="宋体" w:hint="default"/>
                <w:spacing w:val="7"/>
                <w:sz w:val="18"/>
                <w:szCs w:val="18"/>
              </w:rPr>
              <w:t>福清市财政局、厦门经发 </w:t>
            </w:r>
            <w:r>
              <w:rPr>
                <w:rFonts w:ascii="宋体" w:hAnsi="宋体" w:cs="宋体" w:eastAsia="宋体" w:hint="default"/>
                <w:sz w:val="18"/>
                <w:szCs w:val="18"/>
              </w:rPr>
              <w:t>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5"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产业集群资金</w:t>
            </w:r>
          </w:p>
        </w:tc>
        <w:tc>
          <w:tcPr>
            <w:tcW w:w="1599"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1,099,418.05</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74" w:hRule="exact"/>
        </w:trPr>
        <w:tc>
          <w:tcPr>
            <w:tcW w:w="1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5,680,877.50</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6,274,772.95</w:t>
            </w:r>
          </w:p>
        </w:tc>
        <w:tc>
          <w:tcPr>
            <w:tcW w:w="2134" w:type="dxa"/>
            <w:tcBorders>
              <w:top w:val="single" w:sz="2" w:space="0" w:color="000000"/>
              <w:left w:val="single" w:sz="2" w:space="0" w:color="000000"/>
              <w:bottom w:val="single" w:sz="2" w:space="0" w:color="000000"/>
              <w:right w:val="single" w:sz="2" w:space="0" w:color="000000"/>
            </w:tcBorders>
          </w:tcPr>
          <w:p>
            <w:pPr/>
          </w:p>
        </w:tc>
        <w:tc>
          <w:tcPr>
            <w:tcW w:w="1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227" w:type="dxa"/>
            <w:vMerge/>
            <w:tcBorders>
              <w:left w:val="nil" w:sz="6" w:space="0" w:color="auto"/>
              <w:right w:val="nil" w:sz="6" w:space="0" w:color="auto"/>
            </w:tcBorders>
          </w:tcPr>
          <w:p>
            <w:pPr/>
          </w:p>
        </w:tc>
      </w:tr>
      <w:tr>
        <w:trPr>
          <w:trHeight w:val="389" w:hRule="exact"/>
        </w:trPr>
        <w:tc>
          <w:tcPr>
            <w:tcW w:w="19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b/>
                <w:w w:val="95"/>
                <w:sz w:val="18"/>
              </w:rPr>
              <w:t>276,801,713.26</w:t>
            </w:r>
            <w:r>
              <w:rPr>
                <w:rFonts w:ascii="宋体"/>
                <w:sz w:val="18"/>
              </w:rPr>
            </w:r>
          </w:p>
        </w:tc>
        <w:tc>
          <w:tcPr>
            <w:tcW w:w="1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b/>
                <w:w w:val="95"/>
                <w:sz w:val="18"/>
              </w:rPr>
              <w:t>227,534,920.56</w:t>
            </w:r>
            <w:r>
              <w:rPr>
                <w:rFonts w:ascii="宋体"/>
                <w:sz w:val="18"/>
              </w:rPr>
            </w:r>
          </w:p>
        </w:tc>
        <w:tc>
          <w:tcPr>
            <w:tcW w:w="2134" w:type="dxa"/>
            <w:tcBorders>
              <w:top w:val="single" w:sz="2" w:space="0" w:color="000000"/>
              <w:left w:val="single" w:sz="2" w:space="0" w:color="000000"/>
              <w:bottom w:val="single" w:sz="12" w:space="0" w:color="000000"/>
              <w:right w:val="single" w:sz="2" w:space="0" w:color="000000"/>
            </w:tcBorders>
          </w:tcPr>
          <w:p>
            <w:pPr/>
          </w:p>
        </w:tc>
        <w:tc>
          <w:tcPr>
            <w:tcW w:w="1112" w:type="dxa"/>
            <w:tcBorders>
              <w:top w:val="single" w:sz="2" w:space="0" w:color="000000"/>
              <w:left w:val="single" w:sz="2" w:space="0" w:color="000000"/>
              <w:bottom w:val="single" w:sz="12" w:space="0" w:color="000000"/>
              <w:right w:val="nil" w:sz="6" w:space="0" w:color="auto"/>
            </w:tcBorders>
          </w:tcPr>
          <w:p>
            <w:pPr/>
          </w:p>
        </w:tc>
        <w:tc>
          <w:tcPr>
            <w:tcW w:w="227" w:type="dxa"/>
            <w:vMerge/>
            <w:tcBorders>
              <w:left w:val="nil" w:sz="6" w:space="0" w:color="auto"/>
              <w:bottom w:val="nil" w:sz="6" w:space="0" w:color="auto"/>
              <w:right w:val="nil" w:sz="6" w:space="0" w:color="auto"/>
            </w:tcBorders>
          </w:tcPr>
          <w:p>
            <w:pPr/>
          </w:p>
        </w:tc>
      </w:tr>
    </w:tbl>
    <w:p>
      <w:pPr>
        <w:spacing w:line="240" w:lineRule="auto" w:before="3"/>
        <w:rPr>
          <w:rFonts w:ascii="Times New Roman" w:hAnsi="Times New Roman" w:cs="Times New Roman" w:eastAsia="Times New Roman" w:hint="default"/>
          <w:sz w:val="5"/>
          <w:szCs w:val="5"/>
        </w:rPr>
      </w:pPr>
    </w:p>
    <w:p>
      <w:pPr>
        <w:pStyle w:val="Heading7"/>
        <w:spacing w:line="240" w:lineRule="auto"/>
        <w:ind w:left="779" w:right="0"/>
        <w:jc w:val="left"/>
      </w:pPr>
      <w:r>
        <w:rPr>
          <w:rFonts w:ascii="宋体" w:hAnsi="宋体" w:cs="宋体" w:eastAsia="宋体" w:hint="default"/>
        </w:rPr>
        <w:t>55</w:t>
      </w:r>
      <w:r>
        <w:rPr/>
        <w:t>、营业外支出</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924"/>
        <w:gridCol w:w="2000"/>
        <w:gridCol w:w="1800"/>
        <w:gridCol w:w="2016"/>
      </w:tblGrid>
      <w:tr>
        <w:trPr>
          <w:trHeight w:val="679" w:hRule="exact"/>
        </w:trPr>
        <w:tc>
          <w:tcPr>
            <w:tcW w:w="2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016"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51"/>
              <w:ind w:left="643" w:right="193" w:hanging="452"/>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9,446,415.56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15,610,453.75</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9,446,415.56</w:t>
            </w:r>
          </w:p>
        </w:tc>
      </w:tr>
      <w:tr>
        <w:trPr>
          <w:trHeight w:val="377"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6,426,134.56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9,453,093.42</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6,426,134.56</w:t>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3,079,634.50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3,818,183.41</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3,079,634.50</w:t>
            </w:r>
          </w:p>
        </w:tc>
      </w:tr>
      <w:tr>
        <w:trPr>
          <w:trHeight w:val="37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10,778,309.76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3,083,811.01</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10,778,309.76</w:t>
            </w:r>
          </w:p>
        </w:tc>
      </w:tr>
      <w:tr>
        <w:trPr>
          <w:trHeight w:val="37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1,600,786.11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2,155,161.83</w:t>
            </w:r>
          </w:p>
        </w:tc>
        <w:tc>
          <w:tcPr>
            <w:tcW w:w="2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1,600,786.11</w:t>
            </w:r>
          </w:p>
        </w:tc>
      </w:tr>
      <w:tr>
        <w:trPr>
          <w:trHeight w:val="389"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24,905,145.93</w:t>
            </w:r>
            <w:r>
              <w:rPr>
                <w:rFonts w:ascii="宋体"/>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24,667,610.00</w:t>
            </w:r>
            <w:r>
              <w:rPr>
                <w:rFonts w:ascii="宋体"/>
                <w:sz w:val="18"/>
              </w:rPr>
            </w:r>
          </w:p>
        </w:tc>
        <w:tc>
          <w:tcPr>
            <w:tcW w:w="20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24,905,145.93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rFonts w:ascii="宋体" w:hAnsi="宋体" w:cs="宋体" w:eastAsia="宋体" w:hint="default"/>
        </w:rPr>
        <w:t>56</w:t>
      </w:r>
      <w:r>
        <w:rPr/>
        <w:t>、所得税费用</w:t>
      </w:r>
    </w:p>
    <w:p>
      <w:pPr>
        <w:pStyle w:val="Heading7"/>
        <w:spacing w:line="240" w:lineRule="auto" w:before="180"/>
        <w:ind w:left="779" w:right="0"/>
        <w:jc w:val="left"/>
      </w:pPr>
      <w:r>
        <w:rPr/>
        <w:t>（</w:t>
      </w:r>
      <w:r>
        <w:rPr>
          <w:rFonts w:ascii="宋体" w:hAnsi="宋体" w:cs="宋体" w:eastAsia="宋体" w:hint="default"/>
        </w:rPr>
        <w:t>1</w:t>
      </w:r>
      <w:r>
        <w:rPr/>
        <w:t>）所得税费用</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3567"/>
        <w:gridCol w:w="2484"/>
        <w:gridCol w:w="2487"/>
      </w:tblGrid>
      <w:tr>
        <w:trPr>
          <w:trHeight w:val="386" w:hRule="exact"/>
        </w:trPr>
        <w:tc>
          <w:tcPr>
            <w:tcW w:w="3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right="158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78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left="78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248,435,870.33</w:t>
            </w:r>
          </w:p>
        </w:tc>
        <w:tc>
          <w:tcPr>
            <w:tcW w:w="24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323,542,047.10</w:t>
            </w:r>
          </w:p>
        </w:tc>
      </w:tr>
      <w:tr>
        <w:trPr>
          <w:trHeight w:val="377"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41,303,516.48</w:t>
            </w:r>
          </w:p>
        </w:tc>
        <w:tc>
          <w:tcPr>
            <w:tcW w:w="24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1"/>
                <w:sz w:val="18"/>
              </w:rPr>
              <w:t>-61,899,778.87</w:t>
            </w:r>
          </w:p>
        </w:tc>
      </w:tr>
      <w:tr>
        <w:trPr>
          <w:trHeight w:val="386" w:hRule="exact"/>
        </w:trPr>
        <w:tc>
          <w:tcPr>
            <w:tcW w:w="3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158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289,739,386.81</w:t>
            </w:r>
            <w:r>
              <w:rPr>
                <w:rFonts w:ascii="宋体"/>
                <w:sz w:val="18"/>
              </w:rPr>
            </w:r>
          </w:p>
        </w:tc>
        <w:tc>
          <w:tcPr>
            <w:tcW w:w="24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9"/>
              <w:jc w:val="right"/>
              <w:rPr>
                <w:rFonts w:ascii="宋体" w:hAnsi="宋体" w:cs="宋体" w:eastAsia="宋体" w:hint="default"/>
                <w:sz w:val="18"/>
                <w:szCs w:val="18"/>
              </w:rPr>
            </w:pPr>
            <w:r>
              <w:rPr>
                <w:rFonts w:ascii="宋体"/>
                <w:b/>
                <w:w w:val="95"/>
                <w:sz w:val="18"/>
              </w:rPr>
              <w:t>261,642,268.23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t>（</w:t>
      </w:r>
      <w:r>
        <w:rPr>
          <w:rFonts w:ascii="宋体" w:hAnsi="宋体" w:cs="宋体" w:eastAsia="宋体" w:hint="default"/>
        </w:rPr>
        <w:t>2</w:t>
      </w:r>
      <w:r>
        <w:rPr/>
        <w:t>）会计利润与所得税费用调整过程</w:t>
      </w:r>
    </w:p>
    <w:p>
      <w:pPr>
        <w:spacing w:line="240" w:lineRule="auto" w:before="8"/>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6421"/>
        <w:gridCol w:w="2117"/>
      </w:tblGrid>
      <w:tr>
        <w:trPr>
          <w:trHeight w:val="389" w:hRule="exact"/>
        </w:trPr>
        <w:tc>
          <w:tcPr>
            <w:tcW w:w="64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374"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本年合并利润总额</w:t>
            </w:r>
          </w:p>
        </w:tc>
        <w:tc>
          <w:tcPr>
            <w:tcW w:w="21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94,929,710.76</w:t>
            </w:r>
          </w:p>
        </w:tc>
      </w:tr>
      <w:tr>
        <w:trPr>
          <w:trHeight w:val="374"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21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14,239,456.61</w:t>
            </w:r>
          </w:p>
        </w:tc>
      </w:tr>
      <w:tr>
        <w:trPr>
          <w:trHeight w:val="374"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1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94,610,684.10</w:t>
            </w:r>
          </w:p>
        </w:tc>
      </w:tr>
      <w:tr>
        <w:trPr>
          <w:trHeight w:val="377"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1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-24,670,491.12</w:t>
            </w:r>
          </w:p>
        </w:tc>
      </w:tr>
      <w:tr>
        <w:trPr>
          <w:trHeight w:val="386" w:hRule="exact"/>
        </w:trPr>
        <w:tc>
          <w:tcPr>
            <w:tcW w:w="64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1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-188,567,372.61</w:t>
            </w:r>
          </w:p>
        </w:tc>
      </w:tr>
    </w:tbl>
    <w:p>
      <w:pPr>
        <w:spacing w:after="0" w:line="240" w:lineRule="auto"/>
        <w:jc w:val="right"/>
        <w:rPr>
          <w:rFonts w:ascii="宋体" w:hAnsi="宋体" w:cs="宋体" w:eastAsia="宋体" w:hint="default"/>
          <w:sz w:val="18"/>
          <w:szCs w:val="18"/>
        </w:rPr>
        <w:sectPr>
          <w:pgSz w:w="11910" w:h="16840"/>
          <w:pgMar w:header="881" w:footer="980" w:top="1600" w:bottom="1160" w:left="1460" w:right="1420"/>
        </w:sectPr>
      </w:pPr>
    </w:p>
    <w:p>
      <w:pPr>
        <w:spacing w:line="240" w:lineRule="auto" w:before="3"/>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6421"/>
        <w:gridCol w:w="2277"/>
      </w:tblGrid>
      <w:tr>
        <w:trPr>
          <w:trHeight w:val="387" w:hRule="exact"/>
        </w:trPr>
        <w:tc>
          <w:tcPr>
            <w:tcW w:w="64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377"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287,352,710.11</w:t>
            </w:r>
          </w:p>
        </w:tc>
      </w:tr>
      <w:tr>
        <w:trPr>
          <w:trHeight w:val="374"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-55,968,993.58</w:t>
            </w:r>
          </w:p>
        </w:tc>
      </w:tr>
      <w:tr>
        <w:trPr>
          <w:trHeight w:val="374"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本年未确认递延所得税资产的可抵扣暂时性差异或可抵扣亏损的影响</w:t>
            </w:r>
          </w:p>
        </w:tc>
        <w:tc>
          <w:tcPr>
            <w:tcW w:w="2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141,453,634.89</w:t>
            </w:r>
          </w:p>
        </w:tc>
      </w:tr>
      <w:tr>
        <w:trPr>
          <w:trHeight w:val="374"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税率变化导致年初递延所得税资产</w:t>
            </w:r>
            <w:r>
              <w:rPr>
                <w:rFonts w:ascii="宋体" w:hAnsi="宋体" w:cs="宋体" w:eastAsia="宋体" w:hint="default"/>
                <w:sz w:val="18"/>
                <w:szCs w:val="18"/>
              </w:rPr>
              <w:t>/</w:t>
            </w:r>
            <w:r>
              <w:rPr>
                <w:rFonts w:ascii="宋体" w:hAnsi="宋体" w:cs="宋体" w:eastAsia="宋体" w:hint="default"/>
                <w:sz w:val="18"/>
                <w:szCs w:val="18"/>
              </w:rPr>
              <w:t>负债余额的变化</w:t>
            </w:r>
          </w:p>
        </w:tc>
        <w:tc>
          <w:tcPr>
            <w:tcW w:w="2277"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6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21,289,758.41</w:t>
            </w:r>
          </w:p>
        </w:tc>
      </w:tr>
      <w:tr>
        <w:trPr>
          <w:trHeight w:val="389" w:hRule="exact"/>
        </w:trPr>
        <w:tc>
          <w:tcPr>
            <w:tcW w:w="64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22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b/>
                <w:w w:val="95"/>
                <w:sz w:val="18"/>
              </w:rPr>
              <w:t>289,739,386.81</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35"/>
        <w:jc w:val="left"/>
      </w:pPr>
      <w:r>
        <w:rPr>
          <w:rFonts w:ascii="宋体" w:hAnsi="宋体" w:cs="宋体" w:eastAsia="宋体" w:hint="default"/>
        </w:rPr>
        <w:t>57</w:t>
      </w:r>
      <w:r>
        <w:rPr/>
        <w:t>、其他综合收益</w:t>
      </w:r>
    </w:p>
    <w:p>
      <w:pPr>
        <w:pStyle w:val="Heading7"/>
        <w:spacing w:line="391" w:lineRule="auto" w:before="180"/>
        <w:ind w:left="699" w:right="3573"/>
        <w:jc w:val="left"/>
      </w:pPr>
      <w:r>
        <w:rPr/>
        <w:t>详见本附注“六、</w:t>
      </w:r>
      <w:r>
        <w:rPr>
          <w:rFonts w:ascii="宋体" w:hAnsi="宋体" w:cs="宋体" w:eastAsia="宋体" w:hint="default"/>
        </w:rPr>
        <w:t>43</w:t>
      </w:r>
      <w:r>
        <w:rPr>
          <w:rFonts w:ascii="宋体" w:hAnsi="宋体" w:cs="宋体" w:eastAsia="宋体" w:hint="default"/>
          <w:spacing w:val="-56"/>
        </w:rPr>
        <w:t> </w:t>
      </w:r>
      <w:r>
        <w:rPr/>
        <w:t>其他综合收益”相关内容。</w:t>
      </w:r>
      <w:r>
        <w:rPr>
          <w:w w:val="100"/>
        </w:rPr>
        <w:t> </w:t>
      </w:r>
      <w:r>
        <w:rPr>
          <w:rFonts w:ascii="宋体" w:hAnsi="宋体" w:cs="宋体" w:eastAsia="宋体" w:hint="default"/>
        </w:rPr>
        <w:t>58</w:t>
      </w:r>
      <w:r>
        <w:rPr/>
        <w:t>、现金流量表项目</w:t>
      </w:r>
    </w:p>
    <w:p>
      <w:pPr>
        <w:pStyle w:val="Heading7"/>
        <w:spacing w:line="391" w:lineRule="auto" w:before="42"/>
        <w:ind w:left="699" w:right="35"/>
        <w:jc w:val="left"/>
      </w:pPr>
      <w:r>
        <w:rPr/>
        <w:pict>
          <v:shape style="position:absolute;margin-left:82.823997pt;margin-top:44.227646pt;width:429.7pt;height:159.050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1"/>
                    <w:gridCol w:w="2844"/>
                    <w:gridCol w:w="2844"/>
                  </w:tblGrid>
                  <w:tr>
                    <w:trPr>
                      <w:trHeight w:val="360" w:hRule="exact"/>
                    </w:trPr>
                    <w:tc>
                      <w:tcPr>
                        <w:tcW w:w="28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8"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289,862,877.72</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220,336,215.26</w:t>
                        </w:r>
                      </w:p>
                    </w:tc>
                  </w:tr>
                  <w:tr>
                    <w:trPr>
                      <w:trHeight w:val="346"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关联方资金往来</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51,528,878.15</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28,549,528.93</w:t>
                        </w:r>
                      </w:p>
                    </w:tc>
                  </w:tr>
                  <w:tr>
                    <w:trPr>
                      <w:trHeight w:val="348"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49,183,757.71</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52,081,762.99</w:t>
                        </w:r>
                      </w:p>
                    </w:tc>
                  </w:tr>
                  <w:tr>
                    <w:trPr>
                      <w:trHeight w:val="346"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员工还借款</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3,878,915.84</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5,478,836.18</w:t>
                        </w:r>
                      </w:p>
                    </w:tc>
                  </w:tr>
                  <w:tr>
                    <w:trPr>
                      <w:trHeight w:val="348"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收回的押金及保证金</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
                            <w:sz w:val="18"/>
                          </w:rPr>
                          <w:t>3,330,535.94</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spacing w:val="-1"/>
                            <w:sz w:val="18"/>
                          </w:rPr>
                          <w:t>1,698,061.00</w:t>
                        </w:r>
                      </w:p>
                    </w:tc>
                  </w:tr>
                  <w:tr>
                    <w:trPr>
                      <w:trHeight w:val="348"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飞利浦补贴收入</w:t>
                        </w:r>
                      </w:p>
                    </w:tc>
                    <w:tc>
                      <w:tcPr>
                        <w:tcW w:w="2844" w:type="dxa"/>
                        <w:tcBorders>
                          <w:top w:val="single" w:sz="2" w:space="0" w:color="000000"/>
                          <w:left w:val="single" w:sz="2" w:space="0" w:color="000000"/>
                          <w:bottom w:val="single" w:sz="2" w:space="0" w:color="000000"/>
                          <w:right w:val="single" w:sz="2" w:space="0" w:color="000000"/>
                        </w:tcBorders>
                      </w:tcPr>
                      <w:p>
                        <w:pP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401,010,138.13</w:t>
                        </w:r>
                      </w:p>
                    </w:tc>
                  </w:tr>
                  <w:tr>
                    <w:trPr>
                      <w:trHeight w:val="346"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4,746,638.70</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20,038,513.78</w:t>
                        </w:r>
                      </w:p>
                    </w:tc>
                  </w:tr>
                  <w:tr>
                    <w:trPr>
                      <w:trHeight w:val="362" w:hRule="exact"/>
                    </w:trPr>
                    <w:tc>
                      <w:tcPr>
                        <w:tcW w:w="28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b/>
                            <w:w w:val="95"/>
                            <w:sz w:val="18"/>
                          </w:rPr>
                          <w:t>402,531,604.06</w:t>
                        </w:r>
                        <w:r>
                          <w:rPr>
                            <w:rFonts w:ascii="宋体"/>
                            <w:sz w:val="18"/>
                          </w:rPr>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b/>
                            <w:w w:val="95"/>
                            <w:sz w:val="18"/>
                          </w:rPr>
                          <w:t>729,193,056.27</w:t>
                        </w:r>
                        <w:r>
                          <w:rPr>
                            <w:rFonts w:ascii="宋体"/>
                            <w:sz w:val="18"/>
                          </w:rPr>
                        </w:r>
                      </w:p>
                    </w:tc>
                  </w:tr>
                </w:tbl>
                <w:p>
                  <w:pPr/>
                </w:p>
              </w:txbxContent>
            </v:textbox>
            <w10:wrap type="none"/>
          </v:shape>
        </w:pict>
      </w:r>
      <w:r>
        <w:rPr>
          <w:spacing w:val="-1"/>
        </w:rPr>
        <w:t>（</w:t>
      </w:r>
      <w:r>
        <w:rPr>
          <w:rFonts w:ascii="宋体" w:hAnsi="宋体" w:cs="宋体" w:eastAsia="宋体" w:hint="default"/>
          <w:spacing w:val="-1"/>
        </w:rPr>
        <w:t>1</w:t>
      </w:r>
      <w:r>
        <w:rPr>
          <w:spacing w:val="-1"/>
        </w:rPr>
        <w:t>）收到</w:t>
      </w:r>
      <w:r>
        <w:rPr>
          <w:rFonts w:ascii="宋体" w:hAnsi="宋体" w:cs="宋体" w:eastAsia="宋体" w:hint="default"/>
          <w:spacing w:val="-1"/>
        </w:rPr>
        <w:t>/</w:t>
      </w:r>
      <w:r>
        <w:rPr>
          <w:spacing w:val="-1"/>
        </w:rPr>
        <w:t>支付的其他与经营</w:t>
      </w:r>
      <w:r>
        <w:rPr>
          <w:rFonts w:ascii="宋体" w:hAnsi="宋体" w:cs="宋体" w:eastAsia="宋体" w:hint="default"/>
          <w:spacing w:val="-1"/>
        </w:rPr>
        <w:t>/</w:t>
      </w:r>
      <w:r>
        <w:rPr>
          <w:spacing w:val="-1"/>
        </w:rPr>
        <w:t>投资</w:t>
      </w:r>
      <w:r>
        <w:rPr>
          <w:rFonts w:ascii="宋体" w:hAnsi="宋体" w:cs="宋体" w:eastAsia="宋体" w:hint="default"/>
          <w:spacing w:val="-1"/>
        </w:rPr>
        <w:t>/</w:t>
      </w:r>
      <w:r>
        <w:rPr>
          <w:spacing w:val="-1"/>
        </w:rPr>
        <w:t>筹资活动有关的现金</w:t>
      </w:r>
      <w:r>
        <w:rPr>
          <w:spacing w:val="-87"/>
        </w:rPr>
        <w:t> </w:t>
      </w:r>
      <w:r>
        <w:rPr>
          <w:spacing w:val="-87"/>
        </w:rPr>
      </w:r>
      <w:r>
        <w:rPr>
          <w:rFonts w:ascii="宋体" w:hAnsi="宋体" w:cs="宋体" w:eastAsia="宋体" w:hint="default"/>
        </w:rPr>
        <w:t>1</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7"/>
        <w:spacing w:line="240" w:lineRule="auto"/>
        <w:ind w:left="699" w:right="35"/>
        <w:jc w:val="left"/>
      </w:pPr>
      <w:r>
        <w:rPr>
          <w:rFonts w:ascii="宋体" w:hAnsi="宋体" w:cs="宋体" w:eastAsia="宋体" w:hint="default"/>
        </w:rPr>
        <w:t>2</w:t>
      </w:r>
      <w:r>
        <w:rPr/>
        <w:t>）支付的其他与经营活动有关的现金</w:t>
      </w:r>
    </w:p>
    <w:p>
      <w:pPr>
        <w:spacing w:line="240" w:lineRule="auto" w:before="8"/>
        <w:rPr>
          <w:rFonts w:ascii="宋体" w:hAnsi="宋体" w:cs="宋体" w:eastAsia="宋体" w:hint="default"/>
          <w:sz w:val="6"/>
          <w:szCs w:val="6"/>
        </w:rPr>
      </w:pPr>
    </w:p>
    <w:tbl>
      <w:tblPr>
        <w:tblW w:w="0" w:type="auto"/>
        <w:jc w:val="left"/>
        <w:tblInd w:w="224" w:type="dxa"/>
        <w:tblLayout w:type="fixed"/>
        <w:tblCellMar>
          <w:top w:w="0" w:type="dxa"/>
          <w:left w:w="0" w:type="dxa"/>
          <w:bottom w:w="0" w:type="dxa"/>
          <w:right w:w="0" w:type="dxa"/>
        </w:tblCellMar>
        <w:tblLook w:val="01E0"/>
      </w:tblPr>
      <w:tblGrid>
        <w:gridCol w:w="2854"/>
        <w:gridCol w:w="2842"/>
        <w:gridCol w:w="2840"/>
      </w:tblGrid>
      <w:tr>
        <w:trPr>
          <w:trHeight w:val="370" w:hRule="exact"/>
        </w:trPr>
        <w:tc>
          <w:tcPr>
            <w:tcW w:w="285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right="122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4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报关及交通运输费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992,250,724.12</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944,113,005.00</w:t>
            </w:r>
          </w:p>
        </w:tc>
      </w:tr>
      <w:tr>
        <w:trPr>
          <w:trHeight w:val="35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广告展览费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521,567,091.27</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572,448,748.08</w:t>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502,115,622.44</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611,011,706.12</w:t>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代垫款及暂收款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186,394,013.47</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147,585,186.10</w:t>
            </w:r>
          </w:p>
        </w:tc>
      </w:tr>
      <w:tr>
        <w:trPr>
          <w:trHeight w:val="35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154,462,541.93</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152,533,409.92</w:t>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105,272,221.27</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spacing w:val="-1"/>
                <w:sz w:val="18"/>
              </w:rPr>
              <w:t>159,280,209.62</w:t>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预付款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101,250,708.30</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186,219,894.15</w:t>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97,324,827.85</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152,070,570.72</w:t>
            </w:r>
          </w:p>
        </w:tc>
      </w:tr>
      <w:tr>
        <w:trPr>
          <w:trHeight w:val="35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77,127,012.77</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87,059,258.15</w:t>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佣金手续费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52,595,235.39</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86,664,000.00</w:t>
            </w:r>
          </w:p>
        </w:tc>
      </w:tr>
      <w:tr>
        <w:trPr>
          <w:trHeight w:val="35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24,868,400.31</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69,316,000.00</w:t>
            </w:r>
          </w:p>
        </w:tc>
      </w:tr>
      <w:tr>
        <w:trPr>
          <w:trHeight w:val="35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250,228,865.10</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255,470,298.24</w:t>
            </w:r>
          </w:p>
        </w:tc>
      </w:tr>
      <w:tr>
        <w:trPr>
          <w:trHeight w:val="372" w:hRule="exact"/>
        </w:trPr>
        <w:tc>
          <w:tcPr>
            <w:tcW w:w="285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4"/>
              <w:ind w:right="122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b/>
                <w:w w:val="95"/>
                <w:sz w:val="18"/>
              </w:rPr>
              <w:t>3,065,457,264.22</w:t>
            </w:r>
            <w:r>
              <w:rPr>
                <w:rFonts w:ascii="宋体"/>
                <w:sz w:val="18"/>
              </w:rPr>
            </w:r>
          </w:p>
        </w:tc>
        <w:tc>
          <w:tcPr>
            <w:tcW w:w="284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b/>
                <w:w w:val="95"/>
                <w:sz w:val="18"/>
              </w:rPr>
              <w:t>3,423,772,286.10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1" w:footer="980" w:top="1600" w:bottom="1160" w:left="1540" w:right="140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99" w:right="276"/>
        <w:jc w:val="left"/>
      </w:pPr>
      <w:r>
        <w:rPr>
          <w:rFonts w:ascii="宋体" w:hAnsi="宋体" w:cs="宋体" w:eastAsia="宋体" w:hint="default"/>
        </w:rPr>
        <w:t>3</w:t>
      </w:r>
      <w:r>
        <w:rPr/>
        <w:t>）支付的其他与投资活动有关的现金</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861"/>
        <w:gridCol w:w="2844"/>
        <w:gridCol w:w="2844"/>
      </w:tblGrid>
      <w:tr>
        <w:trPr>
          <w:trHeight w:val="389" w:hRule="exact"/>
        </w:trPr>
        <w:tc>
          <w:tcPr>
            <w:tcW w:w="28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124,430,585.00</w:t>
            </w:r>
          </w:p>
        </w:tc>
        <w:tc>
          <w:tcPr>
            <w:tcW w:w="284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2844" w:type="dxa"/>
            <w:tcBorders>
              <w:top w:val="single" w:sz="2" w:space="0" w:color="000000"/>
              <w:left w:val="single" w:sz="2" w:space="0" w:color="000000"/>
              <w:bottom w:val="single" w:sz="2" w:space="0" w:color="000000"/>
              <w:right w:val="single" w:sz="2" w:space="0" w:color="000000"/>
            </w:tcBorders>
          </w:tcPr>
          <w:p>
            <w:pP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736,800.00</w:t>
            </w:r>
          </w:p>
        </w:tc>
      </w:tr>
      <w:tr>
        <w:trPr>
          <w:trHeight w:val="389" w:hRule="exact"/>
        </w:trPr>
        <w:tc>
          <w:tcPr>
            <w:tcW w:w="28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124,430,585.00</w:t>
            </w:r>
            <w:r>
              <w:rPr>
                <w:rFonts w:ascii="宋体"/>
                <w:sz w:val="18"/>
              </w:rPr>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b/>
                <w:w w:val="95"/>
                <w:sz w:val="18"/>
              </w:rPr>
              <w:t>736,800.00</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rFonts w:ascii="宋体" w:hAnsi="宋体" w:cs="宋体" w:eastAsia="宋体" w:hint="default"/>
        </w:rPr>
        <w:t>4</w:t>
      </w:r>
      <w:r>
        <w:rPr/>
        <w:t>）收到的其他与筹资活动有关的现金</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861"/>
        <w:gridCol w:w="2844"/>
        <w:gridCol w:w="2844"/>
      </w:tblGrid>
      <w:tr>
        <w:trPr>
          <w:trHeight w:val="360" w:hRule="exact"/>
        </w:trPr>
        <w:tc>
          <w:tcPr>
            <w:tcW w:w="28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23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8"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出售零碎股</w:t>
            </w:r>
          </w:p>
        </w:tc>
        <w:tc>
          <w:tcPr>
            <w:tcW w:w="2844" w:type="dxa"/>
            <w:tcBorders>
              <w:top w:val="single" w:sz="2" w:space="0" w:color="000000"/>
              <w:left w:val="single" w:sz="2" w:space="0" w:color="000000"/>
              <w:bottom w:val="single" w:sz="2" w:space="0" w:color="000000"/>
              <w:right w:val="single" w:sz="2" w:space="0" w:color="000000"/>
            </w:tcBorders>
          </w:tcPr>
          <w:p>
            <w:pP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50,680.62</w:t>
            </w:r>
          </w:p>
        </w:tc>
      </w:tr>
      <w:tr>
        <w:trPr>
          <w:trHeight w:val="360" w:hRule="exact"/>
        </w:trPr>
        <w:tc>
          <w:tcPr>
            <w:tcW w:w="28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right="123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2" w:space="0" w:color="000000"/>
              <w:left w:val="single" w:sz="2" w:space="0" w:color="000000"/>
              <w:bottom w:val="single" w:sz="12" w:space="0" w:color="000000"/>
              <w:right w:val="single" w:sz="2" w:space="0" w:color="000000"/>
            </w:tcBorders>
          </w:tcPr>
          <w:p>
            <w:pP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b/>
                <w:w w:val="95"/>
                <w:sz w:val="18"/>
              </w:rPr>
              <w:t>50,680.62</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rFonts w:ascii="宋体" w:hAnsi="宋体" w:cs="宋体" w:eastAsia="宋体" w:hint="default"/>
        </w:rPr>
        <w:t>5</w:t>
      </w:r>
      <w:r>
        <w:rPr/>
        <w:t>）支付的其他与筹资活动有关的现金</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857"/>
        <w:gridCol w:w="2840"/>
        <w:gridCol w:w="2840"/>
      </w:tblGrid>
      <w:tr>
        <w:trPr>
          <w:trHeight w:val="370" w:hRule="exact"/>
        </w:trPr>
        <w:tc>
          <w:tcPr>
            <w:tcW w:w="2857"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2"/>
              <w:ind w:right="123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4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增发相关咨询费</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4,642,800.00</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114,900.00</w:t>
            </w:r>
          </w:p>
        </w:tc>
      </w:tr>
      <w:tr>
        <w:trPr>
          <w:trHeight w:val="35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信用理财相关支出</w:t>
            </w:r>
          </w:p>
        </w:tc>
        <w:tc>
          <w:tcPr>
            <w:tcW w:w="2840"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1,199,231.61</w:t>
            </w:r>
          </w:p>
        </w:tc>
      </w:tr>
      <w:tr>
        <w:trPr>
          <w:trHeight w:val="35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个人股东退资</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774,000.00</w:t>
            </w:r>
          </w:p>
        </w:tc>
        <w:tc>
          <w:tcPr>
            <w:tcW w:w="2840"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85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2"/>
              <w:ind w:right="123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b/>
                <w:w w:val="95"/>
                <w:sz w:val="18"/>
              </w:rPr>
              <w:t>5,416,800.00</w:t>
            </w:r>
            <w:r>
              <w:rPr>
                <w:rFonts w:ascii="宋体"/>
                <w:sz w:val="18"/>
              </w:rPr>
            </w:r>
          </w:p>
        </w:tc>
        <w:tc>
          <w:tcPr>
            <w:tcW w:w="284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b/>
                <w:w w:val="95"/>
                <w:sz w:val="18"/>
              </w:rPr>
              <w:t>1,314,131.61</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t>（</w:t>
      </w:r>
      <w:r>
        <w:rPr>
          <w:rFonts w:ascii="宋体" w:hAnsi="宋体" w:cs="宋体" w:eastAsia="宋体" w:hint="default"/>
        </w:rPr>
        <w:t>2</w:t>
      </w:r>
      <w:r>
        <w:rPr/>
        <w:t>）合并现金流量表补充资料</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664"/>
        <w:gridCol w:w="1889"/>
        <w:gridCol w:w="1997"/>
      </w:tblGrid>
      <w:tr>
        <w:trPr>
          <w:trHeight w:val="331" w:hRule="exact"/>
        </w:trPr>
        <w:tc>
          <w:tcPr>
            <w:tcW w:w="46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left="58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
              <w:ind w:left="63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889"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-194,809,676.05</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-339,798,670.85</w:t>
            </w:r>
          </w:p>
        </w:tc>
      </w:tr>
      <w:tr>
        <w:trPr>
          <w:trHeight w:val="377"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563,200,768.02</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652,248,808.96</w:t>
            </w:r>
          </w:p>
        </w:tc>
      </w:tr>
      <w:tr>
        <w:trPr>
          <w:trHeight w:val="375"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875,452,781.91</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974,247,314.49</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184,482,203.11</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319,182,377.59</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99,653,211.45</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85,063,781.15</w:t>
            </w:r>
          </w:p>
        </w:tc>
      </w:tr>
      <w:tr>
        <w:trPr>
          <w:trHeight w:val="667"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518" w:right="106"/>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8,567,840.87</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14,692,676.05</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-232,068,657.25</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-394,705,275.79</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396,503,982.97</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487,519,267.74</w:t>
            </w:r>
          </w:p>
        </w:tc>
      </w:tr>
      <w:tr>
        <w:trPr>
          <w:trHeight w:val="377"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-901,059,903.57</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-260,470,014.10</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6,516,996.54</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-40,413,858.64</w:t>
            </w:r>
          </w:p>
        </w:tc>
      </w:tr>
      <w:tr>
        <w:trPr>
          <w:trHeight w:val="375"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61,996,416.68</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-2,440,699.18</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401,052,742.06</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-476,244,213.35</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1,297,671,921.36</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496,814,447.70</w:t>
            </w:r>
          </w:p>
        </w:tc>
      </w:tr>
      <w:tr>
        <w:trPr>
          <w:trHeight w:val="374"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-879,748,308.37</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1,116,216,305.17</w:t>
            </w:r>
          </w:p>
        </w:tc>
      </w:tr>
      <w:tr>
        <w:trPr>
          <w:trHeight w:val="377"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9"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86" w:hRule="exact"/>
        </w:trPr>
        <w:tc>
          <w:tcPr>
            <w:tcW w:w="46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1,687,412,319.73</w:t>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2,631,912,246.94</w:t>
            </w:r>
          </w:p>
        </w:tc>
      </w:tr>
    </w:tbl>
    <w:p>
      <w:pPr>
        <w:spacing w:after="0" w:line="240" w:lineRule="auto"/>
        <w:jc w:val="right"/>
        <w:rPr>
          <w:rFonts w:ascii="宋体" w:hAnsi="宋体" w:cs="宋体" w:eastAsia="宋体" w:hint="default"/>
          <w:sz w:val="18"/>
          <w:szCs w:val="18"/>
        </w:rPr>
        <w:sectPr>
          <w:pgSz w:w="11910" w:h="16840"/>
          <w:pgMar w:header="881" w:footer="980" w:top="1600" w:bottom="1160" w:left="1540" w:right="1420"/>
        </w:sectPr>
      </w:pPr>
    </w:p>
    <w:p>
      <w:pPr>
        <w:spacing w:line="240" w:lineRule="auto" w:before="9"/>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664"/>
        <w:gridCol w:w="1889"/>
        <w:gridCol w:w="2152"/>
      </w:tblGrid>
      <w:tr>
        <w:trPr>
          <w:trHeight w:val="326" w:hRule="exact"/>
        </w:trPr>
        <w:tc>
          <w:tcPr>
            <w:tcW w:w="46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8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3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889" w:type="dxa"/>
            <w:tcBorders>
              <w:top w:val="single" w:sz="2" w:space="0" w:color="000000"/>
              <w:left w:val="single" w:sz="2" w:space="0" w:color="000000"/>
              <w:bottom w:val="single" w:sz="2" w:space="0" w:color="000000"/>
              <w:right w:val="single" w:sz="2" w:space="0" w:color="000000"/>
            </w:tcBorders>
          </w:tcPr>
          <w:p>
            <w:pPr/>
          </w:p>
        </w:tc>
        <w:tc>
          <w:tcPr>
            <w:tcW w:w="2152" w:type="dxa"/>
            <w:tcBorders>
              <w:top w:val="single" w:sz="2" w:space="0" w:color="000000"/>
              <w:left w:val="single" w:sz="2" w:space="0" w:color="000000"/>
              <w:bottom w:val="single" w:sz="2" w:space="0" w:color="000000"/>
              <w:right w:val="nil" w:sz="6" w:space="0" w:color="auto"/>
            </w:tcBorders>
          </w:tcPr>
          <w:p>
            <w:pPr/>
          </w:p>
        </w:tc>
      </w:tr>
      <w:tr>
        <w:trPr>
          <w:trHeight w:val="322"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89" w:type="dxa"/>
            <w:tcBorders>
              <w:top w:val="single" w:sz="2" w:space="0" w:color="000000"/>
              <w:left w:val="single" w:sz="2" w:space="0" w:color="000000"/>
              <w:bottom w:val="single" w:sz="2" w:space="0" w:color="000000"/>
              <w:right w:val="single" w:sz="2" w:space="0" w:color="000000"/>
            </w:tcBorders>
          </w:tcPr>
          <w:p>
            <w:pPr/>
          </w:p>
        </w:tc>
        <w:tc>
          <w:tcPr>
            <w:tcW w:w="2152"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89" w:type="dxa"/>
            <w:tcBorders>
              <w:top w:val="single" w:sz="2" w:space="0" w:color="000000"/>
              <w:left w:val="single" w:sz="2" w:space="0" w:color="000000"/>
              <w:bottom w:val="single" w:sz="2" w:space="0" w:color="000000"/>
              <w:right w:val="single" w:sz="2" w:space="0" w:color="000000"/>
            </w:tcBorders>
          </w:tcPr>
          <w:p>
            <w:pPr/>
          </w:p>
        </w:tc>
        <w:tc>
          <w:tcPr>
            <w:tcW w:w="2152"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89" w:type="dxa"/>
            <w:tcBorders>
              <w:top w:val="single" w:sz="2" w:space="0" w:color="000000"/>
              <w:left w:val="single" w:sz="2" w:space="0" w:color="000000"/>
              <w:bottom w:val="single" w:sz="2" w:space="0" w:color="000000"/>
              <w:right w:val="single" w:sz="2" w:space="0" w:color="000000"/>
            </w:tcBorders>
          </w:tcPr>
          <w:p>
            <w:pPr/>
          </w:p>
        </w:tc>
        <w:tc>
          <w:tcPr>
            <w:tcW w:w="2152"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889" w:type="dxa"/>
            <w:tcBorders>
              <w:top w:val="single" w:sz="2" w:space="0" w:color="000000"/>
              <w:left w:val="single" w:sz="2" w:space="0" w:color="000000"/>
              <w:bottom w:val="single" w:sz="2" w:space="0" w:color="000000"/>
              <w:right w:val="single" w:sz="2" w:space="0" w:color="000000"/>
            </w:tcBorders>
          </w:tcPr>
          <w:p>
            <w:pPr/>
          </w:p>
        </w:tc>
        <w:tc>
          <w:tcPr>
            <w:tcW w:w="2152"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3,663,623,769.44</w:t>
            </w:r>
          </w:p>
        </w:tc>
        <w:tc>
          <w:tcPr>
            <w:tcW w:w="21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61"/>
              <w:jc w:val="right"/>
              <w:rPr>
                <w:rFonts w:ascii="宋体" w:hAnsi="宋体" w:cs="宋体" w:eastAsia="宋体" w:hint="default"/>
                <w:sz w:val="18"/>
                <w:szCs w:val="18"/>
              </w:rPr>
            </w:pPr>
            <w:r>
              <w:rPr>
                <w:rFonts w:ascii="宋体"/>
                <w:spacing w:val="-1"/>
                <w:sz w:val="18"/>
              </w:rPr>
              <w:t>3,616,324,733.67</w:t>
            </w: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3,616,324,733.67</w:t>
            </w:r>
          </w:p>
        </w:tc>
        <w:tc>
          <w:tcPr>
            <w:tcW w:w="21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261"/>
              <w:jc w:val="right"/>
              <w:rPr>
                <w:rFonts w:ascii="宋体" w:hAnsi="宋体" w:cs="宋体" w:eastAsia="宋体" w:hint="default"/>
                <w:sz w:val="18"/>
                <w:szCs w:val="18"/>
              </w:rPr>
            </w:pPr>
            <w:r>
              <w:rPr>
                <w:rFonts w:ascii="宋体"/>
                <w:spacing w:val="-1"/>
                <w:sz w:val="18"/>
              </w:rPr>
              <w:t>3,097,256,037.21</w:t>
            </w: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889" w:type="dxa"/>
            <w:tcBorders>
              <w:top w:val="single" w:sz="2" w:space="0" w:color="000000"/>
              <w:left w:val="single" w:sz="2" w:space="0" w:color="000000"/>
              <w:bottom w:val="single" w:sz="2" w:space="0" w:color="000000"/>
              <w:right w:val="single" w:sz="2" w:space="0" w:color="000000"/>
            </w:tcBorders>
          </w:tcPr>
          <w:p>
            <w:pPr/>
          </w:p>
        </w:tc>
        <w:tc>
          <w:tcPr>
            <w:tcW w:w="2152"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6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889" w:type="dxa"/>
            <w:tcBorders>
              <w:top w:val="single" w:sz="2" w:space="0" w:color="000000"/>
              <w:left w:val="single" w:sz="2" w:space="0" w:color="000000"/>
              <w:bottom w:val="single" w:sz="2" w:space="0" w:color="000000"/>
              <w:right w:val="single" w:sz="2" w:space="0" w:color="000000"/>
            </w:tcBorders>
          </w:tcPr>
          <w:p>
            <w:pPr/>
          </w:p>
        </w:tc>
        <w:tc>
          <w:tcPr>
            <w:tcW w:w="2152" w:type="dxa"/>
            <w:tcBorders>
              <w:top w:val="single" w:sz="2" w:space="0" w:color="000000"/>
              <w:left w:val="single" w:sz="2" w:space="0" w:color="000000"/>
              <w:bottom w:val="single" w:sz="2" w:space="0" w:color="000000"/>
              <w:right w:val="nil" w:sz="6" w:space="0" w:color="auto"/>
            </w:tcBorders>
          </w:tcPr>
          <w:p>
            <w:pPr/>
          </w:p>
        </w:tc>
      </w:tr>
      <w:tr>
        <w:trPr>
          <w:trHeight w:val="334" w:hRule="exact"/>
        </w:trPr>
        <w:tc>
          <w:tcPr>
            <w:tcW w:w="46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8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47,299,035.77</w:t>
            </w:r>
          </w:p>
        </w:tc>
        <w:tc>
          <w:tcPr>
            <w:tcW w:w="21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
              <w:ind w:right="261"/>
              <w:jc w:val="right"/>
              <w:rPr>
                <w:rFonts w:ascii="宋体" w:hAnsi="宋体" w:cs="宋体" w:eastAsia="宋体" w:hint="default"/>
                <w:sz w:val="18"/>
                <w:szCs w:val="18"/>
              </w:rPr>
            </w:pPr>
            <w:r>
              <w:rPr>
                <w:rFonts w:ascii="宋体"/>
                <w:spacing w:val="-1"/>
                <w:sz w:val="18"/>
              </w:rPr>
              <w:t>519,068,696.46</w:t>
            </w:r>
          </w:p>
        </w:tc>
      </w:tr>
    </w:tbl>
    <w:p>
      <w:pPr>
        <w:spacing w:line="240" w:lineRule="auto" w:before="8"/>
        <w:rPr>
          <w:rFonts w:ascii="宋体" w:hAnsi="宋体" w:cs="宋体" w:eastAsia="宋体" w:hint="default"/>
          <w:sz w:val="4"/>
          <w:szCs w:val="4"/>
        </w:rPr>
      </w:pPr>
    </w:p>
    <w:p>
      <w:pPr>
        <w:pStyle w:val="Heading7"/>
        <w:spacing w:line="240" w:lineRule="auto"/>
        <w:ind w:left="699" w:right="35"/>
        <w:jc w:val="left"/>
      </w:pPr>
      <w:r>
        <w:rPr/>
        <w:t>（</w:t>
      </w:r>
      <w:r>
        <w:rPr>
          <w:rFonts w:ascii="宋体" w:hAnsi="宋体" w:cs="宋体" w:eastAsia="宋体" w:hint="default"/>
        </w:rPr>
        <w:t>3</w:t>
      </w:r>
      <w:r>
        <w:rPr/>
        <w:t>）当年支付的取得子公司的现金净额</w:t>
      </w:r>
    </w:p>
    <w:p>
      <w:pPr>
        <w:spacing w:line="240" w:lineRule="auto" w:before="9"/>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6551"/>
        <w:gridCol w:w="2000"/>
      </w:tblGrid>
      <w:tr>
        <w:trPr>
          <w:trHeight w:val="360" w:hRule="exact"/>
        </w:trPr>
        <w:tc>
          <w:tcPr>
            <w:tcW w:w="65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3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48"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本年发生的企业合并于本年支付的现金或现金等价物</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43,837,756.25</w:t>
            </w:r>
          </w:p>
        </w:tc>
      </w:tr>
      <w:tr>
        <w:trPr>
          <w:trHeight w:val="346"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其中：桑菲通信</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43,837,756.25</w:t>
            </w:r>
          </w:p>
        </w:tc>
      </w:tr>
      <w:tr>
        <w:trPr>
          <w:trHeight w:val="348"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其中：桑菲通信</w:t>
            </w: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加：以前期间发生的企业合并于本年支付的现金或现金等价物</w:t>
            </w: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65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0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43,837,756.25</w:t>
            </w:r>
          </w:p>
        </w:tc>
      </w:tr>
    </w:tbl>
    <w:p>
      <w:pPr>
        <w:spacing w:line="240" w:lineRule="auto" w:before="8"/>
        <w:rPr>
          <w:rFonts w:ascii="宋体" w:hAnsi="宋体" w:cs="宋体" w:eastAsia="宋体" w:hint="default"/>
          <w:sz w:val="4"/>
          <w:szCs w:val="4"/>
        </w:rPr>
      </w:pPr>
    </w:p>
    <w:p>
      <w:pPr>
        <w:pStyle w:val="Heading7"/>
        <w:spacing w:line="240" w:lineRule="auto"/>
        <w:ind w:left="699" w:right="35"/>
        <w:jc w:val="left"/>
      </w:pPr>
      <w:r>
        <w:rPr/>
        <w:t>（</w:t>
      </w:r>
      <w:r>
        <w:rPr>
          <w:rFonts w:ascii="宋体" w:hAnsi="宋体" w:cs="宋体" w:eastAsia="宋体" w:hint="default"/>
        </w:rPr>
        <w:t>4</w:t>
      </w:r>
      <w:r>
        <w:rPr/>
        <w:t>）当年收到的处置子公司的现金净额</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6551"/>
        <w:gridCol w:w="2000"/>
      </w:tblGrid>
      <w:tr>
        <w:trPr>
          <w:trHeight w:val="360" w:hRule="exact"/>
        </w:trPr>
        <w:tc>
          <w:tcPr>
            <w:tcW w:w="65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4"/>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4"/>
              <w:ind w:left="63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48"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本年处置子公司于本年收到的现金或现金等价物</w:t>
            </w: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124,430,585.00</w:t>
            </w:r>
          </w:p>
        </w:tc>
      </w:tr>
      <w:tr>
        <w:trPr>
          <w:trHeight w:val="346"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其中：英冠达</w:t>
            </w:r>
          </w:p>
        </w:tc>
        <w:tc>
          <w:tcPr>
            <w:tcW w:w="20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124,430,585.00</w:t>
            </w:r>
          </w:p>
        </w:tc>
      </w:tr>
      <w:tr>
        <w:trPr>
          <w:trHeight w:val="348" w:hRule="exact"/>
        </w:trPr>
        <w:tc>
          <w:tcPr>
            <w:tcW w:w="65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加：以前期间发生的处置子公司于本年收到的现金或现金等价物</w:t>
            </w: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65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0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-124,430,585.00</w:t>
            </w:r>
          </w:p>
        </w:tc>
      </w:tr>
    </w:tbl>
    <w:p>
      <w:pPr>
        <w:spacing w:line="240" w:lineRule="auto" w:before="8"/>
        <w:rPr>
          <w:rFonts w:ascii="宋体" w:hAnsi="宋体" w:cs="宋体" w:eastAsia="宋体" w:hint="default"/>
          <w:sz w:val="4"/>
          <w:szCs w:val="4"/>
        </w:rPr>
      </w:pPr>
    </w:p>
    <w:p>
      <w:pPr>
        <w:pStyle w:val="Heading7"/>
        <w:spacing w:line="326" w:lineRule="auto"/>
        <w:ind w:left="260" w:right="35" w:firstLine="439"/>
        <w:jc w:val="left"/>
      </w:pPr>
      <w:r>
        <w:rPr>
          <w:spacing w:val="-3"/>
        </w:rPr>
        <w:t>注：处置子公司收到的现金净额，已重分类至支付的其他与投资活动有关的现金列</w:t>
      </w:r>
      <w:r>
        <w:rPr>
          <w:w w:val="100"/>
        </w:rPr>
        <w:t> </w:t>
      </w:r>
      <w:r>
        <w:rPr/>
        <w:t>示。</w:t>
      </w:r>
    </w:p>
    <w:p>
      <w:pPr>
        <w:pStyle w:val="Heading7"/>
        <w:spacing w:line="240" w:lineRule="auto" w:before="98"/>
        <w:ind w:left="699" w:right="35"/>
        <w:jc w:val="left"/>
      </w:pPr>
      <w:r>
        <w:rPr/>
        <w:t>（</w:t>
      </w:r>
      <w:r>
        <w:rPr>
          <w:rFonts w:ascii="宋体" w:hAnsi="宋体" w:cs="宋体" w:eastAsia="宋体" w:hint="default"/>
        </w:rPr>
        <w:t>5</w:t>
      </w:r>
      <w:r>
        <w:rPr/>
        <w:t>）现金和现金等价物</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141"/>
        <w:gridCol w:w="2204"/>
        <w:gridCol w:w="2206"/>
      </w:tblGrid>
      <w:tr>
        <w:trPr>
          <w:trHeight w:val="334" w:hRule="exact"/>
        </w:trPr>
        <w:tc>
          <w:tcPr>
            <w:tcW w:w="41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2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19"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3,663,623,769.44</w:t>
            </w:r>
          </w:p>
        </w:tc>
        <w:tc>
          <w:tcPr>
            <w:tcW w:w="22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3,616,324,733.67</w:t>
            </w:r>
          </w:p>
        </w:tc>
      </w:tr>
      <w:tr>
        <w:trPr>
          <w:trHeight w:val="319"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1,426,589.98</w:t>
            </w:r>
          </w:p>
        </w:tc>
        <w:tc>
          <w:tcPr>
            <w:tcW w:w="22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1,379,405.44</w:t>
            </w:r>
          </w:p>
        </w:tc>
      </w:tr>
      <w:tr>
        <w:trPr>
          <w:trHeight w:val="320"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8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pacing w:val="-1"/>
                <w:sz w:val="18"/>
              </w:rPr>
              <w:t>3,662,197,179.46</w:t>
            </w:r>
          </w:p>
        </w:tc>
        <w:tc>
          <w:tcPr>
            <w:tcW w:w="22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06"/>
              <w:jc w:val="right"/>
              <w:rPr>
                <w:rFonts w:ascii="宋体" w:hAnsi="宋体" w:cs="宋体" w:eastAsia="宋体" w:hint="default"/>
                <w:sz w:val="18"/>
                <w:szCs w:val="18"/>
              </w:rPr>
            </w:pPr>
            <w:r>
              <w:rPr>
                <w:rFonts w:ascii="宋体"/>
                <w:spacing w:val="-1"/>
                <w:sz w:val="18"/>
              </w:rPr>
              <w:t>3,614,945,328.23</w:t>
            </w:r>
          </w:p>
        </w:tc>
      </w:tr>
      <w:tr>
        <w:trPr>
          <w:trHeight w:val="319"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8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04" w:type="dxa"/>
            <w:tcBorders>
              <w:top w:val="single" w:sz="2" w:space="0" w:color="000000"/>
              <w:left w:val="single" w:sz="2" w:space="0" w:color="000000"/>
              <w:bottom w:val="single" w:sz="2" w:space="0" w:color="000000"/>
              <w:right w:val="single" w:sz="2" w:space="0" w:color="000000"/>
            </w:tcBorders>
          </w:tcPr>
          <w:p>
            <w:pPr/>
          </w:p>
        </w:tc>
        <w:tc>
          <w:tcPr>
            <w:tcW w:w="2206" w:type="dxa"/>
            <w:tcBorders>
              <w:top w:val="single" w:sz="2" w:space="0" w:color="000000"/>
              <w:left w:val="single" w:sz="2" w:space="0" w:color="000000"/>
              <w:bottom w:val="single" w:sz="2" w:space="0" w:color="000000"/>
              <w:right w:val="nil" w:sz="6" w:space="0" w:color="auto"/>
            </w:tcBorders>
          </w:tcPr>
          <w:p>
            <w:pPr/>
          </w:p>
        </w:tc>
      </w:tr>
      <w:tr>
        <w:trPr>
          <w:trHeight w:val="322"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2204" w:type="dxa"/>
            <w:tcBorders>
              <w:top w:val="single" w:sz="2" w:space="0" w:color="000000"/>
              <w:left w:val="single" w:sz="2" w:space="0" w:color="000000"/>
              <w:bottom w:val="single" w:sz="2" w:space="0" w:color="000000"/>
              <w:right w:val="single" w:sz="2" w:space="0" w:color="000000"/>
            </w:tcBorders>
          </w:tcPr>
          <w:p>
            <w:pPr/>
          </w:p>
        </w:tc>
        <w:tc>
          <w:tcPr>
            <w:tcW w:w="2206"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04" w:type="dxa"/>
            <w:tcBorders>
              <w:top w:val="single" w:sz="2" w:space="0" w:color="000000"/>
              <w:left w:val="single" w:sz="2" w:space="0" w:color="000000"/>
              <w:bottom w:val="single" w:sz="2" w:space="0" w:color="000000"/>
              <w:right w:val="single" w:sz="2" w:space="0" w:color="000000"/>
            </w:tcBorders>
          </w:tcPr>
          <w:p>
            <w:pPr/>
          </w:p>
        </w:tc>
        <w:tc>
          <w:tcPr>
            <w:tcW w:w="2206"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41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年末现金和现金等价物余额</w:t>
            </w:r>
          </w:p>
        </w:tc>
        <w:tc>
          <w:tcPr>
            <w:tcW w:w="2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3,663,623,769.44</w:t>
            </w:r>
          </w:p>
        </w:tc>
        <w:tc>
          <w:tcPr>
            <w:tcW w:w="22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106"/>
              <w:jc w:val="right"/>
              <w:rPr>
                <w:rFonts w:ascii="宋体" w:hAnsi="宋体" w:cs="宋体" w:eastAsia="宋体" w:hint="default"/>
                <w:sz w:val="18"/>
                <w:szCs w:val="18"/>
              </w:rPr>
            </w:pPr>
            <w:r>
              <w:rPr>
                <w:rFonts w:ascii="宋体"/>
                <w:spacing w:val="-1"/>
                <w:sz w:val="18"/>
              </w:rPr>
              <w:t>3,616,324,733.67</w:t>
            </w:r>
          </w:p>
        </w:tc>
      </w:tr>
      <w:tr>
        <w:trPr>
          <w:trHeight w:val="600" w:hRule="exact"/>
        </w:trPr>
        <w:tc>
          <w:tcPr>
            <w:tcW w:w="4141" w:type="dxa"/>
            <w:tcBorders>
              <w:top w:val="single" w:sz="2" w:space="0" w:color="000000"/>
              <w:left w:val="nil" w:sz="6" w:space="0" w:color="auto"/>
              <w:bottom w:val="single" w:sz="12" w:space="0" w:color="000000"/>
              <w:right w:val="single" w:sz="2" w:space="0" w:color="000000"/>
            </w:tcBorders>
          </w:tcPr>
          <w:p>
            <w:pPr>
              <w:pStyle w:val="TableParagraph"/>
              <w:spacing w:line="271" w:lineRule="auto" w:before="15"/>
              <w:ind w:left="122" w:right="106" w:firstLine="180"/>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其中：母公司或集团内子公司使用受限制的现金</w:t>
            </w:r>
            <w:r>
              <w:rPr>
                <w:rFonts w:ascii="宋体" w:hAnsi="宋体" w:cs="宋体" w:eastAsia="宋体" w:hint="default"/>
                <w:sz w:val="18"/>
                <w:szCs w:val="18"/>
              </w:rPr>
              <w:t> 和现金等价物</w:t>
            </w:r>
          </w:p>
        </w:tc>
        <w:tc>
          <w:tcPr>
            <w:tcW w:w="2204" w:type="dxa"/>
            <w:tcBorders>
              <w:top w:val="single" w:sz="2" w:space="0" w:color="000000"/>
              <w:left w:val="single" w:sz="2" w:space="0" w:color="000000"/>
              <w:bottom w:val="single" w:sz="12" w:space="0" w:color="000000"/>
              <w:right w:val="single" w:sz="2" w:space="0" w:color="000000"/>
            </w:tcBorders>
          </w:tcPr>
          <w:p>
            <w:pPr/>
          </w:p>
        </w:tc>
        <w:tc>
          <w:tcPr>
            <w:tcW w:w="220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81" w:footer="980" w:top="1600" w:bottom="1160" w:left="1540" w:right="1400"/>
        </w:sectPr>
      </w:pPr>
    </w:p>
    <w:p>
      <w:pPr>
        <w:spacing w:line="240" w:lineRule="auto" w:before="3"/>
        <w:rPr>
          <w:rFonts w:ascii="宋体" w:hAnsi="宋体" w:cs="宋体" w:eastAsia="宋体" w:hint="default"/>
          <w:sz w:val="3"/>
          <w:szCs w:val="3"/>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719" w:right="35"/>
        <w:jc w:val="left"/>
      </w:pPr>
      <w:r>
        <w:rPr>
          <w:rFonts w:ascii="宋体" w:hAnsi="宋体" w:cs="宋体" w:eastAsia="宋体" w:hint="default"/>
        </w:rPr>
        <w:t>59</w:t>
      </w:r>
      <w:r>
        <w:rPr/>
        <w:t>、所有权或使用权受到限制的资产</w:t>
      </w:r>
    </w:p>
    <w:p>
      <w:pPr>
        <w:spacing w:line="240" w:lineRule="auto" w:before="8"/>
        <w:rPr>
          <w:rFonts w:ascii="宋体" w:hAnsi="宋体" w:cs="宋体" w:eastAsia="宋体" w:hint="default"/>
          <w:sz w:val="6"/>
          <w:szCs w:val="6"/>
        </w:rPr>
      </w:pPr>
    </w:p>
    <w:tbl>
      <w:tblPr>
        <w:tblW w:w="0" w:type="auto"/>
        <w:jc w:val="left"/>
        <w:tblInd w:w="136" w:type="dxa"/>
        <w:tblLayout w:type="fixed"/>
        <w:tblCellMar>
          <w:top w:w="0" w:type="dxa"/>
          <w:left w:w="0" w:type="dxa"/>
          <w:bottom w:w="0" w:type="dxa"/>
          <w:right w:w="0" w:type="dxa"/>
        </w:tblCellMar>
        <w:tblLook w:val="01E0"/>
      </w:tblPr>
      <w:tblGrid>
        <w:gridCol w:w="2861"/>
        <w:gridCol w:w="2844"/>
        <w:gridCol w:w="2844"/>
      </w:tblGrid>
      <w:tr>
        <w:trPr>
          <w:trHeight w:val="389" w:hRule="exact"/>
        </w:trPr>
        <w:tc>
          <w:tcPr>
            <w:tcW w:w="28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74" w:hRule="exact"/>
        </w:trPr>
        <w:tc>
          <w:tcPr>
            <w:tcW w:w="28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23,834,758.80</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保证金存款</w:t>
            </w:r>
          </w:p>
        </w:tc>
      </w:tr>
      <w:tr>
        <w:trPr>
          <w:trHeight w:val="374" w:hRule="exact"/>
        </w:trPr>
        <w:tc>
          <w:tcPr>
            <w:tcW w:w="2861" w:type="dxa"/>
            <w:vMerge w:val="restart"/>
            <w:tcBorders>
              <w:top w:val="single" w:sz="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106,788,482.80</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抵押用于借款</w:t>
            </w:r>
          </w:p>
        </w:tc>
      </w:tr>
      <w:tr>
        <w:trPr>
          <w:trHeight w:val="374" w:hRule="exact"/>
        </w:trPr>
        <w:tc>
          <w:tcPr>
            <w:tcW w:w="2861" w:type="dxa"/>
            <w:vMerge/>
            <w:tcBorders>
              <w:left w:val="nil" w:sz="6" w:space="0" w:color="auto"/>
              <w:bottom w:val="single" w:sz="2" w:space="0" w:color="000000"/>
              <w:right w:val="single" w:sz="2" w:space="0" w:color="000000"/>
            </w:tcBorders>
          </w:tcPr>
          <w:p>
            <w:pP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15,113,551.20</w:t>
            </w:r>
          </w:p>
        </w:tc>
        <w:tc>
          <w:tcPr>
            <w:tcW w:w="2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抵押用于借款</w:t>
            </w:r>
          </w:p>
        </w:tc>
      </w:tr>
      <w:tr>
        <w:trPr>
          <w:trHeight w:val="389" w:hRule="exact"/>
        </w:trPr>
        <w:tc>
          <w:tcPr>
            <w:tcW w:w="28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28,354,288.02</w:t>
            </w:r>
          </w:p>
        </w:tc>
        <w:tc>
          <w:tcPr>
            <w:tcW w:w="2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质押用于借款</w:t>
            </w:r>
          </w:p>
        </w:tc>
      </w:tr>
    </w:tbl>
    <w:p>
      <w:pPr>
        <w:spacing w:line="240" w:lineRule="auto" w:before="8"/>
        <w:rPr>
          <w:rFonts w:ascii="宋体" w:hAnsi="宋体" w:cs="宋体" w:eastAsia="宋体" w:hint="default"/>
          <w:sz w:val="4"/>
          <w:szCs w:val="4"/>
        </w:rPr>
      </w:pPr>
    </w:p>
    <w:p>
      <w:pPr>
        <w:pStyle w:val="Heading7"/>
        <w:spacing w:line="240" w:lineRule="auto"/>
        <w:ind w:left="719" w:right="35"/>
        <w:jc w:val="left"/>
      </w:pPr>
      <w:r>
        <w:rPr>
          <w:rFonts w:ascii="宋体" w:hAnsi="宋体" w:cs="宋体" w:eastAsia="宋体" w:hint="default"/>
        </w:rPr>
        <w:t>60</w:t>
      </w:r>
      <w:r>
        <w:rPr/>
        <w:t>、外币货币性项目</w:t>
      </w:r>
    </w:p>
    <w:p>
      <w:pPr>
        <w:pStyle w:val="Heading7"/>
        <w:spacing w:line="240" w:lineRule="auto" w:before="180"/>
        <w:ind w:left="719" w:right="35"/>
        <w:jc w:val="left"/>
      </w:pPr>
      <w:r>
        <w:rPr/>
        <w:t>（</w:t>
      </w:r>
      <w:r>
        <w:rPr>
          <w:rFonts w:ascii="宋体" w:hAnsi="宋体" w:cs="宋体" w:eastAsia="宋体" w:hint="default"/>
        </w:rPr>
        <w:t>1</w:t>
      </w:r>
      <w:r>
        <w:rPr/>
        <w:t>）外币货币性项目</w:t>
      </w:r>
    </w:p>
    <w:p>
      <w:pPr>
        <w:spacing w:line="240" w:lineRule="auto" w:before="8"/>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47"/>
        <w:gridCol w:w="2350"/>
        <w:gridCol w:w="1399"/>
        <w:gridCol w:w="2314"/>
      </w:tblGrid>
      <w:tr>
        <w:trPr>
          <w:trHeight w:val="355" w:hRule="exact"/>
        </w:trPr>
        <w:tc>
          <w:tcPr>
            <w:tcW w:w="25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9"/>
              <w:ind w:left="628"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9"/>
              <w:ind w:left="336"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3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9"/>
              <w:ind w:left="34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1,223,985,559.08</w:t>
            </w:r>
            <w:r>
              <w:rPr>
                <w:rFonts w:ascii="宋体"/>
                <w:sz w:val="18"/>
              </w:rPr>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18"/>
                <w:szCs w:val="18"/>
              </w:rPr>
            </w:pPr>
            <w:r>
              <w:rPr>
                <w:rFonts w:ascii="宋体"/>
                <w:spacing w:val="-1"/>
                <w:sz w:val="18"/>
              </w:rPr>
              <w:t>109,616,419.82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6.49360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pacing w:val="-1"/>
                <w:sz w:val="18"/>
              </w:rPr>
              <w:t>711,805,183.74</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30,190,742.21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7.09520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214,209,354.13</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117,291,046.47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0.50159</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58,832,016.00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330,268,814.30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0.08842</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29,202,368.56</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287,530,041.96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0.09771</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28,094,560.40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乌克兰格里夫尼亚</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103,561,206.29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0.27025</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27,987,416.00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14,277,863.75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1.63947</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23,408,129.28</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波兰兹罗提</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11,373,222.53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1.66776</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18,967,805.61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2,228,504.36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6.40180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14,266,439.21</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49,268,438.80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0.26281</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12,948,238.40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匈牙利福林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566,469,081.27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0.02264</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12,824,860.00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13,471,047.29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11,285,774.00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14,021,600.53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0.73913</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10,363,785.60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马来西亚林吉特</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6,788,676.14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1.51398</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10,277,919.90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2,189,897.32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4.58750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10,046,153.96</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1,029,691.87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9.61590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9,901,414.05</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28,674,351.91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0.19681</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5,643,399.20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13,920,741.04</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8,688,358,497.04</w:t>
            </w:r>
            <w:r>
              <w:rPr>
                <w:rFonts w:ascii="宋体"/>
                <w:sz w:val="18"/>
              </w:rPr>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900,933,938.56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6.49360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5,850,304,623.43</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142,192,560.83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7.09520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pacing w:val="-1"/>
                <w:sz w:val="18"/>
              </w:rPr>
              <w:t>1,008,884,657.60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420,857,936.77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1.63947</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689,983,961.60</w:t>
            </w:r>
          </w:p>
        </w:tc>
      </w:tr>
      <w:tr>
        <w:trPr>
          <w:trHeight w:val="344"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6"/>
              <w:jc w:val="right"/>
              <w:rPr>
                <w:rFonts w:ascii="宋体" w:hAnsi="宋体" w:cs="宋体" w:eastAsia="宋体" w:hint="default"/>
                <w:sz w:val="18"/>
                <w:szCs w:val="18"/>
              </w:rPr>
            </w:pPr>
            <w:r>
              <w:rPr>
                <w:rFonts w:ascii="宋体"/>
                <w:spacing w:val="-1"/>
                <w:sz w:val="18"/>
              </w:rPr>
              <w:t>2,995,707,278.90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0.08842</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pacing w:val="-1"/>
                <w:sz w:val="18"/>
              </w:rPr>
              <w:t>264,880,437.60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294,668,302.41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246,867,210.39</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102,146,746.63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2.22277</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227,048,724.01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11,088,396.51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9.61590</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106,624,912.00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波兰兹罗提</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54,311,907.23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1.66776</w:t>
            </w:r>
          </w:p>
        </w:tc>
        <w:tc>
          <w:tcPr>
            <w:tcW w:w="23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90,579,226.40</w:t>
            </w:r>
          </w:p>
        </w:tc>
      </w:tr>
      <w:tr>
        <w:trPr>
          <w:trHeight w:val="355" w:hRule="exact"/>
        </w:trPr>
        <w:tc>
          <w:tcPr>
            <w:tcW w:w="25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23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113,856,051.14</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0.26281</w:t>
            </w:r>
          </w:p>
        </w:tc>
        <w:tc>
          <w:tcPr>
            <w:tcW w:w="23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29,922,508.80</w:t>
            </w:r>
          </w:p>
        </w:tc>
      </w:tr>
    </w:tbl>
    <w:p>
      <w:pPr>
        <w:spacing w:after="0" w:line="240" w:lineRule="auto"/>
        <w:jc w:val="right"/>
        <w:rPr>
          <w:rFonts w:ascii="宋体" w:hAnsi="宋体" w:cs="宋体" w:eastAsia="宋体" w:hint="default"/>
          <w:sz w:val="18"/>
          <w:szCs w:val="18"/>
        </w:rPr>
        <w:sectPr>
          <w:pgSz w:w="11910" w:h="16840"/>
          <w:pgMar w:header="881" w:footer="980" w:top="1600" w:bottom="1160" w:left="1520" w:right="14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547"/>
        <w:gridCol w:w="2350"/>
        <w:gridCol w:w="1399"/>
        <w:gridCol w:w="2438"/>
      </w:tblGrid>
      <w:tr>
        <w:trPr>
          <w:trHeight w:val="350" w:hRule="exact"/>
        </w:trPr>
        <w:tc>
          <w:tcPr>
            <w:tcW w:w="25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28"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36"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4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乌克兰格里夫尼亚</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103,248,840.70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0.27025</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27,902,999.20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73,207,725.42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0.37352</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27,344,549.60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4,917,442.27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4.58750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22,558,766.41</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匈牙利福林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934,458,869.26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0.02264</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21,156,148.80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101,292,373.36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0.19681</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19,935,352.00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26,742,952.39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0.73913</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19,766,518.40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马来西亚林吉特</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10,722,730.82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1.51398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16,234,000.01</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丹麦克朗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6,612,543.90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0.95157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6,292,298.40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7,616,997.28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0.73913</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5,629,951.20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6,441,651.19</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应收利息</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227"/>
              <w:jc w:val="right"/>
              <w:rPr>
                <w:rFonts w:ascii="宋体" w:hAnsi="宋体" w:cs="宋体" w:eastAsia="宋体" w:hint="default"/>
                <w:sz w:val="18"/>
                <w:szCs w:val="18"/>
              </w:rPr>
            </w:pPr>
            <w:r>
              <w:rPr>
                <w:rFonts w:ascii="宋体"/>
                <w:b/>
                <w:w w:val="95"/>
                <w:sz w:val="18"/>
              </w:rPr>
              <w:t>641,303.06</w:t>
            </w:r>
            <w:r>
              <w:rPr>
                <w:rFonts w:ascii="宋体"/>
                <w:sz w:val="18"/>
              </w:rPr>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765,479.08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6"/>
              <w:jc w:val="right"/>
              <w:rPr>
                <w:rFonts w:ascii="宋体" w:hAnsi="宋体" w:cs="宋体" w:eastAsia="宋体" w:hint="default"/>
                <w:sz w:val="18"/>
                <w:szCs w:val="18"/>
              </w:rPr>
            </w:pPr>
            <w:r>
              <w:rPr>
                <w:rFonts w:ascii="宋体"/>
                <w:spacing w:val="-1"/>
                <w:sz w:val="18"/>
              </w:rPr>
              <w:t>641,303.06</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8"/>
              <w:jc w:val="right"/>
              <w:rPr>
                <w:rFonts w:ascii="宋体" w:hAnsi="宋体" w:cs="宋体" w:eastAsia="宋体" w:hint="default"/>
                <w:sz w:val="18"/>
                <w:szCs w:val="18"/>
              </w:rPr>
            </w:pPr>
            <w:r>
              <w:rPr>
                <w:rFonts w:ascii="宋体"/>
                <w:b/>
                <w:w w:val="95"/>
                <w:sz w:val="18"/>
              </w:rPr>
              <w:t>424,867,311.67</w:t>
            </w:r>
            <w:r>
              <w:rPr>
                <w:rFonts w:ascii="宋体"/>
                <w:sz w:val="18"/>
              </w:rPr>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32,672,747.70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6.49360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212,163,754.46</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10,879,104.63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7.09520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77,189,423.17</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409,283,338.61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0.08842</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36,188,832.80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54,023,789.95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0.50159</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27,097,792.80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16,330,346.27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1.63947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26,773,112.80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126,368,009.76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0.19681</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24,870,488.00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波兰兹罗提</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4,364,732.10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1.66776</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7,279,325.61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13,304,582.03</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8"/>
              <w:jc w:val="right"/>
              <w:rPr>
                <w:rFonts w:ascii="宋体" w:hAnsi="宋体" w:cs="宋体" w:eastAsia="宋体" w:hint="default"/>
                <w:sz w:val="18"/>
                <w:szCs w:val="18"/>
              </w:rPr>
            </w:pPr>
            <w:r>
              <w:rPr>
                <w:rFonts w:ascii="宋体"/>
                <w:b/>
                <w:w w:val="95"/>
                <w:sz w:val="18"/>
              </w:rPr>
              <w:t>12,638,599,350.39</w:t>
            </w:r>
            <w:r>
              <w:rPr>
                <w:rFonts w:ascii="宋体"/>
                <w:sz w:val="18"/>
              </w:rPr>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1,886,145,435.79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6.49360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right="228"/>
              <w:jc w:val="right"/>
              <w:rPr>
                <w:rFonts w:ascii="宋体" w:hAnsi="宋体" w:cs="宋体" w:eastAsia="宋体" w:hint="default"/>
                <w:sz w:val="18"/>
                <w:szCs w:val="18"/>
              </w:rPr>
            </w:pPr>
            <w:r>
              <w:rPr>
                <w:rFonts w:ascii="宋体"/>
                <w:spacing w:val="-1"/>
                <w:sz w:val="18"/>
              </w:rPr>
              <w:t>12,247,874,001.85</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284,203,220.56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238,099,774.12</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9,274,741.01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7.09520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65,806,142.41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波兰兹罗提</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22,863,253.23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1.66776</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38,130,419.21</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4,836,127.29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1.63947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7,928,685.61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3,488,151.45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2.22277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7,753,358.40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15,392,831.60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0.50159</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7,720,890.40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15,598,340.62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0.42088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right="227"/>
              <w:jc w:val="right"/>
              <w:rPr>
                <w:rFonts w:ascii="宋体" w:hAnsi="宋体" w:cs="宋体" w:eastAsia="宋体" w:hint="default"/>
                <w:sz w:val="18"/>
                <w:szCs w:val="18"/>
              </w:rPr>
            </w:pPr>
            <w:r>
              <w:rPr>
                <w:rFonts w:ascii="宋体"/>
                <w:spacing w:val="-1"/>
                <w:sz w:val="18"/>
              </w:rPr>
              <w:t>6,565,029.60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65,508,835.10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0.08842</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5,792,291.20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19,840,800.58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0.26281</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5,214,360.80</w:t>
            </w:r>
          </w:p>
        </w:tc>
      </w:tr>
      <w:tr>
        <w:trPr>
          <w:trHeight w:val="344"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7,714,396.79</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8"/>
              <w:jc w:val="right"/>
              <w:rPr>
                <w:rFonts w:ascii="宋体" w:hAnsi="宋体" w:cs="宋体" w:eastAsia="宋体" w:hint="default"/>
                <w:sz w:val="18"/>
                <w:szCs w:val="18"/>
              </w:rPr>
            </w:pPr>
            <w:r>
              <w:rPr>
                <w:rFonts w:ascii="宋体"/>
                <w:b/>
                <w:w w:val="95"/>
                <w:sz w:val="18"/>
              </w:rPr>
              <w:t>3,183,857,200.50</w:t>
            </w:r>
            <w:r>
              <w:rPr>
                <w:rFonts w:ascii="宋体"/>
                <w:sz w:val="18"/>
              </w:rPr>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267,329,539.33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6.49360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1,735,931,096.59</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87,625,893.34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7.09520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621,723,238.43</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1,094,253,211.37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0.19681</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right="227"/>
              <w:jc w:val="right"/>
              <w:rPr>
                <w:rFonts w:ascii="宋体" w:hAnsi="宋体" w:cs="宋体" w:eastAsia="宋体" w:hint="default"/>
                <w:sz w:val="18"/>
                <w:szCs w:val="18"/>
              </w:rPr>
            </w:pPr>
            <w:r>
              <w:rPr>
                <w:rFonts w:ascii="宋体"/>
                <w:spacing w:val="-1"/>
                <w:sz w:val="18"/>
              </w:rPr>
              <w:t>215,359,974.53</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100,124,866.21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1.63947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164,151,714.41</w:t>
            </w:r>
          </w:p>
        </w:tc>
      </w:tr>
      <w:tr>
        <w:trPr>
          <w:trHeight w:val="355" w:hRule="exact"/>
        </w:trPr>
        <w:tc>
          <w:tcPr>
            <w:tcW w:w="25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23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209,440,899.54</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0.50159</w:t>
            </w:r>
          </w:p>
        </w:tc>
        <w:tc>
          <w:tcPr>
            <w:tcW w:w="24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105,053,460.80</w:t>
            </w:r>
          </w:p>
        </w:tc>
      </w:tr>
    </w:tbl>
    <w:p>
      <w:pPr>
        <w:spacing w:after="0" w:line="240" w:lineRule="auto"/>
        <w:jc w:val="right"/>
        <w:rPr>
          <w:rFonts w:ascii="宋体" w:hAnsi="宋体" w:cs="宋体" w:eastAsia="宋体" w:hint="default"/>
          <w:sz w:val="18"/>
          <w:szCs w:val="18"/>
        </w:rPr>
        <w:sectPr>
          <w:pgSz w:w="11910" w:h="16840"/>
          <w:pgMar w:header="881" w:footer="980" w:top="1600" w:bottom="1160" w:left="1520" w:right="140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547"/>
        <w:gridCol w:w="2350"/>
        <w:gridCol w:w="1399"/>
        <w:gridCol w:w="2438"/>
      </w:tblGrid>
      <w:tr>
        <w:trPr>
          <w:trHeight w:val="350" w:hRule="exact"/>
        </w:trPr>
        <w:tc>
          <w:tcPr>
            <w:tcW w:w="25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28"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36"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4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匈牙利福林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2,363,108,233.22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0.02264</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53,500,770.40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202,707,257.71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0.26281</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53,273,494.40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568,942,764.08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0.08842</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50,305,919.20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21,077,900.10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2.22277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46,851,324.01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波兰兹罗提</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26,429,796.13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1.66776</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44,078,556.79</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33,402,571.07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27,984,005.99</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5,123,312.15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4.72760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24,220,970.52</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2,018,501.06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4.58750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9,259,873.61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784,696.51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9.61590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7,545,563.17</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17,172,060.44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0.42088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7,227,376.80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227"/>
              <w:jc w:val="right"/>
              <w:rPr>
                <w:rFonts w:ascii="宋体" w:hAnsi="宋体" w:cs="宋体" w:eastAsia="宋体" w:hint="default"/>
                <w:sz w:val="18"/>
                <w:szCs w:val="18"/>
              </w:rPr>
            </w:pPr>
            <w:r>
              <w:rPr>
                <w:rFonts w:ascii="宋体"/>
                <w:spacing w:val="-1"/>
                <w:sz w:val="18"/>
              </w:rPr>
              <w:t>17,389,860.85</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8"/>
              <w:jc w:val="right"/>
              <w:rPr>
                <w:rFonts w:ascii="宋体" w:hAnsi="宋体" w:cs="宋体" w:eastAsia="宋体" w:hint="default"/>
                <w:sz w:val="18"/>
                <w:szCs w:val="18"/>
              </w:rPr>
            </w:pPr>
            <w:r>
              <w:rPr>
                <w:rFonts w:ascii="宋体"/>
                <w:b/>
                <w:w w:val="95"/>
                <w:sz w:val="18"/>
              </w:rPr>
              <w:t>1,092,388,136.75</w:t>
            </w:r>
            <w:r>
              <w:rPr>
                <w:rFonts w:ascii="宋体"/>
                <w:sz w:val="18"/>
              </w:rPr>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91,676,424.46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6.49360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595,310,029.87</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87,031,423.67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2.22277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193,450,837.59</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193,540,920.62</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162,144,712.48</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波兰兹罗提</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57,870,662.93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1.66776</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96,514,376.81</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299,196,181.86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0.08842</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26,454,926.40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11,292,218.58</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1.63947</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18,513,253.60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8"/>
              <w:jc w:val="right"/>
              <w:rPr>
                <w:rFonts w:ascii="宋体" w:hAnsi="宋体" w:cs="宋体" w:eastAsia="宋体" w:hint="default"/>
                <w:sz w:val="18"/>
                <w:szCs w:val="18"/>
              </w:rPr>
            </w:pPr>
            <w:r>
              <w:rPr>
                <w:rFonts w:ascii="宋体"/>
                <w:b/>
                <w:w w:val="95"/>
                <w:sz w:val="18"/>
              </w:rPr>
              <w:t>2,864,203,581.63</w:t>
            </w:r>
            <w:r>
              <w:rPr>
                <w:rFonts w:ascii="宋体"/>
                <w:sz w:val="18"/>
              </w:rPr>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197,150,000.00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6.49360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1,280,213,240.00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1,128,067,094.46</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945,072,050.40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90,049,370.17</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7.09520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638,918,291.23</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长期应付款</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right="228"/>
              <w:jc w:val="right"/>
              <w:rPr>
                <w:rFonts w:ascii="宋体" w:hAnsi="宋体" w:cs="宋体" w:eastAsia="宋体" w:hint="default"/>
                <w:sz w:val="18"/>
                <w:szCs w:val="18"/>
              </w:rPr>
            </w:pPr>
            <w:r>
              <w:rPr>
                <w:rFonts w:ascii="宋体"/>
                <w:b/>
                <w:w w:val="95"/>
                <w:sz w:val="18"/>
              </w:rPr>
              <w:t>306,738,183.20</w:t>
            </w:r>
            <w:r>
              <w:rPr>
                <w:rFonts w:ascii="宋体"/>
                <w:sz w:val="18"/>
              </w:rPr>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44,873,000.00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6.49360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291,387,312.80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2,038,173.30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7.09520</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spacing w:val="-1"/>
                <w:sz w:val="18"/>
              </w:rPr>
              <w:t>14,461,247.20</w:t>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1,773,606.33</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0.50159</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6"/>
              <w:jc w:val="right"/>
              <w:rPr>
                <w:rFonts w:ascii="宋体" w:hAnsi="宋体" w:cs="宋体" w:eastAsia="宋体" w:hint="default"/>
                <w:sz w:val="18"/>
                <w:szCs w:val="18"/>
              </w:rPr>
            </w:pPr>
            <w:r>
              <w:rPr>
                <w:rFonts w:ascii="宋体"/>
                <w:spacing w:val="-1"/>
                <w:sz w:val="18"/>
              </w:rPr>
              <w:t>889,623.20</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应付利息</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b/>
                <w:w w:val="95"/>
                <w:sz w:val="18"/>
              </w:rPr>
              <w:t>239,246.22</w:t>
            </w:r>
            <w:r>
              <w:rPr>
                <w:rFonts w:ascii="宋体"/>
                <w:sz w:val="18"/>
              </w:rPr>
            </w:r>
          </w:p>
        </w:tc>
      </w:tr>
      <w:tr>
        <w:trPr>
          <w:trHeight w:val="343"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1"/>
                <w:sz w:val="18"/>
              </w:rPr>
              <w:t>285,571.65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0.83778</w:t>
            </w: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6"/>
              <w:jc w:val="right"/>
              <w:rPr>
                <w:rFonts w:ascii="宋体" w:hAnsi="宋体" w:cs="宋体" w:eastAsia="宋体" w:hint="default"/>
                <w:sz w:val="18"/>
                <w:szCs w:val="18"/>
              </w:rPr>
            </w:pPr>
            <w:r>
              <w:rPr>
                <w:rFonts w:ascii="宋体"/>
                <w:spacing w:val="-1"/>
                <w:sz w:val="18"/>
              </w:rPr>
              <w:t>239,246.22</w:t>
            </w:r>
          </w:p>
        </w:tc>
      </w:tr>
      <w:tr>
        <w:trPr>
          <w:trHeight w:val="341" w:hRule="exact"/>
        </w:trPr>
        <w:tc>
          <w:tcPr>
            <w:tcW w:w="2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235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2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27"/>
              <w:jc w:val="right"/>
              <w:rPr>
                <w:rFonts w:ascii="宋体" w:hAnsi="宋体" w:cs="宋体" w:eastAsia="宋体" w:hint="default"/>
                <w:sz w:val="18"/>
                <w:szCs w:val="18"/>
              </w:rPr>
            </w:pPr>
            <w:r>
              <w:rPr>
                <w:rFonts w:ascii="宋体"/>
                <w:b/>
                <w:w w:val="95"/>
                <w:sz w:val="18"/>
              </w:rPr>
              <w:t>47,591,594.37</w:t>
            </w:r>
            <w:r>
              <w:rPr>
                <w:rFonts w:ascii="宋体"/>
                <w:sz w:val="18"/>
              </w:rPr>
            </w:r>
          </w:p>
        </w:tc>
      </w:tr>
      <w:tr>
        <w:trPr>
          <w:trHeight w:val="358" w:hRule="exact"/>
        </w:trPr>
        <w:tc>
          <w:tcPr>
            <w:tcW w:w="25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6,707,576.16</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7.09520</w:t>
            </w:r>
          </w:p>
        </w:tc>
        <w:tc>
          <w:tcPr>
            <w:tcW w:w="24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9"/>
              <w:ind w:right="227"/>
              <w:jc w:val="right"/>
              <w:rPr>
                <w:rFonts w:ascii="宋体" w:hAnsi="宋体" w:cs="宋体" w:eastAsia="宋体" w:hint="default"/>
                <w:sz w:val="18"/>
                <w:szCs w:val="18"/>
              </w:rPr>
            </w:pPr>
            <w:r>
              <w:rPr>
                <w:rFonts w:ascii="宋体"/>
                <w:spacing w:val="-1"/>
                <w:sz w:val="18"/>
              </w:rPr>
              <w:t>47,591,594.37</w:t>
            </w:r>
          </w:p>
        </w:tc>
      </w:tr>
    </w:tbl>
    <w:p>
      <w:pPr>
        <w:spacing w:line="240" w:lineRule="auto" w:before="3"/>
        <w:rPr>
          <w:rFonts w:ascii="Times New Roman" w:hAnsi="Times New Roman" w:cs="Times New Roman" w:eastAsia="Times New Roman" w:hint="default"/>
          <w:sz w:val="5"/>
          <w:szCs w:val="5"/>
        </w:rPr>
      </w:pPr>
    </w:p>
    <w:p>
      <w:pPr>
        <w:pStyle w:val="Heading7"/>
        <w:spacing w:line="391" w:lineRule="auto"/>
        <w:ind w:left="719" w:right="0"/>
        <w:jc w:val="left"/>
      </w:pPr>
      <w:r>
        <w:rPr/>
        <w:t>（</w:t>
      </w:r>
      <w:r>
        <w:rPr>
          <w:rFonts w:ascii="宋体" w:hAnsi="宋体" w:cs="宋体" w:eastAsia="宋体" w:hint="default"/>
        </w:rPr>
        <w:t>2</w:t>
      </w:r>
      <w:r>
        <w:rPr/>
        <w:t>）境外经营实体</w:t>
      </w:r>
      <w:r>
        <w:rPr>
          <w:w w:val="100"/>
        </w:rPr>
        <w:t> </w:t>
      </w:r>
      <w:r>
        <w:rPr>
          <w:spacing w:val="-3"/>
        </w:rPr>
        <w:t>本公司之子公司冠捷科技主要经营地遍布全球，主要的销售和采购等业务活动以外</w:t>
      </w:r>
    </w:p>
    <w:p>
      <w:pPr>
        <w:pStyle w:val="Heading7"/>
        <w:spacing w:line="253" w:lineRule="exact" w:before="0"/>
        <w:ind w:left="280" w:right="0"/>
        <w:jc w:val="left"/>
      </w:pPr>
      <w:r>
        <w:rPr/>
        <w:t>币结算为主，因此记账本位币为美元。</w:t>
      </w:r>
    </w:p>
    <w:p>
      <w:pPr>
        <w:pStyle w:val="Heading7"/>
        <w:spacing w:line="326" w:lineRule="auto" w:before="177"/>
        <w:ind w:left="280" w:right="0" w:firstLine="439"/>
        <w:jc w:val="left"/>
      </w:pPr>
      <w:r>
        <w:rPr>
          <w:spacing w:val="-3"/>
        </w:rPr>
        <w:t>本公司之子长城香港主要经营地为香港地区，主要业务活动以港币和美元结算，因</w:t>
      </w:r>
      <w:r>
        <w:rPr>
          <w:w w:val="100"/>
        </w:rPr>
        <w:t> </w:t>
      </w:r>
      <w:r>
        <w:rPr/>
        <w:t>此选择港币作为记账本位币。</w:t>
      </w:r>
    </w:p>
    <w:p>
      <w:pPr>
        <w:spacing w:after="0" w:line="326" w:lineRule="auto"/>
        <w:jc w:val="left"/>
        <w:sectPr>
          <w:pgSz w:w="11910" w:h="16840"/>
          <w:pgMar w:header="881" w:footer="980" w:top="1600" w:bottom="1160" w:left="1520" w:right="1400"/>
        </w:sectPr>
      </w:pPr>
    </w:p>
    <w:p>
      <w:pPr>
        <w:spacing w:line="240" w:lineRule="auto" w:before="3"/>
        <w:rPr>
          <w:rFonts w:ascii="宋体" w:hAnsi="宋体" w:cs="宋体" w:eastAsia="宋体" w:hint="default"/>
          <w:sz w:val="3"/>
          <w:szCs w:val="3"/>
        </w:rPr>
      </w:pPr>
    </w:p>
    <w:p>
      <w:pPr>
        <w:spacing w:line="20" w:lineRule="exact"/>
        <w:ind w:left="3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422" w:lineRule="auto" w:before="22"/>
        <w:ind w:left="759" w:right="5928" w:firstLine="2"/>
        <w:jc w:val="left"/>
        <w:rPr>
          <w:rFonts w:ascii="宋体" w:hAnsi="宋体" w:cs="宋体" w:eastAsia="宋体" w:hint="default"/>
          <w:sz w:val="22"/>
          <w:szCs w:val="22"/>
        </w:rPr>
      </w:pPr>
      <w:r>
        <w:rPr>
          <w:rFonts w:ascii="宋体" w:hAnsi="宋体" w:cs="宋体" w:eastAsia="宋体" w:hint="default"/>
          <w:b/>
          <w:bCs/>
          <w:sz w:val="22"/>
          <w:szCs w:val="22"/>
        </w:rPr>
        <w:t>七、合并范围的变化</w:t>
      </w:r>
      <w:r>
        <w:rPr>
          <w:rFonts w:ascii="宋体" w:hAnsi="宋体" w:cs="宋体" w:eastAsia="宋体" w:hint="default"/>
          <w:b/>
          <w:bCs/>
          <w:w w:val="99"/>
          <w:sz w:val="22"/>
          <w:szCs w:val="22"/>
        </w:rPr>
        <w:t> </w:t>
      </w:r>
      <w:r>
        <w:rPr>
          <w:rFonts w:ascii="宋体" w:hAnsi="宋体" w:cs="宋体" w:eastAsia="宋体" w:hint="default"/>
          <w:spacing w:val="-1"/>
          <w:sz w:val="22"/>
          <w:szCs w:val="22"/>
        </w:rPr>
        <w:t>1</w:t>
      </w:r>
      <w:r>
        <w:rPr>
          <w:rFonts w:ascii="宋体" w:hAnsi="宋体" w:cs="宋体" w:eastAsia="宋体" w:hint="default"/>
          <w:spacing w:val="-1"/>
          <w:sz w:val="22"/>
          <w:szCs w:val="22"/>
        </w:rPr>
        <w:t>、同一控制下企业合并</w:t>
      </w:r>
    </w:p>
    <w:p>
      <w:pPr>
        <w:pStyle w:val="Heading7"/>
        <w:spacing w:line="240" w:lineRule="auto" w:before="13"/>
        <w:ind w:left="759" w:right="446"/>
        <w:jc w:val="left"/>
      </w:pPr>
      <w:r>
        <w:rPr/>
        <w:t>（</w:t>
      </w:r>
      <w:r>
        <w:rPr>
          <w:rFonts w:ascii="宋体" w:hAnsi="宋体" w:cs="宋体" w:eastAsia="宋体" w:hint="default"/>
        </w:rPr>
        <w:t>1</w:t>
      </w:r>
      <w:r>
        <w:rPr/>
        <w:t>）本年发生的同一控制下企业合并</w:t>
      </w:r>
    </w:p>
    <w:p>
      <w:pPr>
        <w:spacing w:line="240" w:lineRule="auto" w:before="8"/>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1430"/>
        <w:gridCol w:w="1981"/>
        <w:gridCol w:w="2151"/>
        <w:gridCol w:w="1207"/>
        <w:gridCol w:w="1841"/>
      </w:tblGrid>
      <w:tr>
        <w:trPr>
          <w:trHeight w:val="679" w:hRule="exact"/>
        </w:trPr>
        <w:tc>
          <w:tcPr>
            <w:tcW w:w="1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tc>
        <w:tc>
          <w:tcPr>
            <w:tcW w:w="1981"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49"/>
              <w:ind w:left="715" w:right="174" w:hanging="543"/>
              <w:jc w:val="left"/>
              <w:rPr>
                <w:rFonts w:ascii="宋体" w:hAnsi="宋体" w:cs="宋体" w:eastAsia="宋体" w:hint="default"/>
                <w:sz w:val="18"/>
                <w:szCs w:val="18"/>
              </w:rPr>
            </w:pPr>
            <w:r>
              <w:rPr>
                <w:rFonts w:ascii="宋体" w:hAnsi="宋体" w:cs="宋体" w:eastAsia="宋体" w:hint="default"/>
                <w:b/>
                <w:bCs/>
                <w:sz w:val="18"/>
                <w:szCs w:val="18"/>
              </w:rPr>
              <w:t>企业合并中取得的权</w:t>
            </w:r>
            <w:r>
              <w:rPr>
                <w:rFonts w:ascii="宋体" w:hAnsi="宋体" w:cs="宋体" w:eastAsia="宋体" w:hint="default"/>
                <w:b/>
                <w:bCs/>
                <w:w w:val="99"/>
                <w:sz w:val="18"/>
                <w:szCs w:val="18"/>
              </w:rPr>
              <w:t> </w:t>
            </w:r>
            <w:r>
              <w:rPr>
                <w:rFonts w:ascii="宋体" w:hAnsi="宋体" w:cs="宋体" w:eastAsia="宋体" w:hint="default"/>
                <w:b/>
                <w:bCs/>
                <w:sz w:val="18"/>
                <w:szCs w:val="18"/>
              </w:rPr>
              <w:t>益比例</w:t>
            </w:r>
            <w:r>
              <w:rPr>
                <w:rFonts w:ascii="宋体" w:hAnsi="宋体" w:cs="宋体" w:eastAsia="宋体" w:hint="default"/>
                <w:sz w:val="18"/>
                <w:szCs w:val="18"/>
              </w:rPr>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49"/>
              <w:ind w:left="710" w:right="169" w:hanging="543"/>
              <w:jc w:val="left"/>
              <w:rPr>
                <w:rFonts w:ascii="宋体" w:hAnsi="宋体" w:cs="宋体" w:eastAsia="宋体" w:hint="default"/>
                <w:sz w:val="18"/>
                <w:szCs w:val="18"/>
              </w:rPr>
            </w:pPr>
            <w:r>
              <w:rPr>
                <w:rFonts w:ascii="宋体" w:hAnsi="宋体" w:cs="宋体" w:eastAsia="宋体" w:hint="default"/>
                <w:b/>
                <w:bCs/>
                <w:sz w:val="18"/>
                <w:szCs w:val="18"/>
              </w:rPr>
              <w:t>构成同一控制下企业合</w:t>
            </w:r>
            <w:r>
              <w:rPr>
                <w:rFonts w:ascii="宋体" w:hAnsi="宋体" w:cs="宋体" w:eastAsia="宋体" w:hint="default"/>
                <w:b/>
                <w:bCs/>
                <w:w w:val="99"/>
                <w:sz w:val="18"/>
                <w:szCs w:val="18"/>
              </w:rPr>
              <w:t> </w:t>
            </w:r>
            <w:r>
              <w:rPr>
                <w:rFonts w:ascii="宋体" w:hAnsi="宋体" w:cs="宋体" w:eastAsia="宋体" w:hint="default"/>
                <w:b/>
                <w:bCs/>
                <w:sz w:val="18"/>
                <w:szCs w:val="18"/>
              </w:rPr>
              <w:t>并的依据</w:t>
            </w:r>
            <w:r>
              <w:rPr>
                <w:rFonts w:ascii="宋体" w:hAnsi="宋体" w:cs="宋体" w:eastAsia="宋体" w:hint="default"/>
                <w:sz w:val="18"/>
                <w:szCs w:val="18"/>
              </w:rPr>
            </w:r>
          </w:p>
        </w:tc>
        <w:tc>
          <w:tcPr>
            <w:tcW w:w="12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18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b/>
                <w:bCs/>
                <w:w w:val="95"/>
                <w:sz w:val="18"/>
                <w:szCs w:val="18"/>
              </w:rPr>
              <w:t>合并日的确定依据</w:t>
            </w:r>
            <w:r>
              <w:rPr>
                <w:rFonts w:ascii="宋体" w:hAnsi="宋体" w:cs="宋体" w:eastAsia="宋体" w:hint="default"/>
                <w:sz w:val="18"/>
                <w:szCs w:val="18"/>
              </w:rPr>
            </w:r>
          </w:p>
        </w:tc>
      </w:tr>
      <w:tr>
        <w:trPr>
          <w:trHeight w:val="389" w:hRule="exact"/>
        </w:trPr>
        <w:tc>
          <w:tcPr>
            <w:tcW w:w="1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桑菲通信</w:t>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w:t>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2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2015-8-31</w:t>
            </w:r>
          </w:p>
        </w:tc>
        <w:tc>
          <w:tcPr>
            <w:tcW w:w="18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股权转让手续完结</w:t>
            </w:r>
          </w:p>
        </w:tc>
      </w:tr>
    </w:tbl>
    <w:p>
      <w:pPr>
        <w:spacing w:line="240" w:lineRule="auto" w:before="8"/>
        <w:rPr>
          <w:rFonts w:ascii="宋体" w:hAnsi="宋体" w:cs="宋体" w:eastAsia="宋体" w:hint="default"/>
          <w:sz w:val="4"/>
          <w:szCs w:val="4"/>
        </w:rPr>
      </w:pPr>
    </w:p>
    <w:p>
      <w:pPr>
        <w:pStyle w:val="Heading7"/>
        <w:spacing w:line="240" w:lineRule="auto"/>
        <w:ind w:left="759" w:right="446"/>
        <w:jc w:val="left"/>
      </w:pPr>
      <w:r>
        <w:rPr/>
        <w:t>续表：</w:t>
      </w:r>
    </w:p>
    <w:p>
      <w:pPr>
        <w:spacing w:line="240" w:lineRule="auto" w:before="8"/>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17"/>
        <w:gridCol w:w="1832"/>
        <w:gridCol w:w="1827"/>
        <w:gridCol w:w="1742"/>
        <w:gridCol w:w="1767"/>
      </w:tblGrid>
      <w:tr>
        <w:trPr>
          <w:trHeight w:val="794" w:hRule="exact"/>
        </w:trPr>
        <w:tc>
          <w:tcPr>
            <w:tcW w:w="15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sz w:val="18"/>
                <w:szCs w:val="18"/>
              </w:rPr>
            </w:r>
          </w:p>
        </w:tc>
        <w:tc>
          <w:tcPr>
            <w:tcW w:w="1832"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48"/>
              <w:ind w:left="189" w:right="191"/>
              <w:jc w:val="center"/>
              <w:rPr>
                <w:rFonts w:ascii="宋体" w:hAnsi="宋体" w:cs="宋体" w:eastAsia="宋体" w:hint="default"/>
                <w:sz w:val="18"/>
                <w:szCs w:val="18"/>
              </w:rPr>
            </w:pPr>
            <w:r>
              <w:rPr>
                <w:rFonts w:ascii="宋体" w:hAnsi="宋体" w:cs="宋体" w:eastAsia="宋体" w:hint="default"/>
                <w:b/>
                <w:bCs/>
                <w:sz w:val="18"/>
                <w:szCs w:val="18"/>
              </w:rPr>
              <w:t>合并当年年初至合</w:t>
            </w:r>
            <w:r>
              <w:rPr>
                <w:rFonts w:ascii="宋体" w:hAnsi="宋体" w:cs="宋体" w:eastAsia="宋体" w:hint="default"/>
                <w:b/>
                <w:bCs/>
                <w:w w:val="99"/>
                <w:sz w:val="18"/>
                <w:szCs w:val="18"/>
              </w:rPr>
              <w:t> </w:t>
            </w:r>
            <w:r>
              <w:rPr>
                <w:rFonts w:ascii="宋体" w:hAnsi="宋体" w:cs="宋体" w:eastAsia="宋体" w:hint="default"/>
                <w:b/>
                <w:bCs/>
                <w:sz w:val="18"/>
                <w:szCs w:val="18"/>
              </w:rPr>
              <w:t>并日被合并方的</w:t>
            </w:r>
            <w:r>
              <w:rPr>
                <w:rFonts w:ascii="宋体" w:hAnsi="宋体" w:cs="宋体" w:eastAsia="宋体" w:hint="default"/>
                <w:b/>
                <w:bCs/>
                <w:w w:val="99"/>
                <w:sz w:val="18"/>
                <w:szCs w:val="18"/>
              </w:rPr>
              <w:t> </w:t>
            </w:r>
            <w:r>
              <w:rPr>
                <w:rFonts w:ascii="宋体" w:hAnsi="宋体" w:cs="宋体" w:eastAsia="宋体" w:hint="default"/>
                <w:b/>
                <w:bCs/>
                <w:sz w:val="18"/>
                <w:szCs w:val="18"/>
              </w:rPr>
              <w:t>收入</w:t>
            </w:r>
            <w:r>
              <w:rPr>
                <w:rFonts w:ascii="宋体" w:hAnsi="宋体" w:cs="宋体" w:eastAsia="宋体" w:hint="default"/>
                <w:sz w:val="18"/>
                <w:szCs w:val="18"/>
              </w:rPr>
            </w:r>
          </w:p>
        </w:tc>
        <w:tc>
          <w:tcPr>
            <w:tcW w:w="1827"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48"/>
              <w:ind w:left="189" w:right="186"/>
              <w:jc w:val="center"/>
              <w:rPr>
                <w:rFonts w:ascii="宋体" w:hAnsi="宋体" w:cs="宋体" w:eastAsia="宋体" w:hint="default"/>
                <w:sz w:val="18"/>
                <w:szCs w:val="18"/>
              </w:rPr>
            </w:pPr>
            <w:r>
              <w:rPr>
                <w:rFonts w:ascii="宋体" w:hAnsi="宋体" w:cs="宋体" w:eastAsia="宋体" w:hint="default"/>
                <w:b/>
                <w:bCs/>
                <w:sz w:val="18"/>
                <w:szCs w:val="18"/>
              </w:rPr>
              <w:t>合并当年年初至合</w:t>
            </w:r>
            <w:r>
              <w:rPr>
                <w:rFonts w:ascii="宋体" w:hAnsi="宋体" w:cs="宋体" w:eastAsia="宋体" w:hint="default"/>
                <w:b/>
                <w:bCs/>
                <w:w w:val="99"/>
                <w:sz w:val="18"/>
                <w:szCs w:val="18"/>
              </w:rPr>
              <w:t> </w:t>
            </w:r>
            <w:r>
              <w:rPr>
                <w:rFonts w:ascii="宋体" w:hAnsi="宋体" w:cs="宋体" w:eastAsia="宋体" w:hint="default"/>
                <w:b/>
                <w:bCs/>
                <w:sz w:val="18"/>
                <w:szCs w:val="18"/>
              </w:rPr>
              <w:t>并日被合并方的</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c>
          <w:tcPr>
            <w:tcW w:w="1742"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106"/>
              <w:ind w:left="686" w:right="144" w:hanging="540"/>
              <w:jc w:val="left"/>
              <w:rPr>
                <w:rFonts w:ascii="宋体" w:hAnsi="宋体" w:cs="宋体" w:eastAsia="宋体" w:hint="default"/>
                <w:sz w:val="18"/>
                <w:szCs w:val="18"/>
              </w:rPr>
            </w:pPr>
            <w:r>
              <w:rPr>
                <w:rFonts w:ascii="宋体" w:hAnsi="宋体" w:cs="宋体" w:eastAsia="宋体" w:hint="default"/>
                <w:b/>
                <w:bCs/>
                <w:sz w:val="18"/>
                <w:szCs w:val="18"/>
              </w:rPr>
              <w:t>比较期间合并方的</w:t>
            </w:r>
            <w:r>
              <w:rPr>
                <w:rFonts w:ascii="宋体" w:hAnsi="宋体" w:cs="宋体" w:eastAsia="宋体" w:hint="default"/>
                <w:b/>
                <w:bCs/>
                <w:w w:val="99"/>
                <w:sz w:val="18"/>
                <w:szCs w:val="18"/>
              </w:rPr>
              <w:t> </w:t>
            </w:r>
            <w:r>
              <w:rPr>
                <w:rFonts w:ascii="宋体" w:hAnsi="宋体" w:cs="宋体" w:eastAsia="宋体" w:hint="default"/>
                <w:b/>
                <w:bCs/>
                <w:sz w:val="18"/>
                <w:szCs w:val="18"/>
              </w:rPr>
              <w:t>收入</w:t>
            </w:r>
            <w:r>
              <w:rPr>
                <w:rFonts w:ascii="宋体" w:hAnsi="宋体" w:cs="宋体" w:eastAsia="宋体" w:hint="default"/>
                <w:sz w:val="18"/>
                <w:szCs w:val="18"/>
              </w:rPr>
            </w:r>
          </w:p>
        </w:tc>
        <w:tc>
          <w:tcPr>
            <w:tcW w:w="1767" w:type="dxa"/>
            <w:tcBorders>
              <w:top w:val="single" w:sz="12" w:space="0" w:color="000000"/>
              <w:left w:val="single" w:sz="2" w:space="0" w:color="000000"/>
              <w:bottom w:val="single" w:sz="2" w:space="0" w:color="000000"/>
              <w:right w:val="nil" w:sz="6" w:space="0" w:color="auto"/>
            </w:tcBorders>
          </w:tcPr>
          <w:p>
            <w:pPr>
              <w:pStyle w:val="TableParagraph"/>
              <w:spacing w:line="297" w:lineRule="auto" w:before="106"/>
              <w:ind w:left="610" w:right="159" w:hanging="452"/>
              <w:jc w:val="left"/>
              <w:rPr>
                <w:rFonts w:ascii="宋体" w:hAnsi="宋体" w:cs="宋体" w:eastAsia="宋体" w:hint="default"/>
                <w:sz w:val="18"/>
                <w:szCs w:val="18"/>
              </w:rPr>
            </w:pPr>
            <w:r>
              <w:rPr>
                <w:rFonts w:ascii="宋体" w:hAnsi="宋体" w:cs="宋体" w:eastAsia="宋体" w:hint="default"/>
                <w:b/>
                <w:bCs/>
                <w:sz w:val="18"/>
                <w:szCs w:val="18"/>
              </w:rPr>
              <w:t>比较期间合并方的</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89" w:hRule="exact"/>
        </w:trPr>
        <w:tc>
          <w:tcPr>
            <w:tcW w:w="15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桑菲通信</w:t>
            </w:r>
          </w:p>
        </w:tc>
        <w:tc>
          <w:tcPr>
            <w:tcW w:w="1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458" w:right="0"/>
              <w:jc w:val="left"/>
              <w:rPr>
                <w:rFonts w:ascii="宋体" w:hAnsi="宋体" w:cs="宋体" w:eastAsia="宋体" w:hint="default"/>
                <w:sz w:val="18"/>
                <w:szCs w:val="18"/>
              </w:rPr>
            </w:pPr>
            <w:r>
              <w:rPr>
                <w:rFonts w:ascii="宋体"/>
                <w:sz w:val="18"/>
              </w:rPr>
              <w:t>561,552,703.02</w:t>
            </w:r>
          </w:p>
        </w:tc>
        <w:tc>
          <w:tcPr>
            <w:tcW w:w="18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458" w:right="0"/>
              <w:jc w:val="left"/>
              <w:rPr>
                <w:rFonts w:ascii="宋体" w:hAnsi="宋体" w:cs="宋体" w:eastAsia="宋体" w:hint="default"/>
                <w:sz w:val="18"/>
                <w:szCs w:val="18"/>
              </w:rPr>
            </w:pPr>
            <w:r>
              <w:rPr>
                <w:rFonts w:ascii="宋体"/>
                <w:sz w:val="18"/>
              </w:rPr>
              <w:t>-34,808,642.06</w:t>
            </w:r>
          </w:p>
        </w:tc>
        <w:tc>
          <w:tcPr>
            <w:tcW w:w="17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宋体"/>
                <w:sz w:val="18"/>
              </w:rPr>
              <w:t>1,425,422,048.50</w:t>
            </w:r>
          </w:p>
        </w:tc>
        <w:tc>
          <w:tcPr>
            <w:tcW w:w="17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302" w:right="0"/>
              <w:jc w:val="left"/>
              <w:rPr>
                <w:rFonts w:ascii="宋体" w:hAnsi="宋体" w:cs="宋体" w:eastAsia="宋体" w:hint="default"/>
                <w:sz w:val="18"/>
                <w:szCs w:val="18"/>
              </w:rPr>
            </w:pPr>
            <w:r>
              <w:rPr>
                <w:rFonts w:ascii="宋体"/>
                <w:sz w:val="18"/>
              </w:rPr>
              <w:t>-291,109,687.74</w:t>
            </w:r>
          </w:p>
        </w:tc>
      </w:tr>
    </w:tbl>
    <w:p>
      <w:pPr>
        <w:spacing w:line="240" w:lineRule="auto" w:before="8"/>
        <w:rPr>
          <w:rFonts w:ascii="宋体" w:hAnsi="宋体" w:cs="宋体" w:eastAsia="宋体" w:hint="default"/>
          <w:sz w:val="4"/>
          <w:szCs w:val="4"/>
        </w:rPr>
      </w:pPr>
    </w:p>
    <w:p>
      <w:pPr>
        <w:pStyle w:val="Heading7"/>
        <w:spacing w:line="240" w:lineRule="auto"/>
        <w:ind w:left="759" w:right="446"/>
        <w:jc w:val="left"/>
      </w:pPr>
      <w:r>
        <w:rPr/>
        <w:t>（</w:t>
      </w:r>
      <w:r>
        <w:rPr>
          <w:rFonts w:ascii="宋体" w:hAnsi="宋体" w:cs="宋体" w:eastAsia="宋体" w:hint="default"/>
        </w:rPr>
        <w:t>2</w:t>
      </w:r>
      <w:r>
        <w:rPr/>
        <w:t>）合并成本</w:t>
      </w:r>
    </w:p>
    <w:p>
      <w:pPr>
        <w:spacing w:line="240" w:lineRule="auto" w:before="8"/>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4690"/>
        <w:gridCol w:w="3848"/>
      </w:tblGrid>
      <w:tr>
        <w:trPr>
          <w:trHeight w:val="389" w:hRule="exact"/>
        </w:trPr>
        <w:tc>
          <w:tcPr>
            <w:tcW w:w="46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桑菲通信</w:t>
            </w:r>
            <w:r>
              <w:rPr>
                <w:rFonts w:ascii="宋体" w:hAnsi="宋体" w:cs="宋体" w:eastAsia="宋体" w:hint="default"/>
                <w:sz w:val="18"/>
                <w:szCs w:val="18"/>
              </w:rPr>
            </w:r>
          </w:p>
        </w:tc>
      </w:tr>
      <w:tr>
        <w:trPr>
          <w:trHeight w:val="374" w:hRule="exact"/>
        </w:trPr>
        <w:tc>
          <w:tcPr>
            <w:tcW w:w="4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45,000,000.00</w:t>
            </w:r>
          </w:p>
        </w:tc>
      </w:tr>
      <w:tr>
        <w:trPr>
          <w:trHeight w:val="386" w:hRule="exact"/>
        </w:trPr>
        <w:tc>
          <w:tcPr>
            <w:tcW w:w="46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b/>
                <w:bCs/>
                <w:sz w:val="18"/>
                <w:szCs w:val="18"/>
              </w:rPr>
              <w:t>合并成本合计</w:t>
            </w:r>
            <w:r>
              <w:rPr>
                <w:rFonts w:ascii="宋体" w:hAnsi="宋体" w:cs="宋体" w:eastAsia="宋体" w:hint="default"/>
                <w:sz w:val="18"/>
                <w:szCs w:val="18"/>
              </w:rPr>
            </w:r>
          </w:p>
        </w:tc>
        <w:tc>
          <w:tcPr>
            <w:tcW w:w="38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45,000,000.00</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59" w:right="446"/>
        <w:jc w:val="left"/>
      </w:pPr>
      <w:r>
        <w:rPr/>
        <w:t>（</w:t>
      </w:r>
      <w:r>
        <w:rPr>
          <w:rFonts w:ascii="宋体" w:hAnsi="宋体" w:cs="宋体" w:eastAsia="宋体" w:hint="default"/>
        </w:rPr>
        <w:t>3</w:t>
      </w:r>
      <w:r>
        <w:rPr/>
        <w:t>）合并日被合并方资产、负债的账面价值</w:t>
      </w:r>
    </w:p>
    <w:p>
      <w:pPr>
        <w:spacing w:line="240" w:lineRule="auto" w:before="8"/>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3581"/>
        <w:gridCol w:w="2633"/>
        <w:gridCol w:w="2324"/>
      </w:tblGrid>
      <w:tr>
        <w:trPr>
          <w:trHeight w:val="389" w:hRule="exact"/>
        </w:trPr>
        <w:tc>
          <w:tcPr>
            <w:tcW w:w="3581"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95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桑菲通信</w:t>
            </w:r>
            <w:r>
              <w:rPr>
                <w:rFonts w:ascii="宋体" w:hAnsi="宋体" w:cs="宋体" w:eastAsia="宋体" w:hint="default"/>
                <w:sz w:val="18"/>
                <w:szCs w:val="18"/>
              </w:rPr>
            </w:r>
          </w:p>
        </w:tc>
      </w:tr>
      <w:tr>
        <w:trPr>
          <w:trHeight w:val="374" w:hRule="exact"/>
        </w:trPr>
        <w:tc>
          <w:tcPr>
            <w:tcW w:w="3581" w:type="dxa"/>
            <w:vMerge/>
            <w:tcBorders>
              <w:left w:val="nil" w:sz="6" w:space="0" w:color="auto"/>
              <w:bottom w:val="single" w:sz="2" w:space="0" w:color="000000"/>
              <w:right w:val="single" w:sz="2" w:space="0" w:color="000000"/>
            </w:tcBorders>
          </w:tcPr>
          <w:p>
            <w:pP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上年年末</w:t>
            </w:r>
            <w:r>
              <w:rPr>
                <w:rFonts w:ascii="宋体" w:hAnsi="宋体" w:cs="宋体" w:eastAsia="宋体" w:hint="default"/>
                <w:sz w:val="18"/>
                <w:szCs w:val="18"/>
              </w:rPr>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633" w:type="dxa"/>
            <w:tcBorders>
              <w:top w:val="single" w:sz="2" w:space="0" w:color="000000"/>
              <w:left w:val="single" w:sz="2" w:space="0" w:color="000000"/>
              <w:bottom w:val="single" w:sz="2" w:space="0" w:color="000000"/>
              <w:right w:val="single" w:sz="2" w:space="0" w:color="000000"/>
            </w:tcBorders>
          </w:tcPr>
          <w:p>
            <w:pPr/>
          </w:p>
        </w:tc>
        <w:tc>
          <w:tcPr>
            <w:tcW w:w="232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255,001,893.46</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291,975,566.65</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173,476,049.55</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273,536,652.14</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64,501,071.90</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120,671,661.80</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13,978,591.19</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30,037,834.64</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26,738,075.21</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29,322,276.31</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572,025,421.19</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795,462,103.16</w:t>
            </w:r>
          </w:p>
        </w:tc>
      </w:tr>
      <w:tr>
        <w:trPr>
          <w:trHeight w:val="377"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633" w:type="dxa"/>
            <w:tcBorders>
              <w:top w:val="single" w:sz="2" w:space="0" w:color="000000"/>
              <w:left w:val="single" w:sz="2" w:space="0" w:color="000000"/>
              <w:bottom w:val="single" w:sz="2" w:space="0" w:color="000000"/>
              <w:right w:val="single" w:sz="2" w:space="0" w:color="000000"/>
            </w:tcBorders>
          </w:tcPr>
          <w:p>
            <w:pPr/>
          </w:p>
        </w:tc>
        <w:tc>
          <w:tcPr>
            <w:tcW w:w="232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286,939,629.36</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280,703,200.00</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278,661,894.02</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495,606,304.70</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613,213,266.42</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831,265,767.81</w:t>
            </w:r>
          </w:p>
        </w:tc>
      </w:tr>
      <w:tr>
        <w:trPr>
          <w:trHeight w:val="374"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-41,187,845.23</w:t>
            </w:r>
          </w:p>
        </w:tc>
        <w:tc>
          <w:tcPr>
            <w:tcW w:w="2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-35,803,664.65</w:t>
            </w:r>
          </w:p>
        </w:tc>
      </w:tr>
      <w:tr>
        <w:trPr>
          <w:trHeight w:val="375" w:hRule="exact"/>
        </w:trPr>
        <w:tc>
          <w:tcPr>
            <w:tcW w:w="35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633" w:type="dxa"/>
            <w:tcBorders>
              <w:top w:val="single" w:sz="2" w:space="0" w:color="000000"/>
              <w:left w:val="single" w:sz="2" w:space="0" w:color="000000"/>
              <w:bottom w:val="single" w:sz="2" w:space="0" w:color="000000"/>
              <w:right w:val="single" w:sz="2" w:space="0" w:color="000000"/>
            </w:tcBorders>
          </w:tcPr>
          <w:p>
            <w:pPr/>
          </w:p>
        </w:tc>
        <w:tc>
          <w:tcPr>
            <w:tcW w:w="2324" w:type="dxa"/>
            <w:tcBorders>
              <w:top w:val="single" w:sz="2" w:space="0" w:color="000000"/>
              <w:left w:val="single" w:sz="2" w:space="0" w:color="000000"/>
              <w:bottom w:val="single" w:sz="2" w:space="0" w:color="000000"/>
              <w:right w:val="nil" w:sz="6" w:space="0" w:color="auto"/>
            </w:tcBorders>
          </w:tcPr>
          <w:p>
            <w:pPr/>
          </w:p>
        </w:tc>
      </w:tr>
      <w:tr>
        <w:trPr>
          <w:trHeight w:val="389" w:hRule="exact"/>
        </w:trPr>
        <w:tc>
          <w:tcPr>
            <w:tcW w:w="35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-41,187,845.23</w:t>
            </w:r>
          </w:p>
        </w:tc>
        <w:tc>
          <w:tcPr>
            <w:tcW w:w="23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-35,803,664.65</w:t>
            </w:r>
          </w:p>
        </w:tc>
      </w:tr>
    </w:tbl>
    <w:p>
      <w:pPr>
        <w:spacing w:after="0" w:line="240" w:lineRule="auto"/>
        <w:jc w:val="right"/>
        <w:rPr>
          <w:rFonts w:ascii="宋体" w:hAnsi="宋体" w:cs="宋体" w:eastAsia="宋体" w:hint="default"/>
          <w:sz w:val="18"/>
          <w:szCs w:val="18"/>
        </w:rPr>
        <w:sectPr>
          <w:pgSz w:w="11910" w:h="16840"/>
          <w:pgMar w:header="881" w:footer="980" w:top="1600" w:bottom="1160" w:left="1480" w:right="1420"/>
        </w:sectPr>
      </w:pPr>
    </w:p>
    <w:p>
      <w:pPr>
        <w:pStyle w:val="Heading6"/>
        <w:spacing w:line="240" w:lineRule="auto" w:before="7"/>
        <w:ind w:left="360" w:right="0"/>
        <w:jc w:val="left"/>
        <w:rPr>
          <w:b w:val="0"/>
          <w:bCs w:val="0"/>
        </w:rPr>
      </w:pPr>
      <w:r>
        <w:rPr/>
        <w:t>中国长城计算机深圳股份有限公司财务报表附注</w:t>
      </w:r>
      <w:r>
        <w:rPr>
          <w:b w:val="0"/>
          <w:bCs w:val="0"/>
        </w:rPr>
      </w:r>
    </w:p>
    <w:p>
      <w:pPr>
        <w:pStyle w:val="BodyText"/>
        <w:spacing w:line="234" w:lineRule="exact" w:before="4"/>
        <w:ind w:left="36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36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5"/>
          <w:szCs w:val="15"/>
        </w:rPr>
      </w:pPr>
    </w:p>
    <w:p>
      <w:pPr>
        <w:pStyle w:val="Heading7"/>
        <w:spacing w:line="240" w:lineRule="auto"/>
        <w:ind w:left="799" w:right="0"/>
        <w:jc w:val="left"/>
      </w:pPr>
      <w:r>
        <w:rPr>
          <w:rFonts w:ascii="宋体" w:hAnsi="宋体" w:cs="宋体" w:eastAsia="宋体" w:hint="default"/>
        </w:rPr>
        <w:t>2</w:t>
      </w:r>
      <w:r>
        <w:rPr/>
        <w:t>、处置子公司</w:t>
      </w:r>
    </w:p>
    <w:p>
      <w:pPr>
        <w:spacing w:line="240" w:lineRule="auto" w:before="8"/>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104"/>
        <w:gridCol w:w="701"/>
        <w:gridCol w:w="708"/>
        <w:gridCol w:w="974"/>
        <w:gridCol w:w="1119"/>
        <w:gridCol w:w="1538"/>
        <w:gridCol w:w="1538"/>
        <w:gridCol w:w="840"/>
        <w:gridCol w:w="840"/>
        <w:gridCol w:w="845"/>
        <w:gridCol w:w="1538"/>
        <w:gridCol w:w="1417"/>
        <w:gridCol w:w="1231"/>
      </w:tblGrid>
      <w:tr>
        <w:trPr>
          <w:trHeight w:val="1555" w:hRule="exact"/>
        </w:trPr>
        <w:tc>
          <w:tcPr>
            <w:tcW w:w="110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95" w:lineRule="auto"/>
              <w:ind w:left="74" w:right="77"/>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w w:val="99"/>
                <w:sz w:val="18"/>
                <w:szCs w:val="18"/>
              </w:rPr>
              <w:t> </w:t>
            </w:r>
            <w:r>
              <w:rPr>
                <w:rFonts w:ascii="宋体" w:hAnsi="宋体" w:cs="宋体" w:eastAsia="宋体" w:hint="default"/>
                <w:b/>
                <w:bCs/>
                <w:sz w:val="18"/>
                <w:szCs w:val="18"/>
              </w:rPr>
              <w:t>置价款</w:t>
            </w:r>
            <w:r>
              <w:rPr>
                <w:rFonts w:ascii="宋体" w:hAnsi="宋体" w:cs="宋体" w:eastAsia="宋体" w:hint="default"/>
                <w:sz w:val="18"/>
                <w:szCs w:val="18"/>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95" w:lineRule="auto"/>
              <w:ind w:left="79" w:right="79"/>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w w:val="99"/>
                <w:sz w:val="18"/>
                <w:szCs w:val="18"/>
              </w:rPr>
              <w:t> </w:t>
            </w:r>
            <w:r>
              <w:rPr>
                <w:rFonts w:ascii="宋体" w:hAnsi="宋体" w:cs="宋体" w:eastAsia="宋体" w:hint="default"/>
                <w:b/>
                <w:bCs/>
                <w:sz w:val="18"/>
                <w:szCs w:val="18"/>
              </w:rPr>
              <w:t>置比例</w:t>
            </w:r>
            <w:r>
              <w:rPr>
                <w:rFonts w:ascii="宋体" w:hAnsi="宋体" w:cs="宋体" w:eastAsia="宋体" w:hint="default"/>
                <w:sz w:val="18"/>
                <w:szCs w:val="18"/>
              </w:rPr>
            </w:r>
          </w:p>
          <w:p>
            <w:pPr>
              <w:pStyle w:val="TableParagraph"/>
              <w:spacing w:line="240" w:lineRule="auto" w:before="16"/>
              <w:ind w:left="1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95" w:lineRule="auto"/>
              <w:ind w:left="302" w:right="122" w:hanging="180"/>
              <w:jc w:val="left"/>
              <w:rPr>
                <w:rFonts w:ascii="宋体" w:hAnsi="宋体" w:cs="宋体" w:eastAsia="宋体" w:hint="default"/>
                <w:sz w:val="18"/>
                <w:szCs w:val="18"/>
              </w:rPr>
            </w:pPr>
            <w:r>
              <w:rPr>
                <w:rFonts w:ascii="宋体" w:hAnsi="宋体" w:cs="宋体" w:eastAsia="宋体" w:hint="default"/>
                <w:b/>
                <w:bCs/>
                <w:sz w:val="18"/>
                <w:szCs w:val="18"/>
              </w:rPr>
              <w:t>股权处置</w:t>
            </w:r>
            <w:r>
              <w:rPr>
                <w:rFonts w:ascii="宋体" w:hAnsi="宋体" w:cs="宋体" w:eastAsia="宋体" w:hint="default"/>
                <w:b/>
                <w:bCs/>
                <w:w w:val="99"/>
                <w:sz w:val="18"/>
                <w:szCs w:val="18"/>
              </w:rPr>
              <w:t> </w:t>
            </w:r>
            <w:r>
              <w:rPr>
                <w:rFonts w:ascii="宋体" w:hAnsi="宋体" w:cs="宋体" w:eastAsia="宋体" w:hint="default"/>
                <w:b/>
                <w:bCs/>
                <w:sz w:val="18"/>
                <w:szCs w:val="18"/>
              </w:rPr>
              <w:t>方式</w:t>
            </w:r>
            <w:r>
              <w:rPr>
                <w:rFonts w:ascii="宋体" w:hAnsi="宋体" w:cs="宋体" w:eastAsia="宋体" w:hint="default"/>
                <w:sz w:val="18"/>
                <w:szCs w:val="18"/>
              </w:rPr>
            </w:r>
          </w:p>
        </w:tc>
        <w:tc>
          <w:tcPr>
            <w:tcW w:w="1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95" w:lineRule="auto"/>
              <w:ind w:left="283" w:right="106" w:hanging="180"/>
              <w:jc w:val="left"/>
              <w:rPr>
                <w:rFonts w:ascii="宋体" w:hAnsi="宋体" w:cs="宋体" w:eastAsia="宋体" w:hint="default"/>
                <w:sz w:val="18"/>
                <w:szCs w:val="18"/>
              </w:rPr>
            </w:pPr>
            <w:r>
              <w:rPr>
                <w:rFonts w:ascii="宋体" w:hAnsi="宋体" w:cs="宋体" w:eastAsia="宋体" w:hint="default"/>
                <w:b/>
                <w:bCs/>
                <w:sz w:val="18"/>
                <w:szCs w:val="18"/>
              </w:rPr>
              <w:t>丧失控制权</w:t>
            </w:r>
            <w:r>
              <w:rPr>
                <w:rFonts w:ascii="宋体" w:hAnsi="宋体" w:cs="宋体" w:eastAsia="宋体" w:hint="default"/>
                <w:b/>
                <w:bCs/>
                <w:w w:val="99"/>
                <w:sz w:val="18"/>
                <w:szCs w:val="18"/>
              </w:rPr>
              <w:t> </w:t>
            </w:r>
            <w:r>
              <w:rPr>
                <w:rFonts w:ascii="宋体" w:hAnsi="宋体" w:cs="宋体" w:eastAsia="宋体" w:hint="default"/>
                <w:b/>
                <w:bCs/>
                <w:sz w:val="18"/>
                <w:szCs w:val="18"/>
              </w:rPr>
              <w:t>的时点</w:t>
            </w:r>
            <w:r>
              <w:rPr>
                <w:rFonts w:ascii="宋体" w:hAnsi="宋体" w:cs="宋体" w:eastAsia="宋体" w:hint="default"/>
                <w:sz w:val="18"/>
                <w:szCs w:val="18"/>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95" w:lineRule="auto"/>
              <w:ind w:left="405" w:right="44" w:hanging="363"/>
              <w:jc w:val="left"/>
              <w:rPr>
                <w:rFonts w:ascii="宋体" w:hAnsi="宋体" w:cs="宋体" w:eastAsia="宋体" w:hint="default"/>
                <w:sz w:val="18"/>
                <w:szCs w:val="18"/>
              </w:rPr>
            </w:pPr>
            <w:r>
              <w:rPr>
                <w:rFonts w:ascii="宋体" w:hAnsi="宋体" w:cs="宋体" w:eastAsia="宋体" w:hint="default"/>
                <w:b/>
                <w:bCs/>
                <w:sz w:val="18"/>
                <w:szCs w:val="18"/>
              </w:rPr>
              <w:t>丧失控制权时点的</w:t>
            </w:r>
            <w:r>
              <w:rPr>
                <w:rFonts w:ascii="宋体" w:hAnsi="宋体" w:cs="宋体" w:eastAsia="宋体" w:hint="default"/>
                <w:b/>
                <w:bCs/>
                <w:w w:val="99"/>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97" w:lineRule="auto" w:before="49"/>
              <w:ind w:left="40" w:right="46"/>
              <w:jc w:val="center"/>
              <w:rPr>
                <w:rFonts w:ascii="宋体" w:hAnsi="宋体" w:cs="宋体" w:eastAsia="宋体" w:hint="default"/>
                <w:sz w:val="18"/>
                <w:szCs w:val="18"/>
              </w:rPr>
            </w:pPr>
            <w:r>
              <w:rPr>
                <w:rFonts w:ascii="宋体" w:hAnsi="宋体" w:cs="宋体" w:eastAsia="宋体" w:hint="default"/>
                <w:b/>
                <w:bCs/>
                <w:sz w:val="18"/>
                <w:szCs w:val="18"/>
              </w:rPr>
              <w:t>处置价款与处置投</w:t>
            </w:r>
            <w:r>
              <w:rPr>
                <w:rFonts w:ascii="宋体" w:hAnsi="宋体" w:cs="宋体" w:eastAsia="宋体" w:hint="default"/>
                <w:b/>
                <w:bCs/>
                <w:w w:val="99"/>
                <w:sz w:val="18"/>
                <w:szCs w:val="18"/>
              </w:rPr>
              <w:t> </w:t>
            </w:r>
            <w:r>
              <w:rPr>
                <w:rFonts w:ascii="宋体" w:hAnsi="宋体" w:cs="宋体" w:eastAsia="宋体" w:hint="default"/>
                <w:b/>
                <w:bCs/>
                <w:sz w:val="18"/>
                <w:szCs w:val="18"/>
              </w:rPr>
              <w:t>资对应的合并财务</w:t>
            </w:r>
            <w:r>
              <w:rPr>
                <w:rFonts w:ascii="宋体" w:hAnsi="宋体" w:cs="宋体" w:eastAsia="宋体" w:hint="default"/>
                <w:b/>
                <w:bCs/>
                <w:w w:val="99"/>
                <w:sz w:val="18"/>
                <w:szCs w:val="18"/>
              </w:rPr>
              <w:t> </w:t>
            </w:r>
            <w:r>
              <w:rPr>
                <w:rFonts w:ascii="宋体" w:hAnsi="宋体" w:cs="宋体" w:eastAsia="宋体" w:hint="default"/>
                <w:b/>
                <w:bCs/>
                <w:sz w:val="18"/>
                <w:szCs w:val="18"/>
              </w:rPr>
              <w:t>报表层面享有该子</w:t>
            </w:r>
            <w:r>
              <w:rPr>
                <w:rFonts w:ascii="宋体" w:hAnsi="宋体" w:cs="宋体" w:eastAsia="宋体" w:hint="default"/>
                <w:b/>
                <w:bCs/>
                <w:w w:val="99"/>
                <w:sz w:val="18"/>
                <w:szCs w:val="18"/>
              </w:rPr>
              <w:t> </w:t>
            </w:r>
            <w:r>
              <w:rPr>
                <w:rFonts w:ascii="宋体" w:hAnsi="宋体" w:cs="宋体" w:eastAsia="宋体" w:hint="default"/>
                <w:b/>
                <w:bCs/>
                <w:sz w:val="18"/>
                <w:szCs w:val="18"/>
              </w:rPr>
              <w:t>公司净资产份额的</w:t>
            </w:r>
            <w:r>
              <w:rPr>
                <w:rFonts w:ascii="宋体" w:hAnsi="宋体" w:cs="宋体" w:eastAsia="宋体" w:hint="default"/>
                <w:b/>
                <w:bCs/>
                <w:w w:val="99"/>
                <w:sz w:val="18"/>
                <w:szCs w:val="18"/>
              </w:rPr>
              <w:t> </w:t>
            </w:r>
            <w:r>
              <w:rPr>
                <w:rFonts w:ascii="宋体" w:hAnsi="宋体" w:cs="宋体" w:eastAsia="宋体" w:hint="default"/>
                <w:b/>
                <w:bCs/>
                <w:sz w:val="18"/>
                <w:szCs w:val="18"/>
              </w:rPr>
              <w:t>差额</w:t>
            </w:r>
            <w:r>
              <w:rPr>
                <w:rFonts w:ascii="宋体" w:hAnsi="宋体" w:cs="宋体" w:eastAsia="宋体" w:hint="default"/>
                <w:sz w:val="18"/>
                <w:szCs w:val="18"/>
              </w:rPr>
            </w:r>
          </w:p>
        </w:tc>
        <w:tc>
          <w:tcPr>
            <w:tcW w:w="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7" w:lineRule="auto"/>
              <w:ind w:left="55" w:right="56"/>
              <w:jc w:val="center"/>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w w:val="99"/>
                <w:sz w:val="18"/>
                <w:szCs w:val="18"/>
              </w:rPr>
              <w:t> </w:t>
            </w:r>
            <w:r>
              <w:rPr>
                <w:rFonts w:ascii="宋体" w:hAnsi="宋体" w:cs="宋体" w:eastAsia="宋体" w:hint="default"/>
                <w:b/>
                <w:bCs/>
                <w:sz w:val="18"/>
                <w:szCs w:val="18"/>
              </w:rPr>
              <w:t>权之日剩</w:t>
            </w:r>
            <w:r>
              <w:rPr>
                <w:rFonts w:ascii="宋体" w:hAnsi="宋体" w:cs="宋体" w:eastAsia="宋体" w:hint="default"/>
                <w:b/>
                <w:bCs/>
                <w:w w:val="99"/>
                <w:sz w:val="18"/>
                <w:szCs w:val="18"/>
              </w:rPr>
              <w:t> </w:t>
            </w:r>
            <w:r>
              <w:rPr>
                <w:rFonts w:ascii="宋体" w:hAnsi="宋体" w:cs="宋体" w:eastAsia="宋体" w:hint="default"/>
                <w:b/>
                <w:bCs/>
                <w:sz w:val="18"/>
                <w:szCs w:val="18"/>
              </w:rPr>
              <w:t>余股权的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7" w:lineRule="auto"/>
              <w:ind w:left="55" w:right="55"/>
              <w:jc w:val="both"/>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w w:val="99"/>
                <w:sz w:val="18"/>
                <w:szCs w:val="18"/>
              </w:rPr>
              <w:t> </w:t>
            </w:r>
            <w:r>
              <w:rPr>
                <w:rFonts w:ascii="宋体" w:hAnsi="宋体" w:cs="宋体" w:eastAsia="宋体" w:hint="default"/>
                <w:b/>
                <w:bCs/>
                <w:sz w:val="18"/>
                <w:szCs w:val="18"/>
              </w:rPr>
              <w:t>权之日剩</w:t>
            </w:r>
            <w:r>
              <w:rPr>
                <w:rFonts w:ascii="宋体" w:hAnsi="宋体" w:cs="宋体" w:eastAsia="宋体" w:hint="default"/>
                <w:b/>
                <w:bCs/>
                <w:w w:val="99"/>
                <w:sz w:val="18"/>
                <w:szCs w:val="18"/>
              </w:rPr>
              <w:t> </w:t>
            </w:r>
            <w:r>
              <w:rPr>
                <w:rFonts w:ascii="宋体" w:hAnsi="宋体" w:cs="宋体" w:eastAsia="宋体" w:hint="default"/>
                <w:b/>
                <w:bCs/>
                <w:sz w:val="18"/>
                <w:szCs w:val="18"/>
              </w:rPr>
              <w:t>余股权的</w:t>
            </w:r>
            <w:r>
              <w:rPr>
                <w:rFonts w:ascii="宋体" w:hAnsi="宋体" w:cs="宋体" w:eastAsia="宋体" w:hint="default"/>
                <w:b/>
                <w:bCs/>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c>
          <w:tcPr>
            <w:tcW w:w="8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7" w:lineRule="auto"/>
              <w:ind w:left="57" w:right="58"/>
              <w:jc w:val="both"/>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w w:val="99"/>
                <w:sz w:val="18"/>
                <w:szCs w:val="18"/>
              </w:rPr>
              <w:t> </w:t>
            </w:r>
            <w:r>
              <w:rPr>
                <w:rFonts w:ascii="宋体" w:hAnsi="宋体" w:cs="宋体" w:eastAsia="宋体" w:hint="default"/>
                <w:b/>
                <w:bCs/>
                <w:sz w:val="18"/>
                <w:szCs w:val="18"/>
              </w:rPr>
              <w:t>权之日剩</w:t>
            </w:r>
            <w:r>
              <w:rPr>
                <w:rFonts w:ascii="宋体" w:hAnsi="宋体" w:cs="宋体" w:eastAsia="宋体" w:hint="default"/>
                <w:b/>
                <w:bCs/>
                <w:w w:val="99"/>
                <w:sz w:val="18"/>
                <w:szCs w:val="18"/>
              </w:rPr>
              <w:t> </w:t>
            </w:r>
            <w:r>
              <w:rPr>
                <w:rFonts w:ascii="宋体" w:hAnsi="宋体" w:cs="宋体" w:eastAsia="宋体" w:hint="default"/>
                <w:b/>
                <w:bCs/>
                <w:sz w:val="18"/>
                <w:szCs w:val="18"/>
              </w:rPr>
              <w:t>余股权的</w:t>
            </w:r>
            <w:r>
              <w:rPr>
                <w:rFonts w:ascii="宋体" w:hAnsi="宋体" w:cs="宋体" w:eastAsia="宋体" w:hint="default"/>
                <w:b/>
                <w:bCs/>
                <w:w w:val="99"/>
                <w:sz w:val="18"/>
                <w:szCs w:val="18"/>
              </w:rPr>
              <w:t> </w:t>
            </w:r>
            <w:r>
              <w:rPr>
                <w:rFonts w:ascii="宋体" w:hAnsi="宋体" w:cs="宋体" w:eastAsia="宋体" w:hint="default"/>
                <w:b/>
                <w:bCs/>
                <w:sz w:val="18"/>
                <w:szCs w:val="18"/>
              </w:rPr>
              <w:t>公允价值</w:t>
            </w:r>
            <w:r>
              <w:rPr>
                <w:rFonts w:ascii="宋体" w:hAnsi="宋体" w:cs="宋体" w:eastAsia="宋体" w:hint="default"/>
                <w:sz w:val="18"/>
                <w:szCs w:val="18"/>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97" w:lineRule="auto"/>
              <w:ind w:left="40" w:right="46"/>
              <w:jc w:val="center"/>
              <w:rPr>
                <w:rFonts w:ascii="宋体" w:hAnsi="宋体" w:cs="宋体" w:eastAsia="宋体" w:hint="default"/>
                <w:sz w:val="18"/>
                <w:szCs w:val="18"/>
              </w:rPr>
            </w:pPr>
            <w:r>
              <w:rPr>
                <w:rFonts w:ascii="宋体" w:hAnsi="宋体" w:cs="宋体" w:eastAsia="宋体" w:hint="default"/>
                <w:b/>
                <w:bCs/>
                <w:sz w:val="18"/>
                <w:szCs w:val="18"/>
              </w:rPr>
              <w:t>按照公允价值重新</w:t>
            </w:r>
            <w:r>
              <w:rPr>
                <w:rFonts w:ascii="宋体" w:hAnsi="宋体" w:cs="宋体" w:eastAsia="宋体" w:hint="default"/>
                <w:b/>
                <w:bCs/>
                <w:w w:val="99"/>
                <w:sz w:val="18"/>
                <w:szCs w:val="18"/>
              </w:rPr>
              <w:t> </w:t>
            </w:r>
            <w:r>
              <w:rPr>
                <w:rFonts w:ascii="宋体" w:hAnsi="宋体" w:cs="宋体" w:eastAsia="宋体" w:hint="default"/>
                <w:b/>
                <w:bCs/>
                <w:sz w:val="18"/>
                <w:szCs w:val="18"/>
              </w:rPr>
              <w:t>计量剩余股权产生</w:t>
            </w:r>
            <w:r>
              <w:rPr>
                <w:rFonts w:ascii="宋体" w:hAnsi="宋体" w:cs="宋体" w:eastAsia="宋体" w:hint="default"/>
                <w:b/>
                <w:bCs/>
                <w:w w:val="99"/>
                <w:sz w:val="18"/>
                <w:szCs w:val="18"/>
              </w:rPr>
              <w:t> </w:t>
            </w:r>
            <w:r>
              <w:rPr>
                <w:rFonts w:ascii="宋体" w:hAnsi="宋体" w:cs="宋体" w:eastAsia="宋体" w:hint="default"/>
                <w:b/>
                <w:bCs/>
                <w:sz w:val="18"/>
                <w:szCs w:val="18"/>
              </w:rPr>
              <w:t>的利得或损失</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7" w:lineRule="auto"/>
              <w:ind w:left="72" w:right="73"/>
              <w:jc w:val="center"/>
              <w:rPr>
                <w:rFonts w:ascii="宋体" w:hAnsi="宋体" w:cs="宋体" w:eastAsia="宋体" w:hint="default"/>
                <w:sz w:val="18"/>
                <w:szCs w:val="18"/>
              </w:rPr>
            </w:pPr>
            <w:r>
              <w:rPr>
                <w:rFonts w:ascii="宋体" w:hAnsi="宋体" w:cs="宋体" w:eastAsia="宋体" w:hint="default"/>
                <w:b/>
                <w:bCs/>
                <w:sz w:val="18"/>
                <w:szCs w:val="18"/>
              </w:rPr>
              <w:t>丧失控制权之日</w:t>
            </w:r>
            <w:r>
              <w:rPr>
                <w:rFonts w:ascii="宋体" w:hAnsi="宋体" w:cs="宋体" w:eastAsia="宋体" w:hint="default"/>
                <w:b/>
                <w:bCs/>
                <w:w w:val="99"/>
                <w:sz w:val="18"/>
                <w:szCs w:val="18"/>
              </w:rPr>
              <w:t> </w:t>
            </w:r>
            <w:r>
              <w:rPr>
                <w:rFonts w:ascii="宋体" w:hAnsi="宋体" w:cs="宋体" w:eastAsia="宋体" w:hint="default"/>
                <w:b/>
                <w:bCs/>
                <w:sz w:val="18"/>
                <w:szCs w:val="18"/>
              </w:rPr>
              <w:t>剩余股权公允价</w:t>
            </w:r>
            <w:r>
              <w:rPr>
                <w:rFonts w:ascii="宋体" w:hAnsi="宋体" w:cs="宋体" w:eastAsia="宋体" w:hint="default"/>
                <w:b/>
                <w:bCs/>
                <w:w w:val="99"/>
                <w:sz w:val="18"/>
                <w:szCs w:val="18"/>
              </w:rPr>
              <w:t> </w:t>
            </w:r>
            <w:r>
              <w:rPr>
                <w:rFonts w:ascii="宋体" w:hAnsi="宋体" w:cs="宋体" w:eastAsia="宋体" w:hint="default"/>
                <w:b/>
                <w:bCs/>
                <w:sz w:val="18"/>
                <w:szCs w:val="18"/>
              </w:rPr>
              <w:t>值的确定方法及</w:t>
            </w:r>
            <w:r>
              <w:rPr>
                <w:rFonts w:ascii="宋体" w:hAnsi="宋体" w:cs="宋体" w:eastAsia="宋体" w:hint="default"/>
                <w:b/>
                <w:bCs/>
                <w:w w:val="99"/>
                <w:sz w:val="18"/>
                <w:szCs w:val="18"/>
              </w:rPr>
              <w:t> </w:t>
            </w:r>
            <w:r>
              <w:rPr>
                <w:rFonts w:ascii="宋体" w:hAnsi="宋体" w:cs="宋体" w:eastAsia="宋体" w:hint="default"/>
                <w:b/>
                <w:bCs/>
                <w:sz w:val="18"/>
                <w:szCs w:val="18"/>
              </w:rPr>
              <w:t>主要假设</w:t>
            </w:r>
            <w:r>
              <w:rPr>
                <w:rFonts w:ascii="宋体" w:hAnsi="宋体" w:cs="宋体" w:eastAsia="宋体" w:hint="default"/>
                <w:sz w:val="18"/>
                <w:szCs w:val="18"/>
              </w:rPr>
            </w:r>
          </w:p>
        </w:tc>
        <w:tc>
          <w:tcPr>
            <w:tcW w:w="1231" w:type="dxa"/>
            <w:tcBorders>
              <w:top w:val="single" w:sz="12" w:space="0" w:color="000000"/>
              <w:left w:val="single" w:sz="2" w:space="0" w:color="000000"/>
              <w:bottom w:val="single" w:sz="2" w:space="0" w:color="000000"/>
              <w:right w:val="nil" w:sz="6" w:space="0" w:color="auto"/>
            </w:tcBorders>
          </w:tcPr>
          <w:p>
            <w:pPr>
              <w:pStyle w:val="TableParagraph"/>
              <w:spacing w:line="297" w:lineRule="auto" w:before="49"/>
              <w:ind w:left="72" w:right="71"/>
              <w:jc w:val="center"/>
              <w:rPr>
                <w:rFonts w:ascii="宋体" w:hAnsi="宋体" w:cs="宋体" w:eastAsia="宋体" w:hint="default"/>
                <w:sz w:val="18"/>
                <w:szCs w:val="18"/>
              </w:rPr>
            </w:pPr>
            <w:r>
              <w:rPr>
                <w:rFonts w:ascii="宋体" w:hAnsi="宋体" w:cs="宋体" w:eastAsia="宋体" w:hint="default"/>
                <w:b/>
                <w:bCs/>
                <w:sz w:val="18"/>
                <w:szCs w:val="18"/>
              </w:rPr>
              <w:t>与原子公司股</w:t>
            </w:r>
            <w:r>
              <w:rPr>
                <w:rFonts w:ascii="宋体" w:hAnsi="宋体" w:cs="宋体" w:eastAsia="宋体" w:hint="default"/>
                <w:b/>
                <w:bCs/>
                <w:w w:val="99"/>
                <w:sz w:val="18"/>
                <w:szCs w:val="18"/>
              </w:rPr>
              <w:t> </w:t>
            </w:r>
            <w:r>
              <w:rPr>
                <w:rFonts w:ascii="宋体" w:hAnsi="宋体" w:cs="宋体" w:eastAsia="宋体" w:hint="default"/>
                <w:b/>
                <w:bCs/>
                <w:sz w:val="18"/>
                <w:szCs w:val="18"/>
              </w:rPr>
              <w:t>权投资相关的</w:t>
            </w:r>
            <w:r>
              <w:rPr>
                <w:rFonts w:ascii="宋体" w:hAnsi="宋体" w:cs="宋体" w:eastAsia="宋体" w:hint="default"/>
                <w:b/>
                <w:bCs/>
                <w:w w:val="99"/>
                <w:sz w:val="18"/>
                <w:szCs w:val="18"/>
              </w:rPr>
              <w:t> </w:t>
            </w: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转入投资损益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54" w:hRule="exact"/>
        </w:trPr>
        <w:tc>
          <w:tcPr>
            <w:tcW w:w="11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0"/>
              <w:ind w:left="14" w:right="0"/>
              <w:jc w:val="center"/>
              <w:rPr>
                <w:rFonts w:ascii="宋体" w:hAnsi="宋体" w:cs="宋体" w:eastAsia="宋体" w:hint="default"/>
                <w:sz w:val="18"/>
                <w:szCs w:val="18"/>
              </w:rPr>
            </w:pPr>
            <w:r>
              <w:rPr>
                <w:rFonts w:ascii="宋体" w:hAnsi="宋体" w:cs="宋体" w:eastAsia="宋体" w:hint="default"/>
                <w:sz w:val="18"/>
                <w:szCs w:val="18"/>
              </w:rPr>
              <w:t>英冠达</w:t>
            </w:r>
          </w:p>
        </w:tc>
        <w:tc>
          <w:tcPr>
            <w:tcW w:w="701"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51</w:t>
            </w:r>
          </w:p>
        </w:tc>
        <w:tc>
          <w:tcPr>
            <w:tcW w:w="9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退出控制</w:t>
            </w:r>
          </w:p>
        </w:tc>
        <w:tc>
          <w:tcPr>
            <w:tcW w:w="1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left="194" w:right="0"/>
              <w:jc w:val="left"/>
              <w:rPr>
                <w:rFonts w:ascii="宋体" w:hAnsi="宋体" w:cs="宋体" w:eastAsia="宋体" w:hint="default"/>
                <w:sz w:val="18"/>
                <w:szCs w:val="18"/>
              </w:rPr>
            </w:pPr>
            <w:r>
              <w:rPr>
                <w:rFonts w:ascii="宋体"/>
                <w:sz w:val="18"/>
              </w:rPr>
              <w:t>2015-9-8</w:t>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改变董事会席位</w:t>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left="134" w:right="0"/>
              <w:jc w:val="left"/>
              <w:rPr>
                <w:rFonts w:ascii="宋体" w:hAnsi="宋体" w:cs="宋体" w:eastAsia="宋体" w:hint="default"/>
                <w:sz w:val="18"/>
                <w:szCs w:val="18"/>
              </w:rPr>
            </w:pPr>
            <w:r>
              <w:rPr>
                <w:rFonts w:ascii="宋体"/>
                <w:sz w:val="18"/>
              </w:rPr>
              <w:t>-86,625,406.80</w:t>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w:t>
            </w:r>
          </w:p>
        </w:tc>
        <w:tc>
          <w:tcPr>
            <w:tcW w:w="840" w:type="dxa"/>
            <w:tcBorders>
              <w:top w:val="single" w:sz="2" w:space="0" w:color="000000"/>
              <w:left w:val="single" w:sz="2" w:space="0" w:color="000000"/>
              <w:bottom w:val="single" w:sz="12" w:space="0" w:color="000000"/>
              <w:right w:val="single" w:sz="2" w:space="0" w:color="000000"/>
            </w:tcBorders>
          </w:tcPr>
          <w:p>
            <w:pPr/>
          </w:p>
        </w:tc>
        <w:tc>
          <w:tcPr>
            <w:tcW w:w="845" w:type="dxa"/>
            <w:tcBorders>
              <w:top w:val="single" w:sz="2" w:space="0" w:color="000000"/>
              <w:left w:val="single" w:sz="2" w:space="0" w:color="000000"/>
              <w:bottom w:val="single" w:sz="12" w:space="0" w:color="000000"/>
              <w:right w:val="single" w:sz="2" w:space="0" w:color="000000"/>
            </w:tcBorders>
          </w:tcPr>
          <w:p>
            <w:pP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left="177" w:right="0"/>
              <w:jc w:val="left"/>
              <w:rPr>
                <w:rFonts w:ascii="宋体" w:hAnsi="宋体" w:cs="宋体" w:eastAsia="宋体" w:hint="default"/>
                <w:sz w:val="18"/>
                <w:szCs w:val="18"/>
              </w:rPr>
            </w:pPr>
            <w:r>
              <w:rPr>
                <w:rFonts w:ascii="宋体"/>
                <w:sz w:val="18"/>
              </w:rPr>
              <w:t>43,319,815.50</w:t>
            </w:r>
          </w:p>
        </w:tc>
        <w:tc>
          <w:tcPr>
            <w:tcW w:w="1417" w:type="dxa"/>
            <w:tcBorders>
              <w:top w:val="single" w:sz="2" w:space="0" w:color="000000"/>
              <w:left w:val="single" w:sz="2" w:space="0" w:color="000000"/>
              <w:bottom w:val="single" w:sz="12" w:space="0" w:color="000000"/>
              <w:right w:val="single" w:sz="2" w:space="0" w:color="000000"/>
            </w:tcBorders>
          </w:tcPr>
          <w:p>
            <w:pPr/>
          </w:p>
        </w:tc>
        <w:tc>
          <w:tcPr>
            <w:tcW w:w="123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324" w:lineRule="auto"/>
        <w:ind w:left="360" w:right="333" w:firstLine="439"/>
        <w:jc w:val="both"/>
      </w:pP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8</w:t>
      </w:r>
      <w:r>
        <w:rPr>
          <w:rFonts w:ascii="宋体" w:hAnsi="宋体" w:cs="宋体" w:eastAsia="宋体" w:hint="default"/>
          <w:spacing w:val="-51"/>
        </w:rPr>
        <w:t> </w:t>
      </w:r>
      <w:r>
        <w:rPr>
          <w:spacing w:val="-3"/>
        </w:rPr>
        <w:t>日，冠捷科技董事会宣布，英冠达的股东英业达（持股</w:t>
      </w:r>
      <w:r>
        <w:rPr>
          <w:spacing w:val="-51"/>
        </w:rPr>
        <w:t> </w:t>
      </w:r>
      <w:r>
        <w:rPr>
          <w:rFonts w:ascii="宋体" w:hAnsi="宋体" w:cs="宋体" w:eastAsia="宋体" w:hint="default"/>
          <w:spacing w:val="-3"/>
        </w:rPr>
        <w:t>49%</w:t>
      </w:r>
      <w:r>
        <w:rPr>
          <w:spacing w:val="-3"/>
        </w:rPr>
        <w:t>）和</w:t>
      </w:r>
      <w:r>
        <w:rPr>
          <w:spacing w:val="-51"/>
        </w:rPr>
        <w:t> </w:t>
      </w:r>
      <w:r>
        <w:rPr>
          <w:rFonts w:ascii="宋体" w:hAnsi="宋体" w:cs="宋体" w:eastAsia="宋体" w:hint="default"/>
        </w:rPr>
        <w:t>Top</w:t>
      </w:r>
      <w:r>
        <w:rPr>
          <w:rFonts w:ascii="宋体" w:hAnsi="宋体" w:cs="宋体" w:eastAsia="宋体" w:hint="default"/>
          <w:spacing w:val="-51"/>
        </w:rPr>
        <w:t> </w:t>
      </w:r>
      <w:r>
        <w:rPr>
          <w:rFonts w:ascii="宋体" w:hAnsi="宋体" w:cs="宋体" w:eastAsia="宋体" w:hint="default"/>
        </w:rPr>
        <w:t>Victory</w:t>
      </w:r>
      <w:r>
        <w:rPr/>
        <w:t>（冠捷科技全资子公司，持股</w:t>
      </w:r>
      <w:r>
        <w:rPr>
          <w:spacing w:val="-51"/>
        </w:rPr>
        <w:t> </w:t>
      </w:r>
      <w:r>
        <w:rPr>
          <w:rFonts w:ascii="宋体" w:hAnsi="宋体" w:cs="宋体" w:eastAsia="宋体" w:hint="default"/>
          <w:spacing w:val="-3"/>
        </w:rPr>
        <w:t>51%</w:t>
      </w:r>
      <w:r>
        <w:rPr>
          <w:spacing w:val="-3"/>
        </w:rPr>
        <w:t>）订立协议，</w:t>
      </w:r>
      <w:r>
        <w:rPr>
          <w:rFonts w:ascii="宋体" w:hAnsi="宋体" w:cs="宋体" w:eastAsia="宋体" w:hint="default"/>
          <w:spacing w:val="-3"/>
        </w:rPr>
        <w:t>Top</w:t>
      </w:r>
      <w:r>
        <w:rPr>
          <w:rFonts w:ascii="宋体" w:hAnsi="宋体" w:cs="宋体" w:eastAsia="宋体" w:hint="default"/>
          <w:w w:val="100"/>
        </w:rPr>
        <w:t> </w:t>
      </w:r>
      <w:r>
        <w:rPr>
          <w:rFonts w:ascii="宋体" w:hAnsi="宋体" w:cs="宋体" w:eastAsia="宋体" w:hint="default"/>
        </w:rPr>
        <w:t>Victory</w:t>
      </w:r>
      <w:r>
        <w:rPr>
          <w:rFonts w:ascii="宋体" w:hAnsi="宋体" w:cs="宋体" w:eastAsia="宋体" w:hint="default"/>
          <w:spacing w:val="-60"/>
        </w:rPr>
        <w:t> </w:t>
      </w:r>
      <w:r>
        <w:rPr/>
        <w:t>同意自该协议日期起，不再拥有英冠达的控制权，英冠达也不再被视为冠捷科技的子公司，</w:t>
      </w:r>
      <w:r>
        <w:rPr>
          <w:rFonts w:ascii="宋体" w:hAnsi="宋体" w:cs="宋体" w:eastAsia="宋体" w:hint="default"/>
        </w:rPr>
        <w:t>Top</w:t>
      </w:r>
      <w:r>
        <w:rPr>
          <w:rFonts w:ascii="宋体" w:hAnsi="宋体" w:cs="宋体" w:eastAsia="宋体" w:hint="default"/>
          <w:spacing w:val="-16"/>
        </w:rPr>
        <w:t> </w:t>
      </w:r>
      <w:r>
        <w:rPr>
          <w:rFonts w:ascii="宋体" w:hAnsi="宋体" w:cs="宋体" w:eastAsia="宋体" w:hint="default"/>
        </w:rPr>
        <w:t>Victory</w:t>
      </w:r>
      <w:r>
        <w:rPr>
          <w:rFonts w:ascii="宋体" w:hAnsi="宋体" w:cs="宋体" w:eastAsia="宋体" w:hint="default"/>
          <w:spacing w:val="-58"/>
        </w:rPr>
        <w:t> </w:t>
      </w:r>
      <w:r>
        <w:rPr/>
        <w:t>将不再有权委任任何董事加入英</w:t>
      </w:r>
      <w:r>
        <w:rPr>
          <w:w w:val="100"/>
        </w:rPr>
        <w:t> </w:t>
      </w:r>
      <w:r>
        <w:rPr/>
        <w:t>冠达董事会，而英冠达所占的董事会席位将由三席改为五席。英业达将独享委任、罢免或更换该五名董事的权利，同时 </w:t>
      </w:r>
      <w:r>
        <w:rPr>
          <w:rFonts w:ascii="宋体" w:hAnsi="宋体" w:cs="宋体" w:eastAsia="宋体" w:hint="default"/>
        </w:rPr>
        <w:t>Top Victory</w:t>
      </w:r>
      <w:r>
        <w:rPr>
          <w:rFonts w:ascii="宋体" w:hAnsi="宋体" w:cs="宋体" w:eastAsia="宋体" w:hint="default"/>
          <w:spacing w:val="-22"/>
        </w:rPr>
        <w:t> </w:t>
      </w:r>
      <w:r>
        <w:rPr/>
        <w:t>全面解除及</w:t>
      </w:r>
      <w:r>
        <w:rPr>
          <w:w w:val="100"/>
        </w:rPr>
        <w:t> </w:t>
      </w:r>
      <w:r>
        <w:rPr/>
        <w:t>终止对英冠达做出的所有背书和保证；不再就英冠达的营运而产生的相关负债、申索或亏损承担任何责任，亦毋须以英冠达股东的身份提供任何</w:t>
      </w:r>
      <w:r>
        <w:rPr>
          <w:spacing w:val="-16"/>
        </w:rPr>
        <w:t> </w:t>
      </w:r>
      <w:r>
        <w:rPr>
          <w:spacing w:val="-16"/>
        </w:rPr>
      </w:r>
      <w:r>
        <w:rPr/>
        <w:t>资金或支持。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76"/>
        <w:ind w:left="7230" w:right="7208"/>
        <w:jc w:val="center"/>
        <w:rPr>
          <w:rFonts w:ascii="Times New Roman" w:hAnsi="Times New Roman" w:cs="Times New Roman" w:eastAsia="Times New Roman" w:hint="default"/>
        </w:rPr>
      </w:pPr>
      <w:r>
        <w:rPr>
          <w:rFonts w:ascii="Times New Roman"/>
        </w:rPr>
        <w:t>80</w:t>
      </w:r>
    </w:p>
    <w:p>
      <w:pPr>
        <w:spacing w:after="0" w:line="240" w:lineRule="auto"/>
        <w:jc w:val="center"/>
        <w:rPr>
          <w:rFonts w:ascii="Times New Roman" w:hAnsi="Times New Roman" w:cs="Times New Roman" w:eastAsia="Times New Roman" w:hint="default"/>
        </w:rPr>
        <w:sectPr>
          <w:headerReference w:type="default" r:id="rId61"/>
          <w:footerReference w:type="default" r:id="rId62"/>
          <w:pgSz w:w="16840" w:h="11910" w:orient="landscape"/>
          <w:pgMar w:header="0" w:footer="0" w:top="800" w:bottom="280" w:left="1080" w:right="1100"/>
        </w:sectPr>
      </w:pPr>
    </w:p>
    <w:p>
      <w:pPr>
        <w:spacing w:line="240" w:lineRule="auto" w:before="8"/>
        <w:rPr>
          <w:rFonts w:ascii="Times New Roman" w:hAnsi="Times New Roman" w:cs="Times New Roman" w:eastAsia="Times New Roman" w:hint="default"/>
          <w:sz w:val="3"/>
          <w:szCs w:val="3"/>
        </w:rPr>
      </w:pPr>
    </w:p>
    <w:p>
      <w:pPr>
        <w:spacing w:line="20" w:lineRule="exact"/>
        <w:ind w:left="26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pStyle w:val="Heading7"/>
        <w:spacing w:line="240" w:lineRule="auto" w:before="61"/>
        <w:ind w:left="699" w:right="276"/>
        <w:jc w:val="left"/>
      </w:pPr>
      <w:r>
        <w:rPr>
          <w:rFonts w:ascii="宋体" w:hAnsi="宋体" w:cs="宋体" w:eastAsia="宋体" w:hint="default"/>
        </w:rPr>
        <w:t>3</w:t>
      </w:r>
      <w:r>
        <w:rPr/>
        <w:t>、其他原因的合并范围变动</w:t>
      </w:r>
    </w:p>
    <w:p>
      <w:pPr>
        <w:pStyle w:val="Heading7"/>
        <w:spacing w:line="324" w:lineRule="auto" w:before="180"/>
        <w:ind w:left="260" w:right="373" w:firstLine="439"/>
        <w:jc w:val="both"/>
      </w:pPr>
      <w:r>
        <w:rPr/>
        <w:t>（</w:t>
      </w:r>
      <w:r>
        <w:rPr>
          <w:rFonts w:ascii="宋体" w:hAnsi="宋体" w:cs="宋体" w:eastAsia="宋体" w:hint="default"/>
        </w:rPr>
        <w:t>1</w:t>
      </w:r>
      <w:r>
        <w:rPr/>
        <w:t>）本年于</w:t>
      </w:r>
      <w:r>
        <w:rPr>
          <w:spacing w:val="-47"/>
        </w:rPr>
        <w:t> </w:t>
      </w: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7"/>
        </w:rPr>
        <w:t> </w:t>
      </w:r>
      <w:r>
        <w:rPr>
          <w:rFonts w:ascii="宋体" w:hAnsi="宋体" w:cs="宋体" w:eastAsia="宋体" w:hint="default"/>
        </w:rPr>
        <w:t>9</w:t>
      </w:r>
      <w:r>
        <w:rPr>
          <w:rFonts w:ascii="宋体" w:hAnsi="宋体" w:cs="宋体" w:eastAsia="宋体" w:hint="default"/>
          <w:spacing w:val="-47"/>
        </w:rPr>
        <w:t> </w:t>
      </w:r>
      <w:r>
        <w:rPr/>
        <w:t>日新设立全资子公司湖南长城，公司类型为有限责任</w:t>
      </w:r>
      <w:r>
        <w:rPr>
          <w:w w:val="100"/>
        </w:rPr>
        <w:t> </w:t>
      </w:r>
      <w:r>
        <w:rPr>
          <w:spacing w:val="-5"/>
          <w:w w:val="100"/>
        </w:rPr>
        <w:t>公司（非自然人投资或控股的法人独资），统一社会信用代码为</w:t>
      </w:r>
      <w:r>
        <w:rPr>
          <w:spacing w:val="-42"/>
          <w:w w:val="100"/>
        </w:rPr>
        <w:t> </w:t>
      </w:r>
      <w:r>
        <w:rPr>
          <w:rFonts w:ascii="宋体" w:hAnsi="宋体" w:cs="宋体" w:eastAsia="宋体" w:hint="default"/>
          <w:spacing w:val="-1"/>
          <w:w w:val="100"/>
        </w:rPr>
        <w:t>91430211MA4L1KR051</w:t>
      </w:r>
      <w:r>
        <w:rPr>
          <w:spacing w:val="-1"/>
          <w:w w:val="100"/>
        </w:rPr>
        <w:t>，</w:t>
      </w:r>
      <w:r>
        <w:rPr>
          <w:spacing w:val="-108"/>
          <w:w w:val="100"/>
        </w:rPr>
        <w:t> </w:t>
      </w:r>
      <w:r>
        <w:rPr/>
        <w:t>注册资本为壹亿元整，截至</w:t>
      </w:r>
      <w:r>
        <w:rPr>
          <w:spacing w:val="-56"/>
        </w:rPr>
        <w:t> </w:t>
      </w:r>
      <w:r>
        <w:rPr>
          <w:rFonts w:ascii="宋体" w:hAnsi="宋体" w:cs="宋体" w:eastAsia="宋体" w:hint="default"/>
        </w:rPr>
        <w:t>2015</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9"/>
        </w:rPr>
        <w:t> </w:t>
      </w:r>
      <w:r>
        <w:rPr>
          <w:rFonts w:ascii="宋体" w:hAnsi="宋体" w:cs="宋体" w:eastAsia="宋体" w:hint="default"/>
        </w:rPr>
        <w:t>31</w:t>
      </w:r>
      <w:r>
        <w:rPr>
          <w:rFonts w:ascii="宋体" w:hAnsi="宋体" w:cs="宋体" w:eastAsia="宋体" w:hint="default"/>
          <w:spacing w:val="-56"/>
        </w:rPr>
        <w:t> </w:t>
      </w:r>
      <w:r>
        <w:rPr/>
        <w:t>日，该公司注册资金尚未缴纳。</w:t>
      </w:r>
    </w:p>
    <w:p>
      <w:pPr>
        <w:pStyle w:val="Heading7"/>
        <w:spacing w:line="326" w:lineRule="auto" w:before="103"/>
        <w:ind w:left="260" w:right="374" w:firstLine="439"/>
        <w:jc w:val="both"/>
      </w:pPr>
      <w:r>
        <w:rPr/>
        <w:t>（</w:t>
      </w:r>
      <w:r>
        <w:rPr>
          <w:rFonts w:ascii="宋体" w:hAnsi="宋体" w:cs="宋体" w:eastAsia="宋体" w:hint="default"/>
        </w:rPr>
        <w:t>2</w:t>
      </w:r>
      <w:r>
        <w:rPr/>
        <w:t>）子公司中电长城能源本年于</w:t>
      </w:r>
      <w:r>
        <w:rPr>
          <w:spacing w:val="-47"/>
        </w:rPr>
        <w:t> </w:t>
      </w: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1</w:t>
      </w:r>
      <w:r>
        <w:rPr>
          <w:rFonts w:ascii="宋体" w:hAnsi="宋体" w:cs="宋体" w:eastAsia="宋体" w:hint="default"/>
          <w:spacing w:val="-48"/>
        </w:rPr>
        <w:t> </w:t>
      </w:r>
      <w:r>
        <w:rPr/>
        <w:t>月</w:t>
      </w:r>
      <w:r>
        <w:rPr>
          <w:spacing w:val="-45"/>
        </w:rPr>
        <w:t> </w:t>
      </w:r>
      <w:r>
        <w:rPr>
          <w:rFonts w:ascii="宋体" w:hAnsi="宋体" w:cs="宋体" w:eastAsia="宋体" w:hint="default"/>
        </w:rPr>
        <w:t>16</w:t>
      </w:r>
      <w:r>
        <w:rPr>
          <w:rFonts w:ascii="宋体" w:hAnsi="宋体" w:cs="宋体" w:eastAsia="宋体" w:hint="default"/>
          <w:spacing w:val="-46"/>
        </w:rPr>
        <w:t> </w:t>
      </w:r>
      <w:r>
        <w:rPr/>
        <w:t>日注册成立子公司江西分宜中长</w:t>
      </w:r>
      <w:r>
        <w:rPr>
          <w:w w:val="100"/>
        </w:rPr>
        <w:t> </w:t>
      </w:r>
      <w:r>
        <w:rPr>
          <w:spacing w:val="36"/>
        </w:rPr>
        <w:t>电力有限公司（非</w:t>
      </w:r>
      <w:r>
        <w:rPr>
          <w:spacing w:val="-62"/>
        </w:rPr>
        <w:t> </w:t>
      </w:r>
      <w:r>
        <w:rPr/>
        <w:t>自</w:t>
      </w:r>
      <w:r>
        <w:rPr>
          <w:spacing w:val="-62"/>
        </w:rPr>
        <w:t> </w:t>
      </w:r>
      <w:r>
        <w:rPr>
          <w:spacing w:val="36"/>
        </w:rPr>
        <w:t>然人投资或控股的</w:t>
      </w:r>
      <w:r>
        <w:rPr>
          <w:spacing w:val="-62"/>
        </w:rPr>
        <w:t> </w:t>
      </w:r>
      <w:r>
        <w:rPr/>
        <w:t>法</w:t>
      </w:r>
      <w:r>
        <w:rPr>
          <w:spacing w:val="-62"/>
        </w:rPr>
        <w:t> </w:t>
      </w:r>
      <w:r>
        <w:rPr>
          <w:spacing w:val="28"/>
        </w:rPr>
        <w:t>人独资</w:t>
      </w:r>
      <w:r>
        <w:rPr>
          <w:spacing w:val="-64"/>
        </w:rPr>
        <w:t> </w:t>
      </w:r>
      <w:r>
        <w:rPr>
          <w:spacing w:val="-32"/>
        </w:rPr>
        <w:t>），</w:t>
      </w:r>
      <w:r>
        <w:rPr>
          <w:spacing w:val="-64"/>
        </w:rPr>
        <w:t> </w:t>
      </w:r>
      <w:r>
        <w:rPr/>
        <w:t>统</w:t>
      </w:r>
      <w:r>
        <w:rPr>
          <w:spacing w:val="-64"/>
        </w:rPr>
        <w:t> </w:t>
      </w:r>
      <w:r>
        <w:rPr/>
        <w:t>一</w:t>
      </w:r>
      <w:r>
        <w:rPr>
          <w:spacing w:val="-64"/>
        </w:rPr>
        <w:t> </w:t>
      </w:r>
      <w:r>
        <w:rPr/>
        <w:t>社</w:t>
      </w:r>
      <w:r>
        <w:rPr>
          <w:spacing w:val="-64"/>
        </w:rPr>
        <w:t> </w:t>
      </w:r>
      <w:r>
        <w:rPr/>
        <w:t>会</w:t>
      </w:r>
      <w:r>
        <w:rPr>
          <w:spacing w:val="-62"/>
        </w:rPr>
        <w:t> </w:t>
      </w:r>
      <w:r>
        <w:rPr/>
        <w:t>信</w:t>
      </w:r>
      <w:r>
        <w:rPr>
          <w:spacing w:val="-64"/>
        </w:rPr>
        <w:t> </w:t>
      </w:r>
      <w:r>
        <w:rPr/>
        <w:t>用</w:t>
      </w:r>
      <w:r>
        <w:rPr>
          <w:spacing w:val="-64"/>
        </w:rPr>
        <w:t> </w:t>
      </w:r>
      <w:r>
        <w:rPr/>
        <w:t>代</w:t>
      </w:r>
      <w:r>
        <w:rPr>
          <w:spacing w:val="-64"/>
        </w:rPr>
        <w:t> </w:t>
      </w:r>
      <w:r>
        <w:rPr/>
        <w:t>码</w:t>
      </w:r>
      <w:r>
        <w:rPr>
          <w:spacing w:val="-64"/>
        </w:rPr>
        <w:t> </w:t>
      </w:r>
      <w:r>
        <w:rPr/>
        <w:t>为</w:t>
      </w:r>
      <w:r>
        <w:rPr>
          <w:w w:val="100"/>
        </w:rPr>
        <w:t> </w:t>
      </w:r>
      <w:r>
        <w:rPr>
          <w:rFonts w:ascii="宋体" w:hAnsi="宋体" w:cs="宋体" w:eastAsia="宋体" w:hint="default"/>
        </w:rPr>
        <w:t>91360521343182088L</w:t>
      </w:r>
      <w:r>
        <w:rPr/>
        <w:t>，注册资本为壹千万元整，截至</w:t>
      </w:r>
      <w:r>
        <w:rPr>
          <w:spacing w:val="-46"/>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t>日，该公司注册</w:t>
      </w:r>
      <w:r>
        <w:rPr>
          <w:w w:val="100"/>
        </w:rPr>
        <w:t> </w:t>
      </w:r>
      <w:r>
        <w:rPr/>
        <w:t>资金尚未缴纳。</w:t>
      </w:r>
    </w:p>
    <w:p>
      <w:pPr>
        <w:spacing w:line="240" w:lineRule="auto" w:before="7"/>
        <w:rPr>
          <w:rFonts w:ascii="宋体" w:hAnsi="宋体" w:cs="宋体" w:eastAsia="宋体" w:hint="default"/>
          <w:sz w:val="16"/>
          <w:szCs w:val="16"/>
        </w:rPr>
      </w:pPr>
    </w:p>
    <w:p>
      <w:pPr>
        <w:spacing w:line="422" w:lineRule="auto" w:before="0"/>
        <w:ind w:left="699" w:right="5795" w:firstLine="2"/>
        <w:jc w:val="left"/>
        <w:rPr>
          <w:rFonts w:ascii="宋体" w:hAnsi="宋体" w:cs="宋体" w:eastAsia="宋体" w:hint="default"/>
          <w:sz w:val="22"/>
          <w:szCs w:val="22"/>
        </w:rPr>
      </w:pPr>
      <w:r>
        <w:rPr>
          <w:rFonts w:ascii="宋体" w:hAnsi="宋体" w:cs="宋体" w:eastAsia="宋体" w:hint="default"/>
          <w:b/>
          <w:bCs/>
          <w:sz w:val="22"/>
          <w:szCs w:val="22"/>
        </w:rPr>
        <w:t>八、在其他主体中的权益</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、在子公司中的权益</w:t>
      </w:r>
    </w:p>
    <w:p>
      <w:pPr>
        <w:pStyle w:val="Heading7"/>
        <w:spacing w:line="240" w:lineRule="auto" w:before="13"/>
        <w:ind w:left="699" w:right="276"/>
        <w:jc w:val="left"/>
      </w:pPr>
      <w:r>
        <w:rPr/>
        <w:t>（</w:t>
      </w:r>
      <w:r>
        <w:rPr>
          <w:rFonts w:ascii="宋体" w:hAnsi="宋体" w:cs="宋体" w:eastAsia="宋体" w:hint="default"/>
        </w:rPr>
        <w:t>1</w:t>
      </w:r>
      <w:r>
        <w:rPr/>
        <w:t>）企业集团的构成</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447"/>
        <w:gridCol w:w="1275"/>
        <w:gridCol w:w="1135"/>
        <w:gridCol w:w="850"/>
        <w:gridCol w:w="992"/>
        <w:gridCol w:w="710"/>
        <w:gridCol w:w="2141"/>
      </w:tblGrid>
      <w:tr>
        <w:trPr>
          <w:trHeight w:val="389" w:hRule="exact"/>
        </w:trPr>
        <w:tc>
          <w:tcPr>
            <w:tcW w:w="1447"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75"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5"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50"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7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41"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74" w:hRule="exact"/>
        </w:trPr>
        <w:tc>
          <w:tcPr>
            <w:tcW w:w="1447" w:type="dxa"/>
            <w:vMerge/>
            <w:tcBorders>
              <w:left w:val="nil" w:sz="6" w:space="0" w:color="auto"/>
              <w:bottom w:val="single" w:sz="2" w:space="0" w:color="000000"/>
              <w:right w:val="single" w:sz="2" w:space="0" w:color="000000"/>
            </w:tcBorders>
          </w:tcPr>
          <w:p>
            <w:pPr/>
          </w:p>
        </w:tc>
        <w:tc>
          <w:tcPr>
            <w:tcW w:w="1275" w:type="dxa"/>
            <w:vMerge/>
            <w:tcBorders>
              <w:left w:val="single" w:sz="2" w:space="0" w:color="000000"/>
              <w:bottom w:val="single" w:sz="2" w:space="0" w:color="000000"/>
              <w:right w:val="single" w:sz="2" w:space="0" w:color="000000"/>
            </w:tcBorders>
          </w:tcPr>
          <w:p>
            <w:pPr/>
          </w:p>
        </w:tc>
        <w:tc>
          <w:tcPr>
            <w:tcW w:w="1135" w:type="dxa"/>
            <w:vMerge/>
            <w:tcBorders>
              <w:left w:val="single" w:sz="2" w:space="0" w:color="000000"/>
              <w:bottom w:val="single" w:sz="2" w:space="0" w:color="000000"/>
              <w:right w:val="single" w:sz="2" w:space="0" w:color="000000"/>
            </w:tcBorders>
          </w:tcPr>
          <w:p>
            <w:pPr/>
          </w:p>
        </w:tc>
        <w:tc>
          <w:tcPr>
            <w:tcW w:w="850" w:type="dxa"/>
            <w:vMerge/>
            <w:tcBorders>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2141" w:type="dxa"/>
            <w:vMerge/>
            <w:tcBorders>
              <w:left w:val="single" w:sz="2" w:space="0" w:color="000000"/>
              <w:bottom w:val="single" w:sz="2" w:space="0" w:color="000000"/>
              <w:right w:val="nil" w:sz="6" w:space="0" w:color="auto"/>
            </w:tcBorders>
          </w:tcPr>
          <w:p>
            <w:pPr/>
          </w:p>
        </w:tc>
      </w:tr>
      <w:tr>
        <w:trPr>
          <w:trHeight w:val="374"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广西北海</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广西北海</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c>
          <w:tcPr>
            <w:tcW w:w="710"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74"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广西北海</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广西北海</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c>
          <w:tcPr>
            <w:tcW w:w="710"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77"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c>
          <w:tcPr>
            <w:tcW w:w="710"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74"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中国海南</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中国海南</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c>
          <w:tcPr>
            <w:tcW w:w="710"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74"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深圳宝安</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深圳宝安</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c>
          <w:tcPr>
            <w:tcW w:w="710"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75"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中国福建</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百慕大</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24.32</w:t>
            </w:r>
          </w:p>
        </w:tc>
        <w:tc>
          <w:tcPr>
            <w:tcW w:w="710"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89" w:hRule="exact"/>
        </w:trPr>
        <w:tc>
          <w:tcPr>
            <w:tcW w:w="14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湖南长城</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湖南株洲</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湖南株洲</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100.00</w:t>
            </w:r>
          </w:p>
        </w:tc>
        <w:tc>
          <w:tcPr>
            <w:tcW w:w="710" w:type="dxa"/>
            <w:tcBorders>
              <w:top w:val="single" w:sz="2" w:space="0" w:color="000000"/>
              <w:left w:val="single" w:sz="2" w:space="0" w:color="000000"/>
              <w:bottom w:val="single" w:sz="12" w:space="0" w:color="000000"/>
              <w:right w:val="single" w:sz="2" w:space="0" w:color="000000"/>
            </w:tcBorders>
          </w:tcPr>
          <w:p>
            <w:pPr/>
          </w:p>
        </w:tc>
        <w:tc>
          <w:tcPr>
            <w:tcW w:w="21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spacing w:val="7"/>
        </w:rPr>
        <w:t>注：本公司直接持有冠捷科技 </w:t>
      </w:r>
      <w:r>
        <w:rPr>
          <w:rFonts w:ascii="宋体" w:hAnsi="宋体" w:cs="宋体" w:eastAsia="宋体" w:hint="default"/>
        </w:rPr>
        <w:t>570,450,000</w:t>
      </w:r>
      <w:r>
        <w:rPr>
          <w:rFonts w:ascii="宋体" w:hAnsi="宋体" w:cs="宋体" w:eastAsia="宋体" w:hint="default"/>
          <w:spacing w:val="65"/>
        </w:rPr>
        <w:t> </w:t>
      </w:r>
      <w:r>
        <w:rPr>
          <w:spacing w:val="7"/>
        </w:rPr>
        <w:t>股，投资总成本折合人民币金额为</w:t>
      </w:r>
    </w:p>
    <w:p>
      <w:pPr>
        <w:pStyle w:val="Heading7"/>
        <w:spacing w:line="240" w:lineRule="auto" w:before="103"/>
        <w:ind w:left="260" w:right="0"/>
        <w:jc w:val="both"/>
      </w:pPr>
      <w:r>
        <w:rPr>
          <w:rFonts w:ascii="宋体" w:hAnsi="宋体" w:cs="宋体" w:eastAsia="宋体" w:hint="default"/>
        </w:rPr>
        <w:t>1,812,576,642.64 </w:t>
      </w:r>
      <w:r>
        <w:rPr/>
        <w:t>元。本公司直接持有冠捷科技</w:t>
      </w:r>
      <w:r>
        <w:rPr>
          <w:spacing w:val="-59"/>
        </w:rPr>
        <w:t> </w:t>
      </w:r>
      <w:r>
        <w:rPr>
          <w:rFonts w:ascii="宋体" w:hAnsi="宋体" w:cs="宋体" w:eastAsia="宋体" w:hint="default"/>
        </w:rPr>
        <w:t>24.32%</w:t>
      </w:r>
      <w:r>
        <w:rPr/>
        <w:t>的股权，但在冠捷科技董事会</w:t>
      </w:r>
    </w:p>
    <w:p>
      <w:pPr>
        <w:pStyle w:val="Heading7"/>
        <w:spacing w:line="324" w:lineRule="auto" w:before="101"/>
        <w:ind w:left="260" w:right="377"/>
        <w:jc w:val="both"/>
      </w:pPr>
      <w:r>
        <w:rPr/>
        <w:t>的</w:t>
      </w:r>
      <w:r>
        <w:rPr>
          <w:spacing w:val="-42"/>
        </w:rPr>
        <w:t> </w:t>
      </w:r>
      <w:r>
        <w:rPr>
          <w:rFonts w:ascii="宋体" w:hAnsi="宋体" w:cs="宋体" w:eastAsia="宋体" w:hint="default"/>
        </w:rPr>
        <w:t>9</w:t>
      </w:r>
      <w:r>
        <w:rPr>
          <w:rFonts w:ascii="宋体" w:hAnsi="宋体" w:cs="宋体" w:eastAsia="宋体" w:hint="default"/>
          <w:spacing w:val="-42"/>
        </w:rPr>
        <w:t> </w:t>
      </w:r>
      <w:r>
        <w:rPr>
          <w:spacing w:val="-5"/>
        </w:rPr>
        <w:t>个席位中，其中</w:t>
      </w:r>
      <w:r>
        <w:rPr>
          <w:spacing w:val="-45"/>
        </w:rPr>
        <w:t> </w:t>
      </w:r>
      <w:r>
        <w:rPr>
          <w:rFonts w:ascii="宋体" w:hAnsi="宋体" w:cs="宋体" w:eastAsia="宋体" w:hint="default"/>
        </w:rPr>
        <w:t>5</w:t>
      </w:r>
      <w:r>
        <w:rPr>
          <w:rFonts w:ascii="宋体" w:hAnsi="宋体" w:cs="宋体" w:eastAsia="宋体" w:hint="default"/>
          <w:spacing w:val="-42"/>
        </w:rPr>
        <w:t> </w:t>
      </w:r>
      <w:r>
        <w:rPr>
          <w:spacing w:val="-3"/>
        </w:rPr>
        <w:t>位为本公司及其联系人士的高级管理人员，形成了对冠捷科技的</w:t>
      </w:r>
      <w:r>
        <w:rPr>
          <w:spacing w:val="-106"/>
        </w:rPr>
        <w:t> </w:t>
      </w:r>
      <w:r>
        <w:rPr>
          <w:spacing w:val="-106"/>
        </w:rPr>
      </w:r>
      <w:r>
        <w:rPr>
          <w:spacing w:val="-3"/>
        </w:rPr>
        <w:t>实质控制，因此将冠捷科技作为子公司纳入合并范围。截止本报告报出日，冠捷科技董</w:t>
      </w:r>
      <w:r>
        <w:rPr>
          <w:spacing w:val="-59"/>
        </w:rPr>
        <w:t> </w:t>
      </w:r>
      <w:r>
        <w:rPr>
          <w:spacing w:val="-59"/>
        </w:rPr>
      </w:r>
      <w:r>
        <w:rPr/>
        <w:t>事会成员为</w:t>
      </w:r>
      <w:r>
        <w:rPr>
          <w:spacing w:val="-56"/>
        </w:rPr>
        <w:t> </w:t>
      </w:r>
      <w:r>
        <w:rPr>
          <w:rFonts w:ascii="宋体" w:hAnsi="宋体" w:cs="宋体" w:eastAsia="宋体" w:hint="default"/>
        </w:rPr>
        <w:t>9</w:t>
      </w:r>
      <w:r>
        <w:rPr>
          <w:rFonts w:ascii="宋体" w:hAnsi="宋体" w:cs="宋体" w:eastAsia="宋体" w:hint="default"/>
          <w:spacing w:val="-56"/>
        </w:rPr>
        <w:t> </w:t>
      </w:r>
      <w:r>
        <w:rPr/>
        <w:t>人，本公司所占席位不变。</w:t>
      </w:r>
    </w:p>
    <w:p>
      <w:pPr>
        <w:pStyle w:val="Heading7"/>
        <w:spacing w:line="240" w:lineRule="auto" w:before="103"/>
        <w:ind w:left="699" w:right="276"/>
        <w:jc w:val="left"/>
      </w:pPr>
      <w:r>
        <w:rPr/>
        <w:t>（</w:t>
      </w:r>
      <w:r>
        <w:rPr>
          <w:rFonts w:ascii="宋体" w:hAnsi="宋体" w:cs="宋体" w:eastAsia="宋体" w:hint="default"/>
        </w:rPr>
        <w:t>2</w:t>
      </w:r>
      <w:r>
        <w:rPr/>
        <w:t>）重要的非全资子公司</w:t>
      </w:r>
    </w:p>
    <w:p>
      <w:pPr>
        <w:spacing w:line="240" w:lineRule="auto" w:before="8"/>
        <w:rPr>
          <w:rFonts w:ascii="宋体" w:hAnsi="宋体" w:cs="宋体" w:eastAsia="宋体" w:hint="default"/>
          <w:sz w:val="6"/>
          <w:szCs w:val="6"/>
        </w:rPr>
      </w:pPr>
    </w:p>
    <w:tbl>
      <w:tblPr>
        <w:tblW w:w="0" w:type="auto"/>
        <w:jc w:val="left"/>
        <w:tblInd w:w="269" w:type="dxa"/>
        <w:tblLayout w:type="fixed"/>
        <w:tblCellMar>
          <w:top w:w="0" w:type="dxa"/>
          <w:left w:w="0" w:type="dxa"/>
          <w:bottom w:w="0" w:type="dxa"/>
          <w:right w:w="0" w:type="dxa"/>
        </w:tblCellMar>
        <w:tblLook w:val="01E0"/>
      </w:tblPr>
      <w:tblGrid>
        <w:gridCol w:w="1386"/>
        <w:gridCol w:w="1414"/>
        <w:gridCol w:w="1855"/>
        <w:gridCol w:w="1920"/>
        <w:gridCol w:w="1698"/>
      </w:tblGrid>
      <w:tr>
        <w:trPr>
          <w:trHeight w:val="698" w:hRule="exact"/>
        </w:trPr>
        <w:tc>
          <w:tcPr>
            <w:tcW w:w="138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414" w:type="dxa"/>
            <w:tcBorders>
              <w:top w:val="single" w:sz="17" w:space="0" w:color="000000"/>
              <w:left w:val="single" w:sz="4" w:space="0" w:color="000000"/>
              <w:bottom w:val="single" w:sz="4" w:space="0" w:color="000000"/>
              <w:right w:val="single" w:sz="4" w:space="0" w:color="000000"/>
            </w:tcBorders>
          </w:tcPr>
          <w:p>
            <w:pPr>
              <w:pStyle w:val="TableParagraph"/>
              <w:spacing w:line="295" w:lineRule="auto" w:before="56"/>
              <w:ind w:left="520" w:right="157" w:hanging="360"/>
              <w:jc w:val="left"/>
              <w:rPr>
                <w:rFonts w:ascii="宋体" w:hAnsi="宋体" w:cs="宋体" w:eastAsia="宋体" w:hint="default"/>
                <w:sz w:val="18"/>
                <w:szCs w:val="18"/>
              </w:rPr>
            </w:pPr>
            <w:r>
              <w:rPr>
                <w:rFonts w:ascii="宋体" w:hAnsi="宋体" w:cs="宋体" w:eastAsia="宋体" w:hint="default"/>
                <w:b/>
                <w:bCs/>
                <w:sz w:val="18"/>
                <w:szCs w:val="18"/>
              </w:rPr>
              <w:t>少数股东持股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855" w:type="dxa"/>
            <w:tcBorders>
              <w:top w:val="single" w:sz="17" w:space="0" w:color="000000"/>
              <w:left w:val="single" w:sz="4" w:space="0" w:color="000000"/>
              <w:bottom w:val="single" w:sz="4" w:space="0" w:color="000000"/>
              <w:right w:val="single" w:sz="4" w:space="0" w:color="000000"/>
            </w:tcBorders>
          </w:tcPr>
          <w:p>
            <w:pPr>
              <w:pStyle w:val="TableParagraph"/>
              <w:spacing w:line="295" w:lineRule="auto" w:before="56"/>
              <w:ind w:left="650" w:right="109" w:hanging="543"/>
              <w:jc w:val="left"/>
              <w:rPr>
                <w:rFonts w:ascii="宋体" w:hAnsi="宋体" w:cs="宋体" w:eastAsia="宋体" w:hint="default"/>
                <w:sz w:val="18"/>
                <w:szCs w:val="18"/>
              </w:rPr>
            </w:pPr>
            <w:r>
              <w:rPr>
                <w:rFonts w:ascii="宋体" w:hAnsi="宋体" w:cs="宋体" w:eastAsia="宋体" w:hint="default"/>
                <w:b/>
                <w:bCs/>
                <w:sz w:val="18"/>
                <w:szCs w:val="18"/>
              </w:rPr>
              <w:t>本年归属于少数股东</w:t>
            </w:r>
            <w:r>
              <w:rPr>
                <w:rFonts w:ascii="宋体" w:hAnsi="宋体" w:cs="宋体" w:eastAsia="宋体" w:hint="default"/>
                <w:b/>
                <w:bCs/>
                <w:w w:val="99"/>
                <w:sz w:val="18"/>
                <w:szCs w:val="18"/>
              </w:rPr>
              <w:t> </w:t>
            </w:r>
            <w:r>
              <w:rPr>
                <w:rFonts w:ascii="宋体" w:hAnsi="宋体" w:cs="宋体" w:eastAsia="宋体" w:hint="default"/>
                <w:b/>
                <w:bCs/>
                <w:sz w:val="18"/>
                <w:szCs w:val="18"/>
              </w:rPr>
              <w:t>的损益</w:t>
            </w:r>
            <w:r>
              <w:rPr>
                <w:rFonts w:ascii="宋体" w:hAnsi="宋体" w:cs="宋体" w:eastAsia="宋体" w:hint="default"/>
                <w:sz w:val="18"/>
                <w:szCs w:val="18"/>
              </w:rPr>
            </w:r>
          </w:p>
        </w:tc>
        <w:tc>
          <w:tcPr>
            <w:tcW w:w="1920" w:type="dxa"/>
            <w:tcBorders>
              <w:top w:val="single" w:sz="17" w:space="0" w:color="000000"/>
              <w:left w:val="single" w:sz="4" w:space="0" w:color="000000"/>
              <w:bottom w:val="single" w:sz="4" w:space="0" w:color="000000"/>
              <w:right w:val="single" w:sz="4" w:space="0" w:color="000000"/>
            </w:tcBorders>
          </w:tcPr>
          <w:p>
            <w:pPr>
              <w:pStyle w:val="TableParagraph"/>
              <w:spacing w:line="295" w:lineRule="auto" w:before="56"/>
              <w:ind w:left="503" w:right="140" w:hanging="363"/>
              <w:jc w:val="left"/>
              <w:rPr>
                <w:rFonts w:ascii="宋体" w:hAnsi="宋体" w:cs="宋体" w:eastAsia="宋体" w:hint="default"/>
                <w:sz w:val="18"/>
                <w:szCs w:val="18"/>
              </w:rPr>
            </w:pPr>
            <w:r>
              <w:rPr>
                <w:rFonts w:ascii="宋体" w:hAnsi="宋体" w:cs="宋体" w:eastAsia="宋体" w:hint="default"/>
                <w:b/>
                <w:bCs/>
                <w:sz w:val="18"/>
                <w:szCs w:val="18"/>
              </w:rPr>
              <w:t>本年向少数股东宣告</w:t>
            </w:r>
            <w:r>
              <w:rPr>
                <w:rFonts w:ascii="宋体" w:hAnsi="宋体" w:cs="宋体" w:eastAsia="宋体" w:hint="default"/>
                <w:b/>
                <w:bCs/>
                <w:w w:val="99"/>
                <w:sz w:val="18"/>
                <w:szCs w:val="18"/>
              </w:rPr>
              <w:t> </w:t>
            </w:r>
            <w:r>
              <w:rPr>
                <w:rFonts w:ascii="宋体" w:hAnsi="宋体" w:cs="宋体" w:eastAsia="宋体" w:hint="default"/>
                <w:b/>
                <w:bCs/>
                <w:sz w:val="18"/>
                <w:szCs w:val="18"/>
              </w:rPr>
              <w:t>分派的股利</w:t>
            </w:r>
            <w:r>
              <w:rPr>
                <w:rFonts w:ascii="宋体" w:hAnsi="宋体" w:cs="宋体" w:eastAsia="宋体" w:hint="default"/>
                <w:sz w:val="18"/>
                <w:szCs w:val="18"/>
              </w:rPr>
            </w:r>
          </w:p>
        </w:tc>
        <w:tc>
          <w:tcPr>
            <w:tcW w:w="1698" w:type="dxa"/>
            <w:tcBorders>
              <w:top w:val="single" w:sz="17" w:space="0" w:color="000000"/>
              <w:left w:val="single" w:sz="4" w:space="0" w:color="000000"/>
              <w:bottom w:val="single" w:sz="4" w:space="0" w:color="000000"/>
              <w:right w:val="nil" w:sz="6" w:space="0" w:color="auto"/>
            </w:tcBorders>
          </w:tcPr>
          <w:p>
            <w:pPr>
              <w:pStyle w:val="TableParagraph"/>
              <w:spacing w:line="295" w:lineRule="auto" w:before="56"/>
              <w:ind w:left="650" w:right="139" w:hanging="543"/>
              <w:jc w:val="left"/>
              <w:rPr>
                <w:rFonts w:ascii="宋体" w:hAnsi="宋体" w:cs="宋体" w:eastAsia="宋体" w:hint="default"/>
                <w:sz w:val="18"/>
                <w:szCs w:val="18"/>
              </w:rPr>
            </w:pPr>
            <w:r>
              <w:rPr>
                <w:rFonts w:ascii="宋体" w:hAnsi="宋体" w:cs="宋体" w:eastAsia="宋体" w:hint="default"/>
                <w:b/>
                <w:bCs/>
                <w:sz w:val="18"/>
                <w:szCs w:val="18"/>
              </w:rPr>
              <w:t>年末少数股东权益</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99" w:hRule="exact"/>
        </w:trPr>
        <w:tc>
          <w:tcPr>
            <w:tcW w:w="138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14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763" w:right="0"/>
              <w:jc w:val="left"/>
              <w:rPr>
                <w:rFonts w:ascii="宋体" w:hAnsi="宋体" w:cs="宋体" w:eastAsia="宋体" w:hint="default"/>
                <w:sz w:val="18"/>
                <w:szCs w:val="18"/>
              </w:rPr>
            </w:pPr>
            <w:r>
              <w:rPr>
                <w:rFonts w:ascii="宋体"/>
                <w:sz w:val="18"/>
              </w:rPr>
              <w:t>75.68%</w:t>
            </w:r>
          </w:p>
        </w:tc>
        <w:tc>
          <w:tcPr>
            <w:tcW w:w="18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388" w:right="0"/>
              <w:jc w:val="left"/>
              <w:rPr>
                <w:rFonts w:ascii="宋体" w:hAnsi="宋体" w:cs="宋体" w:eastAsia="宋体" w:hint="default"/>
                <w:sz w:val="18"/>
                <w:szCs w:val="18"/>
              </w:rPr>
            </w:pPr>
            <w:r>
              <w:rPr>
                <w:rFonts w:ascii="宋体"/>
                <w:sz w:val="18"/>
              </w:rPr>
              <w:t>-182,031,446.62</w:t>
            </w:r>
          </w:p>
        </w:tc>
        <w:tc>
          <w:tcPr>
            <w:tcW w:w="19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635" w:right="0"/>
              <w:jc w:val="left"/>
              <w:rPr>
                <w:rFonts w:ascii="宋体" w:hAnsi="宋体" w:cs="宋体" w:eastAsia="宋体" w:hint="default"/>
                <w:sz w:val="18"/>
                <w:szCs w:val="18"/>
              </w:rPr>
            </w:pPr>
            <w:r>
              <w:rPr>
                <w:rFonts w:ascii="宋体"/>
                <w:sz w:val="18"/>
              </w:rPr>
              <w:t>15,525,202.84</w:t>
            </w:r>
          </w:p>
        </w:tc>
        <w:tc>
          <w:tcPr>
            <w:tcW w:w="169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left="119" w:right="0"/>
              <w:jc w:val="left"/>
              <w:rPr>
                <w:rFonts w:ascii="宋体" w:hAnsi="宋体" w:cs="宋体" w:eastAsia="宋体" w:hint="default"/>
                <w:sz w:val="18"/>
                <w:szCs w:val="18"/>
              </w:rPr>
            </w:pPr>
            <w:r>
              <w:rPr>
                <w:rFonts w:ascii="宋体"/>
                <w:sz w:val="18"/>
              </w:rPr>
              <w:t>5,961,040,736.56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76"/>
        <w:ind w:left="4306" w:right="4419"/>
        <w:jc w:val="center"/>
        <w:rPr>
          <w:rFonts w:ascii="Times New Roman" w:hAnsi="Times New Roman" w:cs="Times New Roman" w:eastAsia="Times New Roman" w:hint="default"/>
        </w:rPr>
      </w:pPr>
      <w:r>
        <w:rPr>
          <w:rFonts w:ascii="Times New Roman"/>
        </w:rPr>
        <w:t>81</w:t>
      </w:r>
    </w:p>
    <w:p>
      <w:pPr>
        <w:spacing w:after="0" w:line="240" w:lineRule="auto"/>
        <w:jc w:val="center"/>
        <w:rPr>
          <w:rFonts w:ascii="Times New Roman" w:hAnsi="Times New Roman" w:cs="Times New Roman" w:eastAsia="Times New Roman" w:hint="default"/>
        </w:rPr>
        <w:sectPr>
          <w:headerReference w:type="default" r:id="rId63"/>
          <w:footerReference w:type="default" r:id="rId64"/>
          <w:pgSz w:w="11910" w:h="16840"/>
          <w:pgMar w:header="881" w:footer="0" w:top="1600" w:bottom="280" w:left="1540" w:right="1420"/>
        </w:sectPr>
      </w:pPr>
    </w:p>
    <w:p>
      <w:pPr>
        <w:pStyle w:val="Heading6"/>
        <w:spacing w:line="240" w:lineRule="auto" w:before="7"/>
        <w:ind w:left="280" w:right="0"/>
        <w:jc w:val="left"/>
        <w:rPr>
          <w:b w:val="0"/>
          <w:bCs w:val="0"/>
        </w:rPr>
      </w:pPr>
      <w:r>
        <w:rPr/>
        <w:t>中国长城计算机深圳股份有限公司财务报表附注</w:t>
      </w:r>
      <w:r>
        <w:rPr>
          <w:b w:val="0"/>
          <w:bCs w:val="0"/>
        </w:rPr>
      </w:r>
    </w:p>
    <w:p>
      <w:pPr>
        <w:pStyle w:val="BodyText"/>
        <w:spacing w:line="234" w:lineRule="exact" w:before="4"/>
        <w:ind w:left="28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8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5"/>
          <w:szCs w:val="15"/>
        </w:rPr>
      </w:pPr>
    </w:p>
    <w:p>
      <w:pPr>
        <w:pStyle w:val="Heading7"/>
        <w:spacing w:line="240" w:lineRule="auto"/>
        <w:ind w:left="719" w:right="0"/>
        <w:jc w:val="left"/>
      </w:pPr>
      <w:r>
        <w:rPr/>
        <w:t>（</w:t>
      </w:r>
      <w:r>
        <w:rPr>
          <w:rFonts w:ascii="宋体" w:hAnsi="宋体" w:cs="宋体" w:eastAsia="宋体" w:hint="default"/>
        </w:rPr>
        <w:t>3</w:t>
      </w:r>
      <w:r>
        <w:rPr/>
        <w:t>）重要非全资子公司的主要财务信息</w:t>
      </w:r>
    </w:p>
    <w:p>
      <w:pPr>
        <w:spacing w:line="240" w:lineRule="auto" w:before="8"/>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08"/>
        <w:gridCol w:w="2126"/>
        <w:gridCol w:w="1985"/>
        <w:gridCol w:w="1983"/>
        <w:gridCol w:w="1985"/>
        <w:gridCol w:w="1849"/>
        <w:gridCol w:w="2122"/>
      </w:tblGrid>
      <w:tr>
        <w:trPr>
          <w:trHeight w:val="389" w:hRule="exact"/>
        </w:trPr>
        <w:tc>
          <w:tcPr>
            <w:tcW w:w="2108"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050"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2108"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386" w:hRule="exact"/>
        </w:trPr>
        <w:tc>
          <w:tcPr>
            <w:tcW w:w="2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484" w:right="0"/>
              <w:jc w:val="left"/>
              <w:rPr>
                <w:rFonts w:ascii="宋体" w:hAnsi="宋体" w:cs="宋体" w:eastAsia="宋体" w:hint="default"/>
                <w:sz w:val="18"/>
                <w:szCs w:val="18"/>
              </w:rPr>
            </w:pPr>
            <w:r>
              <w:rPr>
                <w:rFonts w:ascii="宋体"/>
                <w:sz w:val="18"/>
              </w:rPr>
              <w:t>28,597,450,758.40</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435" w:right="0"/>
              <w:jc w:val="left"/>
              <w:rPr>
                <w:rFonts w:ascii="宋体" w:hAnsi="宋体" w:cs="宋体" w:eastAsia="宋体" w:hint="default"/>
                <w:sz w:val="18"/>
                <w:szCs w:val="18"/>
              </w:rPr>
            </w:pPr>
            <w:r>
              <w:rPr>
                <w:rFonts w:ascii="宋体"/>
                <w:sz w:val="18"/>
              </w:rPr>
              <w:t>7,077,287,701.88</w:t>
            </w:r>
          </w:p>
        </w:tc>
        <w:tc>
          <w:tcPr>
            <w:tcW w:w="1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35,674,738,460.28</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24,078,353,216.80</w:t>
            </w:r>
          </w:p>
        </w:tc>
        <w:tc>
          <w:tcPr>
            <w:tcW w:w="18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3,757,106,049.60</w:t>
            </w:r>
          </w:p>
        </w:tc>
        <w:tc>
          <w:tcPr>
            <w:tcW w:w="2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479" w:right="0"/>
              <w:jc w:val="left"/>
              <w:rPr>
                <w:rFonts w:ascii="宋体" w:hAnsi="宋体" w:cs="宋体" w:eastAsia="宋体" w:hint="default"/>
                <w:sz w:val="18"/>
                <w:szCs w:val="18"/>
              </w:rPr>
            </w:pPr>
            <w:r>
              <w:rPr>
                <w:rFonts w:ascii="宋体"/>
                <w:sz w:val="18"/>
              </w:rPr>
              <w:t>27,835,459,266.40</w:t>
            </w:r>
          </w:p>
        </w:tc>
      </w:tr>
    </w:tbl>
    <w:p>
      <w:pPr>
        <w:spacing w:line="240" w:lineRule="auto" w:before="8"/>
        <w:rPr>
          <w:rFonts w:ascii="宋体" w:hAnsi="宋体" w:cs="宋体" w:eastAsia="宋体" w:hint="default"/>
          <w:sz w:val="4"/>
          <w:szCs w:val="4"/>
        </w:rPr>
      </w:pPr>
    </w:p>
    <w:p>
      <w:pPr>
        <w:pStyle w:val="Heading7"/>
        <w:spacing w:line="240" w:lineRule="auto"/>
        <w:ind w:left="719" w:right="0"/>
        <w:jc w:val="left"/>
      </w:pPr>
      <w:r>
        <w:rPr/>
        <w:t>（续）</w:t>
      </w:r>
    </w:p>
    <w:p>
      <w:pPr>
        <w:spacing w:line="240" w:lineRule="auto" w:before="9"/>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108"/>
        <w:gridCol w:w="2126"/>
        <w:gridCol w:w="1985"/>
        <w:gridCol w:w="1983"/>
        <w:gridCol w:w="1985"/>
        <w:gridCol w:w="1849"/>
        <w:gridCol w:w="2122"/>
      </w:tblGrid>
      <w:tr>
        <w:trPr>
          <w:trHeight w:val="389" w:hRule="exact"/>
        </w:trPr>
        <w:tc>
          <w:tcPr>
            <w:tcW w:w="2108"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050"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2108"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389" w:hRule="exact"/>
        </w:trPr>
        <w:tc>
          <w:tcPr>
            <w:tcW w:w="2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484" w:right="0"/>
              <w:jc w:val="left"/>
              <w:rPr>
                <w:rFonts w:ascii="宋体" w:hAnsi="宋体" w:cs="宋体" w:eastAsia="宋体" w:hint="default"/>
                <w:sz w:val="18"/>
                <w:szCs w:val="18"/>
              </w:rPr>
            </w:pPr>
            <w:r>
              <w:rPr>
                <w:rFonts w:ascii="宋体"/>
                <w:sz w:val="18"/>
              </w:rPr>
              <w:t>29,660,426,773.00</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435" w:right="0"/>
              <w:jc w:val="left"/>
              <w:rPr>
                <w:rFonts w:ascii="宋体" w:hAnsi="宋体" w:cs="宋体" w:eastAsia="宋体" w:hint="default"/>
                <w:sz w:val="18"/>
                <w:szCs w:val="18"/>
              </w:rPr>
            </w:pPr>
            <w:r>
              <w:rPr>
                <w:rFonts w:ascii="宋体"/>
                <w:sz w:val="18"/>
              </w:rPr>
              <w:t>7,219,186,773.39</w:t>
            </w:r>
          </w:p>
        </w:tc>
        <w:tc>
          <w:tcPr>
            <w:tcW w:w="1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36,879,613,546.39</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27,047,014,111.00</w:t>
            </w:r>
          </w:p>
        </w:tc>
        <w:tc>
          <w:tcPr>
            <w:tcW w:w="18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2,184,568,666.00</w:t>
            </w:r>
          </w:p>
        </w:tc>
        <w:tc>
          <w:tcPr>
            <w:tcW w:w="2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479" w:right="0"/>
              <w:jc w:val="left"/>
              <w:rPr>
                <w:rFonts w:ascii="宋体" w:hAnsi="宋体" w:cs="宋体" w:eastAsia="宋体" w:hint="default"/>
                <w:sz w:val="18"/>
                <w:szCs w:val="18"/>
              </w:rPr>
            </w:pPr>
            <w:r>
              <w:rPr>
                <w:rFonts w:ascii="宋体"/>
                <w:sz w:val="18"/>
              </w:rPr>
              <w:t>29,231,582,777.00</w:t>
            </w:r>
          </w:p>
        </w:tc>
      </w:tr>
    </w:tbl>
    <w:p>
      <w:pPr>
        <w:spacing w:line="240" w:lineRule="auto" w:before="8"/>
        <w:rPr>
          <w:rFonts w:ascii="宋体" w:hAnsi="宋体" w:cs="宋体" w:eastAsia="宋体" w:hint="default"/>
          <w:sz w:val="4"/>
          <w:szCs w:val="4"/>
        </w:rPr>
      </w:pPr>
    </w:p>
    <w:p>
      <w:pPr>
        <w:pStyle w:val="Heading7"/>
        <w:spacing w:line="240" w:lineRule="auto"/>
        <w:ind w:left="719" w:right="0"/>
        <w:jc w:val="left"/>
      </w:pPr>
      <w:r>
        <w:rPr/>
        <w:t>续表：</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378"/>
        <w:gridCol w:w="1702"/>
        <w:gridCol w:w="1702"/>
        <w:gridCol w:w="1558"/>
        <w:gridCol w:w="1560"/>
        <w:gridCol w:w="1752"/>
        <w:gridCol w:w="1418"/>
        <w:gridCol w:w="1508"/>
        <w:gridCol w:w="1666"/>
      </w:tblGrid>
      <w:tr>
        <w:trPr>
          <w:trHeight w:val="386" w:hRule="exact"/>
        </w:trPr>
        <w:tc>
          <w:tcPr>
            <w:tcW w:w="1378"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52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634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7" w:hRule="exact"/>
        </w:trPr>
        <w:tc>
          <w:tcPr>
            <w:tcW w:w="1378"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r>
      <w:tr>
        <w:trPr>
          <w:trHeight w:val="387" w:hRule="exact"/>
        </w:trPr>
        <w:tc>
          <w:tcPr>
            <w:tcW w:w="13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46" w:right="0"/>
              <w:jc w:val="left"/>
              <w:rPr>
                <w:rFonts w:ascii="宋体" w:hAnsi="宋体" w:cs="宋体" w:eastAsia="宋体" w:hint="default"/>
                <w:sz w:val="18"/>
                <w:szCs w:val="18"/>
              </w:rPr>
            </w:pPr>
            <w:r>
              <w:rPr>
                <w:rFonts w:ascii="宋体"/>
                <w:sz w:val="18"/>
              </w:rPr>
              <w:t>69,150,587,785.25</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326" w:right="0"/>
              <w:jc w:val="left"/>
              <w:rPr>
                <w:rFonts w:ascii="宋体" w:hAnsi="宋体" w:cs="宋体" w:eastAsia="宋体" w:hint="default"/>
                <w:sz w:val="18"/>
                <w:szCs w:val="18"/>
              </w:rPr>
            </w:pPr>
            <w:r>
              <w:rPr>
                <w:rFonts w:ascii="宋体"/>
                <w:sz w:val="18"/>
              </w:rPr>
              <w:t>-244,205,957.10</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84" w:right="0"/>
              <w:jc w:val="left"/>
              <w:rPr>
                <w:rFonts w:ascii="宋体" w:hAnsi="宋体" w:cs="宋体" w:eastAsia="宋体" w:hint="default"/>
                <w:sz w:val="18"/>
                <w:szCs w:val="18"/>
              </w:rPr>
            </w:pPr>
            <w:r>
              <w:rPr>
                <w:rFonts w:ascii="宋体"/>
                <w:sz w:val="18"/>
              </w:rPr>
              <w:t>-356,083,465.64</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81" w:right="0"/>
              <w:jc w:val="center"/>
              <w:rPr>
                <w:rFonts w:ascii="宋体" w:hAnsi="宋体" w:cs="宋体" w:eastAsia="宋体" w:hint="default"/>
                <w:sz w:val="18"/>
                <w:szCs w:val="18"/>
              </w:rPr>
            </w:pPr>
            <w:r>
              <w:rPr>
                <w:rFonts w:ascii="宋体"/>
                <w:sz w:val="18"/>
              </w:rPr>
              <w:t>1,452,695,652.69</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99" w:right="0"/>
              <w:jc w:val="left"/>
              <w:rPr>
                <w:rFonts w:ascii="宋体" w:hAnsi="宋体" w:cs="宋体" w:eastAsia="宋体" w:hint="default"/>
                <w:sz w:val="18"/>
                <w:szCs w:val="18"/>
              </w:rPr>
            </w:pPr>
            <w:r>
              <w:rPr>
                <w:rFonts w:ascii="宋体"/>
                <w:sz w:val="18"/>
              </w:rPr>
              <w:t>73,363,875,940.53</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8" w:right="0"/>
              <w:jc w:val="center"/>
              <w:rPr>
                <w:rFonts w:ascii="宋体" w:hAnsi="宋体" w:cs="宋体" w:eastAsia="宋体" w:hint="default"/>
                <w:sz w:val="18"/>
                <w:szCs w:val="18"/>
              </w:rPr>
            </w:pPr>
            <w:r>
              <w:rPr>
                <w:rFonts w:ascii="宋体"/>
                <w:sz w:val="18"/>
              </w:rPr>
              <w:t>-379,765,212.03</w:t>
            </w:r>
          </w:p>
        </w:tc>
        <w:tc>
          <w:tcPr>
            <w:tcW w:w="15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sz w:val="18"/>
              </w:rPr>
              <w:t>-395,429,046.44</w:t>
            </w:r>
          </w:p>
        </w:tc>
        <w:tc>
          <w:tcPr>
            <w:tcW w:w="16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204" w:right="0"/>
              <w:jc w:val="left"/>
              <w:rPr>
                <w:rFonts w:ascii="宋体" w:hAnsi="宋体" w:cs="宋体" w:eastAsia="宋体" w:hint="default"/>
                <w:sz w:val="18"/>
                <w:szCs w:val="18"/>
              </w:rPr>
            </w:pPr>
            <w:r>
              <w:rPr>
                <w:rFonts w:ascii="宋体"/>
                <w:sz w:val="18"/>
              </w:rPr>
              <w:t>2,539,671,293.63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76"/>
        <w:ind w:left="7150" w:right="7148"/>
        <w:jc w:val="center"/>
        <w:rPr>
          <w:rFonts w:ascii="Times New Roman" w:hAnsi="Times New Roman" w:cs="Times New Roman" w:eastAsia="Times New Roman" w:hint="default"/>
        </w:rPr>
      </w:pPr>
      <w:r>
        <w:rPr>
          <w:rFonts w:ascii="Times New Roman"/>
        </w:rPr>
        <w:t>82</w:t>
      </w:r>
    </w:p>
    <w:p>
      <w:pPr>
        <w:spacing w:after="0" w:line="240" w:lineRule="auto"/>
        <w:jc w:val="center"/>
        <w:rPr>
          <w:rFonts w:ascii="Times New Roman" w:hAnsi="Times New Roman" w:cs="Times New Roman" w:eastAsia="Times New Roman" w:hint="default"/>
        </w:rPr>
        <w:sectPr>
          <w:headerReference w:type="default" r:id="rId65"/>
          <w:footerReference w:type="default" r:id="rId66"/>
          <w:pgSz w:w="16840" w:h="11910" w:orient="landscape"/>
          <w:pgMar w:header="0" w:footer="0" w:top="800" w:bottom="280" w:left="1160" w:right="1160"/>
        </w:sectPr>
      </w:pPr>
    </w:p>
    <w:p>
      <w:pPr>
        <w:pStyle w:val="Heading7"/>
        <w:spacing w:line="391" w:lineRule="auto" w:before="123"/>
        <w:ind w:left="1099" w:right="537"/>
        <w:jc w:val="left"/>
      </w:pPr>
      <w:r>
        <w:rPr>
          <w:rFonts w:ascii="宋体" w:hAnsi="宋体" w:cs="宋体" w:eastAsia="宋体" w:hint="default"/>
        </w:rPr>
        <w:t>2</w:t>
      </w:r>
      <w:r>
        <w:rPr/>
        <w:t>、在子公司的所有者权益份额发生变化且仍控制子公司的情况</w:t>
      </w:r>
      <w:r>
        <w:rPr>
          <w:w w:val="100"/>
        </w:rPr>
        <w:t> </w:t>
      </w:r>
      <w:r>
        <w:rPr>
          <w:spacing w:val="-3"/>
        </w:rPr>
        <w:t>子公司北海能源对自然人股东所持全部股份进行回购，回购总额为 </w:t>
      </w:r>
      <w:r>
        <w:rPr>
          <w:rFonts w:ascii="宋体" w:hAnsi="宋体" w:cs="宋体" w:eastAsia="宋体" w:hint="default"/>
        </w:rPr>
        <w:t>864,560.08</w:t>
      </w:r>
      <w:r>
        <w:rPr>
          <w:rFonts w:ascii="宋体" w:hAnsi="宋体" w:cs="宋体" w:eastAsia="宋体" w:hint="default"/>
          <w:spacing w:val="-80"/>
        </w:rPr>
        <w:t> </w:t>
      </w:r>
      <w:r>
        <w:rPr/>
        <w:t>元，</w:t>
      </w:r>
    </w:p>
    <w:p>
      <w:pPr>
        <w:pStyle w:val="Heading7"/>
        <w:spacing w:line="253" w:lineRule="exact" w:before="0"/>
        <w:ind w:left="660" w:right="537"/>
        <w:jc w:val="left"/>
      </w:pPr>
      <w:r>
        <w:rPr>
          <w:spacing w:val="-3"/>
        </w:rPr>
        <w:t>回购之后北海能源为本集团的全资子公司。该事项导致本公司享有子公司净资产份额增</w:t>
      </w:r>
    </w:p>
    <w:p>
      <w:pPr>
        <w:pStyle w:val="Heading7"/>
        <w:spacing w:line="391" w:lineRule="auto" w:before="101"/>
        <w:ind w:left="1099" w:right="5097" w:hanging="440"/>
        <w:jc w:val="left"/>
      </w:pPr>
      <w:r>
        <w:rPr/>
        <w:t>加</w:t>
      </w:r>
      <w:r>
        <w:rPr>
          <w:spacing w:val="-55"/>
        </w:rPr>
        <w:t> </w:t>
      </w:r>
      <w:r>
        <w:rPr>
          <w:rFonts w:ascii="宋体" w:hAnsi="宋体" w:cs="宋体" w:eastAsia="宋体" w:hint="default"/>
        </w:rPr>
        <w:t>895,918.35</w:t>
      </w:r>
      <w:r>
        <w:rPr>
          <w:rFonts w:ascii="宋体" w:hAnsi="宋体" w:cs="宋体" w:eastAsia="宋体" w:hint="default"/>
          <w:spacing w:val="-55"/>
        </w:rPr>
        <w:t> </w:t>
      </w:r>
      <w:r>
        <w:rPr/>
        <w:t>元，对应调增资本公积。</w:t>
      </w:r>
      <w:r>
        <w:rPr>
          <w:w w:val="100"/>
        </w:rPr>
        <w:t> </w:t>
      </w:r>
      <w:r>
        <w:rPr>
          <w:rFonts w:ascii="宋体" w:hAnsi="宋体" w:cs="宋体" w:eastAsia="宋体" w:hint="default"/>
        </w:rPr>
        <w:t>3</w:t>
      </w:r>
      <w:r>
        <w:rPr/>
        <w:t>、在合营及联营企业中的权益</w:t>
      </w:r>
    </w:p>
    <w:p>
      <w:pPr>
        <w:pStyle w:val="Heading7"/>
        <w:spacing w:line="391" w:lineRule="auto" w:before="41"/>
        <w:ind w:left="1099" w:right="6427"/>
        <w:jc w:val="left"/>
      </w:pPr>
      <w:r>
        <w:rPr>
          <w:spacing w:val="-1"/>
        </w:rPr>
        <w:t>（</w:t>
      </w:r>
      <w:r>
        <w:rPr>
          <w:rFonts w:ascii="宋体" w:hAnsi="宋体" w:cs="宋体" w:eastAsia="宋体" w:hint="default"/>
          <w:spacing w:val="-1"/>
        </w:rPr>
        <w:t>1</w:t>
      </w:r>
      <w:r>
        <w:rPr>
          <w:spacing w:val="-1"/>
        </w:rPr>
        <w:t>）重要的合营企业</w:t>
      </w:r>
      <w:r>
        <w:rPr>
          <w:spacing w:val="-99"/>
        </w:rPr>
        <w:t> </w:t>
      </w:r>
      <w:r>
        <w:rPr>
          <w:spacing w:val="-99"/>
        </w:rPr>
      </w:r>
      <w:r>
        <w:rPr/>
        <w:t>无。</w:t>
      </w:r>
    </w:p>
    <w:p>
      <w:pPr>
        <w:pStyle w:val="Heading7"/>
        <w:spacing w:line="240" w:lineRule="auto" w:before="41"/>
        <w:ind w:left="1099" w:right="537"/>
        <w:jc w:val="left"/>
      </w:pPr>
      <w:r>
        <w:rPr/>
        <w:t>（</w:t>
      </w:r>
      <w:r>
        <w:rPr>
          <w:rFonts w:ascii="宋体" w:hAnsi="宋体" w:cs="宋体" w:eastAsia="宋体" w:hint="default"/>
        </w:rPr>
        <w:t>2</w:t>
      </w:r>
      <w:r>
        <w:rPr/>
        <w:t>）重要的联营企业的主要财务信息</w:t>
      </w:r>
    </w:p>
    <w:p>
      <w:pPr>
        <w:spacing w:line="240" w:lineRule="auto" w:before="8"/>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925"/>
        <w:gridCol w:w="2679"/>
        <w:gridCol w:w="2756"/>
      </w:tblGrid>
      <w:tr>
        <w:trPr>
          <w:trHeight w:val="389" w:hRule="exact"/>
        </w:trPr>
        <w:tc>
          <w:tcPr>
            <w:tcW w:w="3925"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27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r>
      <w:tr>
        <w:trPr>
          <w:trHeight w:val="382" w:hRule="exact"/>
        </w:trPr>
        <w:tc>
          <w:tcPr>
            <w:tcW w:w="3925" w:type="dxa"/>
            <w:vMerge/>
            <w:tcBorders>
              <w:left w:val="nil" w:sz="6" w:space="0" w:color="auto"/>
              <w:bottom w:val="single" w:sz="4" w:space="0" w:color="000000"/>
              <w:right w:val="single" w:sz="4" w:space="0" w:color="000000"/>
            </w:tcBorders>
          </w:tcPr>
          <w:p>
            <w:pP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hAnsi="宋体" w:cs="宋体" w:eastAsia="宋体" w:hint="default"/>
                <w:b/>
                <w:bCs/>
                <w:spacing w:val="-5"/>
                <w:w w:val="95"/>
                <w:sz w:val="18"/>
                <w:szCs w:val="18"/>
              </w:rPr>
              <w:t>捷星显示科技（福建）有限公司</w:t>
            </w:r>
            <w:r>
              <w:rPr>
                <w:rFonts w:ascii="宋体" w:hAnsi="宋体" w:cs="宋体" w:eastAsia="宋体" w:hint="default"/>
                <w:spacing w:val="-5"/>
                <w:sz w:val="18"/>
                <w:szCs w:val="18"/>
              </w:rPr>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hAnsi="宋体" w:cs="宋体" w:eastAsia="宋体" w:hint="default"/>
                <w:b/>
                <w:bCs/>
                <w:w w:val="95"/>
                <w:sz w:val="18"/>
                <w:szCs w:val="18"/>
              </w:rPr>
              <w:t>捷星显示科技（福建）有限公司</w:t>
            </w:r>
            <w:r>
              <w:rPr>
                <w:rFonts w:ascii="宋体" w:hAnsi="宋体" w:cs="宋体" w:eastAsia="宋体" w:hint="default"/>
                <w:sz w:val="18"/>
                <w:szCs w:val="18"/>
              </w:rPr>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1,866,682,724.00</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1,654,002,414.00</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143,274,790.40</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135,560,326.00</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2,009,957,514.40</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1,789,562,740.00</w:t>
            </w:r>
          </w:p>
        </w:tc>
      </w:tr>
      <w:tr>
        <w:trPr>
          <w:trHeight w:val="382"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1,578,730,525.60</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1,404,812,258.00</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79"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1,578,730,525.60</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1,404,812,258.00</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431,226,988.80</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384,750,482.00</w:t>
            </w:r>
          </w:p>
        </w:tc>
      </w:tr>
      <w:tr>
        <w:trPr>
          <w:trHeight w:val="382"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211,301,224.51</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188,527,736.18</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-2,051,458.11</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-545,937.18</w:t>
            </w:r>
          </w:p>
        </w:tc>
      </w:tr>
      <w:tr>
        <w:trPr>
          <w:trHeight w:val="38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209,249,766.40</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187,981,799.00</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2679"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7,113,104,968.75</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6,942,022,141.74</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102,733,235.75</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92,612,651.39</w:t>
            </w: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79"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102,733,235.75</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92,612,651.39</w:t>
            </w:r>
          </w:p>
        </w:tc>
      </w:tr>
      <w:tr>
        <w:trPr>
          <w:trHeight w:val="391"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企业本年收到的来自联营企业的股利</w:t>
            </w:r>
          </w:p>
        </w:tc>
        <w:tc>
          <w:tcPr>
            <w:tcW w:w="2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31,107,646.25</w:t>
            </w:r>
          </w:p>
        </w:tc>
        <w:tc>
          <w:tcPr>
            <w:tcW w:w="27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1099" w:right="537"/>
        <w:jc w:val="left"/>
      </w:pPr>
      <w:r>
        <w:rPr/>
        <w:t>（</w:t>
      </w:r>
      <w:r>
        <w:rPr>
          <w:rFonts w:ascii="宋体" w:hAnsi="宋体" w:cs="宋体" w:eastAsia="宋体" w:hint="default"/>
        </w:rPr>
        <w:t>3</w:t>
      </w:r>
      <w:r>
        <w:rPr/>
        <w:t>）不重要的合营及联营企业的汇总财务信息</w:t>
      </w:r>
    </w:p>
    <w:p>
      <w:pPr>
        <w:spacing w:line="240" w:lineRule="auto" w:before="8"/>
        <w:rPr>
          <w:rFonts w:ascii="宋体" w:hAnsi="宋体" w:cs="宋体" w:eastAsia="宋体" w:hint="default"/>
          <w:sz w:val="6"/>
          <w:szCs w:val="6"/>
        </w:rPr>
      </w:pPr>
    </w:p>
    <w:tbl>
      <w:tblPr>
        <w:tblW w:w="0" w:type="auto"/>
        <w:jc w:val="left"/>
        <w:tblInd w:w="523" w:type="dxa"/>
        <w:tblLayout w:type="fixed"/>
        <w:tblCellMar>
          <w:top w:w="0" w:type="dxa"/>
          <w:left w:w="0" w:type="dxa"/>
          <w:bottom w:w="0" w:type="dxa"/>
          <w:right w:w="0" w:type="dxa"/>
        </w:tblCellMar>
        <w:tblLook w:val="01E0"/>
      </w:tblPr>
      <w:tblGrid>
        <w:gridCol w:w="3445"/>
        <w:gridCol w:w="2494"/>
        <w:gridCol w:w="2600"/>
      </w:tblGrid>
      <w:tr>
        <w:trPr>
          <w:trHeight w:val="391" w:hRule="exact"/>
        </w:trPr>
        <w:tc>
          <w:tcPr>
            <w:tcW w:w="34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b/>
                <w:bCs/>
                <w:sz w:val="18"/>
                <w:szCs w:val="18"/>
              </w:rPr>
              <w:t>/</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b/>
                <w:bCs/>
                <w:sz w:val="18"/>
                <w:szCs w:val="18"/>
              </w:rPr>
              <w:t>/</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8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2494"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8,759,866.40</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8,272,888.00</w:t>
            </w:r>
          </w:p>
        </w:tc>
      </w:tr>
      <w:tr>
        <w:trPr>
          <w:trHeight w:val="37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494"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-18,720.75</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-8,424,918.39</w:t>
            </w:r>
          </w:p>
        </w:tc>
      </w:tr>
      <w:tr>
        <w:trPr>
          <w:trHeight w:val="37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94"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91" w:hRule="exact"/>
        </w:trPr>
        <w:tc>
          <w:tcPr>
            <w:tcW w:w="34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-18,720.75</w:t>
            </w:r>
          </w:p>
        </w:tc>
        <w:tc>
          <w:tcPr>
            <w:tcW w:w="26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-8,424,918.39</w:t>
            </w:r>
          </w:p>
        </w:tc>
      </w:tr>
    </w:tbl>
    <w:p>
      <w:pPr>
        <w:spacing w:after="0" w:line="240" w:lineRule="auto"/>
        <w:jc w:val="right"/>
        <w:rPr>
          <w:rFonts w:ascii="宋体" w:hAnsi="宋体" w:cs="宋体" w:eastAsia="宋体" w:hint="default"/>
          <w:sz w:val="18"/>
          <w:szCs w:val="18"/>
        </w:rPr>
        <w:sectPr>
          <w:footerReference w:type="default" r:id="rId67"/>
          <w:pgSz w:w="11910" w:h="16840"/>
          <w:pgMar w:footer="980" w:header="0" w:top="1600" w:bottom="1160" w:left="1140" w:right="1140"/>
          <w:pgNumType w:start="83"/>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45"/>
        <w:gridCol w:w="2494"/>
        <w:gridCol w:w="2759"/>
      </w:tblGrid>
      <w:tr>
        <w:trPr>
          <w:trHeight w:val="383" w:hRule="exact"/>
        </w:trPr>
        <w:tc>
          <w:tcPr>
            <w:tcW w:w="34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3"/>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3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b/>
                <w:bCs/>
                <w:sz w:val="18"/>
                <w:szCs w:val="18"/>
              </w:rPr>
              <w:t>/</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3"/>
              <w:ind w:left="43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b/>
                <w:bCs/>
                <w:sz w:val="18"/>
                <w:szCs w:val="18"/>
              </w:rPr>
              <w:t>/</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82"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2494" w:type="dxa"/>
            <w:tcBorders>
              <w:top w:val="single" w:sz="4" w:space="0" w:color="000000"/>
              <w:left w:val="single" w:sz="4" w:space="0" w:color="000000"/>
              <w:bottom w:val="single" w:sz="4" w:space="0" w:color="000000"/>
              <w:right w:val="single" w:sz="4" w:space="0" w:color="000000"/>
            </w:tcBorders>
          </w:tcPr>
          <w:p>
            <w:pPr/>
          </w:p>
        </w:tc>
        <w:tc>
          <w:tcPr>
            <w:tcW w:w="2759"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227,117,928.60</w:t>
            </w:r>
          </w:p>
        </w:tc>
        <w:tc>
          <w:tcPr>
            <w:tcW w:w="2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243,033,566.51</w:t>
            </w:r>
          </w:p>
        </w:tc>
      </w:tr>
      <w:tr>
        <w:trPr>
          <w:trHeight w:val="37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494" w:type="dxa"/>
            <w:tcBorders>
              <w:top w:val="single" w:sz="4" w:space="0" w:color="000000"/>
              <w:left w:val="single" w:sz="4" w:space="0" w:color="000000"/>
              <w:bottom w:val="single" w:sz="4" w:space="0" w:color="000000"/>
              <w:right w:val="single" w:sz="4" w:space="0" w:color="000000"/>
            </w:tcBorders>
          </w:tcPr>
          <w:p>
            <w:pPr/>
          </w:p>
        </w:tc>
        <w:tc>
          <w:tcPr>
            <w:tcW w:w="2759"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-14,378,071.39</w:t>
            </w:r>
          </w:p>
        </w:tc>
        <w:tc>
          <w:tcPr>
            <w:tcW w:w="2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-58,533,577.75</w:t>
            </w:r>
          </w:p>
        </w:tc>
      </w:tr>
      <w:tr>
        <w:trPr>
          <w:trHeight w:val="382"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2494" w:type="dxa"/>
            <w:tcBorders>
              <w:top w:val="single" w:sz="4" w:space="0" w:color="000000"/>
              <w:left w:val="single" w:sz="4" w:space="0" w:color="000000"/>
              <w:bottom w:val="single" w:sz="4" w:space="0" w:color="000000"/>
              <w:right w:val="single" w:sz="4" w:space="0" w:color="000000"/>
            </w:tcBorders>
          </w:tcPr>
          <w:p>
            <w:pPr/>
          </w:p>
        </w:tc>
        <w:tc>
          <w:tcPr>
            <w:tcW w:w="2759" w:type="dxa"/>
            <w:tcBorders>
              <w:top w:val="single" w:sz="4" w:space="0" w:color="000000"/>
              <w:left w:val="single" w:sz="4" w:space="0" w:color="000000"/>
              <w:bottom w:val="single" w:sz="4" w:space="0" w:color="000000"/>
              <w:right w:val="nil" w:sz="6" w:space="0" w:color="auto"/>
            </w:tcBorders>
          </w:tcPr>
          <w:p>
            <w:pPr/>
          </w:p>
        </w:tc>
      </w:tr>
      <w:tr>
        <w:trPr>
          <w:trHeight w:val="389" w:hRule="exact"/>
        </w:trPr>
        <w:tc>
          <w:tcPr>
            <w:tcW w:w="34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2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-14,378,071.39</w:t>
            </w:r>
          </w:p>
        </w:tc>
        <w:tc>
          <w:tcPr>
            <w:tcW w:w="27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266"/>
              <w:jc w:val="right"/>
              <w:rPr>
                <w:rFonts w:ascii="宋体" w:hAnsi="宋体" w:cs="宋体" w:eastAsia="宋体" w:hint="default"/>
                <w:sz w:val="18"/>
                <w:szCs w:val="18"/>
              </w:rPr>
            </w:pPr>
            <w:r>
              <w:rPr>
                <w:rFonts w:ascii="宋体"/>
                <w:spacing w:val="-1"/>
                <w:sz w:val="18"/>
              </w:rPr>
              <w:t>-58,533,577.75</w:t>
            </w:r>
          </w:p>
        </w:tc>
      </w:tr>
    </w:tbl>
    <w:p>
      <w:pPr>
        <w:spacing w:line="240" w:lineRule="auto" w:before="8"/>
        <w:rPr>
          <w:rFonts w:ascii="宋体" w:hAnsi="宋体" w:cs="宋体" w:eastAsia="宋体" w:hint="default"/>
          <w:sz w:val="4"/>
          <w:szCs w:val="4"/>
        </w:rPr>
      </w:pPr>
    </w:p>
    <w:p>
      <w:pPr>
        <w:pStyle w:val="Heading7"/>
        <w:spacing w:line="391" w:lineRule="auto"/>
        <w:ind w:left="679" w:right="2920"/>
        <w:jc w:val="left"/>
      </w:pPr>
      <w:r>
        <w:rPr>
          <w:spacing w:val="-1"/>
        </w:rPr>
        <w:t>（</w:t>
      </w:r>
      <w:r>
        <w:rPr>
          <w:rFonts w:ascii="宋体" w:hAnsi="宋体" w:cs="宋体" w:eastAsia="宋体" w:hint="default"/>
          <w:spacing w:val="-1"/>
        </w:rPr>
        <w:t>4</w:t>
      </w:r>
      <w:r>
        <w:rPr>
          <w:spacing w:val="-1"/>
        </w:rPr>
        <w:t>）联营企业向公司转移资金能力存在的重大限制</w:t>
      </w:r>
      <w:r>
        <w:rPr>
          <w:spacing w:val="-90"/>
        </w:rPr>
        <w:t> </w:t>
      </w:r>
      <w:r>
        <w:rPr>
          <w:spacing w:val="-90"/>
        </w:rPr>
      </w:r>
      <w:r>
        <w:rPr/>
        <w:t>无。</w:t>
      </w:r>
    </w:p>
    <w:p>
      <w:pPr>
        <w:pStyle w:val="Heading7"/>
        <w:spacing w:line="391" w:lineRule="auto" w:before="41"/>
        <w:ind w:left="679" w:right="5174"/>
        <w:jc w:val="left"/>
      </w:pPr>
      <w:r>
        <w:rPr>
          <w:spacing w:val="-1"/>
        </w:rPr>
        <w:t>（</w:t>
      </w:r>
      <w:r>
        <w:rPr>
          <w:rFonts w:ascii="宋体" w:hAnsi="宋体" w:cs="宋体" w:eastAsia="宋体" w:hint="default"/>
          <w:spacing w:val="-1"/>
        </w:rPr>
        <w:t>5</w:t>
      </w:r>
      <w:r>
        <w:rPr>
          <w:spacing w:val="-1"/>
        </w:rPr>
        <w:t>）联营企业发生的超额亏损</w:t>
      </w:r>
      <w:r>
        <w:rPr>
          <w:spacing w:val="-95"/>
        </w:rPr>
        <w:t> </w:t>
      </w:r>
      <w:r>
        <w:rPr>
          <w:spacing w:val="-95"/>
        </w:rPr>
      </w:r>
      <w:r>
        <w:rPr/>
        <w:t>无。</w:t>
      </w:r>
    </w:p>
    <w:p>
      <w:pPr>
        <w:pStyle w:val="Heading7"/>
        <w:spacing w:line="391" w:lineRule="auto" w:before="41"/>
        <w:ind w:left="679" w:right="4050"/>
        <w:jc w:val="left"/>
      </w:pPr>
      <w:r>
        <w:rPr>
          <w:spacing w:val="-1"/>
        </w:rPr>
        <w:t>（</w:t>
      </w:r>
      <w:r>
        <w:rPr>
          <w:rFonts w:ascii="宋体" w:hAnsi="宋体" w:cs="宋体" w:eastAsia="宋体" w:hint="default"/>
          <w:spacing w:val="-1"/>
        </w:rPr>
        <w:t>6</w:t>
      </w:r>
      <w:r>
        <w:rPr>
          <w:spacing w:val="-1"/>
        </w:rPr>
        <w:t>）与联营企业投资相关的未确认承诺</w:t>
      </w:r>
      <w:r>
        <w:rPr>
          <w:spacing w:val="-90"/>
        </w:rPr>
        <w:t> </w:t>
      </w:r>
      <w:r>
        <w:rPr>
          <w:spacing w:val="-90"/>
        </w:rPr>
      </w:r>
      <w:r>
        <w:rPr/>
        <w:t>无。</w:t>
      </w:r>
    </w:p>
    <w:p>
      <w:pPr>
        <w:pStyle w:val="Heading7"/>
        <w:spacing w:line="391" w:lineRule="auto" w:before="41"/>
        <w:ind w:left="679" w:right="4453"/>
        <w:jc w:val="left"/>
      </w:pPr>
      <w:r>
        <w:rPr>
          <w:spacing w:val="-1"/>
        </w:rPr>
        <w:t>（</w:t>
      </w:r>
      <w:r>
        <w:rPr>
          <w:rFonts w:ascii="宋体" w:hAnsi="宋体" w:cs="宋体" w:eastAsia="宋体" w:hint="default"/>
          <w:spacing w:val="-1"/>
        </w:rPr>
        <w:t>7</w:t>
      </w:r>
      <w:r>
        <w:rPr>
          <w:spacing w:val="-1"/>
        </w:rPr>
        <w:t>）联营企业投资相关的或有负债</w:t>
      </w:r>
      <w:r>
        <w:rPr>
          <w:spacing w:val="-94"/>
        </w:rPr>
        <w:t> </w:t>
      </w:r>
      <w:r>
        <w:rPr>
          <w:spacing w:val="-94"/>
        </w:rPr>
      </w:r>
      <w:r>
        <w:rPr/>
        <w:t>无。</w:t>
      </w:r>
    </w:p>
    <w:p>
      <w:pPr>
        <w:pStyle w:val="Heading7"/>
        <w:spacing w:line="391" w:lineRule="auto" w:before="41"/>
        <w:ind w:left="679" w:right="6386"/>
        <w:jc w:val="left"/>
      </w:pPr>
      <w:r>
        <w:rPr>
          <w:rFonts w:ascii="宋体" w:hAnsi="宋体" w:cs="宋体" w:eastAsia="宋体" w:hint="default"/>
          <w:spacing w:val="-1"/>
        </w:rPr>
        <w:t>4</w:t>
      </w:r>
      <w:r>
        <w:rPr>
          <w:spacing w:val="-1"/>
        </w:rPr>
        <w:t>、重要的共同经营</w:t>
      </w:r>
      <w:r>
        <w:rPr>
          <w:spacing w:val="-101"/>
        </w:rPr>
        <w:t> </w:t>
      </w:r>
      <w:r>
        <w:rPr>
          <w:spacing w:val="-101"/>
        </w:rPr>
      </w:r>
      <w:r>
        <w:rPr/>
        <w:t>无。</w:t>
      </w:r>
    </w:p>
    <w:p>
      <w:pPr>
        <w:pStyle w:val="Heading7"/>
        <w:spacing w:line="391" w:lineRule="auto" w:before="41"/>
        <w:ind w:left="679" w:right="4050"/>
        <w:jc w:val="left"/>
      </w:pPr>
      <w:r>
        <w:rPr>
          <w:rFonts w:ascii="宋体" w:hAnsi="宋体" w:cs="宋体" w:eastAsia="宋体" w:hint="default"/>
          <w:spacing w:val="-1"/>
        </w:rPr>
        <w:t>5</w:t>
      </w:r>
      <w:r>
        <w:rPr>
          <w:spacing w:val="-1"/>
        </w:rPr>
        <w:t>、未纳入合并财务报表范围的结构化主体</w:t>
      </w:r>
      <w:r>
        <w:rPr>
          <w:spacing w:val="-92"/>
        </w:rPr>
        <w:t> </w:t>
      </w:r>
      <w:r>
        <w:rPr>
          <w:spacing w:val="-92"/>
        </w:rPr>
      </w:r>
      <w:r>
        <w:rPr/>
        <w:t>无。</w:t>
      </w:r>
    </w:p>
    <w:p>
      <w:pPr>
        <w:spacing w:line="422" w:lineRule="auto" w:before="159"/>
        <w:ind w:left="679" w:right="276" w:firstLine="2"/>
        <w:jc w:val="left"/>
        <w:rPr>
          <w:rFonts w:ascii="宋体" w:hAnsi="宋体" w:cs="宋体" w:eastAsia="宋体" w:hint="default"/>
          <w:sz w:val="22"/>
          <w:szCs w:val="22"/>
        </w:rPr>
      </w:pPr>
      <w:r>
        <w:rPr>
          <w:rFonts w:ascii="宋体" w:hAnsi="宋体" w:cs="宋体" w:eastAsia="宋体" w:hint="default"/>
          <w:b/>
          <w:bCs/>
          <w:sz w:val="22"/>
          <w:szCs w:val="22"/>
        </w:rPr>
        <w:t>九、与金融工具相关风险</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、本集团的主要金融工具包括借款、应收款项、应付款项、交易性金融资产、交</w:t>
      </w:r>
    </w:p>
    <w:p>
      <w:pPr>
        <w:pStyle w:val="Heading7"/>
        <w:spacing w:line="224" w:lineRule="exact" w:before="0"/>
        <w:ind w:left="240" w:right="0"/>
        <w:jc w:val="both"/>
      </w:pPr>
      <w:r>
        <w:rPr>
          <w:spacing w:val="-3"/>
        </w:rPr>
        <w:t>易性金融负债等，各项金融工具的详细情况说明见本附注六。与这些金融工具有关的风</w:t>
      </w:r>
    </w:p>
    <w:p>
      <w:pPr>
        <w:pStyle w:val="Heading7"/>
        <w:spacing w:line="324" w:lineRule="auto" w:before="103"/>
        <w:ind w:left="240" w:right="398"/>
        <w:jc w:val="both"/>
      </w:pPr>
      <w:r>
        <w:rPr>
          <w:spacing w:val="-3"/>
        </w:rPr>
        <w:t>险，以及本集团为降低这些风险所采取的风险管理政策如下所述。本集团管理层对这些</w:t>
      </w:r>
      <w:r>
        <w:rPr>
          <w:spacing w:val="-59"/>
        </w:rPr>
        <w:t> </w:t>
      </w:r>
      <w:r>
        <w:rPr>
          <w:spacing w:val="-59"/>
        </w:rPr>
      </w:r>
      <w:r>
        <w:rPr/>
        <w:t>风险敞口进行管理和监控以确保将上述风险控制在限定的范围之内。</w:t>
      </w:r>
    </w:p>
    <w:p>
      <w:pPr>
        <w:pStyle w:val="Heading7"/>
        <w:spacing w:line="391" w:lineRule="auto" w:before="103"/>
        <w:ind w:left="679" w:right="276"/>
        <w:jc w:val="left"/>
      </w:pPr>
      <w:r>
        <w:rPr>
          <w:rFonts w:ascii="宋体" w:hAnsi="宋体" w:cs="宋体" w:eastAsia="宋体" w:hint="default"/>
        </w:rPr>
        <w:t>2</w:t>
      </w:r>
      <w:r>
        <w:rPr/>
        <w:t>、各类风险管理目标和政策</w:t>
      </w:r>
      <w:r>
        <w:rPr>
          <w:w w:val="100"/>
        </w:rPr>
        <w:t> </w:t>
      </w:r>
      <w:r>
        <w:rPr>
          <w:spacing w:val="-3"/>
        </w:rPr>
        <w:t>本集团从事风险管理的目标是在风险和收益之间取得适当的平衡，将风险对本集团</w:t>
      </w:r>
    </w:p>
    <w:p>
      <w:pPr>
        <w:pStyle w:val="Heading7"/>
        <w:spacing w:line="253" w:lineRule="exact" w:before="0"/>
        <w:ind w:left="240" w:right="0"/>
        <w:jc w:val="both"/>
      </w:pPr>
      <w:r>
        <w:rPr>
          <w:spacing w:val="-3"/>
        </w:rPr>
        <w:t>经营业绩的负面影响降低到最低水平，使股东及其它权益投资者的利益最大化。基于该</w:t>
      </w:r>
    </w:p>
    <w:p>
      <w:pPr>
        <w:pStyle w:val="Heading7"/>
        <w:spacing w:line="324" w:lineRule="auto" w:before="101"/>
        <w:ind w:left="240" w:right="398"/>
        <w:jc w:val="both"/>
      </w:pPr>
      <w:r>
        <w:rPr>
          <w:spacing w:val="-3"/>
        </w:rPr>
        <w:t>风险管理目标，本集团风险管理的基本策略是确定和分析本集团所面临的各种风险，建</w:t>
      </w:r>
      <w:r>
        <w:rPr>
          <w:spacing w:val="-59"/>
        </w:rPr>
        <w:t> </w:t>
      </w:r>
      <w:r>
        <w:rPr>
          <w:spacing w:val="-59"/>
        </w:rPr>
      </w:r>
      <w:r>
        <w:rPr>
          <w:spacing w:val="-3"/>
        </w:rPr>
        <w:t>立适当的风险承受底线并进行风险管理，并及时可靠地对各种风险进行监督，将风险控</w:t>
      </w:r>
      <w:r>
        <w:rPr>
          <w:spacing w:val="-59"/>
        </w:rPr>
        <w:t> </w:t>
      </w:r>
      <w:r>
        <w:rPr>
          <w:spacing w:val="-59"/>
        </w:rPr>
      </w:r>
      <w:r>
        <w:rPr/>
        <w:t>制在限定的范围之内。</w:t>
      </w:r>
    </w:p>
    <w:p>
      <w:pPr>
        <w:pStyle w:val="Heading7"/>
        <w:spacing w:line="240" w:lineRule="auto" w:before="103"/>
        <w:ind w:left="679" w:right="276"/>
        <w:jc w:val="left"/>
      </w:pPr>
      <w:r>
        <w:rPr/>
        <w:t>（</w:t>
      </w:r>
      <w:r>
        <w:rPr>
          <w:rFonts w:ascii="宋体" w:hAnsi="宋体" w:cs="宋体" w:eastAsia="宋体" w:hint="default"/>
        </w:rPr>
        <w:t>1</w:t>
      </w:r>
      <w:r>
        <w:rPr/>
        <w:t>）市场风险</w:t>
      </w:r>
    </w:p>
    <w:p>
      <w:pPr>
        <w:spacing w:after="0" w:line="240" w:lineRule="auto"/>
        <w:jc w:val="left"/>
        <w:sectPr>
          <w:pgSz w:w="11910" w:h="16840"/>
          <w:pgMar w:header="0" w:footer="980" w:top="1600" w:bottom="1160" w:left="1560" w:right="140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91" w:lineRule="auto" w:before="0"/>
        <w:ind w:left="559" w:right="0"/>
        <w:jc w:val="left"/>
      </w:pPr>
      <w:r>
        <w:rPr>
          <w:rFonts w:ascii="宋体" w:hAnsi="宋体" w:cs="宋体" w:eastAsia="宋体" w:hint="default"/>
        </w:rPr>
        <w:t>1</w:t>
      </w:r>
      <w:r>
        <w:rPr/>
        <w:t>）汇率风险</w:t>
      </w:r>
      <w:r>
        <w:rPr>
          <w:w w:val="100"/>
        </w:rPr>
        <w:t> </w:t>
      </w:r>
      <w:r>
        <w:rPr>
          <w:spacing w:val="-1"/>
        </w:rPr>
        <w:t>本集团承受的汇率风险主要来自子公司冠捷科技，其外汇风险主要与美元、欧元、</w:t>
      </w:r>
    </w:p>
    <w:p>
      <w:pPr>
        <w:pStyle w:val="Heading7"/>
        <w:spacing w:line="253" w:lineRule="exact" w:before="0"/>
        <w:ind w:right="0"/>
        <w:jc w:val="both"/>
      </w:pPr>
      <w:r>
        <w:rPr>
          <w:spacing w:val="-3"/>
        </w:rPr>
        <w:t>阿根廷比索及俄罗斯卢布有关；除本集团的下属子公司冠捷科技以美元、欧元、阿根廷</w:t>
      </w:r>
    </w:p>
    <w:p>
      <w:pPr>
        <w:pStyle w:val="Heading7"/>
        <w:spacing w:line="324" w:lineRule="auto" w:before="103"/>
        <w:ind w:right="322"/>
        <w:jc w:val="both"/>
      </w:pPr>
      <w:r>
        <w:rPr>
          <w:spacing w:val="-1"/>
        </w:rPr>
        <w:t>比索及俄罗斯卢布进行采购和销售外，本集团的其它主要业务活动以人民币计价结算。</w:t>
      </w:r>
      <w:r>
        <w:rPr>
          <w:spacing w:val="-78"/>
        </w:rPr>
        <w:t> </w:t>
      </w:r>
      <w:r>
        <w:rPr>
          <w:spacing w:val="-78"/>
        </w:rPr>
      </w:r>
      <w:r>
        <w:rPr/>
        <w:t>于</w:t>
      </w:r>
      <w:r>
        <w:rPr>
          <w:spacing w:val="-50"/>
        </w:rPr>
        <w:t> </w:t>
      </w:r>
      <w:r>
        <w:rPr>
          <w:rFonts w:ascii="宋体" w:hAnsi="宋体" w:cs="宋体" w:eastAsia="宋体" w:hint="default"/>
        </w:rPr>
        <w:t>2015</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3"/>
        </w:rPr>
        <w:t> </w:t>
      </w:r>
      <w:r>
        <w:rPr>
          <w:rFonts w:ascii="宋体" w:hAnsi="宋体" w:cs="宋体" w:eastAsia="宋体" w:hint="default"/>
        </w:rPr>
        <w:t>31</w:t>
      </w:r>
      <w:r>
        <w:rPr>
          <w:rFonts w:ascii="宋体" w:hAnsi="宋体" w:cs="宋体" w:eastAsia="宋体" w:hint="default"/>
          <w:spacing w:val="-50"/>
        </w:rPr>
        <w:t> </w:t>
      </w:r>
      <w:r>
        <w:rPr>
          <w:spacing w:val="-3"/>
        </w:rPr>
        <w:t>日，除本附注“六、</w:t>
      </w:r>
      <w:r>
        <w:rPr>
          <w:rFonts w:ascii="宋体" w:hAnsi="宋体" w:cs="宋体" w:eastAsia="宋体" w:hint="default"/>
          <w:spacing w:val="-3"/>
        </w:rPr>
        <w:t>60.</w:t>
      </w:r>
      <w:r>
        <w:rPr>
          <w:spacing w:val="-3"/>
        </w:rPr>
        <w:t>外币货币性项目”中所述资产及负债的外币</w:t>
      </w:r>
      <w:r>
        <w:rPr>
          <w:spacing w:val="-104"/>
        </w:rPr>
        <w:t> </w:t>
      </w:r>
      <w:r>
        <w:rPr>
          <w:spacing w:val="-104"/>
        </w:rPr>
      </w:r>
      <w:r>
        <w:rPr>
          <w:spacing w:val="-3"/>
        </w:rPr>
        <w:t>余额外，本集团的资产及负债均为人民币余额。该等美元余额的资产和负债产生的汇率</w:t>
      </w:r>
      <w:r>
        <w:rPr>
          <w:spacing w:val="-59"/>
        </w:rPr>
        <w:t> </w:t>
      </w:r>
      <w:r>
        <w:rPr>
          <w:spacing w:val="-59"/>
        </w:rPr>
      </w:r>
      <w:r>
        <w:rPr/>
        <w:t>风险可能对本集团的经营业绩产生影响。</w:t>
      </w:r>
    </w:p>
    <w:p>
      <w:pPr>
        <w:pStyle w:val="Heading7"/>
        <w:spacing w:line="391" w:lineRule="auto" w:before="103"/>
        <w:ind w:left="559" w:right="0"/>
        <w:jc w:val="left"/>
      </w:pPr>
      <w:r>
        <w:rPr/>
        <w:t>本集团密切关注汇率变动对本集团的影响。</w:t>
      </w:r>
      <w:r>
        <w:rPr>
          <w:w w:val="100"/>
        </w:rPr>
        <w:t> </w:t>
      </w:r>
      <w:r>
        <w:rPr>
          <w:spacing w:val="-3"/>
        </w:rPr>
        <w:t>本集团重视对汇率风险管理政策和策略的研究，为规避偿还美元贷款及利息支出的</w:t>
      </w:r>
    </w:p>
    <w:p>
      <w:pPr>
        <w:pStyle w:val="Heading7"/>
        <w:spacing w:line="253" w:lineRule="exact" w:before="0"/>
        <w:ind w:right="0"/>
        <w:jc w:val="both"/>
      </w:pPr>
      <w:r>
        <w:rPr>
          <w:spacing w:val="-3"/>
        </w:rPr>
        <w:t>汇率风险，本集团子公司冠捷科技与银行已签订若干远期外汇合同。确认为衍生金融工</w:t>
      </w:r>
    </w:p>
    <w:p>
      <w:pPr>
        <w:pStyle w:val="Heading7"/>
        <w:spacing w:line="326" w:lineRule="auto" w:before="101"/>
        <w:ind w:right="374"/>
        <w:jc w:val="both"/>
      </w:pPr>
      <w:r>
        <w:rPr/>
        <w:t>具的远期外汇合同于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5"/>
        </w:rPr>
        <w:t> </w:t>
      </w:r>
      <w:r>
        <w:rPr/>
        <w:t>日的名义本金为</w:t>
      </w:r>
      <w:r>
        <w:rPr>
          <w:spacing w:val="-55"/>
        </w:rPr>
        <w:t> </w:t>
      </w:r>
      <w:r>
        <w:rPr>
          <w:rFonts w:ascii="宋体" w:hAnsi="宋体" w:cs="宋体" w:eastAsia="宋体" w:hint="default"/>
        </w:rPr>
        <w:t>14,798,382</w:t>
      </w:r>
      <w:r>
        <w:rPr>
          <w:rFonts w:ascii="宋体" w:hAnsi="宋体" w:cs="宋体" w:eastAsia="宋体" w:hint="default"/>
          <w:spacing w:val="-58"/>
        </w:rPr>
        <w:t> </w:t>
      </w:r>
      <w:r>
        <w:rPr>
          <w:spacing w:val="-7"/>
        </w:rPr>
        <w:t>千美元。衍生金融工</w:t>
      </w:r>
      <w:r>
        <w:rPr>
          <w:w w:val="100"/>
        </w:rPr>
        <w:t> </w:t>
      </w:r>
      <w:r>
        <w:rPr>
          <w:spacing w:val="-3"/>
        </w:rPr>
        <w:t>具公允价值变动已计入损益。同时随着国际市场占有份额的不断提升，若发生人民币升</w:t>
      </w:r>
      <w:r>
        <w:rPr>
          <w:spacing w:val="-58"/>
        </w:rPr>
        <w:t> </w:t>
      </w:r>
      <w:r>
        <w:rPr>
          <w:spacing w:val="-58"/>
        </w:rPr>
      </w:r>
      <w:r>
        <w:rPr>
          <w:spacing w:val="-3"/>
        </w:rPr>
        <w:t>值等本集团不可控制的风险时，本集团子公司冠捷科技将通过调整销售政策降低由此带</w:t>
      </w:r>
      <w:r>
        <w:rPr>
          <w:spacing w:val="-58"/>
        </w:rPr>
        <w:t> </w:t>
      </w:r>
      <w:r>
        <w:rPr>
          <w:spacing w:val="-58"/>
        </w:rPr>
      </w:r>
      <w:r>
        <w:rPr/>
        <w:t>来的风险。</w:t>
      </w:r>
    </w:p>
    <w:p>
      <w:pPr>
        <w:pStyle w:val="Heading7"/>
        <w:spacing w:line="391" w:lineRule="auto" w:before="98"/>
        <w:ind w:left="559" w:right="0"/>
        <w:jc w:val="left"/>
      </w:pPr>
      <w:r>
        <w:rPr>
          <w:rFonts w:ascii="宋体" w:hAnsi="宋体" w:cs="宋体" w:eastAsia="宋体" w:hint="default"/>
        </w:rPr>
        <w:t>2</w:t>
      </w:r>
      <w:r>
        <w:rPr/>
        <w:t>）利率风险</w:t>
      </w:r>
      <w:r>
        <w:rPr>
          <w:w w:val="100"/>
        </w:rPr>
        <w:t> </w:t>
      </w:r>
      <w:r>
        <w:rPr>
          <w:spacing w:val="-3"/>
        </w:rPr>
        <w:t>本集团的利率风险产生于银行借款及应付债券等带息债务。浮动利率的金融负债使</w:t>
      </w:r>
    </w:p>
    <w:p>
      <w:pPr>
        <w:pStyle w:val="Heading7"/>
        <w:spacing w:line="253" w:lineRule="exact" w:before="0"/>
        <w:ind w:right="0"/>
        <w:jc w:val="both"/>
      </w:pPr>
      <w:r>
        <w:rPr/>
        <w:t>本集团面临现金流量利率风险，固定利率的金融负债使本集团面临公允价值利率风险。</w:t>
      </w:r>
    </w:p>
    <w:p>
      <w:pPr>
        <w:pStyle w:val="Heading7"/>
        <w:spacing w:line="388" w:lineRule="auto" w:before="103"/>
        <w:ind w:left="559" w:right="0" w:hanging="440"/>
        <w:jc w:val="left"/>
      </w:pPr>
      <w:r>
        <w:rPr/>
        <w:t>本集团根据当时的市场环境来决定固定利率及浮动利率合同的相对比例。</w:t>
      </w:r>
      <w:r>
        <w:rPr>
          <w:w w:val="100"/>
        </w:rPr>
        <w:t> </w:t>
      </w:r>
      <w:r>
        <w:rPr>
          <w:spacing w:val="2"/>
        </w:rPr>
        <w:t>本集团因利率变动引起金融工具公允价值变动的风险主要与固定利率银行借款有</w:t>
      </w:r>
    </w:p>
    <w:p>
      <w:pPr>
        <w:pStyle w:val="Heading7"/>
        <w:spacing w:line="255" w:lineRule="exact" w:before="0"/>
        <w:ind w:right="0"/>
        <w:jc w:val="both"/>
      </w:pPr>
      <w:r>
        <w:rPr/>
        <w:t>关。对于固定利率借款，本集团的目标是保持其浮动利率。</w:t>
      </w:r>
    </w:p>
    <w:p>
      <w:pPr>
        <w:pStyle w:val="Heading7"/>
        <w:spacing w:line="326" w:lineRule="auto" w:before="180"/>
        <w:ind w:right="381" w:firstLine="439"/>
        <w:jc w:val="both"/>
      </w:pPr>
      <w:r>
        <w:rPr>
          <w:spacing w:val="2"/>
        </w:rPr>
        <w:t>本集团因利率变动引起金融工具现金流量变动的风险主要与浮动利率银行借款有</w:t>
      </w:r>
      <w:r>
        <w:rPr>
          <w:w w:val="100"/>
        </w:rPr>
        <w:t> </w:t>
      </w:r>
      <w:r>
        <w:rPr/>
        <w:t>关。本集团的政策是保持这些借款的浮动利率，以消除利率变动的公允价值风险。</w:t>
      </w:r>
    </w:p>
    <w:p>
      <w:pPr>
        <w:pStyle w:val="Heading7"/>
        <w:spacing w:line="391" w:lineRule="auto" w:before="98"/>
        <w:ind w:left="559" w:right="706"/>
        <w:jc w:val="left"/>
      </w:pPr>
      <w:r>
        <w:rPr>
          <w:rFonts w:ascii="宋体" w:hAnsi="宋体" w:cs="宋体" w:eastAsia="宋体" w:hint="default"/>
        </w:rPr>
        <w:t>3</w:t>
      </w:r>
      <w:r>
        <w:rPr/>
        <w:t>）价格风险</w:t>
      </w:r>
      <w:r>
        <w:rPr>
          <w:w w:val="100"/>
        </w:rPr>
        <w:t> </w:t>
      </w:r>
      <w:r>
        <w:rPr>
          <w:spacing w:val="-1"/>
        </w:rPr>
        <w:t>本集团以市场价格销售电子产品，因此受到此等价格波动的影响。</w:t>
      </w:r>
    </w:p>
    <w:p>
      <w:pPr>
        <w:pStyle w:val="Heading7"/>
        <w:spacing w:line="240" w:lineRule="auto" w:before="41"/>
        <w:ind w:left="559" w:right="0"/>
        <w:jc w:val="left"/>
      </w:pPr>
      <w:r>
        <w:rPr/>
        <w:t>（</w:t>
      </w:r>
      <w:r>
        <w:rPr>
          <w:rFonts w:ascii="宋体" w:hAnsi="宋体" w:cs="宋体" w:eastAsia="宋体" w:hint="default"/>
        </w:rPr>
        <w:t>2</w:t>
      </w:r>
      <w:r>
        <w:rPr/>
        <w:t>）信用风险</w:t>
      </w:r>
    </w:p>
    <w:p>
      <w:pPr>
        <w:pStyle w:val="Heading7"/>
        <w:spacing w:line="326" w:lineRule="auto" w:before="180"/>
        <w:ind w:right="377" w:firstLine="439"/>
        <w:jc w:val="both"/>
      </w:pPr>
      <w:r>
        <w:rPr/>
        <w:t>于</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日，可能引起本集团财务损失的最大信用风险敞口主要来自于</w:t>
      </w:r>
      <w:r>
        <w:rPr>
          <w:w w:val="100"/>
        </w:rPr>
        <w:t> </w:t>
      </w:r>
      <w:r>
        <w:rPr>
          <w:spacing w:val="2"/>
        </w:rPr>
        <w:t>合同另一方未能履行义务而导致本集团金融资产产生的损失以及本集团承担的财务担</w:t>
      </w:r>
      <w:r>
        <w:rPr>
          <w:spacing w:val="-39"/>
        </w:rPr>
        <w:t> </w:t>
      </w:r>
      <w:r>
        <w:rPr>
          <w:spacing w:val="-39"/>
        </w:rPr>
      </w:r>
      <w:r>
        <w:rPr/>
        <w:t>保，具体包括：</w:t>
      </w:r>
    </w:p>
    <w:p>
      <w:pPr>
        <w:pStyle w:val="Heading7"/>
        <w:spacing w:line="326" w:lineRule="auto" w:before="98"/>
        <w:ind w:right="375" w:firstLine="439"/>
        <w:jc w:val="both"/>
      </w:pPr>
      <w:r>
        <w:rPr>
          <w:spacing w:val="-3"/>
        </w:rPr>
        <w:t>合并资产负债表中已确认的金融资产的账面金额；对于以公允价值计量的金融工具</w:t>
      </w:r>
      <w:r>
        <w:rPr>
          <w:w w:val="100"/>
        </w:rPr>
        <w:t> </w:t>
      </w:r>
      <w:r>
        <w:rPr>
          <w:spacing w:val="-3"/>
        </w:rPr>
        <w:t>而言，账面价值反映了其风险敞口，但并非最大风险敞口，其最大风险敞口将随着未来</w:t>
      </w:r>
      <w:r>
        <w:rPr>
          <w:spacing w:val="-56"/>
        </w:rPr>
        <w:t> </w:t>
      </w:r>
      <w:r>
        <w:rPr>
          <w:spacing w:val="-56"/>
        </w:rPr>
      </w:r>
      <w:r>
        <w:rPr/>
        <w:t>公允价值的变化而改变。</w:t>
      </w:r>
    </w:p>
    <w:p>
      <w:pPr>
        <w:pStyle w:val="Heading7"/>
        <w:spacing w:line="240" w:lineRule="auto" w:before="98"/>
        <w:ind w:left="559" w:right="0"/>
        <w:jc w:val="left"/>
      </w:pPr>
      <w:r>
        <w:rPr>
          <w:spacing w:val="-3"/>
        </w:rPr>
        <w:t>为降低信用风险，本集团成立专门部门确定信用额度、进行信用审批，并执行其它</w:t>
      </w:r>
    </w:p>
    <w:p>
      <w:pPr>
        <w:spacing w:after="0" w:line="240" w:lineRule="auto"/>
        <w:jc w:val="left"/>
        <w:sectPr>
          <w:pgSz w:w="11910" w:h="16840"/>
          <w:pgMar w:header="0"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4" w:lineRule="auto" w:before="0"/>
        <w:ind w:left="360" w:right="377"/>
        <w:jc w:val="both"/>
      </w:pPr>
      <w:r>
        <w:rPr>
          <w:spacing w:val="-3"/>
        </w:rPr>
        <w:t>监控程序以确保采取必要的措施回收过期债权。此外，本集团于每个资产负债表日审核</w:t>
      </w:r>
      <w:r>
        <w:rPr>
          <w:spacing w:val="-59"/>
        </w:rPr>
        <w:t> </w:t>
      </w:r>
      <w:r>
        <w:rPr>
          <w:spacing w:val="-59"/>
        </w:rPr>
      </w:r>
      <w:r>
        <w:rPr>
          <w:spacing w:val="-3"/>
        </w:rPr>
        <w:t>每一单项应收款的回收情况，以确保就无法回收的款项计提充分的坏账准备。因此，本</w:t>
      </w:r>
      <w:r>
        <w:rPr>
          <w:spacing w:val="-59"/>
        </w:rPr>
        <w:t> </w:t>
      </w:r>
      <w:r>
        <w:rPr>
          <w:spacing w:val="-59"/>
        </w:rPr>
      </w:r>
      <w:r>
        <w:rPr/>
        <w:t>集团管理层认为本集团所承担的信用风险已经大为降低。</w:t>
      </w:r>
    </w:p>
    <w:p>
      <w:pPr>
        <w:pStyle w:val="Heading7"/>
        <w:spacing w:line="391" w:lineRule="auto" w:before="100"/>
        <w:ind w:left="799" w:right="36"/>
        <w:jc w:val="left"/>
      </w:pPr>
      <w:r>
        <w:rPr/>
        <w:t>本集团的流动资金存放在信用评级较高的银行，故流动资金的信用风险较低。</w:t>
      </w:r>
      <w:r>
        <w:rPr>
          <w:w w:val="100"/>
        </w:rPr>
        <w:t> </w:t>
      </w:r>
      <w:r>
        <w:rPr>
          <w:spacing w:val="-3"/>
        </w:rPr>
        <w:t>本集团采用了必要的政策确保所有销售客户均具有良好的信用记录。除应收账款金</w:t>
      </w:r>
    </w:p>
    <w:p>
      <w:pPr>
        <w:pStyle w:val="Heading7"/>
        <w:spacing w:line="253" w:lineRule="exact" w:before="0"/>
        <w:ind w:left="360" w:right="0"/>
        <w:jc w:val="both"/>
      </w:pPr>
      <w:r>
        <w:rPr/>
        <w:t>额</w:t>
      </w:r>
      <w:r>
        <w:rPr>
          <w:spacing w:val="-77"/>
        </w:rPr>
        <w:t> </w:t>
      </w:r>
      <w:r>
        <w:rPr/>
        <w:t>前</w:t>
      </w:r>
      <w:r>
        <w:rPr>
          <w:spacing w:val="-80"/>
        </w:rPr>
        <w:t> </w:t>
      </w:r>
      <w:r>
        <w:rPr/>
        <w:t>五</w:t>
      </w:r>
      <w:r>
        <w:rPr>
          <w:spacing w:val="-80"/>
        </w:rPr>
        <w:t> </w:t>
      </w:r>
      <w:r>
        <w:rPr/>
        <w:t>名</w:t>
      </w:r>
      <w:r>
        <w:rPr>
          <w:spacing w:val="-80"/>
        </w:rPr>
        <w:t> </w:t>
      </w:r>
      <w:r>
        <w:rPr/>
        <w:t>外</w:t>
      </w:r>
      <w:r>
        <w:rPr>
          <w:spacing w:val="-77"/>
        </w:rPr>
        <w:t> </w:t>
      </w:r>
      <w:r>
        <w:rPr/>
        <w:t>，</w:t>
      </w:r>
      <w:r>
        <w:rPr>
          <w:spacing w:val="-80"/>
        </w:rPr>
        <w:t> </w:t>
      </w:r>
      <w:r>
        <w:rPr/>
        <w:t>本</w:t>
      </w:r>
      <w:r>
        <w:rPr>
          <w:spacing w:val="-80"/>
        </w:rPr>
        <w:t> </w:t>
      </w:r>
      <w:r>
        <w:rPr/>
        <w:t>集</w:t>
      </w:r>
      <w:r>
        <w:rPr>
          <w:spacing w:val="-77"/>
        </w:rPr>
        <w:t> </w:t>
      </w:r>
      <w:r>
        <w:rPr/>
        <w:t>团</w:t>
      </w:r>
      <w:r>
        <w:rPr>
          <w:spacing w:val="-80"/>
        </w:rPr>
        <w:t> </w:t>
      </w:r>
      <w:r>
        <w:rPr/>
        <w:t>无</w:t>
      </w:r>
      <w:r>
        <w:rPr>
          <w:spacing w:val="-77"/>
        </w:rPr>
        <w:t> </w:t>
      </w:r>
      <w:r>
        <w:rPr/>
        <w:t>其</w:t>
      </w:r>
      <w:r>
        <w:rPr>
          <w:spacing w:val="-80"/>
        </w:rPr>
        <w:t> </w:t>
      </w:r>
      <w:r>
        <w:rPr/>
        <w:t>他</w:t>
      </w:r>
      <w:r>
        <w:rPr>
          <w:spacing w:val="-80"/>
        </w:rPr>
        <w:t> </w:t>
      </w:r>
      <w:r>
        <w:rPr/>
        <w:t>重</w:t>
      </w:r>
      <w:r>
        <w:rPr>
          <w:spacing w:val="-80"/>
        </w:rPr>
        <w:t> </w:t>
      </w:r>
      <w:r>
        <w:rPr/>
        <w:t>大</w:t>
      </w:r>
      <w:r>
        <w:rPr>
          <w:spacing w:val="-77"/>
        </w:rPr>
        <w:t> </w:t>
      </w:r>
      <w:r>
        <w:rPr/>
        <w:t>信</w:t>
      </w:r>
      <w:r>
        <w:rPr>
          <w:spacing w:val="-80"/>
        </w:rPr>
        <w:t> </w:t>
      </w:r>
      <w:r>
        <w:rPr/>
        <w:t>用</w:t>
      </w:r>
      <w:r>
        <w:rPr>
          <w:spacing w:val="-80"/>
        </w:rPr>
        <w:t> </w:t>
      </w:r>
      <w:r>
        <w:rPr/>
        <w:t>集</w:t>
      </w:r>
      <w:r>
        <w:rPr>
          <w:spacing w:val="-77"/>
        </w:rPr>
        <w:t> </w:t>
      </w:r>
      <w:r>
        <w:rPr/>
        <w:t>中</w:t>
      </w:r>
      <w:r>
        <w:rPr>
          <w:spacing w:val="-80"/>
        </w:rPr>
        <w:t> </w:t>
      </w:r>
      <w:r>
        <w:rPr/>
        <w:t>风</w:t>
      </w:r>
      <w:r>
        <w:rPr>
          <w:spacing w:val="-77"/>
        </w:rPr>
        <w:t> </w:t>
      </w:r>
      <w:r>
        <w:rPr/>
        <w:t>险</w:t>
      </w:r>
      <w:r>
        <w:rPr>
          <w:spacing w:val="-80"/>
        </w:rPr>
        <w:t> </w:t>
      </w:r>
      <w:r>
        <w:rPr/>
        <w:t>。</w:t>
      </w:r>
      <w:r>
        <w:rPr>
          <w:spacing w:val="-80"/>
        </w:rPr>
        <w:t> </w:t>
      </w:r>
      <w:r>
        <w:rPr/>
        <w:t>应</w:t>
      </w:r>
      <w:r>
        <w:rPr>
          <w:spacing w:val="-80"/>
        </w:rPr>
        <w:t> </w:t>
      </w:r>
      <w:r>
        <w:rPr/>
        <w:t>收</w:t>
      </w:r>
      <w:r>
        <w:rPr>
          <w:spacing w:val="-77"/>
        </w:rPr>
        <w:t> </w:t>
      </w:r>
      <w:r>
        <w:rPr/>
        <w:t>账</w:t>
      </w:r>
      <w:r>
        <w:rPr>
          <w:spacing w:val="-80"/>
        </w:rPr>
        <w:t> </w:t>
      </w:r>
      <w:r>
        <w:rPr/>
        <w:t>款</w:t>
      </w:r>
      <w:r>
        <w:rPr>
          <w:spacing w:val="-80"/>
        </w:rPr>
        <w:t> </w:t>
      </w:r>
      <w:r>
        <w:rPr/>
        <w:t>前</w:t>
      </w:r>
      <w:r>
        <w:rPr>
          <w:spacing w:val="-77"/>
        </w:rPr>
        <w:t> </w:t>
      </w:r>
      <w:r>
        <w:rPr/>
        <w:t>五</w:t>
      </w:r>
      <w:r>
        <w:rPr>
          <w:spacing w:val="-80"/>
        </w:rPr>
        <w:t> </w:t>
      </w:r>
      <w:r>
        <w:rPr/>
        <w:t>名</w:t>
      </w:r>
      <w:r>
        <w:rPr>
          <w:spacing w:val="-77"/>
        </w:rPr>
        <w:t> </w:t>
      </w:r>
      <w:r>
        <w:rPr/>
        <w:t>金</w:t>
      </w:r>
      <w:r>
        <w:rPr>
          <w:spacing w:val="-80"/>
        </w:rPr>
        <w:t> </w:t>
      </w:r>
      <w:r>
        <w:rPr/>
        <w:t>额</w:t>
      </w:r>
      <w:r>
        <w:rPr>
          <w:spacing w:val="-80"/>
        </w:rPr>
        <w:t> </w:t>
      </w:r>
      <w:r>
        <w:rPr/>
        <w:t>合</w:t>
      </w:r>
      <w:r>
        <w:rPr>
          <w:spacing w:val="-80"/>
        </w:rPr>
        <w:t> </w:t>
      </w:r>
      <w:r>
        <w:rPr/>
        <w:t>计</w:t>
      </w:r>
      <w:r>
        <w:rPr>
          <w:spacing w:val="-77"/>
        </w:rPr>
        <w:t> </w:t>
      </w:r>
      <w:r>
        <w:rPr/>
        <w:t>：</w:t>
      </w:r>
    </w:p>
    <w:p>
      <w:pPr>
        <w:pStyle w:val="Heading7"/>
        <w:spacing w:line="240" w:lineRule="auto" w:before="103"/>
        <w:ind w:left="360" w:right="0"/>
        <w:jc w:val="both"/>
      </w:pPr>
      <w:r>
        <w:rPr>
          <w:rFonts w:ascii="宋体" w:hAnsi="宋体" w:cs="宋体" w:eastAsia="宋体" w:hint="default"/>
        </w:rPr>
        <w:t>4,535,201,669.60</w:t>
      </w:r>
      <w:r>
        <w:rPr>
          <w:rFonts w:ascii="宋体" w:hAnsi="宋体" w:cs="宋体" w:eastAsia="宋体" w:hint="default"/>
          <w:spacing w:val="-53"/>
        </w:rPr>
        <w:t> </w:t>
      </w:r>
      <w:r>
        <w:rPr/>
        <w:t>元。</w:t>
      </w:r>
    </w:p>
    <w:p>
      <w:pPr>
        <w:pStyle w:val="Heading7"/>
        <w:spacing w:line="391" w:lineRule="auto" w:before="177"/>
        <w:ind w:left="799" w:right="36"/>
        <w:jc w:val="left"/>
      </w:pPr>
      <w:r>
        <w:rPr/>
        <w:t>（</w:t>
      </w:r>
      <w:r>
        <w:rPr>
          <w:rFonts w:ascii="宋体" w:hAnsi="宋体" w:cs="宋体" w:eastAsia="宋体" w:hint="default"/>
        </w:rPr>
        <w:t>3</w:t>
      </w:r>
      <w:r>
        <w:rPr/>
        <w:t>）流动风险</w:t>
      </w:r>
      <w:r>
        <w:rPr>
          <w:spacing w:val="-108"/>
        </w:rPr>
        <w:t> </w:t>
      </w:r>
      <w:r>
        <w:rPr>
          <w:spacing w:val="-108"/>
        </w:rPr>
      </w:r>
      <w:r>
        <w:rPr>
          <w:spacing w:val="-3"/>
        </w:rPr>
        <w:t>流动风险为本集团在到期日无法履行其财务义务的风险。本集团管理流动性风险的</w:t>
      </w:r>
    </w:p>
    <w:p>
      <w:pPr>
        <w:pStyle w:val="Heading7"/>
        <w:spacing w:line="253" w:lineRule="exact" w:before="0"/>
        <w:ind w:left="360" w:right="0"/>
        <w:jc w:val="both"/>
      </w:pPr>
      <w:r>
        <w:rPr>
          <w:spacing w:val="-3"/>
        </w:rPr>
        <w:t>方法是确保有足够的资金流动性来履行到期债务，而不至于造成不可接受的损失或对企</w:t>
      </w:r>
    </w:p>
    <w:p>
      <w:pPr>
        <w:pStyle w:val="Heading7"/>
        <w:spacing w:line="324" w:lineRule="auto" w:before="103"/>
        <w:ind w:left="360" w:right="377"/>
        <w:jc w:val="both"/>
      </w:pPr>
      <w:r>
        <w:rPr>
          <w:spacing w:val="-3"/>
        </w:rPr>
        <w:t>业信誉造成损害。本集团定期分析负债结构和期限，以确保有充裕的资金。本集团管理</w:t>
      </w:r>
      <w:r>
        <w:rPr>
          <w:spacing w:val="-59"/>
        </w:rPr>
        <w:t> </w:t>
      </w:r>
      <w:r>
        <w:rPr>
          <w:spacing w:val="-59"/>
        </w:rPr>
      </w:r>
      <w:r>
        <w:rPr>
          <w:spacing w:val="2"/>
        </w:rPr>
        <w:t>层对银行借款的使用情况进行监控并确保遵守借款协议。同时与金融机构进行融资磋</w:t>
      </w:r>
      <w:r>
        <w:rPr>
          <w:spacing w:val="-39"/>
        </w:rPr>
        <w:t> </w:t>
      </w:r>
      <w:r>
        <w:rPr>
          <w:spacing w:val="-39"/>
        </w:rPr>
      </w:r>
      <w:r>
        <w:rPr/>
        <w:t>商，以保持一定的授信额度，减低流动性风险。</w:t>
      </w:r>
    </w:p>
    <w:p>
      <w:pPr>
        <w:pStyle w:val="Heading7"/>
        <w:spacing w:line="240" w:lineRule="auto" w:before="100"/>
        <w:ind w:left="799" w:right="36"/>
        <w:jc w:val="left"/>
      </w:pPr>
      <w:r>
        <w:rPr>
          <w:rFonts w:ascii="宋体" w:hAnsi="宋体" w:cs="宋体" w:eastAsia="宋体" w:hint="default"/>
        </w:rPr>
        <w:t>3</w:t>
      </w:r>
      <w:r>
        <w:rPr/>
        <w:t>、衍生金融工具名义本金</w:t>
      </w:r>
    </w:p>
    <w:p>
      <w:pPr>
        <w:pStyle w:val="Heading7"/>
        <w:spacing w:line="240" w:lineRule="auto" w:before="180"/>
        <w:ind w:left="799" w:right="36"/>
        <w:jc w:val="left"/>
      </w:pPr>
      <w:r>
        <w:rPr>
          <w:rFonts w:ascii="宋体" w:hAnsi="宋体" w:cs="宋体" w:eastAsia="宋体" w:hint="default"/>
        </w:rPr>
        <w:t>1</w:t>
      </w:r>
      <w:r>
        <w:rPr/>
        <w:t>）于</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日，本集团未到期的外汇远期合约的名义本金总额如下：</w:t>
      </w:r>
    </w:p>
    <w:p>
      <w:pPr>
        <w:spacing w:line="240" w:lineRule="auto" w:before="8"/>
        <w:rPr>
          <w:rFonts w:ascii="宋体" w:hAnsi="宋体" w:cs="宋体" w:eastAsia="宋体" w:hint="default"/>
          <w:sz w:val="6"/>
          <w:szCs w:val="6"/>
        </w:rPr>
      </w:pPr>
    </w:p>
    <w:tbl>
      <w:tblPr>
        <w:tblW w:w="0" w:type="auto"/>
        <w:jc w:val="left"/>
        <w:tblInd w:w="223" w:type="dxa"/>
        <w:tblLayout w:type="fixed"/>
        <w:tblCellMar>
          <w:top w:w="0" w:type="dxa"/>
          <w:left w:w="0" w:type="dxa"/>
          <w:bottom w:w="0" w:type="dxa"/>
          <w:right w:w="0" w:type="dxa"/>
        </w:tblCellMar>
        <w:tblLook w:val="01E0"/>
      </w:tblPr>
      <w:tblGrid>
        <w:gridCol w:w="2842"/>
        <w:gridCol w:w="2940"/>
        <w:gridCol w:w="2756"/>
      </w:tblGrid>
      <w:tr>
        <w:trPr>
          <w:trHeight w:val="336" w:hRule="exact"/>
        </w:trPr>
        <w:tc>
          <w:tcPr>
            <w:tcW w:w="28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9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left="1281" w:right="0"/>
              <w:jc w:val="left"/>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27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r>
      <w:tr>
        <w:trPr>
          <w:trHeight w:val="334" w:hRule="exact"/>
        </w:trPr>
        <w:tc>
          <w:tcPr>
            <w:tcW w:w="28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2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1293" w:right="0"/>
              <w:jc w:val="left"/>
              <w:rPr>
                <w:rFonts w:ascii="宋体" w:hAnsi="宋体" w:cs="宋体" w:eastAsia="宋体" w:hint="default"/>
                <w:sz w:val="18"/>
                <w:szCs w:val="18"/>
              </w:rPr>
            </w:pPr>
            <w:r>
              <w:rPr>
                <w:rFonts w:ascii="宋体"/>
                <w:sz w:val="18"/>
              </w:rPr>
              <w:t>96,094,773,355.20</w:t>
            </w:r>
          </w:p>
        </w:tc>
        <w:tc>
          <w:tcPr>
            <w:tcW w:w="27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
              <w:ind w:left="1108" w:right="0"/>
              <w:jc w:val="left"/>
              <w:rPr>
                <w:rFonts w:ascii="宋体" w:hAnsi="宋体" w:cs="宋体" w:eastAsia="宋体" w:hint="default"/>
                <w:sz w:val="18"/>
                <w:szCs w:val="18"/>
              </w:rPr>
            </w:pPr>
            <w:r>
              <w:rPr>
                <w:rFonts w:ascii="宋体"/>
                <w:sz w:val="18"/>
              </w:rPr>
              <w:t>89,366,257,204.00</w:t>
            </w:r>
          </w:p>
        </w:tc>
      </w:tr>
    </w:tbl>
    <w:p>
      <w:pPr>
        <w:spacing w:line="240" w:lineRule="auto" w:before="8"/>
        <w:rPr>
          <w:rFonts w:ascii="宋体" w:hAnsi="宋体" w:cs="宋体" w:eastAsia="宋体" w:hint="default"/>
          <w:sz w:val="13"/>
          <w:szCs w:val="13"/>
        </w:rPr>
      </w:pPr>
    </w:p>
    <w:p>
      <w:pPr>
        <w:spacing w:line="422" w:lineRule="auto" w:before="32"/>
        <w:ind w:left="799" w:right="36" w:firstLine="2"/>
        <w:jc w:val="left"/>
        <w:rPr>
          <w:rFonts w:ascii="宋体" w:hAnsi="宋体" w:cs="宋体" w:eastAsia="宋体" w:hint="default"/>
          <w:sz w:val="22"/>
          <w:szCs w:val="22"/>
        </w:rPr>
      </w:pPr>
      <w:r>
        <w:rPr/>
        <w:pict>
          <v:shape style="position:absolute;margin-left:77.783981pt;margin-top:45.667686pt;width:439.9pt;height:280.150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8"/>
                    <w:gridCol w:w="1623"/>
                    <w:gridCol w:w="1623"/>
                    <w:gridCol w:w="1620"/>
                    <w:gridCol w:w="1680"/>
                  </w:tblGrid>
                  <w:tr>
                    <w:trPr>
                      <w:trHeight w:val="334" w:hRule="exact"/>
                    </w:trPr>
                    <w:tc>
                      <w:tcPr>
                        <w:tcW w:w="2208"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54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r>
                  <w:tr>
                    <w:trPr>
                      <w:trHeight w:val="588" w:hRule="exact"/>
                    </w:trPr>
                    <w:tc>
                      <w:tcPr>
                        <w:tcW w:w="2208" w:type="dxa"/>
                        <w:vMerge/>
                        <w:tcBorders>
                          <w:left w:val="nil" w:sz="6" w:space="0" w:color="auto"/>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71" w:lineRule="auto" w:before="15"/>
                          <w:ind w:left="626" w:right="87" w:hanging="543"/>
                          <w:jc w:val="left"/>
                          <w:rPr>
                            <w:rFonts w:ascii="宋体" w:hAnsi="宋体" w:cs="宋体" w:eastAsia="宋体" w:hint="default"/>
                            <w:sz w:val="18"/>
                            <w:szCs w:val="18"/>
                          </w:rPr>
                        </w:pPr>
                        <w:r>
                          <w:rPr>
                            <w:rFonts w:ascii="宋体" w:hAnsi="宋体" w:cs="宋体" w:eastAsia="宋体" w:hint="default"/>
                            <w:b/>
                            <w:bCs/>
                            <w:sz w:val="18"/>
                            <w:szCs w:val="18"/>
                          </w:rPr>
                          <w:t>第一层次公允价值</w:t>
                        </w:r>
                        <w:r>
                          <w:rPr>
                            <w:rFonts w:ascii="宋体" w:hAnsi="宋体" w:cs="宋体" w:eastAsia="宋体" w:hint="default"/>
                            <w:b/>
                            <w:bCs/>
                            <w:w w:val="99"/>
                            <w:sz w:val="18"/>
                            <w:szCs w:val="18"/>
                          </w:rPr>
                          <w:t> </w:t>
                        </w:r>
                        <w:r>
                          <w:rPr>
                            <w:rFonts w:ascii="宋体" w:hAnsi="宋体" w:cs="宋体" w:eastAsia="宋体" w:hint="default"/>
                            <w:b/>
                            <w:bCs/>
                            <w:sz w:val="18"/>
                            <w:szCs w:val="18"/>
                          </w:rPr>
                          <w:t>计量</w:t>
                        </w:r>
                        <w:r>
                          <w:rPr>
                            <w:rFonts w:ascii="宋体" w:hAnsi="宋体" w:cs="宋体" w:eastAsia="宋体" w:hint="default"/>
                            <w:sz w:val="18"/>
                            <w:szCs w:val="18"/>
                          </w:rPr>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71" w:lineRule="auto" w:before="15"/>
                          <w:ind w:left="628" w:right="85" w:hanging="543"/>
                          <w:jc w:val="left"/>
                          <w:rPr>
                            <w:rFonts w:ascii="宋体" w:hAnsi="宋体" w:cs="宋体" w:eastAsia="宋体" w:hint="default"/>
                            <w:sz w:val="18"/>
                            <w:szCs w:val="18"/>
                          </w:rPr>
                        </w:pPr>
                        <w:r>
                          <w:rPr>
                            <w:rFonts w:ascii="宋体" w:hAnsi="宋体" w:cs="宋体" w:eastAsia="宋体" w:hint="default"/>
                            <w:b/>
                            <w:bCs/>
                            <w:sz w:val="18"/>
                            <w:szCs w:val="18"/>
                          </w:rPr>
                          <w:t>第二层次公允价值</w:t>
                        </w:r>
                        <w:r>
                          <w:rPr>
                            <w:rFonts w:ascii="宋体" w:hAnsi="宋体" w:cs="宋体" w:eastAsia="宋体" w:hint="default"/>
                            <w:b/>
                            <w:bCs/>
                            <w:w w:val="99"/>
                            <w:sz w:val="18"/>
                            <w:szCs w:val="18"/>
                          </w:rPr>
                          <w:t> </w:t>
                        </w:r>
                        <w:r>
                          <w:rPr>
                            <w:rFonts w:ascii="宋体" w:hAnsi="宋体" w:cs="宋体" w:eastAsia="宋体" w:hint="default"/>
                            <w:b/>
                            <w:bCs/>
                            <w:sz w:val="18"/>
                            <w:szCs w:val="18"/>
                          </w:rPr>
                          <w:t>计量</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71" w:lineRule="auto" w:before="15"/>
                          <w:ind w:left="626" w:right="82" w:hanging="540"/>
                          <w:jc w:val="left"/>
                          <w:rPr>
                            <w:rFonts w:ascii="宋体" w:hAnsi="宋体" w:cs="宋体" w:eastAsia="宋体" w:hint="default"/>
                            <w:sz w:val="18"/>
                            <w:szCs w:val="18"/>
                          </w:rPr>
                        </w:pPr>
                        <w:r>
                          <w:rPr>
                            <w:rFonts w:ascii="宋体" w:hAnsi="宋体" w:cs="宋体" w:eastAsia="宋体" w:hint="default"/>
                            <w:b/>
                            <w:bCs/>
                            <w:sz w:val="18"/>
                            <w:szCs w:val="18"/>
                          </w:rPr>
                          <w:t>第三层次公允价值</w:t>
                        </w:r>
                        <w:r>
                          <w:rPr>
                            <w:rFonts w:ascii="宋体" w:hAnsi="宋体" w:cs="宋体" w:eastAsia="宋体" w:hint="default"/>
                            <w:b/>
                            <w:bCs/>
                            <w:w w:val="99"/>
                            <w:sz w:val="18"/>
                            <w:szCs w:val="18"/>
                          </w:rPr>
                          <w:t> </w:t>
                        </w:r>
                        <w:r>
                          <w:rPr>
                            <w:rFonts w:ascii="宋体" w:hAnsi="宋体" w:cs="宋体" w:eastAsia="宋体" w:hint="default"/>
                            <w:b/>
                            <w:bCs/>
                            <w:sz w:val="18"/>
                            <w:szCs w:val="18"/>
                          </w:rPr>
                          <w:t>计量</w:t>
                        </w:r>
                        <w:r>
                          <w:rPr>
                            <w:rFonts w:ascii="宋体" w:hAnsi="宋体" w:cs="宋体" w:eastAsia="宋体" w:hint="default"/>
                            <w:sz w:val="18"/>
                            <w:szCs w:val="18"/>
                          </w:rPr>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b/>
                            <w:bCs/>
                            <w:sz w:val="18"/>
                            <w:szCs w:val="18"/>
                          </w:rPr>
                          <w:t>一、持续的公允价值计量</w:t>
                        </w:r>
                        <w:r>
                          <w:rPr>
                            <w:rFonts w:ascii="宋体" w:hAnsi="宋体" w:cs="宋体" w:eastAsia="宋体" w:hint="default"/>
                            <w:sz w:val="18"/>
                            <w:szCs w:val="18"/>
                          </w:rPr>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
                    </w:tc>
                  </w:tr>
                  <w:tr>
                    <w:trPr>
                      <w:trHeight w:val="857"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73" w:lineRule="auto" w:before="15"/>
                          <w:ind w:left="55" w:right="35"/>
                          <w:jc w:val="both"/>
                          <w:rPr>
                            <w:rFonts w:ascii="宋体" w:hAnsi="宋体" w:cs="宋体" w:eastAsia="宋体" w:hint="default"/>
                            <w:sz w:val="18"/>
                            <w:szCs w:val="18"/>
                          </w:rPr>
                        </w:pPr>
                        <w:r>
                          <w:rPr>
                            <w:rFonts w:ascii="宋体" w:hAnsi="宋体" w:cs="宋体" w:eastAsia="宋体" w:hint="default"/>
                            <w:spacing w:val="-5"/>
                            <w:sz w:val="18"/>
                            <w:szCs w:val="18"/>
                          </w:rPr>
                          <w:t>（一）以公允价值计量且变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1"/>
                            <w:sz w:val="18"/>
                            <w:szCs w:val="18"/>
                          </w:rPr>
                          <w:t>动计入当期损益的金融资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383,960,074.40</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1,516,167,223.34</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140,002,016.00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spacing w:val="-1"/>
                            <w:sz w:val="18"/>
                          </w:rPr>
                          <w:t>2,040,129,313.74</w:t>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交易性金融资产</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spacing w:val="-1"/>
                            <w:sz w:val="18"/>
                          </w:rPr>
                          <w:t>383,960,074.40</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4"/>
                          <w:jc w:val="right"/>
                          <w:rPr>
                            <w:rFonts w:ascii="宋体" w:hAnsi="宋体" w:cs="宋体" w:eastAsia="宋体" w:hint="default"/>
                            <w:sz w:val="18"/>
                            <w:szCs w:val="18"/>
                          </w:rPr>
                        </w:pPr>
                        <w:r>
                          <w:rPr>
                            <w:rFonts w:ascii="宋体"/>
                            <w:spacing w:val="-1"/>
                            <w:sz w:val="18"/>
                          </w:rPr>
                          <w:t>1,516,167,223.34</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5"/>
                          <w:jc w:val="right"/>
                          <w:rPr>
                            <w:rFonts w:ascii="宋体" w:hAnsi="宋体" w:cs="宋体" w:eastAsia="宋体" w:hint="default"/>
                            <w:sz w:val="18"/>
                            <w:szCs w:val="18"/>
                          </w:rPr>
                        </w:pPr>
                        <w:r>
                          <w:rPr>
                            <w:rFonts w:ascii="宋体"/>
                            <w:spacing w:val="-1"/>
                            <w:sz w:val="18"/>
                          </w:rPr>
                          <w:t>140,002,016.00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39"/>
                          <w:jc w:val="right"/>
                          <w:rPr>
                            <w:rFonts w:ascii="宋体" w:hAnsi="宋体" w:cs="宋体" w:eastAsia="宋体" w:hint="default"/>
                            <w:sz w:val="18"/>
                            <w:szCs w:val="18"/>
                          </w:rPr>
                        </w:pPr>
                        <w:r>
                          <w:rPr>
                            <w:rFonts w:ascii="宋体"/>
                            <w:spacing w:val="-1"/>
                            <w:sz w:val="18"/>
                          </w:rPr>
                          <w:t>2,040,129,313.74</w:t>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spacing w:val="-1"/>
                            <w:sz w:val="18"/>
                          </w:rPr>
                          <w:t>383,960,074.40</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5"/>
                          <w:jc w:val="right"/>
                          <w:rPr>
                            <w:rFonts w:ascii="宋体" w:hAnsi="宋体" w:cs="宋体" w:eastAsia="宋体" w:hint="default"/>
                            <w:sz w:val="18"/>
                            <w:szCs w:val="18"/>
                          </w:rPr>
                        </w:pPr>
                        <w:r>
                          <w:rPr>
                            <w:rFonts w:ascii="宋体"/>
                            <w:spacing w:val="-1"/>
                            <w:sz w:val="18"/>
                          </w:rPr>
                          <w:t>140,002,016.00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39"/>
                          <w:jc w:val="right"/>
                          <w:rPr>
                            <w:rFonts w:ascii="宋体" w:hAnsi="宋体" w:cs="宋体" w:eastAsia="宋体" w:hint="default"/>
                            <w:sz w:val="18"/>
                            <w:szCs w:val="18"/>
                          </w:rPr>
                        </w:pPr>
                        <w:r>
                          <w:rPr>
                            <w:rFonts w:ascii="宋体"/>
                            <w:spacing w:val="-1"/>
                            <w:sz w:val="18"/>
                          </w:rPr>
                          <w:t>523,962,090.40</w:t>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）衍生金融资产</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4"/>
                          <w:jc w:val="right"/>
                          <w:rPr>
                            <w:rFonts w:ascii="宋体" w:hAnsi="宋体" w:cs="宋体" w:eastAsia="宋体" w:hint="default"/>
                            <w:sz w:val="18"/>
                            <w:szCs w:val="18"/>
                          </w:rPr>
                        </w:pPr>
                        <w:r>
                          <w:rPr>
                            <w:rFonts w:ascii="宋体"/>
                            <w:spacing w:val="-1"/>
                            <w:sz w:val="18"/>
                          </w:rPr>
                          <w:t>1,516,167,223.34</w:t>
                        </w:r>
                      </w:p>
                    </w:tc>
                    <w:tc>
                      <w:tcPr>
                        <w:tcW w:w="162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39"/>
                          <w:jc w:val="right"/>
                          <w:rPr>
                            <w:rFonts w:ascii="宋体" w:hAnsi="宋体" w:cs="宋体" w:eastAsia="宋体" w:hint="default"/>
                            <w:sz w:val="18"/>
                            <w:szCs w:val="18"/>
                          </w:rPr>
                        </w:pPr>
                        <w:r>
                          <w:rPr>
                            <w:rFonts w:ascii="宋体"/>
                            <w:spacing w:val="-1"/>
                            <w:sz w:val="18"/>
                          </w:rPr>
                          <w:t>1,516,167,223.34</w:t>
                        </w:r>
                      </w:p>
                    </w:tc>
                  </w:tr>
                  <w:tr>
                    <w:trPr>
                      <w:trHeight w:val="320"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
                    </w:tc>
                  </w:tr>
                  <w:tr>
                    <w:trPr>
                      <w:trHeight w:val="322"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spacing w:val="-1"/>
                            <w:sz w:val="18"/>
                          </w:rPr>
                          <w:t>5,123,450.40</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4"/>
                          <w:jc w:val="right"/>
                          <w:rPr>
                            <w:rFonts w:ascii="宋体" w:hAnsi="宋体" w:cs="宋体" w:eastAsia="宋体" w:hint="default"/>
                            <w:sz w:val="18"/>
                            <w:szCs w:val="18"/>
                          </w:rPr>
                        </w:pPr>
                        <w:r>
                          <w:rPr>
                            <w:rFonts w:ascii="宋体"/>
                            <w:spacing w:val="-1"/>
                            <w:sz w:val="18"/>
                          </w:rPr>
                          <w:t>28,354,288.02</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3"/>
                          <w:jc w:val="right"/>
                          <w:rPr>
                            <w:rFonts w:ascii="宋体" w:hAnsi="宋体" w:cs="宋体" w:eastAsia="宋体" w:hint="default"/>
                            <w:sz w:val="18"/>
                            <w:szCs w:val="18"/>
                          </w:rPr>
                        </w:pPr>
                        <w:r>
                          <w:rPr>
                            <w:rFonts w:ascii="宋体"/>
                            <w:spacing w:val="-1"/>
                            <w:sz w:val="18"/>
                          </w:rPr>
                          <w:t>25,773,098.40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38"/>
                          <w:jc w:val="right"/>
                          <w:rPr>
                            <w:rFonts w:ascii="宋体" w:hAnsi="宋体" w:cs="宋体" w:eastAsia="宋体" w:hint="default"/>
                            <w:sz w:val="18"/>
                            <w:szCs w:val="18"/>
                          </w:rPr>
                        </w:pPr>
                        <w:r>
                          <w:rPr>
                            <w:rFonts w:ascii="宋体"/>
                            <w:spacing w:val="-1"/>
                            <w:sz w:val="18"/>
                          </w:rPr>
                          <w:t>59,250,836.82</w:t>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4"/>
                          <w:jc w:val="right"/>
                          <w:rPr>
                            <w:rFonts w:ascii="宋体" w:hAnsi="宋体" w:cs="宋体" w:eastAsia="宋体" w:hint="default"/>
                            <w:sz w:val="18"/>
                            <w:szCs w:val="18"/>
                          </w:rPr>
                        </w:pPr>
                        <w:r>
                          <w:rPr>
                            <w:rFonts w:ascii="宋体"/>
                            <w:spacing w:val="-1"/>
                            <w:sz w:val="18"/>
                          </w:rPr>
                          <w:t>28,354,288.02</w:t>
                        </w:r>
                      </w:p>
                    </w:tc>
                    <w:tc>
                      <w:tcPr>
                        <w:tcW w:w="162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38"/>
                          <w:jc w:val="right"/>
                          <w:rPr>
                            <w:rFonts w:ascii="宋体" w:hAnsi="宋体" w:cs="宋体" w:eastAsia="宋体" w:hint="default"/>
                            <w:sz w:val="18"/>
                            <w:szCs w:val="18"/>
                          </w:rPr>
                        </w:pPr>
                        <w:r>
                          <w:rPr>
                            <w:rFonts w:ascii="宋体"/>
                            <w:spacing w:val="-1"/>
                            <w:sz w:val="18"/>
                          </w:rPr>
                          <w:t>28,354,288.02</w:t>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6"/>
                          <w:jc w:val="right"/>
                          <w:rPr>
                            <w:rFonts w:ascii="宋体" w:hAnsi="宋体" w:cs="宋体" w:eastAsia="宋体" w:hint="default"/>
                            <w:sz w:val="18"/>
                            <w:szCs w:val="18"/>
                          </w:rPr>
                        </w:pPr>
                        <w:r>
                          <w:rPr>
                            <w:rFonts w:ascii="宋体"/>
                            <w:spacing w:val="-1"/>
                            <w:sz w:val="18"/>
                          </w:rPr>
                          <w:t>5,123,450.40</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33"/>
                          <w:jc w:val="right"/>
                          <w:rPr>
                            <w:rFonts w:ascii="宋体" w:hAnsi="宋体" w:cs="宋体" w:eastAsia="宋体" w:hint="default"/>
                            <w:sz w:val="18"/>
                            <w:szCs w:val="18"/>
                          </w:rPr>
                        </w:pPr>
                        <w:r>
                          <w:rPr>
                            <w:rFonts w:ascii="宋体"/>
                            <w:spacing w:val="-1"/>
                            <w:sz w:val="18"/>
                          </w:rPr>
                          <w:t>25,773,098.40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38"/>
                          <w:jc w:val="right"/>
                          <w:rPr>
                            <w:rFonts w:ascii="宋体" w:hAnsi="宋体" w:cs="宋体" w:eastAsia="宋体" w:hint="default"/>
                            <w:sz w:val="18"/>
                            <w:szCs w:val="18"/>
                          </w:rPr>
                        </w:pPr>
                        <w:r>
                          <w:rPr>
                            <w:rFonts w:ascii="宋体"/>
                            <w:spacing w:val="-1"/>
                            <w:sz w:val="18"/>
                          </w:rPr>
                          <w:t>30,896,548.80</w:t>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nil" w:sz="6" w:space="0" w:color="auto"/>
                        </w:tcBorders>
                      </w:tcPr>
                      <w:p>
                        <w:pPr/>
                      </w:p>
                    </w:tc>
                  </w:tr>
                  <w:tr>
                    <w:trPr>
                      <w:trHeight w:val="600" w:hRule="exact"/>
                    </w:trPr>
                    <w:tc>
                      <w:tcPr>
                        <w:tcW w:w="2208" w:type="dxa"/>
                        <w:tcBorders>
                          <w:top w:val="single" w:sz="2" w:space="0" w:color="000000"/>
                          <w:left w:val="nil" w:sz="6" w:space="0" w:color="auto"/>
                          <w:bottom w:val="single" w:sz="12" w:space="0" w:color="000000"/>
                          <w:right w:val="single" w:sz="2" w:space="0" w:color="000000"/>
                        </w:tcBorders>
                      </w:tcPr>
                      <w:p>
                        <w:pPr>
                          <w:pStyle w:val="TableParagraph"/>
                          <w:spacing w:line="271" w:lineRule="auto" w:before="15"/>
                          <w:ind w:left="55" w:right="37"/>
                          <w:jc w:val="left"/>
                          <w:rPr>
                            <w:rFonts w:ascii="宋体" w:hAnsi="宋体" w:cs="宋体" w:eastAsia="宋体" w:hint="default"/>
                            <w:sz w:val="18"/>
                            <w:szCs w:val="18"/>
                          </w:rPr>
                        </w:pPr>
                        <w:r>
                          <w:rPr>
                            <w:rFonts w:ascii="宋体" w:hAnsi="宋体" w:cs="宋体" w:eastAsia="宋体" w:hint="default"/>
                            <w:b/>
                            <w:bCs/>
                            <w:spacing w:val="11"/>
                            <w:sz w:val="18"/>
                            <w:szCs w:val="18"/>
                          </w:rPr>
                          <w:t>持续以公允价值计量的资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6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36"/>
                          <w:jc w:val="right"/>
                          <w:rPr>
                            <w:rFonts w:ascii="宋体" w:hAnsi="宋体" w:cs="宋体" w:eastAsia="宋体" w:hint="default"/>
                            <w:sz w:val="18"/>
                            <w:szCs w:val="18"/>
                          </w:rPr>
                        </w:pPr>
                        <w:r>
                          <w:rPr>
                            <w:rFonts w:ascii="宋体"/>
                            <w:b/>
                            <w:w w:val="95"/>
                            <w:sz w:val="18"/>
                          </w:rPr>
                          <w:t>389,083,524.80</w:t>
                        </w:r>
                        <w:r>
                          <w:rPr>
                            <w:rFonts w:ascii="宋体"/>
                            <w:sz w:val="18"/>
                          </w:rPr>
                        </w:r>
                      </w:p>
                    </w:tc>
                    <w:tc>
                      <w:tcPr>
                        <w:tcW w:w="16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34"/>
                          <w:jc w:val="right"/>
                          <w:rPr>
                            <w:rFonts w:ascii="宋体" w:hAnsi="宋体" w:cs="宋体" w:eastAsia="宋体" w:hint="default"/>
                            <w:sz w:val="18"/>
                            <w:szCs w:val="18"/>
                          </w:rPr>
                        </w:pPr>
                        <w:r>
                          <w:rPr>
                            <w:rFonts w:ascii="宋体"/>
                            <w:b/>
                            <w:w w:val="95"/>
                            <w:sz w:val="18"/>
                          </w:rPr>
                          <w:t>1,544,521,511.36</w:t>
                        </w:r>
                        <w:r>
                          <w:rPr>
                            <w:rFonts w:ascii="宋体"/>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34"/>
                          <w:jc w:val="right"/>
                          <w:rPr>
                            <w:rFonts w:ascii="宋体" w:hAnsi="宋体" w:cs="宋体" w:eastAsia="宋体" w:hint="default"/>
                            <w:sz w:val="18"/>
                            <w:szCs w:val="18"/>
                          </w:rPr>
                        </w:pPr>
                        <w:r>
                          <w:rPr>
                            <w:rFonts w:ascii="宋体"/>
                            <w:b/>
                            <w:w w:val="95"/>
                            <w:sz w:val="18"/>
                          </w:rPr>
                          <w:t>165,775,114.40</w:t>
                        </w:r>
                        <w:r>
                          <w:rPr>
                            <w:rFonts w:ascii="宋体"/>
                            <w:sz w:val="18"/>
                          </w:rPr>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39"/>
                          <w:jc w:val="right"/>
                          <w:rPr>
                            <w:rFonts w:ascii="宋体" w:hAnsi="宋体" w:cs="宋体" w:eastAsia="宋体" w:hint="default"/>
                            <w:sz w:val="18"/>
                            <w:szCs w:val="18"/>
                          </w:rPr>
                        </w:pPr>
                        <w:r>
                          <w:rPr>
                            <w:rFonts w:ascii="宋体"/>
                            <w:b/>
                            <w:w w:val="95"/>
                            <w:sz w:val="18"/>
                          </w:rPr>
                          <w:t>2,099,380,150.56</w:t>
                        </w:r>
                        <w:r>
                          <w:rPr>
                            <w:rFonts w:ascii="宋体"/>
                            <w:sz w:val="18"/>
                          </w:rPr>
                        </w:r>
                      </w:p>
                    </w:tc>
                  </w:tr>
                </w:tbl>
                <w:p>
                  <w:pPr/>
                </w:p>
              </w:txbxContent>
            </v:textbox>
            <w10:wrap type="none"/>
          </v:shape>
        </w:pict>
      </w:r>
      <w:r>
        <w:rPr>
          <w:rFonts w:ascii="宋体" w:hAnsi="宋体" w:cs="宋体" w:eastAsia="宋体" w:hint="default"/>
          <w:b/>
          <w:bCs/>
          <w:sz w:val="22"/>
          <w:szCs w:val="22"/>
        </w:rPr>
        <w:t>十、公允价值的披露</w:t>
      </w:r>
      <w:r>
        <w:rPr>
          <w:rFonts w:ascii="宋体" w:hAnsi="宋体" w:cs="宋体" w:eastAsia="宋体" w:hint="default"/>
          <w:b/>
          <w:bCs/>
          <w:w w:val="99"/>
          <w:sz w:val="22"/>
          <w:szCs w:val="22"/>
        </w:rPr>
        <w:t> </w:t>
      </w:r>
      <w:r>
        <w:rPr>
          <w:rFonts w:ascii="宋体" w:hAnsi="宋体" w:cs="宋体" w:eastAsia="宋体" w:hint="default"/>
          <w:spacing w:val="-1"/>
          <w:sz w:val="22"/>
          <w:szCs w:val="22"/>
        </w:rPr>
        <w:t>1</w:t>
      </w:r>
      <w:r>
        <w:rPr>
          <w:rFonts w:ascii="宋体" w:hAnsi="宋体" w:cs="宋体" w:eastAsia="宋体" w:hint="default"/>
          <w:spacing w:val="-1"/>
          <w:sz w:val="22"/>
          <w:szCs w:val="22"/>
        </w:rPr>
        <w:t>、年末以公允价值计量的资产和负债的金额和公允价值计量层次</w:t>
      </w:r>
    </w:p>
    <w:p>
      <w:pPr>
        <w:spacing w:after="0" w:line="422" w:lineRule="auto"/>
        <w:jc w:val="left"/>
        <w:rPr>
          <w:rFonts w:ascii="宋体" w:hAnsi="宋体" w:cs="宋体" w:eastAsia="宋体" w:hint="default"/>
          <w:sz w:val="22"/>
          <w:szCs w:val="22"/>
        </w:rPr>
        <w:sectPr>
          <w:pgSz w:w="11910" w:h="16840"/>
          <w:pgMar w:header="0" w:footer="980" w:top="1600" w:bottom="1160" w:left="1440" w:right="1420"/>
        </w:sectPr>
      </w:pP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08"/>
        <w:gridCol w:w="1623"/>
        <w:gridCol w:w="1623"/>
        <w:gridCol w:w="1620"/>
        <w:gridCol w:w="1732"/>
      </w:tblGrid>
      <w:tr>
        <w:trPr>
          <w:trHeight w:val="332" w:hRule="exact"/>
        </w:trPr>
        <w:tc>
          <w:tcPr>
            <w:tcW w:w="2208"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59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5"/>
              <w:ind w:right="54"/>
              <w:jc w:val="center"/>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r>
      <w:tr>
        <w:trPr>
          <w:trHeight w:val="588" w:hRule="exact"/>
        </w:trPr>
        <w:tc>
          <w:tcPr>
            <w:tcW w:w="2208" w:type="dxa"/>
            <w:vMerge/>
            <w:tcBorders>
              <w:left w:val="nil" w:sz="6" w:space="0" w:color="auto"/>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71" w:lineRule="auto" w:before="15"/>
              <w:ind w:left="626" w:right="87" w:hanging="543"/>
              <w:jc w:val="left"/>
              <w:rPr>
                <w:rFonts w:ascii="宋体" w:hAnsi="宋体" w:cs="宋体" w:eastAsia="宋体" w:hint="default"/>
                <w:sz w:val="18"/>
                <w:szCs w:val="18"/>
              </w:rPr>
            </w:pPr>
            <w:r>
              <w:rPr>
                <w:rFonts w:ascii="宋体" w:hAnsi="宋体" w:cs="宋体" w:eastAsia="宋体" w:hint="default"/>
                <w:b/>
                <w:bCs/>
                <w:sz w:val="18"/>
                <w:szCs w:val="18"/>
              </w:rPr>
              <w:t>第一层次公允价值</w:t>
            </w:r>
            <w:r>
              <w:rPr>
                <w:rFonts w:ascii="宋体" w:hAnsi="宋体" w:cs="宋体" w:eastAsia="宋体" w:hint="default"/>
                <w:b/>
                <w:bCs/>
                <w:w w:val="99"/>
                <w:sz w:val="18"/>
                <w:szCs w:val="18"/>
              </w:rPr>
              <w:t> </w:t>
            </w:r>
            <w:r>
              <w:rPr>
                <w:rFonts w:ascii="宋体" w:hAnsi="宋体" w:cs="宋体" w:eastAsia="宋体" w:hint="default"/>
                <w:b/>
                <w:bCs/>
                <w:sz w:val="18"/>
                <w:szCs w:val="18"/>
              </w:rPr>
              <w:t>计量</w:t>
            </w:r>
            <w:r>
              <w:rPr>
                <w:rFonts w:ascii="宋体" w:hAnsi="宋体" w:cs="宋体" w:eastAsia="宋体" w:hint="default"/>
                <w:sz w:val="18"/>
                <w:szCs w:val="18"/>
              </w:rPr>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71" w:lineRule="auto" w:before="15"/>
              <w:ind w:left="628" w:right="85" w:hanging="543"/>
              <w:jc w:val="left"/>
              <w:rPr>
                <w:rFonts w:ascii="宋体" w:hAnsi="宋体" w:cs="宋体" w:eastAsia="宋体" w:hint="default"/>
                <w:sz w:val="18"/>
                <w:szCs w:val="18"/>
              </w:rPr>
            </w:pPr>
            <w:r>
              <w:rPr>
                <w:rFonts w:ascii="宋体" w:hAnsi="宋体" w:cs="宋体" w:eastAsia="宋体" w:hint="default"/>
                <w:b/>
                <w:bCs/>
                <w:sz w:val="18"/>
                <w:szCs w:val="18"/>
              </w:rPr>
              <w:t>第二层次公允价值</w:t>
            </w:r>
            <w:r>
              <w:rPr>
                <w:rFonts w:ascii="宋体" w:hAnsi="宋体" w:cs="宋体" w:eastAsia="宋体" w:hint="default"/>
                <w:b/>
                <w:bCs/>
                <w:w w:val="99"/>
                <w:sz w:val="18"/>
                <w:szCs w:val="18"/>
              </w:rPr>
              <w:t> </w:t>
            </w:r>
            <w:r>
              <w:rPr>
                <w:rFonts w:ascii="宋体" w:hAnsi="宋体" w:cs="宋体" w:eastAsia="宋体" w:hint="default"/>
                <w:b/>
                <w:bCs/>
                <w:sz w:val="18"/>
                <w:szCs w:val="18"/>
              </w:rPr>
              <w:t>计量</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71" w:lineRule="auto" w:before="15"/>
              <w:ind w:left="626" w:right="82" w:hanging="540"/>
              <w:jc w:val="left"/>
              <w:rPr>
                <w:rFonts w:ascii="宋体" w:hAnsi="宋体" w:cs="宋体" w:eastAsia="宋体" w:hint="default"/>
                <w:sz w:val="18"/>
                <w:szCs w:val="18"/>
              </w:rPr>
            </w:pPr>
            <w:r>
              <w:rPr>
                <w:rFonts w:ascii="宋体" w:hAnsi="宋体" w:cs="宋体" w:eastAsia="宋体" w:hint="default"/>
                <w:b/>
                <w:bCs/>
                <w:sz w:val="18"/>
                <w:szCs w:val="18"/>
              </w:rPr>
              <w:t>第三层次公允价值</w:t>
            </w:r>
            <w:r>
              <w:rPr>
                <w:rFonts w:ascii="宋体" w:hAnsi="宋体" w:cs="宋体" w:eastAsia="宋体" w:hint="default"/>
                <w:b/>
                <w:bCs/>
                <w:w w:val="99"/>
                <w:sz w:val="18"/>
                <w:szCs w:val="18"/>
              </w:rPr>
              <w:t> </w:t>
            </w:r>
            <w:r>
              <w:rPr>
                <w:rFonts w:ascii="宋体" w:hAnsi="宋体" w:cs="宋体" w:eastAsia="宋体" w:hint="default"/>
                <w:b/>
                <w:bCs/>
                <w:sz w:val="18"/>
                <w:szCs w:val="18"/>
              </w:rPr>
              <w:t>计量</w:t>
            </w:r>
            <w:r>
              <w:rPr>
                <w:rFonts w:ascii="宋体" w:hAnsi="宋体" w:cs="宋体" w:eastAsia="宋体" w:hint="default"/>
                <w:sz w:val="18"/>
                <w:szCs w:val="18"/>
              </w:rPr>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5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857"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73" w:lineRule="auto" w:before="15"/>
              <w:ind w:left="55" w:right="35"/>
              <w:jc w:val="both"/>
              <w:rPr>
                <w:rFonts w:ascii="宋体" w:hAnsi="宋体" w:cs="宋体" w:eastAsia="宋体" w:hint="default"/>
                <w:sz w:val="18"/>
                <w:szCs w:val="18"/>
              </w:rPr>
            </w:pPr>
            <w:r>
              <w:rPr>
                <w:rFonts w:ascii="宋体" w:hAnsi="宋体" w:cs="宋体" w:eastAsia="宋体" w:hint="default"/>
                <w:spacing w:val="-5"/>
                <w:sz w:val="18"/>
                <w:szCs w:val="18"/>
              </w:rPr>
              <w:t>（一）以公允价值计量且变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1"/>
                <w:sz w:val="18"/>
                <w:szCs w:val="18"/>
              </w:rPr>
              <w:t>动计入当期损益的金融负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债</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交易性金融负债</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center"/>
              <w:rPr>
                <w:rFonts w:ascii="宋体" w:hAnsi="宋体" w:cs="宋体" w:eastAsia="宋体" w:hint="default"/>
                <w:sz w:val="18"/>
                <w:szCs w:val="18"/>
              </w:rPr>
            </w:pPr>
            <w:r>
              <w:rPr>
                <w:rFonts w:ascii="宋体"/>
                <w:sz w:val="18"/>
              </w:rPr>
              <w:t>1,126,029,201.60</w:t>
            </w:r>
          </w:p>
        </w:tc>
        <w:tc>
          <w:tcPr>
            <w:tcW w:w="1620"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91"/>
              <w:jc w:val="right"/>
              <w:rPr>
                <w:rFonts w:ascii="宋体" w:hAnsi="宋体" w:cs="宋体" w:eastAsia="宋体" w:hint="default"/>
                <w:sz w:val="18"/>
                <w:szCs w:val="18"/>
              </w:rPr>
            </w:pPr>
            <w:r>
              <w:rPr>
                <w:rFonts w:ascii="宋体"/>
                <w:spacing w:val="-1"/>
                <w:sz w:val="18"/>
              </w:rPr>
              <w:t>1,126,029,201.60</w:t>
            </w: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）发行的交易性债券</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nil" w:sz="6" w:space="0" w:color="auto"/>
            </w:tcBorders>
          </w:tcPr>
          <w:p>
            <w:pPr/>
          </w:p>
        </w:tc>
      </w:tr>
      <w:tr>
        <w:trPr>
          <w:trHeight w:val="319"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）衍生金融负债</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center"/>
              <w:rPr>
                <w:rFonts w:ascii="宋体" w:hAnsi="宋体" w:cs="宋体" w:eastAsia="宋体" w:hint="default"/>
                <w:sz w:val="18"/>
                <w:szCs w:val="18"/>
              </w:rPr>
            </w:pPr>
            <w:r>
              <w:rPr>
                <w:rFonts w:ascii="宋体"/>
                <w:sz w:val="18"/>
              </w:rPr>
              <w:t>1,126,029,201.60</w:t>
            </w:r>
          </w:p>
        </w:tc>
        <w:tc>
          <w:tcPr>
            <w:tcW w:w="1620"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91"/>
              <w:jc w:val="right"/>
              <w:rPr>
                <w:rFonts w:ascii="宋体" w:hAnsi="宋体" w:cs="宋体" w:eastAsia="宋体" w:hint="default"/>
                <w:sz w:val="18"/>
                <w:szCs w:val="18"/>
              </w:rPr>
            </w:pPr>
            <w:r>
              <w:rPr>
                <w:rFonts w:ascii="宋体"/>
                <w:spacing w:val="-1"/>
                <w:sz w:val="18"/>
              </w:rPr>
              <w:t>1,126,029,201.60</w:t>
            </w:r>
          </w:p>
        </w:tc>
      </w:tr>
      <w:tr>
        <w:trPr>
          <w:trHeight w:val="322"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）其他</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nil" w:sz="6" w:space="0" w:color="auto"/>
            </w:tcBorders>
          </w:tcPr>
          <w:p>
            <w:pPr/>
          </w:p>
        </w:tc>
      </w:tr>
      <w:tr>
        <w:trPr>
          <w:trHeight w:val="854"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71" w:lineRule="auto" w:before="15"/>
              <w:ind w:left="55" w:right="35"/>
              <w:jc w:val="both"/>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指定为以公允价值计量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且其变动计入当期损益的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金融负债</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nil" w:sz="6" w:space="0" w:color="auto"/>
            </w:tcBorders>
          </w:tcPr>
          <w:p>
            <w:pPr/>
          </w:p>
        </w:tc>
      </w:tr>
      <w:tr>
        <w:trPr>
          <w:trHeight w:val="320" w:hRule="exact"/>
        </w:trPr>
        <w:tc>
          <w:tcPr>
            <w:tcW w:w="22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23" w:type="dxa"/>
            <w:tcBorders>
              <w:top w:val="single" w:sz="2" w:space="0" w:color="000000"/>
              <w:left w:val="single" w:sz="2" w:space="0" w:color="000000"/>
              <w:bottom w:val="single" w:sz="2" w:space="0" w:color="000000"/>
              <w:right w:val="single" w:sz="2" w:space="0" w:color="000000"/>
            </w:tcBorders>
          </w:tcPr>
          <w:p>
            <w:pPr/>
          </w:p>
        </w:tc>
        <w:tc>
          <w:tcPr>
            <w:tcW w:w="1623"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33"/>
              <w:jc w:val="right"/>
              <w:rPr>
                <w:rFonts w:ascii="宋体" w:hAnsi="宋体" w:cs="宋体" w:eastAsia="宋体" w:hint="default"/>
                <w:sz w:val="18"/>
                <w:szCs w:val="18"/>
              </w:rPr>
            </w:pPr>
            <w:r>
              <w:rPr>
                <w:rFonts w:ascii="宋体"/>
                <w:spacing w:val="-1"/>
                <w:sz w:val="18"/>
              </w:rPr>
              <w:t>16,259,974.40</w:t>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90"/>
              <w:jc w:val="right"/>
              <w:rPr>
                <w:rFonts w:ascii="宋体" w:hAnsi="宋体" w:cs="宋体" w:eastAsia="宋体" w:hint="default"/>
                <w:sz w:val="18"/>
                <w:szCs w:val="18"/>
              </w:rPr>
            </w:pPr>
            <w:r>
              <w:rPr>
                <w:rFonts w:ascii="宋体"/>
                <w:spacing w:val="-1"/>
                <w:sz w:val="18"/>
              </w:rPr>
              <w:t>16,259,974.40</w:t>
            </w:r>
          </w:p>
        </w:tc>
      </w:tr>
      <w:tr>
        <w:trPr>
          <w:trHeight w:val="602" w:hRule="exact"/>
        </w:trPr>
        <w:tc>
          <w:tcPr>
            <w:tcW w:w="2208" w:type="dxa"/>
            <w:tcBorders>
              <w:top w:val="single" w:sz="2" w:space="0" w:color="000000"/>
              <w:left w:val="nil" w:sz="6" w:space="0" w:color="auto"/>
              <w:bottom w:val="single" w:sz="12" w:space="0" w:color="000000"/>
              <w:right w:val="single" w:sz="2" w:space="0" w:color="000000"/>
            </w:tcBorders>
          </w:tcPr>
          <w:p>
            <w:pPr>
              <w:pStyle w:val="TableParagraph"/>
              <w:spacing w:line="271" w:lineRule="auto" w:before="17"/>
              <w:ind w:left="55" w:right="37"/>
              <w:jc w:val="left"/>
              <w:rPr>
                <w:rFonts w:ascii="宋体" w:hAnsi="宋体" w:cs="宋体" w:eastAsia="宋体" w:hint="default"/>
                <w:sz w:val="18"/>
                <w:szCs w:val="18"/>
              </w:rPr>
            </w:pPr>
            <w:r>
              <w:rPr>
                <w:rFonts w:ascii="宋体" w:hAnsi="宋体" w:cs="宋体" w:eastAsia="宋体" w:hint="default"/>
                <w:b/>
                <w:bCs/>
                <w:spacing w:val="11"/>
                <w:sz w:val="18"/>
                <w:szCs w:val="18"/>
              </w:rPr>
              <w:t>持续以公允价值计量的负</w:t>
            </w:r>
            <w:r>
              <w:rPr>
                <w:rFonts w:ascii="宋体" w:hAnsi="宋体" w:cs="宋体" w:eastAsia="宋体" w:hint="default"/>
                <w:b/>
                <w:bCs/>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623" w:type="dxa"/>
            <w:tcBorders>
              <w:top w:val="single" w:sz="2" w:space="0" w:color="000000"/>
              <w:left w:val="single" w:sz="2" w:space="0" w:color="000000"/>
              <w:bottom w:val="single" w:sz="12" w:space="0" w:color="000000"/>
              <w:right w:val="single" w:sz="2" w:space="0" w:color="000000"/>
            </w:tcBorders>
          </w:tcPr>
          <w:p>
            <w:pPr/>
          </w:p>
        </w:tc>
        <w:tc>
          <w:tcPr>
            <w:tcW w:w="16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92" w:right="0"/>
              <w:jc w:val="center"/>
              <w:rPr>
                <w:rFonts w:ascii="宋体" w:hAnsi="宋体" w:cs="宋体" w:eastAsia="宋体" w:hint="default"/>
                <w:sz w:val="18"/>
                <w:szCs w:val="18"/>
              </w:rPr>
            </w:pPr>
            <w:r>
              <w:rPr>
                <w:rFonts w:ascii="宋体"/>
                <w:b/>
                <w:sz w:val="18"/>
              </w:rPr>
              <w:t>1,126,029,201.60</w:t>
            </w:r>
            <w:r>
              <w:rPr>
                <w:rFonts w:ascii="宋体"/>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34"/>
              <w:jc w:val="right"/>
              <w:rPr>
                <w:rFonts w:ascii="宋体" w:hAnsi="宋体" w:cs="宋体" w:eastAsia="宋体" w:hint="default"/>
                <w:sz w:val="18"/>
                <w:szCs w:val="18"/>
              </w:rPr>
            </w:pPr>
            <w:r>
              <w:rPr>
                <w:rFonts w:ascii="宋体"/>
                <w:b/>
                <w:w w:val="95"/>
                <w:sz w:val="18"/>
              </w:rPr>
              <w:t>16,259,974.40</w:t>
            </w:r>
            <w:r>
              <w:rPr>
                <w:rFonts w:ascii="宋体"/>
                <w:sz w:val="18"/>
              </w:rPr>
            </w:r>
          </w:p>
        </w:tc>
        <w:tc>
          <w:tcPr>
            <w:tcW w:w="17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91"/>
              <w:jc w:val="right"/>
              <w:rPr>
                <w:rFonts w:ascii="宋体" w:hAnsi="宋体" w:cs="宋体" w:eastAsia="宋体" w:hint="default"/>
                <w:sz w:val="18"/>
                <w:szCs w:val="18"/>
              </w:rPr>
            </w:pPr>
            <w:r>
              <w:rPr>
                <w:rFonts w:ascii="宋体"/>
                <w:b/>
                <w:w w:val="95"/>
                <w:sz w:val="18"/>
              </w:rPr>
              <w:t>1,142,289,176.00</w:t>
            </w:r>
            <w:r>
              <w:rPr>
                <w:rFonts w:ascii="宋体"/>
                <w:sz w:val="18"/>
              </w:rPr>
            </w:r>
          </w:p>
        </w:tc>
      </w:tr>
    </w:tbl>
    <w:p>
      <w:pPr>
        <w:spacing w:line="240" w:lineRule="auto" w:before="8"/>
        <w:rPr>
          <w:rFonts w:ascii="宋体" w:hAnsi="宋体" w:cs="宋体" w:eastAsia="宋体" w:hint="default"/>
          <w:sz w:val="4"/>
          <w:szCs w:val="4"/>
        </w:rPr>
      </w:pPr>
    </w:p>
    <w:p>
      <w:pPr>
        <w:pStyle w:val="Heading7"/>
        <w:spacing w:line="391" w:lineRule="auto"/>
        <w:ind w:left="799" w:right="0"/>
        <w:jc w:val="left"/>
      </w:pPr>
      <w:r>
        <w:rPr>
          <w:rFonts w:ascii="宋体" w:hAnsi="宋体" w:cs="宋体" w:eastAsia="宋体" w:hint="default"/>
        </w:rPr>
        <w:t>2</w:t>
      </w:r>
      <w:r>
        <w:rPr/>
        <w:t>、持续和非持续第一层次公允价值计量项目市价的确定依据</w:t>
      </w:r>
      <w:r>
        <w:rPr>
          <w:w w:val="100"/>
        </w:rPr>
        <w:t> </w:t>
      </w:r>
      <w:r>
        <w:rPr>
          <w:spacing w:val="2"/>
        </w:rPr>
        <w:t>第一层次输入值是企业在计量日能够取得的相同资产或负债在活跃市场上未经调</w:t>
      </w:r>
    </w:p>
    <w:p>
      <w:pPr>
        <w:pStyle w:val="Heading7"/>
        <w:spacing w:line="253" w:lineRule="exact" w:before="0"/>
        <w:ind w:left="360" w:right="0"/>
        <w:jc w:val="left"/>
      </w:pPr>
      <w:r>
        <w:rPr>
          <w:spacing w:val="-3"/>
        </w:rPr>
        <w:t>整的报价。活跃市场，是指相关资产或负债交易量及交易频率足以持续提供定价信息的</w:t>
      </w:r>
    </w:p>
    <w:p>
      <w:pPr>
        <w:pStyle w:val="Heading7"/>
        <w:spacing w:line="240" w:lineRule="auto" w:before="101"/>
        <w:ind w:left="360" w:right="0"/>
        <w:jc w:val="left"/>
      </w:pPr>
      <w:r>
        <w:rPr/>
        <w:t>市场。</w:t>
      </w:r>
    </w:p>
    <w:p>
      <w:pPr>
        <w:pStyle w:val="Heading7"/>
        <w:spacing w:line="326" w:lineRule="auto" w:before="180"/>
        <w:ind w:left="360" w:right="397" w:firstLine="439"/>
        <w:jc w:val="both"/>
      </w:pPr>
      <w:r>
        <w:rPr>
          <w:rFonts w:ascii="宋体" w:hAnsi="宋体" w:cs="宋体" w:eastAsia="宋体" w:hint="default"/>
        </w:rPr>
        <w:t>3</w:t>
      </w:r>
      <w:r>
        <w:rPr/>
        <w:t>、持续和非持续第二层次公允价值计量项目，采用的估值技术和重要参数的定性</w:t>
      </w:r>
      <w:r>
        <w:rPr>
          <w:w w:val="100"/>
        </w:rPr>
        <w:t> </w:t>
      </w:r>
      <w:r>
        <w:rPr/>
        <w:t>及定量信息</w:t>
      </w:r>
    </w:p>
    <w:p>
      <w:pPr>
        <w:pStyle w:val="Heading7"/>
        <w:spacing w:line="326" w:lineRule="auto" w:before="98"/>
        <w:ind w:left="360" w:right="395" w:firstLine="439"/>
        <w:jc w:val="both"/>
      </w:pPr>
      <w:r>
        <w:rPr>
          <w:spacing w:val="2"/>
        </w:rPr>
        <w:t>第二层次输入值是除第一层次输入值外相关资产或负债直接或间接可观察的输入</w:t>
      </w:r>
      <w:r>
        <w:rPr>
          <w:w w:val="100"/>
        </w:rPr>
        <w:t> </w:t>
      </w:r>
      <w:r>
        <w:rPr>
          <w:spacing w:val="-3"/>
        </w:rPr>
        <w:t>值。对于具有特定期限（如合同期限）的相关资产或负债，第二层次输入值必须在其几</w:t>
      </w:r>
      <w:r>
        <w:rPr>
          <w:spacing w:val="-56"/>
        </w:rPr>
        <w:t> </w:t>
      </w:r>
      <w:r>
        <w:rPr>
          <w:spacing w:val="-56"/>
        </w:rPr>
      </w:r>
      <w:r>
        <w:rPr/>
        <w:t>乎整个期限内是可观察的。第二层次输入值包括：</w:t>
      </w:r>
    </w:p>
    <w:p>
      <w:pPr>
        <w:pStyle w:val="Heading7"/>
        <w:spacing w:line="240" w:lineRule="auto" w:before="98"/>
        <w:ind w:left="799" w:right="0"/>
        <w:jc w:val="left"/>
      </w:pPr>
      <w:r>
        <w:rPr/>
        <w:t>（</w:t>
      </w:r>
      <w:r>
        <w:rPr>
          <w:rFonts w:ascii="宋体" w:hAnsi="宋体" w:cs="宋体" w:eastAsia="宋体" w:hint="default"/>
        </w:rPr>
        <w:t>1</w:t>
      </w:r>
      <w:r>
        <w:rPr/>
        <w:t>）活跃市场中类似资产或负债的报价。</w:t>
      </w:r>
    </w:p>
    <w:p>
      <w:pPr>
        <w:pStyle w:val="Heading7"/>
        <w:spacing w:line="240" w:lineRule="auto" w:before="180"/>
        <w:ind w:left="799" w:right="0"/>
        <w:jc w:val="left"/>
      </w:pPr>
      <w:r>
        <w:rPr/>
        <w:t>（</w:t>
      </w:r>
      <w:r>
        <w:rPr>
          <w:rFonts w:ascii="宋体" w:hAnsi="宋体" w:cs="宋体" w:eastAsia="宋体" w:hint="default"/>
        </w:rPr>
        <w:t>2</w:t>
      </w:r>
      <w:r>
        <w:rPr/>
        <w:t>）非活跃市场中相同或类似资产或负债的报价。</w:t>
      </w:r>
    </w:p>
    <w:p>
      <w:pPr>
        <w:pStyle w:val="Heading7"/>
        <w:spacing w:line="326" w:lineRule="auto" w:before="180"/>
        <w:ind w:left="360" w:right="393" w:firstLine="439"/>
        <w:jc w:val="both"/>
      </w:pPr>
      <w:r>
        <w:rPr/>
        <w:t>（</w:t>
      </w:r>
      <w:r>
        <w:rPr>
          <w:rFonts w:ascii="宋体" w:hAnsi="宋体" w:cs="宋体" w:eastAsia="宋体" w:hint="default"/>
        </w:rPr>
        <w:t>3</w:t>
      </w:r>
      <w:r>
        <w:rPr/>
        <w:t>）除报价以外的其他可观察输入值，包括在正常报价间隔期间可观察的利率和</w:t>
      </w:r>
      <w:r>
        <w:rPr>
          <w:w w:val="100"/>
        </w:rPr>
        <w:t> </w:t>
      </w:r>
      <w:r>
        <w:rPr/>
        <w:t>收益率曲线等。</w:t>
      </w:r>
    </w:p>
    <w:p>
      <w:pPr>
        <w:pStyle w:val="Heading7"/>
        <w:spacing w:line="326" w:lineRule="auto" w:before="101"/>
        <w:ind w:left="360" w:right="397" w:firstLine="439"/>
        <w:jc w:val="both"/>
      </w:pPr>
      <w:r>
        <w:rPr>
          <w:rFonts w:ascii="宋体" w:hAnsi="宋体" w:cs="宋体" w:eastAsia="宋体" w:hint="default"/>
        </w:rPr>
        <w:t>4</w:t>
      </w:r>
      <w:r>
        <w:rPr/>
        <w:t>、持续和非持续第三层次公允价值计量项目，采用的估值技术和重要参数的定性</w:t>
      </w:r>
      <w:r>
        <w:rPr>
          <w:w w:val="100"/>
        </w:rPr>
        <w:t> </w:t>
      </w:r>
      <w:r>
        <w:rPr/>
        <w:t>及定量信息</w:t>
      </w:r>
    </w:p>
    <w:p>
      <w:pPr>
        <w:pStyle w:val="Heading7"/>
        <w:spacing w:line="326" w:lineRule="auto" w:before="99"/>
        <w:ind w:left="360" w:right="397" w:firstLine="439"/>
        <w:jc w:val="both"/>
      </w:pPr>
      <w:r>
        <w:rPr>
          <w:spacing w:val="-3"/>
        </w:rPr>
        <w:t>第三层次输入值是相关资产或负债的不可观察输入值。第三层次输入值包括不能直</w:t>
      </w:r>
      <w:r>
        <w:rPr>
          <w:w w:val="100"/>
        </w:rPr>
        <w:t> </w:t>
      </w:r>
      <w:r>
        <w:rPr>
          <w:spacing w:val="-3"/>
        </w:rPr>
        <w:t>接观察和无法由可观察市场数据验证的利率、股票波动率、企业合并中承担的弃置义务</w:t>
      </w:r>
      <w:r>
        <w:rPr>
          <w:spacing w:val="-58"/>
        </w:rPr>
        <w:t> </w:t>
      </w:r>
      <w:r>
        <w:rPr>
          <w:spacing w:val="-58"/>
        </w:rPr>
      </w:r>
      <w:r>
        <w:rPr/>
        <w:t>的未来现金流量、企业使用自身数据作出的财务预测等。</w:t>
      </w:r>
    </w:p>
    <w:p>
      <w:pPr>
        <w:pStyle w:val="Heading7"/>
        <w:spacing w:line="326" w:lineRule="auto" w:before="98"/>
        <w:ind w:left="360" w:right="397" w:firstLine="439"/>
        <w:jc w:val="both"/>
      </w:pPr>
      <w:r>
        <w:rPr>
          <w:rFonts w:ascii="宋体" w:hAnsi="宋体" w:cs="宋体" w:eastAsia="宋体" w:hint="default"/>
        </w:rPr>
        <w:t>5</w:t>
      </w:r>
      <w:r>
        <w:rPr/>
        <w:t>、持续的第三层次公允价值计量项目，年初与年末账面价值间的调节信息及不可</w:t>
      </w:r>
      <w:r>
        <w:rPr>
          <w:w w:val="100"/>
        </w:rPr>
        <w:t> </w:t>
      </w:r>
      <w:r>
        <w:rPr/>
        <w:t>观察参数敏感性分析</w:t>
      </w:r>
    </w:p>
    <w:p>
      <w:pPr>
        <w:spacing w:after="0" w:line="326" w:lineRule="auto"/>
        <w:jc w:val="both"/>
        <w:sectPr>
          <w:pgSz w:w="11910" w:h="16840"/>
          <w:pgMar w:header="0" w:footer="980" w:top="1600" w:bottom="1160" w:left="1440" w:right="140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left="240" w:right="381" w:firstLine="439"/>
        <w:jc w:val="both"/>
      </w:pPr>
      <w:r>
        <w:rPr>
          <w:spacing w:val="2"/>
        </w:rPr>
        <w:t>权益工具的估值系管理层综合考虑未来的回报和折现以及经营判断而预计该等权</w:t>
      </w:r>
      <w:r>
        <w:rPr>
          <w:w w:val="100"/>
        </w:rPr>
        <w:t> </w:t>
      </w:r>
      <w:r>
        <w:rPr/>
        <w:t>利的价值，管理层认为，该权益工具的账面价值与公允价值相当。</w:t>
      </w:r>
    </w:p>
    <w:p>
      <w:pPr>
        <w:pStyle w:val="Heading7"/>
        <w:spacing w:line="326" w:lineRule="auto" w:before="101"/>
        <w:ind w:left="240" w:right="374" w:firstLine="439"/>
        <w:jc w:val="both"/>
      </w:pPr>
      <w:r>
        <w:rPr/>
        <w:t>其他主要为应付或有对价，公允价值主要基于</w:t>
      </w:r>
      <w:r>
        <w:rPr>
          <w:spacing w:val="-56"/>
        </w:rPr>
        <w:t> </w:t>
      </w:r>
      <w:r>
        <w:rPr>
          <w:rFonts w:ascii="宋体" w:hAnsi="宋体" w:cs="宋体" w:eastAsia="宋体" w:hint="default"/>
        </w:rPr>
        <w:t>TP</w:t>
      </w:r>
      <w:r>
        <w:rPr>
          <w:rFonts w:ascii="宋体" w:hAnsi="宋体" w:cs="宋体" w:eastAsia="宋体" w:hint="default"/>
          <w:spacing w:val="-57"/>
        </w:rPr>
        <w:t> </w:t>
      </w:r>
      <w:r>
        <w:rPr>
          <w:rFonts w:ascii="宋体" w:hAnsi="宋体" w:cs="宋体" w:eastAsia="宋体" w:hint="default"/>
        </w:rPr>
        <w:t>Vision</w:t>
      </w:r>
      <w:r>
        <w:rPr>
          <w:rFonts w:ascii="宋体" w:hAnsi="宋体" w:cs="宋体" w:eastAsia="宋体" w:hint="default"/>
          <w:spacing w:val="-57"/>
        </w:rPr>
        <w:t> </w:t>
      </w:r>
      <w:r>
        <w:rPr/>
        <w:t>集团的预计收入及冠捷科</w:t>
      </w:r>
      <w:r>
        <w:rPr>
          <w:w w:val="100"/>
        </w:rPr>
        <w:t> </w:t>
      </w:r>
      <w:r>
        <w:rPr>
          <w:spacing w:val="-3"/>
        </w:rPr>
        <w:t>技电视业务的经调整经营利润，由管理层根据对未来盈利的预测而得出。长期预测所采</w:t>
      </w:r>
      <w:r>
        <w:rPr>
          <w:spacing w:val="-58"/>
        </w:rPr>
        <w:t> </w:t>
      </w:r>
      <w:r>
        <w:rPr>
          <w:spacing w:val="-58"/>
        </w:rPr>
      </w:r>
      <w:r>
        <w:rPr/>
        <w:t>用的主要假设包括未来五年销售增长率为</w:t>
      </w:r>
      <w:r>
        <w:rPr>
          <w:spacing w:val="-56"/>
        </w:rPr>
        <w:t> </w:t>
      </w:r>
      <w:r>
        <w:rPr>
          <w:rFonts w:ascii="宋体" w:hAnsi="宋体" w:cs="宋体" w:eastAsia="宋体" w:hint="default"/>
        </w:rPr>
        <w:t>1.1%</w:t>
      </w:r>
      <w:r>
        <w:rPr/>
        <w:t>至</w:t>
      </w:r>
      <w:r>
        <w:rPr>
          <w:spacing w:val="-56"/>
        </w:rPr>
        <w:t> </w:t>
      </w:r>
      <w:r>
        <w:rPr>
          <w:rFonts w:ascii="宋体" w:hAnsi="宋体" w:cs="宋体" w:eastAsia="宋体" w:hint="default"/>
        </w:rPr>
        <w:t>4.9%</w:t>
      </w:r>
      <w:r>
        <w:rPr/>
        <w:t>，五年以后不超过</w:t>
      </w:r>
      <w:r>
        <w:rPr>
          <w:spacing w:val="-56"/>
        </w:rPr>
        <w:t> </w:t>
      </w:r>
      <w:r>
        <w:rPr>
          <w:rFonts w:ascii="宋体" w:hAnsi="宋体" w:cs="宋体" w:eastAsia="宋体" w:hint="default"/>
        </w:rPr>
        <w:t>3%</w:t>
      </w:r>
      <w:r>
        <w:rPr/>
        <w:t>的永续增长</w:t>
      </w:r>
      <w:r>
        <w:rPr>
          <w:w w:val="100"/>
        </w:rPr>
        <w:t> </w:t>
      </w:r>
      <w:r>
        <w:rPr/>
        <w:t>率以及</w:t>
      </w:r>
      <w:r>
        <w:rPr>
          <w:spacing w:val="-60"/>
        </w:rPr>
        <w:t> </w:t>
      </w:r>
      <w:r>
        <w:rPr>
          <w:rFonts w:ascii="宋体" w:hAnsi="宋体" w:cs="宋体" w:eastAsia="宋体" w:hint="default"/>
        </w:rPr>
        <w:t>15%</w:t>
      </w:r>
      <w:r>
        <w:rPr/>
        <w:t>的折现率，公允价值的评估所用的其他假设包括毛利率的预期改善及成本节</w:t>
      </w:r>
      <w:r>
        <w:rPr>
          <w:w w:val="100"/>
        </w:rPr>
        <w:t> </w:t>
      </w:r>
      <w:r>
        <w:rPr>
          <w:spacing w:val="-3"/>
        </w:rPr>
        <w:t>省。管理层根据其行业经验及对市场发展之预测来确定主要假设，若未来盈利、收入或</w:t>
      </w:r>
      <w:r>
        <w:rPr>
          <w:spacing w:val="-56"/>
        </w:rPr>
        <w:t> </w:t>
      </w:r>
      <w:r>
        <w:rPr>
          <w:spacing w:val="-56"/>
        </w:rPr>
      </w:r>
      <w:r>
        <w:rPr/>
        <w:t>毛利增加，而其他变数维持不变，或有对价将会增加。</w:t>
      </w:r>
    </w:p>
    <w:p>
      <w:pPr>
        <w:pStyle w:val="Heading7"/>
        <w:spacing w:line="391" w:lineRule="auto" w:before="98"/>
        <w:ind w:left="679" w:right="2024"/>
        <w:jc w:val="left"/>
      </w:pPr>
      <w:r>
        <w:rPr>
          <w:rFonts w:ascii="宋体" w:hAnsi="宋体" w:cs="宋体" w:eastAsia="宋体" w:hint="default"/>
          <w:spacing w:val="-1"/>
        </w:rPr>
        <w:t>6</w:t>
      </w:r>
      <w:r>
        <w:rPr>
          <w:spacing w:val="-1"/>
        </w:rPr>
        <w:t>、持续的公允价值计量项目，本年内发生各层级之间的转换</w:t>
      </w:r>
      <w:r>
        <w:rPr>
          <w:spacing w:val="-86"/>
        </w:rPr>
        <w:t> </w:t>
      </w:r>
      <w:r>
        <w:rPr>
          <w:spacing w:val="-86"/>
        </w:rPr>
      </w:r>
      <w:r>
        <w:rPr/>
        <w:t>无。</w:t>
      </w:r>
    </w:p>
    <w:p>
      <w:pPr>
        <w:pStyle w:val="Heading7"/>
        <w:spacing w:line="391" w:lineRule="auto" w:before="42"/>
        <w:ind w:left="679" w:right="3776"/>
        <w:jc w:val="left"/>
      </w:pPr>
      <w:r>
        <w:rPr>
          <w:rFonts w:ascii="宋体" w:hAnsi="宋体" w:cs="宋体" w:eastAsia="宋体" w:hint="default"/>
          <w:spacing w:val="-1"/>
        </w:rPr>
        <w:t>7</w:t>
      </w:r>
      <w:r>
        <w:rPr>
          <w:spacing w:val="-1"/>
        </w:rPr>
        <w:t>、本年内发生的估值技术变更及变更原因</w:t>
      </w:r>
      <w:r>
        <w:rPr>
          <w:spacing w:val="-92"/>
        </w:rPr>
        <w:t> </w:t>
      </w:r>
      <w:r>
        <w:rPr>
          <w:spacing w:val="-92"/>
        </w:rPr>
      </w:r>
      <w:r>
        <w:rPr/>
        <w:t>无。</w:t>
      </w:r>
    </w:p>
    <w:p>
      <w:pPr>
        <w:pStyle w:val="Heading7"/>
        <w:spacing w:line="391" w:lineRule="auto" w:before="41"/>
        <w:ind w:left="679" w:right="3066"/>
        <w:jc w:val="left"/>
      </w:pPr>
      <w:r>
        <w:rPr>
          <w:rFonts w:ascii="宋体" w:hAnsi="宋体" w:cs="宋体" w:eastAsia="宋体" w:hint="default"/>
          <w:spacing w:val="-1"/>
        </w:rPr>
        <w:t>8</w:t>
      </w:r>
      <w:r>
        <w:rPr>
          <w:spacing w:val="-1"/>
        </w:rPr>
        <w:t>、不以公允价值计量但以公允价值披露的资产和负债</w:t>
      </w:r>
      <w:r>
        <w:rPr>
          <w:spacing w:val="-89"/>
        </w:rPr>
        <w:t> </w:t>
      </w:r>
      <w:r>
        <w:rPr>
          <w:spacing w:val="-89"/>
        </w:rPr>
      </w:r>
      <w:r>
        <w:rPr/>
        <w:t>无。</w:t>
      </w:r>
    </w:p>
    <w:p>
      <w:pPr>
        <w:pStyle w:val="Heading6"/>
        <w:spacing w:line="240" w:lineRule="auto" w:before="159"/>
        <w:ind w:left="681" w:right="0"/>
        <w:jc w:val="left"/>
        <w:rPr>
          <w:b w:val="0"/>
          <w:bCs w:val="0"/>
        </w:rPr>
      </w:pPr>
      <w:r>
        <w:rPr/>
        <w:t>十一、关联方及关联交易</w:t>
      </w:r>
      <w:r>
        <w:rPr>
          <w:b w:val="0"/>
          <w:bCs w:val="0"/>
        </w:rPr>
      </w:r>
    </w:p>
    <w:p>
      <w:pPr>
        <w:spacing w:line="240" w:lineRule="auto" w:before="9"/>
        <w:rPr>
          <w:rFonts w:ascii="宋体" w:hAnsi="宋体" w:cs="宋体" w:eastAsia="宋体" w:hint="default"/>
          <w:b/>
          <w:bCs/>
          <w:sz w:val="16"/>
          <w:szCs w:val="16"/>
        </w:rPr>
      </w:pPr>
    </w:p>
    <w:p>
      <w:pPr>
        <w:spacing w:line="391" w:lineRule="auto" w:before="0"/>
        <w:ind w:left="679" w:right="5709" w:firstLine="2"/>
        <w:jc w:val="left"/>
        <w:rPr>
          <w:rFonts w:ascii="宋体" w:hAnsi="宋体" w:cs="宋体" w:eastAsia="宋体" w:hint="default"/>
          <w:sz w:val="22"/>
          <w:szCs w:val="22"/>
        </w:rPr>
      </w:pPr>
      <w:r>
        <w:rPr>
          <w:rFonts w:ascii="宋体" w:hAnsi="宋体" w:cs="宋体" w:eastAsia="宋体" w:hint="default"/>
          <w:b/>
          <w:bCs/>
          <w:sz w:val="22"/>
          <w:szCs w:val="22"/>
        </w:rPr>
        <w:t>（一）关联方关系</w:t>
      </w:r>
      <w:r>
        <w:rPr>
          <w:rFonts w:ascii="宋体" w:hAnsi="宋体" w:cs="宋体" w:eastAsia="宋体" w:hint="default"/>
          <w:b/>
          <w:bCs/>
          <w:w w:val="99"/>
          <w:sz w:val="22"/>
          <w:szCs w:val="22"/>
        </w:rPr>
        <w:t> </w:t>
      </w:r>
      <w:r>
        <w:rPr>
          <w:rFonts w:ascii="宋体" w:hAnsi="宋体" w:cs="宋体" w:eastAsia="宋体" w:hint="default"/>
          <w:spacing w:val="-1"/>
          <w:sz w:val="22"/>
          <w:szCs w:val="22"/>
        </w:rPr>
        <w:t>1</w:t>
      </w:r>
      <w:r>
        <w:rPr>
          <w:rFonts w:ascii="宋体" w:hAnsi="宋体" w:cs="宋体" w:eastAsia="宋体" w:hint="default"/>
          <w:spacing w:val="-1"/>
          <w:sz w:val="22"/>
          <w:szCs w:val="22"/>
        </w:rPr>
        <w:t>、控股股东及最终控制方</w:t>
      </w:r>
    </w:p>
    <w:p>
      <w:pPr>
        <w:pStyle w:val="Heading7"/>
        <w:spacing w:line="240" w:lineRule="auto" w:before="42"/>
        <w:ind w:left="679" w:right="0"/>
        <w:jc w:val="left"/>
      </w:pPr>
      <w:r>
        <w:rPr/>
        <w:t>（</w:t>
      </w:r>
      <w:r>
        <w:rPr>
          <w:rFonts w:ascii="宋体" w:hAnsi="宋体" w:cs="宋体" w:eastAsia="宋体" w:hint="default"/>
        </w:rPr>
        <w:t>1</w:t>
      </w:r>
      <w:r>
        <w:rPr/>
        <w:t>）控股股东及最终控制方</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445"/>
        <w:gridCol w:w="1275"/>
        <w:gridCol w:w="1699"/>
        <w:gridCol w:w="1880"/>
        <w:gridCol w:w="1119"/>
        <w:gridCol w:w="1121"/>
      </w:tblGrid>
      <w:tr>
        <w:trPr>
          <w:trHeight w:val="972" w:hRule="exact"/>
        </w:trPr>
        <w:tc>
          <w:tcPr>
            <w:tcW w:w="14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95" w:lineRule="auto"/>
              <w:ind w:left="187" w:right="168"/>
              <w:jc w:val="left"/>
              <w:rPr>
                <w:rFonts w:ascii="宋体" w:hAnsi="宋体" w:cs="宋体" w:eastAsia="宋体" w:hint="default"/>
                <w:sz w:val="18"/>
                <w:szCs w:val="18"/>
              </w:rPr>
            </w:pPr>
            <w:r>
              <w:rPr>
                <w:rFonts w:ascii="宋体" w:hAnsi="宋体" w:cs="宋体" w:eastAsia="宋体" w:hint="default"/>
                <w:b/>
                <w:bCs/>
                <w:sz w:val="18"/>
                <w:szCs w:val="18"/>
              </w:rPr>
              <w:t>控股股东及最</w:t>
            </w:r>
            <w:r>
              <w:rPr>
                <w:rFonts w:ascii="宋体" w:hAnsi="宋体" w:cs="宋体" w:eastAsia="宋体" w:hint="default"/>
                <w:b/>
                <w:bCs/>
                <w:w w:val="99"/>
                <w:sz w:val="18"/>
                <w:szCs w:val="18"/>
              </w:rPr>
              <w:t> </w:t>
            </w:r>
            <w:r>
              <w:rPr>
                <w:rFonts w:ascii="宋体" w:hAnsi="宋体" w:cs="宋体" w:eastAsia="宋体" w:hint="default"/>
                <w:b/>
                <w:bCs/>
                <w:sz w:val="18"/>
                <w:szCs w:val="18"/>
              </w:rPr>
              <w:t>终控制方名称</w:t>
            </w:r>
            <w:r>
              <w:rPr>
                <w:rFonts w:ascii="宋体" w:hAnsi="宋体" w:cs="宋体" w:eastAsia="宋体" w:hint="default"/>
                <w:sz w:val="18"/>
                <w:szCs w:val="18"/>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8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119"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51"/>
              <w:ind w:left="105" w:right="104"/>
              <w:jc w:val="center"/>
              <w:rPr>
                <w:rFonts w:ascii="宋体" w:hAnsi="宋体" w:cs="宋体" w:eastAsia="宋体" w:hint="default"/>
                <w:sz w:val="18"/>
                <w:szCs w:val="18"/>
              </w:rPr>
            </w:pPr>
            <w:r>
              <w:rPr>
                <w:rFonts w:ascii="宋体" w:hAnsi="宋体" w:cs="宋体" w:eastAsia="宋体" w:hint="default"/>
                <w:b/>
                <w:bCs/>
                <w:sz w:val="18"/>
                <w:szCs w:val="18"/>
              </w:rPr>
              <w:t>对本公司的</w:t>
            </w:r>
            <w:r>
              <w:rPr>
                <w:rFonts w:ascii="宋体" w:hAnsi="宋体" w:cs="宋体" w:eastAsia="宋体" w:hint="default"/>
                <w:b/>
                <w:bCs/>
                <w:w w:val="99"/>
                <w:sz w:val="18"/>
                <w:szCs w:val="18"/>
              </w:rPr>
              <w:t> </w:t>
            </w: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21"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51"/>
              <w:ind w:left="105" w:right="108"/>
              <w:jc w:val="center"/>
              <w:rPr>
                <w:rFonts w:ascii="宋体" w:hAnsi="宋体" w:cs="宋体" w:eastAsia="宋体" w:hint="default"/>
                <w:sz w:val="18"/>
                <w:szCs w:val="18"/>
              </w:rPr>
            </w:pPr>
            <w:r>
              <w:rPr>
                <w:rFonts w:ascii="宋体" w:hAnsi="宋体" w:cs="宋体" w:eastAsia="宋体" w:hint="default"/>
                <w:b/>
                <w:bCs/>
                <w:sz w:val="18"/>
                <w:szCs w:val="18"/>
              </w:rPr>
              <w:t>对本公司的</w:t>
            </w:r>
            <w:r>
              <w:rPr>
                <w:rFonts w:ascii="宋体" w:hAnsi="宋体" w:cs="宋体" w:eastAsia="宋体" w:hint="default"/>
                <w:b/>
                <w:bCs/>
                <w:w w:val="99"/>
                <w:sz w:val="18"/>
                <w:szCs w:val="18"/>
              </w:rPr>
              <w:t> </w:t>
            </w: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4" w:hRule="exact"/>
        </w:trPr>
        <w:tc>
          <w:tcPr>
            <w:tcW w:w="1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sz w:val="18"/>
              </w:rPr>
              <w:t>CEC</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信息科技及通讯</w:t>
            </w:r>
          </w:p>
        </w:tc>
        <w:tc>
          <w:tcPr>
            <w:tcW w:w="1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12,482,251,996.64</w:t>
            </w:r>
          </w:p>
        </w:tc>
        <w:tc>
          <w:tcPr>
            <w:tcW w:w="1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51.04</w:t>
            </w:r>
          </w:p>
        </w:tc>
        <w:tc>
          <w:tcPr>
            <w:tcW w:w="11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51.04</w:t>
            </w:r>
          </w:p>
        </w:tc>
      </w:tr>
      <w:tr>
        <w:trPr>
          <w:trHeight w:val="389" w:hRule="exact"/>
        </w:trPr>
        <w:tc>
          <w:tcPr>
            <w:tcW w:w="14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中国深圳</w:t>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1,197,742,000.00</w:t>
            </w:r>
          </w:p>
        </w:tc>
        <w:tc>
          <w:tcPr>
            <w:tcW w:w="1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53.92</w:t>
            </w:r>
          </w:p>
        </w:tc>
        <w:tc>
          <w:tcPr>
            <w:tcW w:w="11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53.92</w:t>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w:t>
      </w:r>
      <w:r>
        <w:rPr>
          <w:rFonts w:ascii="宋体" w:hAnsi="宋体" w:cs="宋体" w:eastAsia="宋体" w:hint="default"/>
        </w:rPr>
        <w:t>2</w:t>
      </w:r>
      <w:r>
        <w:rPr/>
        <w:t>）控股股东的注册资本及其变化</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416"/>
        <w:gridCol w:w="2386"/>
        <w:gridCol w:w="1661"/>
        <w:gridCol w:w="1418"/>
        <w:gridCol w:w="1656"/>
      </w:tblGrid>
      <w:tr>
        <w:trPr>
          <w:trHeight w:val="386" w:hRule="exact"/>
        </w:trPr>
        <w:tc>
          <w:tcPr>
            <w:tcW w:w="14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3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89" w:hRule="exact"/>
        </w:trPr>
        <w:tc>
          <w:tcPr>
            <w:tcW w:w="14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2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835" w:right="0"/>
              <w:jc w:val="left"/>
              <w:rPr>
                <w:rFonts w:ascii="宋体" w:hAnsi="宋体" w:cs="宋体" w:eastAsia="宋体" w:hint="default"/>
                <w:sz w:val="18"/>
                <w:szCs w:val="18"/>
              </w:rPr>
            </w:pPr>
            <w:r>
              <w:rPr>
                <w:rFonts w:ascii="宋体"/>
                <w:sz w:val="18"/>
              </w:rPr>
              <w:t>1,197,742,000.00</w:t>
            </w:r>
          </w:p>
        </w:tc>
        <w:tc>
          <w:tcPr>
            <w:tcW w:w="1661"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1,197,742,000.00</w:t>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w:t>
      </w:r>
      <w:r>
        <w:rPr>
          <w:rFonts w:ascii="宋体" w:hAnsi="宋体" w:cs="宋体" w:eastAsia="宋体" w:hint="default"/>
        </w:rPr>
        <w:t>3</w:t>
      </w:r>
      <w:r>
        <w:rPr/>
        <w:t>）控股股东的所持股份或权益及其变化</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528"/>
        <w:gridCol w:w="1476"/>
        <w:gridCol w:w="1551"/>
        <w:gridCol w:w="1433"/>
        <w:gridCol w:w="1551"/>
      </w:tblGrid>
      <w:tr>
        <w:trPr>
          <w:trHeight w:val="389" w:hRule="exact"/>
        </w:trPr>
        <w:tc>
          <w:tcPr>
            <w:tcW w:w="2528"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02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298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89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4" w:hRule="exact"/>
        </w:trPr>
        <w:tc>
          <w:tcPr>
            <w:tcW w:w="2528" w:type="dxa"/>
            <w:vMerge/>
            <w:tcBorders>
              <w:left w:val="nil" w:sz="6" w:space="0" w:color="auto"/>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86" w:hRule="exact"/>
        </w:trPr>
        <w:tc>
          <w:tcPr>
            <w:tcW w:w="2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713,647,921.00</w:t>
            </w:r>
          </w:p>
        </w:tc>
        <w:tc>
          <w:tcPr>
            <w:tcW w:w="1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78" w:right="0"/>
              <w:jc w:val="center"/>
              <w:rPr>
                <w:rFonts w:ascii="宋体" w:hAnsi="宋体" w:cs="宋体" w:eastAsia="宋体" w:hint="default"/>
                <w:sz w:val="18"/>
                <w:szCs w:val="18"/>
              </w:rPr>
            </w:pPr>
            <w:r>
              <w:rPr>
                <w:rFonts w:ascii="宋体"/>
                <w:sz w:val="18"/>
              </w:rPr>
              <w:t>713,647,921.00</w:t>
            </w:r>
          </w:p>
        </w:tc>
        <w:tc>
          <w:tcPr>
            <w:tcW w:w="14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868" w:right="0"/>
              <w:jc w:val="left"/>
              <w:rPr>
                <w:rFonts w:ascii="宋体" w:hAnsi="宋体" w:cs="宋体" w:eastAsia="宋体" w:hint="default"/>
                <w:sz w:val="18"/>
                <w:szCs w:val="18"/>
              </w:rPr>
            </w:pPr>
            <w:r>
              <w:rPr>
                <w:rFonts w:ascii="宋体"/>
                <w:sz w:val="18"/>
              </w:rPr>
              <w:t>53.92</w:t>
            </w:r>
          </w:p>
        </w:tc>
        <w:tc>
          <w:tcPr>
            <w:tcW w:w="1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989" w:right="0"/>
              <w:jc w:val="left"/>
              <w:rPr>
                <w:rFonts w:ascii="宋体" w:hAnsi="宋体" w:cs="宋体" w:eastAsia="宋体" w:hint="default"/>
                <w:sz w:val="18"/>
                <w:szCs w:val="18"/>
              </w:rPr>
            </w:pPr>
            <w:r>
              <w:rPr>
                <w:rFonts w:ascii="宋体"/>
                <w:sz w:val="18"/>
              </w:rPr>
              <w:t>53.92</w:t>
            </w:r>
          </w:p>
        </w:tc>
      </w:tr>
    </w:tbl>
    <w:p>
      <w:pPr>
        <w:spacing w:line="240" w:lineRule="auto" w:before="8"/>
        <w:rPr>
          <w:rFonts w:ascii="宋体" w:hAnsi="宋体" w:cs="宋体" w:eastAsia="宋体" w:hint="default"/>
          <w:sz w:val="4"/>
          <w:szCs w:val="4"/>
        </w:rPr>
      </w:pPr>
    </w:p>
    <w:p>
      <w:pPr>
        <w:pStyle w:val="Heading7"/>
        <w:spacing w:line="391" w:lineRule="auto"/>
        <w:ind w:left="679" w:right="818"/>
        <w:jc w:val="left"/>
      </w:pPr>
      <w:r>
        <w:rPr>
          <w:rFonts w:ascii="宋体" w:hAnsi="宋体" w:cs="宋体" w:eastAsia="宋体" w:hint="default"/>
        </w:rPr>
        <w:t>2</w:t>
      </w:r>
      <w:r>
        <w:rPr/>
        <w:t>、子公司</w:t>
      </w:r>
      <w:r>
        <w:rPr>
          <w:spacing w:val="-107"/>
        </w:rPr>
        <w:t> </w:t>
      </w:r>
      <w:r>
        <w:rPr>
          <w:spacing w:val="-1"/>
        </w:rPr>
        <w:t>子公司情况详见本附注“八、</w:t>
      </w:r>
      <w:r>
        <w:rPr>
          <w:rFonts w:ascii="宋体" w:hAnsi="宋体" w:cs="宋体" w:eastAsia="宋体" w:hint="default"/>
          <w:spacing w:val="-1"/>
        </w:rPr>
        <w:t>1.</w:t>
      </w:r>
      <w:r>
        <w:rPr>
          <w:spacing w:val="-1"/>
        </w:rPr>
        <w:t>（</w:t>
      </w:r>
      <w:r>
        <w:rPr>
          <w:rFonts w:ascii="宋体" w:hAnsi="宋体" w:cs="宋体" w:eastAsia="宋体" w:hint="default"/>
          <w:spacing w:val="-1"/>
        </w:rPr>
        <w:t>1</w:t>
      </w:r>
      <w:r>
        <w:rPr>
          <w:spacing w:val="-1"/>
        </w:rPr>
        <w:t>）企业集团的构成”相关内容。</w:t>
      </w:r>
    </w:p>
    <w:p>
      <w:pPr>
        <w:spacing w:after="0" w:line="391" w:lineRule="auto"/>
        <w:jc w:val="left"/>
        <w:sectPr>
          <w:pgSz w:w="11910" w:h="16840"/>
          <w:pgMar w:header="0" w:footer="980" w:top="1600" w:bottom="1160" w:left="1560" w:right="142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91" w:lineRule="auto" w:before="0"/>
        <w:ind w:left="679" w:right="0"/>
        <w:jc w:val="left"/>
      </w:pPr>
      <w:r>
        <w:rPr>
          <w:rFonts w:ascii="宋体" w:hAnsi="宋体" w:cs="宋体" w:eastAsia="宋体" w:hint="default"/>
        </w:rPr>
        <w:t>3</w:t>
      </w:r>
      <w:r>
        <w:rPr/>
        <w:t>、合营企业及联营企业</w:t>
      </w:r>
      <w:r>
        <w:rPr>
          <w:spacing w:val="-108"/>
        </w:rPr>
        <w:t> </w:t>
      </w:r>
      <w:r>
        <w:rPr>
          <w:spacing w:val="-108"/>
        </w:rPr>
      </w:r>
      <w:r>
        <w:rPr>
          <w:spacing w:val="-3"/>
        </w:rPr>
        <w:t>本年与本公司发生关联方交易，或前期与本公司发生关联方交易形成余额的其他合</w:t>
      </w:r>
    </w:p>
    <w:p>
      <w:pPr>
        <w:pStyle w:val="Heading7"/>
        <w:spacing w:line="253" w:lineRule="exact" w:before="0"/>
        <w:ind w:left="240" w:right="0"/>
        <w:jc w:val="left"/>
      </w:pPr>
      <w:r>
        <w:rPr/>
        <w:t>营或联营企业情况如下：</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983"/>
        <w:gridCol w:w="3555"/>
      </w:tblGrid>
      <w:tr>
        <w:trPr>
          <w:trHeight w:val="360" w:hRule="exact"/>
        </w:trPr>
        <w:tc>
          <w:tcPr>
            <w:tcW w:w="49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5" w:right="0"/>
              <w:jc w:val="center"/>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35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46"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Envision Peripherals,</w:t>
            </w:r>
            <w:r>
              <w:rPr>
                <w:rFonts w:ascii="宋体"/>
                <w:spacing w:val="-11"/>
                <w:sz w:val="18"/>
              </w:rPr>
              <w:t> </w:t>
            </w:r>
            <w:r>
              <w:rPr>
                <w:rFonts w:ascii="宋体"/>
                <w:sz w:val="18"/>
              </w:rPr>
              <w:t>Inc.</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8"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8"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6"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8"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8"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6"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8"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8"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3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60" w:hRule="exact"/>
        </w:trPr>
        <w:tc>
          <w:tcPr>
            <w:tcW w:w="49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35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4</w:t>
      </w:r>
      <w:r>
        <w:rPr/>
        <w:t>、其他关联方</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136"/>
        <w:gridCol w:w="4403"/>
      </w:tblGrid>
      <w:tr>
        <w:trPr>
          <w:trHeight w:val="386" w:hRule="exact"/>
        </w:trPr>
        <w:tc>
          <w:tcPr>
            <w:tcW w:w="41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4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sz w:val="18"/>
              </w:rPr>
              <w:t>CEAC Technology HK</w:t>
            </w:r>
            <w:r>
              <w:rPr>
                <w:rFonts w:ascii="宋体"/>
                <w:spacing w:val="-11"/>
                <w:sz w:val="18"/>
              </w:rPr>
              <w:t> </w:t>
            </w:r>
            <w:r>
              <w:rPr>
                <w:rFonts w:ascii="宋体"/>
                <w:sz w:val="18"/>
              </w:rPr>
              <w:t>Limited</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P-Marshall HongKong</w:t>
            </w:r>
            <w:r>
              <w:rPr>
                <w:rFonts w:ascii="宋体"/>
                <w:spacing w:val="-10"/>
                <w:sz w:val="18"/>
              </w:rPr>
              <w:t> </w:t>
            </w:r>
            <w:r>
              <w:rPr>
                <w:rFonts w:ascii="宋体"/>
                <w:sz w:val="18"/>
              </w:rPr>
              <w:t>Ltd.</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北京可信华泰信息技术有限公司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北京长荣发科技发展有限公司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5"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北京中电瑞达物业有限公司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成都中电锦江信息产业有限公司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广州中软信息技术有限公司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湖南凯杰科技有限责任公司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建通工程建设监理有限公司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南京中电熊猫工程项目管理有限公司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5"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深圳桑达百利电器有限公司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深圳桑达电子通讯市场有限公司</w:t>
            </w:r>
          </w:p>
        </w:tc>
        <w:tc>
          <w:tcPr>
            <w:tcW w:w="44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89" w:hRule="exact"/>
        </w:trPr>
        <w:tc>
          <w:tcPr>
            <w:tcW w:w="41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深圳桑达国际电源科技有限公司</w:t>
            </w:r>
          </w:p>
        </w:tc>
        <w:tc>
          <w:tcPr>
            <w:tcW w:w="44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after="0" w:line="240" w:lineRule="auto"/>
        <w:jc w:val="center"/>
        <w:rPr>
          <w:rFonts w:ascii="宋体" w:hAnsi="宋体" w:cs="宋体" w:eastAsia="宋体" w:hint="default"/>
          <w:sz w:val="18"/>
          <w:szCs w:val="18"/>
        </w:rPr>
        <w:sectPr>
          <w:pgSz w:w="11910" w:h="16840"/>
          <w:pgMar w:header="0" w:footer="980" w:top="1600" w:bottom="1160" w:left="1560" w:right="1420"/>
        </w:sectPr>
      </w:pPr>
    </w:p>
    <w:p>
      <w:pPr>
        <w:spacing w:line="240" w:lineRule="auto" w:before="1"/>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136"/>
        <w:gridCol w:w="4562"/>
      </w:tblGrid>
      <w:tr>
        <w:trPr>
          <w:trHeight w:val="381" w:hRule="exact"/>
        </w:trPr>
        <w:tc>
          <w:tcPr>
            <w:tcW w:w="41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3"/>
              <w:ind w:left="15" w:right="0"/>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5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3"/>
              <w:ind w:right="16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深圳桑达商用机器有限公司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深圳市京华信息技术有限公司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深圳市桑达汇通电子有限公司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深圳市振华通信设备有限公司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5"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咸阳彩虹光伏科技有限公司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长城信息产业股份有限公司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长沙湘计华湘计算机有限公司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5"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中电长城（长沙）信息技术有限公司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中国电子北海产业园发展有限公司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中国电子产业开发公司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中国电子进出口总公司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中国电子器材总公司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5"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中国电子投资控股有限公司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中国电子系统工程总公司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7"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中国华大集成电路设计集团有限公司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中国计算机集团上海分公司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74" w:hRule="exact"/>
        </w:trPr>
        <w:tc>
          <w:tcPr>
            <w:tcW w:w="4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中国中电国际信息服务有限公司</w:t>
            </w:r>
          </w:p>
        </w:tc>
        <w:tc>
          <w:tcPr>
            <w:tcW w:w="4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89" w:hRule="exact"/>
        </w:trPr>
        <w:tc>
          <w:tcPr>
            <w:tcW w:w="41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45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61"/>
              <w:jc w:val="center"/>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after="0" w:line="240" w:lineRule="auto"/>
        <w:jc w:val="center"/>
        <w:rPr>
          <w:rFonts w:ascii="宋体" w:hAnsi="宋体" w:cs="宋体" w:eastAsia="宋体" w:hint="default"/>
          <w:sz w:val="18"/>
          <w:szCs w:val="18"/>
        </w:rPr>
        <w:sectPr>
          <w:pgSz w:w="11910" w:h="16840"/>
          <w:pgMar w:header="0" w:footer="980" w:top="1600" w:bottom="1160" w:left="1560" w:right="1400"/>
        </w:sectPr>
      </w:pPr>
    </w:p>
    <w:p>
      <w:pPr>
        <w:spacing w:line="240" w:lineRule="auto" w:before="8"/>
        <w:rPr>
          <w:rFonts w:ascii="Times New Roman" w:hAnsi="Times New Roman" w:cs="Times New Roman" w:eastAsia="Times New Roman" w:hint="default"/>
          <w:sz w:val="3"/>
          <w:szCs w:val="3"/>
        </w:rPr>
      </w:pPr>
    </w:p>
    <w:p>
      <w:pPr>
        <w:spacing w:line="20" w:lineRule="exact"/>
        <w:ind w:left="4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spacing w:line="391" w:lineRule="auto" w:before="0"/>
        <w:ind w:left="859" w:right="2708" w:firstLine="2"/>
        <w:jc w:val="left"/>
        <w:rPr>
          <w:rFonts w:ascii="宋体" w:hAnsi="宋体" w:cs="宋体" w:eastAsia="宋体" w:hint="default"/>
          <w:sz w:val="22"/>
          <w:szCs w:val="22"/>
        </w:rPr>
      </w:pPr>
      <w:r>
        <w:rPr>
          <w:rFonts w:ascii="宋体" w:hAnsi="宋体" w:cs="宋体" w:eastAsia="宋体" w:hint="default"/>
          <w:b/>
          <w:bCs/>
          <w:sz w:val="22"/>
          <w:szCs w:val="22"/>
        </w:rPr>
        <w:t>（二）关联交易</w:t>
      </w:r>
      <w:r>
        <w:rPr>
          <w:rFonts w:ascii="宋体" w:hAnsi="宋体" w:cs="宋体" w:eastAsia="宋体" w:hint="default"/>
          <w:b/>
          <w:bCs/>
          <w:w w:val="99"/>
          <w:sz w:val="22"/>
          <w:szCs w:val="22"/>
        </w:rPr>
        <w:t> </w:t>
      </w:r>
      <w:r>
        <w:rPr>
          <w:rFonts w:ascii="宋体" w:hAnsi="宋体" w:cs="宋体" w:eastAsia="宋体" w:hint="default"/>
          <w:spacing w:val="-1"/>
          <w:sz w:val="22"/>
          <w:szCs w:val="22"/>
        </w:rPr>
        <w:t>5</w:t>
      </w:r>
      <w:r>
        <w:rPr>
          <w:rFonts w:ascii="宋体" w:hAnsi="宋体" w:cs="宋体" w:eastAsia="宋体" w:hint="default"/>
          <w:spacing w:val="-1"/>
          <w:sz w:val="22"/>
          <w:szCs w:val="22"/>
        </w:rPr>
        <w:t>、购销商品、提供和接受劳务的关联交易</w:t>
      </w:r>
    </w:p>
    <w:p>
      <w:pPr>
        <w:pStyle w:val="Heading7"/>
        <w:spacing w:line="240" w:lineRule="auto" w:before="41"/>
        <w:ind w:left="859" w:right="408"/>
        <w:jc w:val="left"/>
      </w:pPr>
      <w:r>
        <w:rPr/>
        <w:t>（</w:t>
      </w:r>
      <w:r>
        <w:rPr>
          <w:rFonts w:ascii="宋体" w:hAnsi="宋体" w:cs="宋体" w:eastAsia="宋体" w:hint="default"/>
        </w:rPr>
        <w:t>1</w:t>
      </w:r>
      <w:r>
        <w:rPr/>
        <w:t>）采购商品</w:t>
      </w:r>
      <w:r>
        <w:rPr>
          <w:rFonts w:ascii="宋体" w:hAnsi="宋体" w:cs="宋体" w:eastAsia="宋体" w:hint="default"/>
        </w:rPr>
        <w:t>/</w:t>
      </w:r>
      <w:r>
        <w:rPr/>
        <w:t>接受劳务</w:t>
      </w:r>
    </w:p>
    <w:p>
      <w:pPr>
        <w:spacing w:line="240" w:lineRule="auto" w:before="8"/>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833"/>
        <w:gridCol w:w="1313"/>
        <w:gridCol w:w="1834"/>
        <w:gridCol w:w="1896"/>
      </w:tblGrid>
      <w:tr>
        <w:trPr>
          <w:trHeight w:val="360" w:hRule="exact"/>
        </w:trPr>
        <w:tc>
          <w:tcPr>
            <w:tcW w:w="38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4"/>
              <w:ind w:left="13"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3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4"/>
              <w:ind w:left="46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4"/>
              <w:ind w:left="49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313" w:type="dxa"/>
            <w:tcBorders>
              <w:top w:val="single" w:sz="2" w:space="0" w:color="000000"/>
              <w:left w:val="single" w:sz="2" w:space="0" w:color="000000"/>
              <w:bottom w:val="single" w:sz="2" w:space="0" w:color="000000"/>
              <w:right w:val="single" w:sz="2" w:space="0" w:color="000000"/>
            </w:tcBorders>
          </w:tcPr>
          <w:p>
            <w:pP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543,344,807.75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4"/>
              <w:jc w:val="right"/>
              <w:rPr>
                <w:rFonts w:ascii="宋体" w:hAnsi="宋体" w:cs="宋体" w:eastAsia="宋体" w:hint="default"/>
                <w:sz w:val="18"/>
                <w:szCs w:val="18"/>
              </w:rPr>
            </w:pPr>
            <w:r>
              <w:rPr>
                <w:rFonts w:ascii="宋体"/>
                <w:spacing w:val="-1"/>
                <w:sz w:val="18"/>
              </w:rPr>
              <w:t>705,659,119.97</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591,812,829.50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4"/>
              <w:jc w:val="right"/>
              <w:rPr>
                <w:rFonts w:ascii="宋体" w:hAnsi="宋体" w:cs="宋体" w:eastAsia="宋体" w:hint="default"/>
                <w:sz w:val="18"/>
                <w:szCs w:val="18"/>
              </w:rPr>
            </w:pPr>
            <w:r>
              <w:rPr>
                <w:rFonts w:ascii="宋体"/>
                <w:spacing w:val="-1"/>
                <w:sz w:val="18"/>
              </w:rPr>
              <w:t>380,626,874.60</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194,205,314.24</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4"/>
              <w:jc w:val="right"/>
              <w:rPr>
                <w:rFonts w:ascii="宋体" w:hAnsi="宋体" w:cs="宋体" w:eastAsia="宋体" w:hint="default"/>
                <w:sz w:val="18"/>
                <w:szCs w:val="18"/>
              </w:rPr>
            </w:pPr>
            <w:r>
              <w:rPr>
                <w:rFonts w:ascii="宋体"/>
                <w:spacing w:val="-1"/>
                <w:sz w:val="18"/>
              </w:rPr>
              <w:t>141,702,730.80</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53,079,753.53</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79,635,488.97</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36,318,255.00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41,811,192.36</w:t>
            </w:r>
          </w:p>
        </w:tc>
      </w:tr>
      <w:tr>
        <w:trPr>
          <w:trHeight w:val="349"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sz w:val="18"/>
              </w:rPr>
              <w:t>Envision Peripherals,</w:t>
            </w:r>
            <w:r>
              <w:rPr>
                <w:rFonts w:ascii="宋体"/>
                <w:spacing w:val="-11"/>
                <w:sz w:val="18"/>
              </w:rPr>
              <w:t> </w:t>
            </w:r>
            <w:r>
              <w:rPr>
                <w:rFonts w:ascii="宋体"/>
                <w:sz w:val="18"/>
              </w:rPr>
              <w:t>Inc.</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2,252,730.25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2,138,491.32</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2,527,301.25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4"/>
              <w:jc w:val="right"/>
              <w:rPr>
                <w:rFonts w:ascii="宋体" w:hAnsi="宋体" w:cs="宋体" w:eastAsia="宋体" w:hint="default"/>
                <w:sz w:val="18"/>
                <w:szCs w:val="18"/>
              </w:rPr>
            </w:pPr>
            <w:r>
              <w:rPr>
                <w:rFonts w:ascii="宋体"/>
                <w:spacing w:val="-1"/>
                <w:sz w:val="18"/>
              </w:rPr>
              <w:t>102,518,536.47</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45"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1313" w:type="dxa"/>
            <w:tcBorders>
              <w:top w:val="single" w:sz="2" w:space="0" w:color="000000"/>
              <w:left w:val="single" w:sz="2" w:space="0" w:color="000000"/>
              <w:bottom w:val="single" w:sz="2" w:space="0" w:color="000000"/>
              <w:right w:val="single" w:sz="2" w:space="0" w:color="000000"/>
            </w:tcBorders>
          </w:tcPr>
          <w:p>
            <w:pP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913,990,696.75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4"/>
              <w:jc w:val="right"/>
              <w:rPr>
                <w:rFonts w:ascii="宋体" w:hAnsi="宋体" w:cs="宋体" w:eastAsia="宋体" w:hint="default"/>
                <w:sz w:val="18"/>
                <w:szCs w:val="18"/>
              </w:rPr>
            </w:pPr>
            <w:r>
              <w:rPr>
                <w:rFonts w:ascii="宋体"/>
                <w:spacing w:val="-1"/>
                <w:sz w:val="18"/>
              </w:rPr>
              <w:t>1,122,609,621.56</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91,488,305.25</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深圳市京华信息技术有限公司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36,848,676.25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6,286,427.07</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咸阳彩虹光伏科技有限公司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5,945,299.15</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3,145,086.00</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2,645,866.00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2,892,335.19</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sz w:val="18"/>
              </w:rPr>
              <w:t>P-Marshall Hong Kong</w:t>
            </w:r>
            <w:r>
              <w:rPr>
                <w:rFonts w:ascii="宋体"/>
                <w:spacing w:val="-9"/>
                <w:sz w:val="18"/>
              </w:rPr>
              <w:t> </w:t>
            </w:r>
            <w:r>
              <w:rPr>
                <w:rFonts w:ascii="宋体"/>
                <w:sz w:val="18"/>
              </w:rPr>
              <w:t>Ltd.</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2,633,385.50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7,281,181.45</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1,863,560.25</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1,888,567.78</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1,400,045.54</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1,102,272.70</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500,000.01</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45"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51"/>
              <w:jc w:val="right"/>
              <w:rPr>
                <w:rFonts w:ascii="宋体" w:hAnsi="宋体" w:cs="宋体" w:eastAsia="宋体" w:hint="default"/>
                <w:sz w:val="18"/>
                <w:szCs w:val="18"/>
              </w:rPr>
            </w:pPr>
            <w:r>
              <w:rPr>
                <w:rFonts w:ascii="宋体"/>
                <w:spacing w:val="-1"/>
                <w:sz w:val="18"/>
              </w:rPr>
              <w:t>280,811.25</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135,355.36</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1,180,983.58</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建通工程建设监理有限公司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105,000.00</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68,376.14</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207,777.71</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北京中电瑞达物业有限公司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66,675.00</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25,111.20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104,552.05</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长沙湘计华湘计算机有限公司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18,774.62</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51"/>
              <w:jc w:val="right"/>
              <w:rPr>
                <w:rFonts w:ascii="宋体" w:hAnsi="宋体" w:cs="宋体" w:eastAsia="宋体" w:hint="default"/>
                <w:sz w:val="18"/>
                <w:szCs w:val="18"/>
              </w:rPr>
            </w:pPr>
            <w:r>
              <w:rPr>
                <w:rFonts w:ascii="宋体"/>
                <w:spacing w:val="-1"/>
                <w:sz w:val="18"/>
              </w:rPr>
              <w:t>3,829.06</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深圳市振华通信设备有限公司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1,864,646.17</w:t>
            </w:r>
          </w:p>
        </w:tc>
      </w:tr>
      <w:tr>
        <w:trPr>
          <w:trHeight w:val="349"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1,093,402.87</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sz w:val="18"/>
              </w:rPr>
              <w:t>CEAC Technology HK</w:t>
            </w:r>
            <w:r>
              <w:rPr>
                <w:rFonts w:ascii="宋体"/>
                <w:spacing w:val="-11"/>
                <w:sz w:val="18"/>
              </w:rPr>
              <w:t> </w:t>
            </w:r>
            <w:r>
              <w:rPr>
                <w:rFonts w:ascii="宋体"/>
                <w:sz w:val="18"/>
              </w:rPr>
              <w:t>Limited</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285,646.17</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45"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153"/>
              <w:jc w:val="right"/>
              <w:rPr>
                <w:rFonts w:ascii="宋体" w:hAnsi="宋体" w:cs="宋体" w:eastAsia="宋体" w:hint="default"/>
                <w:sz w:val="18"/>
                <w:szCs w:val="18"/>
              </w:rPr>
            </w:pPr>
            <w:r>
              <w:rPr>
                <w:rFonts w:ascii="宋体"/>
                <w:spacing w:val="-1"/>
                <w:sz w:val="18"/>
              </w:rPr>
              <w:t>184,833.30</w:t>
            </w:r>
          </w:p>
        </w:tc>
      </w:tr>
      <w:tr>
        <w:trPr>
          <w:trHeight w:val="348"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深圳桑达国际电源科技有限公司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74,292.00</w:t>
            </w:r>
          </w:p>
        </w:tc>
      </w:tr>
      <w:tr>
        <w:trPr>
          <w:trHeight w:val="346" w:hRule="exact"/>
        </w:trPr>
        <w:tc>
          <w:tcPr>
            <w:tcW w:w="3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中国电子产业开发公司</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834"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53"/>
              <w:jc w:val="right"/>
              <w:rPr>
                <w:rFonts w:ascii="宋体" w:hAnsi="宋体" w:cs="宋体" w:eastAsia="宋体" w:hint="default"/>
                <w:sz w:val="18"/>
                <w:szCs w:val="18"/>
              </w:rPr>
            </w:pPr>
            <w:r>
              <w:rPr>
                <w:rFonts w:ascii="宋体"/>
                <w:spacing w:val="-1"/>
                <w:sz w:val="18"/>
              </w:rPr>
              <w:t>24,500.00</w:t>
            </w:r>
          </w:p>
        </w:tc>
      </w:tr>
      <w:tr>
        <w:trPr>
          <w:trHeight w:val="362" w:hRule="exact"/>
        </w:trPr>
        <w:tc>
          <w:tcPr>
            <w:tcW w:w="38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3" w:type="dxa"/>
            <w:tcBorders>
              <w:top w:val="single" w:sz="2" w:space="0" w:color="000000"/>
              <w:left w:val="single" w:sz="2" w:space="0" w:color="000000"/>
              <w:bottom w:val="single" w:sz="12" w:space="0" w:color="000000"/>
              <w:right w:val="single" w:sz="2" w:space="0" w:color="000000"/>
            </w:tcBorders>
          </w:tcPr>
          <w:p>
            <w:pP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52"/>
              <w:jc w:val="right"/>
              <w:rPr>
                <w:rFonts w:ascii="宋体" w:hAnsi="宋体" w:cs="宋体" w:eastAsia="宋体" w:hint="default"/>
                <w:sz w:val="18"/>
                <w:szCs w:val="18"/>
              </w:rPr>
            </w:pPr>
            <w:r>
              <w:rPr>
                <w:rFonts w:ascii="宋体"/>
                <w:b/>
                <w:w w:val="95"/>
                <w:sz w:val="18"/>
              </w:rPr>
              <w:t>2,484,705,844.85</w:t>
            </w:r>
            <w:r>
              <w:rPr>
                <w:rFonts w:ascii="宋体"/>
                <w:sz w:val="18"/>
              </w:rPr>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54"/>
              <w:jc w:val="right"/>
              <w:rPr>
                <w:rFonts w:ascii="宋体" w:hAnsi="宋体" w:cs="宋体" w:eastAsia="宋体" w:hint="default"/>
                <w:sz w:val="18"/>
                <w:szCs w:val="18"/>
              </w:rPr>
            </w:pPr>
            <w:r>
              <w:rPr>
                <w:rFonts w:ascii="宋体"/>
                <w:b/>
                <w:w w:val="95"/>
                <w:sz w:val="18"/>
              </w:rPr>
              <w:t>2,601,173,474.09</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0" w:top="1600" w:bottom="1160" w:left="1380" w:right="138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79" w:right="0"/>
        <w:jc w:val="left"/>
      </w:pPr>
      <w:r>
        <w:rPr/>
        <w:t>（</w:t>
      </w:r>
      <w:r>
        <w:rPr>
          <w:rFonts w:ascii="宋体" w:hAnsi="宋体" w:cs="宋体" w:eastAsia="宋体" w:hint="default"/>
        </w:rPr>
        <w:t>2</w:t>
      </w:r>
      <w:r>
        <w:rPr/>
        <w:t>）销售商品</w:t>
      </w:r>
      <w:r>
        <w:rPr>
          <w:rFonts w:ascii="宋体" w:hAnsi="宋体" w:cs="宋体" w:eastAsia="宋体" w:hint="default"/>
        </w:rPr>
        <w:t>/</w:t>
      </w:r>
      <w:r>
        <w:rPr/>
        <w:t>提供劳务</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845"/>
        <w:gridCol w:w="1301"/>
        <w:gridCol w:w="1668"/>
        <w:gridCol w:w="1724"/>
      </w:tblGrid>
      <w:tr>
        <w:trPr>
          <w:trHeight w:val="362" w:hRule="exact"/>
        </w:trPr>
        <w:tc>
          <w:tcPr>
            <w:tcW w:w="38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18"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7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left="40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CEC</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567,500.00</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11,367.52</w:t>
            </w: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99,245.28</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1,528,043,777.25</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1,214,005,545.13</w:t>
            </w: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Envision Peripherals,</w:t>
            </w:r>
            <w:r>
              <w:rPr>
                <w:rFonts w:ascii="宋体"/>
                <w:spacing w:val="-11"/>
                <w:sz w:val="18"/>
              </w:rPr>
              <w:t> </w:t>
            </w:r>
            <w:r>
              <w:rPr>
                <w:rFonts w:ascii="宋体"/>
                <w:sz w:val="18"/>
              </w:rPr>
              <w:t>Inc.</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675,351,056.25</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818,120,412.06</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140,228,391.99</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spacing w:val="-1"/>
                <w:sz w:val="18"/>
              </w:rPr>
              <w:t>102,614,334.29</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23,094,269.09</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9,427,724.13</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22,521,062.25</w:t>
            </w: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18,034,322.50</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22,650,801.74</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11,369,735.50</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5,014,393.44</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1,425,242.64</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1,102,378.33</w:t>
            </w: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489,193.67</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396,425.71</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57,231,196.88</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48,743,963.25</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深圳市桑达汇通电子有限公司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44,056,165.00</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148,718,953.90</w:t>
            </w: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10,631,834.14</w:t>
            </w: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5,522,621.25</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3,405,263.81</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2,150,170.93</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542,564.10</w:t>
            </w: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1,364,115.39</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1,324,072.65</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深圳桑达商用机器有限公司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655,662.39</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200,908.55</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中国电子系统工程总公司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341,880.34</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3,076.92</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广州中软信息技术有限公司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226,176.92</w:t>
            </w: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81,123.25</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118,797.53</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深圳桑达电子通讯市场有限公司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62,402.50</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615,792.75</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长沙湘计华湘计算机有限公司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34,064.10</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58,073.08</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北京可信华泰信息技术有限公司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27,940.17</w:t>
            </w: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21,698.11</w:t>
            </w: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中电长城（长沙）信息技术有限公司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12,307.69</w:t>
            </w:r>
          </w:p>
        </w:tc>
        <w:tc>
          <w:tcPr>
            <w:tcW w:w="1724"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11,061,162.00</w:t>
            </w: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咸阳彩虹光伏科技有限公司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8,888,836.99</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深圳桑达国际电源科技有限公司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spacing w:val="-1"/>
                <w:sz w:val="18"/>
              </w:rPr>
              <w:t>1,749,152.13</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1,358,547.00</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510,779.00</w:t>
            </w:r>
          </w:p>
        </w:tc>
      </w:tr>
      <w:tr>
        <w:trPr>
          <w:trHeight w:val="362" w:hRule="exact"/>
        </w:trPr>
        <w:tc>
          <w:tcPr>
            <w:tcW w:w="38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12" w:space="0" w:color="000000"/>
              <w:right w:val="single" w:sz="4" w:space="0" w:color="000000"/>
            </w:tcBorders>
          </w:tcPr>
          <w:p>
            <w:pPr/>
          </w:p>
        </w:tc>
        <w:tc>
          <w:tcPr>
            <w:tcW w:w="17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190,244.00</w:t>
            </w:r>
          </w:p>
        </w:tc>
      </w:tr>
    </w:tbl>
    <w:p>
      <w:pPr>
        <w:spacing w:after="0" w:line="240" w:lineRule="auto"/>
        <w:jc w:val="right"/>
        <w:rPr>
          <w:rFonts w:ascii="宋体" w:hAnsi="宋体" w:cs="宋体" w:eastAsia="宋体" w:hint="default"/>
          <w:sz w:val="18"/>
          <w:szCs w:val="18"/>
        </w:rPr>
        <w:sectPr>
          <w:pgSz w:w="11910" w:h="16840"/>
          <w:pgMar w:header="0" w:footer="980" w:top="1600" w:bottom="1160" w:left="1560" w:right="1420"/>
        </w:sectPr>
      </w:pPr>
    </w:p>
    <w:p>
      <w:pPr>
        <w:spacing w:line="240" w:lineRule="auto" w:before="9"/>
        <w:rPr>
          <w:rFonts w:ascii="宋体" w:hAnsi="宋体" w:cs="宋体" w:eastAsia="宋体" w:hint="default"/>
          <w:sz w:val="2"/>
          <w:szCs w:val="2"/>
        </w:rPr>
      </w:pPr>
    </w:p>
    <w:tbl>
      <w:tblPr>
        <w:tblW w:w="0" w:type="auto"/>
        <w:jc w:val="left"/>
        <w:tblInd w:w="383" w:type="dxa"/>
        <w:tblLayout w:type="fixed"/>
        <w:tblCellMar>
          <w:top w:w="0" w:type="dxa"/>
          <w:left w:w="0" w:type="dxa"/>
          <w:bottom w:w="0" w:type="dxa"/>
          <w:right w:w="0" w:type="dxa"/>
        </w:tblCellMar>
        <w:tblLook w:val="01E0"/>
      </w:tblPr>
      <w:tblGrid>
        <w:gridCol w:w="3845"/>
        <w:gridCol w:w="1301"/>
        <w:gridCol w:w="1668"/>
        <w:gridCol w:w="1883"/>
      </w:tblGrid>
      <w:tr>
        <w:trPr>
          <w:trHeight w:val="357" w:hRule="exact"/>
        </w:trPr>
        <w:tc>
          <w:tcPr>
            <w:tcW w:w="38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6"/>
              <w:ind w:left="18"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6"/>
              <w:ind w:left="40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深圳桑达百利电器有限公司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53,934.53</w:t>
            </w:r>
          </w:p>
        </w:tc>
      </w:tr>
      <w:tr>
        <w:trPr>
          <w:trHeight w:val="35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3,743.59</w:t>
            </w:r>
          </w:p>
        </w:tc>
      </w:tr>
      <w:tr>
        <w:trPr>
          <w:trHeight w:val="353"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成都中电锦江信息产业有限公司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2,119.66</w:t>
            </w:r>
          </w:p>
        </w:tc>
      </w:tr>
      <w:tr>
        <w:trPr>
          <w:trHeight w:val="362" w:hRule="exact"/>
        </w:trPr>
        <w:tc>
          <w:tcPr>
            <w:tcW w:w="38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1"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b/>
                <w:sz w:val="18"/>
              </w:rPr>
              <w:t>2,542,976,410.20</w:t>
            </w:r>
            <w:r>
              <w:rPr>
                <w:rFonts w:ascii="宋体"/>
                <w:sz w:val="18"/>
              </w:rPr>
            </w:r>
          </w:p>
        </w:tc>
        <w:tc>
          <w:tcPr>
            <w:tcW w:w="18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266"/>
              <w:jc w:val="right"/>
              <w:rPr>
                <w:rFonts w:ascii="宋体" w:hAnsi="宋体" w:cs="宋体" w:eastAsia="宋体" w:hint="default"/>
                <w:sz w:val="18"/>
                <w:szCs w:val="18"/>
              </w:rPr>
            </w:pPr>
            <w:r>
              <w:rPr>
                <w:rFonts w:ascii="宋体"/>
                <w:b/>
                <w:w w:val="95"/>
                <w:sz w:val="18"/>
              </w:rPr>
              <w:t>2,401,560,113.07</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959" w:right="0"/>
        <w:jc w:val="left"/>
      </w:pPr>
      <w:r>
        <w:rPr>
          <w:rFonts w:ascii="宋体" w:hAnsi="宋体" w:cs="宋体" w:eastAsia="宋体" w:hint="default"/>
        </w:rPr>
        <w:t>6</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p>
    <w:p>
      <w:pPr>
        <w:pStyle w:val="Heading7"/>
        <w:spacing w:line="240" w:lineRule="auto" w:before="180"/>
        <w:ind w:left="959" w:right="0"/>
        <w:jc w:val="left"/>
      </w:pPr>
      <w:r>
        <w:rPr/>
        <w:t>（</w:t>
      </w:r>
      <w:r>
        <w:rPr>
          <w:rFonts w:ascii="宋体" w:hAnsi="宋体" w:cs="宋体" w:eastAsia="宋体" w:hint="default"/>
        </w:rPr>
        <w:t>1</w:t>
      </w:r>
      <w:r>
        <w:rPr/>
        <w:t>）受托管理</w:t>
      </w:r>
      <w:r>
        <w:rPr>
          <w:rFonts w:ascii="宋体" w:hAnsi="宋体" w:cs="宋体" w:eastAsia="宋体" w:hint="default"/>
        </w:rPr>
        <w:t>/</w:t>
      </w:r>
      <w:r>
        <w:rPr/>
        <w:t>承包情况</w:t>
      </w:r>
    </w:p>
    <w:p>
      <w:pPr>
        <w:spacing w:line="240" w:lineRule="auto" w:before="8"/>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193"/>
        <w:gridCol w:w="1207"/>
        <w:gridCol w:w="1558"/>
        <w:gridCol w:w="1136"/>
        <w:gridCol w:w="1135"/>
        <w:gridCol w:w="1702"/>
        <w:gridCol w:w="1150"/>
      </w:tblGrid>
      <w:tr>
        <w:trPr>
          <w:trHeight w:val="679" w:hRule="exact"/>
        </w:trPr>
        <w:tc>
          <w:tcPr>
            <w:tcW w:w="11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b/>
                <w:bCs/>
                <w:sz w:val="18"/>
                <w:szCs w:val="18"/>
              </w:rPr>
              <w:t>委托方名称</w:t>
            </w:r>
            <w:r>
              <w:rPr>
                <w:rFonts w:ascii="宋体" w:hAnsi="宋体" w:cs="宋体" w:eastAsia="宋体" w:hint="default"/>
                <w:sz w:val="18"/>
                <w:szCs w:val="18"/>
              </w:rPr>
            </w:r>
          </w:p>
        </w:tc>
        <w:tc>
          <w:tcPr>
            <w:tcW w:w="12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b/>
                <w:bCs/>
                <w:sz w:val="18"/>
                <w:szCs w:val="18"/>
              </w:rPr>
              <w:t>受托方名称</w:t>
            </w:r>
            <w:r>
              <w:rPr>
                <w:rFonts w:ascii="宋体" w:hAnsi="宋体" w:cs="宋体" w:eastAsia="宋体" w:hint="default"/>
                <w:sz w:val="18"/>
                <w:szCs w:val="18"/>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受托资产类型</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受托起始日</w:t>
            </w:r>
            <w:r>
              <w:rPr>
                <w:rFonts w:ascii="宋体" w:hAnsi="宋体" w:cs="宋体" w:eastAsia="宋体" w:hint="default"/>
                <w:sz w:val="18"/>
                <w:szCs w:val="18"/>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受托终止日</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托管收益定价依据</w:t>
            </w:r>
            <w:r>
              <w:rPr>
                <w:rFonts w:ascii="宋体" w:hAnsi="宋体" w:cs="宋体" w:eastAsia="宋体" w:hint="default"/>
                <w:sz w:val="18"/>
                <w:szCs w:val="18"/>
              </w:rPr>
            </w:r>
          </w:p>
        </w:tc>
        <w:tc>
          <w:tcPr>
            <w:tcW w:w="1150"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51"/>
              <w:ind w:left="211" w:right="123" w:hanging="92"/>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b/>
                <w:bCs/>
                <w:w w:val="99"/>
                <w:sz w:val="18"/>
                <w:szCs w:val="18"/>
              </w:rPr>
              <w:t> </w:t>
            </w:r>
            <w:r>
              <w:rPr>
                <w:rFonts w:ascii="宋体" w:hAnsi="宋体" w:cs="宋体" w:eastAsia="宋体" w:hint="default"/>
                <w:b/>
                <w:bCs/>
                <w:sz w:val="18"/>
                <w:szCs w:val="18"/>
              </w:rPr>
              <w:t>托管收益</w:t>
            </w:r>
            <w:r>
              <w:rPr>
                <w:rFonts w:ascii="宋体" w:hAnsi="宋体" w:cs="宋体" w:eastAsia="宋体" w:hint="default"/>
                <w:sz w:val="18"/>
                <w:szCs w:val="18"/>
              </w:rPr>
            </w:r>
          </w:p>
        </w:tc>
      </w:tr>
      <w:tr>
        <w:trPr>
          <w:trHeight w:val="973" w:hRule="exact"/>
        </w:trPr>
        <w:tc>
          <w:tcPr>
            <w:tcW w:w="11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sz w:val="18"/>
              </w:rPr>
              <w:t>CEC</w:t>
            </w:r>
          </w:p>
        </w:tc>
        <w:tc>
          <w:tcPr>
            <w:tcW w:w="12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7" w:lineRule="auto"/>
              <w:ind w:left="106" w:right="84"/>
              <w:jc w:val="left"/>
              <w:rPr>
                <w:rFonts w:ascii="宋体" w:hAnsi="宋体" w:cs="宋体" w:eastAsia="宋体" w:hint="default"/>
                <w:sz w:val="18"/>
                <w:szCs w:val="18"/>
              </w:rPr>
            </w:pPr>
            <w:r>
              <w:rPr>
                <w:rFonts w:ascii="宋体" w:hAnsi="宋体" w:cs="宋体" w:eastAsia="宋体" w:hint="default"/>
                <w:spacing w:val="14"/>
                <w:sz w:val="18"/>
                <w:szCs w:val="18"/>
              </w:rPr>
              <w:t>股权投资（长城 </w:t>
            </w:r>
            <w:r>
              <w:rPr>
                <w:rFonts w:ascii="宋体" w:hAnsi="宋体" w:cs="宋体" w:eastAsia="宋体" w:hint="default"/>
                <w:sz w:val="18"/>
                <w:szCs w:val="18"/>
              </w:rPr>
              <w:t>信安）</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2014-2-25</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2017-2-25</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97" w:lineRule="auto" w:before="49"/>
              <w:ind w:left="105" w:right="101"/>
              <w:jc w:val="both"/>
              <w:rPr>
                <w:rFonts w:ascii="宋体" w:hAnsi="宋体" w:cs="宋体" w:eastAsia="宋体" w:hint="default"/>
                <w:sz w:val="18"/>
                <w:szCs w:val="18"/>
              </w:rPr>
            </w:pPr>
            <w:r>
              <w:rPr>
                <w:rFonts w:ascii="宋体" w:hAnsi="宋体" w:cs="宋体" w:eastAsia="宋体" w:hint="default"/>
                <w:spacing w:val="5"/>
                <w:sz w:val="18"/>
                <w:szCs w:val="18"/>
              </w:rPr>
              <w:t>按长城信安审定利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润的</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z w:val="18"/>
                <w:szCs w:val="18"/>
              </w:rPr>
              <w:t>但不超过每 年</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1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326" w:lineRule="auto"/>
        <w:ind w:left="520" w:right="513" w:firstLine="439"/>
        <w:jc w:val="both"/>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8"/>
        </w:rPr>
        <w:t> </w:t>
      </w:r>
      <w:r>
        <w:rPr/>
        <w:t>月</w:t>
      </w:r>
      <w:r>
        <w:rPr>
          <w:spacing w:val="-55"/>
        </w:rPr>
        <w:t> </w:t>
      </w:r>
      <w:r>
        <w:rPr>
          <w:rFonts w:ascii="宋体" w:hAnsi="宋体" w:cs="宋体" w:eastAsia="宋体" w:hint="default"/>
        </w:rPr>
        <w:t>25</w:t>
      </w:r>
      <w:r>
        <w:rPr>
          <w:rFonts w:ascii="宋体" w:hAnsi="宋体" w:cs="宋体" w:eastAsia="宋体" w:hint="default"/>
          <w:spacing w:val="-55"/>
        </w:rPr>
        <w:t> </w:t>
      </w:r>
      <w:r>
        <w:rPr/>
        <w:t>日，经公司第五届董事会审议，同意本公司与实际控制人</w:t>
      </w:r>
      <w:r>
        <w:rPr>
          <w:spacing w:val="-53"/>
        </w:rPr>
        <w:t> </w:t>
      </w:r>
      <w:r>
        <w:rPr>
          <w:rFonts w:ascii="宋体" w:hAnsi="宋体" w:cs="宋体" w:eastAsia="宋体" w:hint="default"/>
        </w:rPr>
        <w:t>CEC</w:t>
      </w:r>
      <w:r>
        <w:rPr>
          <w:rFonts w:ascii="宋体" w:hAnsi="宋体" w:cs="宋体" w:eastAsia="宋体" w:hint="default"/>
          <w:spacing w:val="-55"/>
        </w:rPr>
        <w:t> </w:t>
      </w:r>
      <w:r>
        <w:rPr/>
        <w:t>就长</w:t>
      </w:r>
      <w:r>
        <w:rPr>
          <w:w w:val="100"/>
        </w:rPr>
        <w:t> </w:t>
      </w:r>
      <w:r>
        <w:rPr>
          <w:spacing w:val="-6"/>
        </w:rPr>
        <w:t>城信安（为</w:t>
      </w:r>
      <w:r>
        <w:rPr>
          <w:spacing w:val="-49"/>
        </w:rPr>
        <w:t> </w:t>
      </w:r>
      <w:r>
        <w:rPr>
          <w:rFonts w:ascii="宋体" w:hAnsi="宋体" w:cs="宋体" w:eastAsia="宋体" w:hint="default"/>
        </w:rPr>
        <w:t>CEC</w:t>
      </w:r>
      <w:r>
        <w:rPr>
          <w:rFonts w:ascii="宋体" w:hAnsi="宋体" w:cs="宋体" w:eastAsia="宋体" w:hint="default"/>
          <w:spacing w:val="-49"/>
        </w:rPr>
        <w:t> </w:t>
      </w:r>
      <w:r>
        <w:rPr>
          <w:spacing w:val="-4"/>
        </w:rPr>
        <w:t>的控股子公司；</w:t>
      </w:r>
      <w:r>
        <w:rPr>
          <w:rFonts w:ascii="宋体" w:hAnsi="宋体" w:cs="宋体" w:eastAsia="宋体" w:hint="default"/>
          <w:spacing w:val="-4"/>
        </w:rPr>
        <w:t>CEC</w:t>
      </w:r>
      <w:r>
        <w:rPr>
          <w:rFonts w:ascii="宋体" w:hAnsi="宋体" w:cs="宋体" w:eastAsia="宋体" w:hint="default"/>
          <w:spacing w:val="-49"/>
        </w:rPr>
        <w:t> </w:t>
      </w:r>
      <w:r>
        <w:rPr/>
        <w:t>持股</w:t>
      </w:r>
      <w:r>
        <w:rPr>
          <w:spacing w:val="-49"/>
        </w:rPr>
        <w:t> </w:t>
      </w:r>
      <w:r>
        <w:rPr>
          <w:rFonts w:ascii="宋体" w:hAnsi="宋体" w:cs="宋体" w:eastAsia="宋体" w:hint="default"/>
          <w:spacing w:val="-3"/>
        </w:rPr>
        <w:t>85.11%</w:t>
      </w:r>
      <w:r>
        <w:rPr>
          <w:spacing w:val="-3"/>
        </w:rPr>
        <w:t>，本公司持股</w:t>
      </w:r>
      <w:r>
        <w:rPr>
          <w:spacing w:val="-49"/>
        </w:rPr>
        <w:t> </w:t>
      </w:r>
      <w:r>
        <w:rPr>
          <w:rFonts w:ascii="宋体" w:hAnsi="宋体" w:cs="宋体" w:eastAsia="宋体" w:hint="default"/>
          <w:spacing w:val="-3"/>
        </w:rPr>
        <w:t>14.89%</w:t>
      </w:r>
      <w:r>
        <w:rPr>
          <w:spacing w:val="-3"/>
        </w:rPr>
        <w:t>）委托给本公司进</w:t>
      </w:r>
      <w:r>
        <w:rPr>
          <w:w w:val="100"/>
        </w:rPr>
        <w:t> </w:t>
      </w:r>
      <w:r>
        <w:rPr>
          <w:spacing w:val="-3"/>
          <w:w w:val="100"/>
        </w:rPr>
        <w:t>行经营管理事宜签署《委托管理协议》，协议有效期三年，委托管理费按长城信安年度</w:t>
      </w:r>
      <w:r>
        <w:rPr>
          <w:spacing w:val="-84"/>
          <w:w w:val="100"/>
        </w:rPr>
        <w:t> </w:t>
      </w:r>
      <w:r>
        <w:rPr>
          <w:spacing w:val="-84"/>
          <w:w w:val="100"/>
        </w:rPr>
      </w:r>
      <w:r>
        <w:rPr/>
        <w:t>净利润的</w:t>
      </w:r>
      <w:r>
        <w:rPr>
          <w:spacing w:val="-56"/>
        </w:rPr>
        <w:t> </w:t>
      </w:r>
      <w:r>
        <w:rPr>
          <w:rFonts w:ascii="宋体" w:hAnsi="宋体" w:cs="宋体" w:eastAsia="宋体" w:hint="default"/>
        </w:rPr>
        <w:t>5%</w:t>
      </w:r>
      <w:r>
        <w:rPr/>
        <w:t>计算，但每年最高不超过人民币</w:t>
      </w:r>
      <w:r>
        <w:rPr>
          <w:spacing w:val="-56"/>
        </w:rPr>
        <w:t> </w:t>
      </w:r>
      <w:r>
        <w:rPr>
          <w:rFonts w:ascii="宋体" w:hAnsi="宋体" w:cs="宋体" w:eastAsia="宋体" w:hint="default"/>
        </w:rPr>
        <w:t>50</w:t>
      </w:r>
      <w:r>
        <w:rPr>
          <w:rFonts w:ascii="宋体" w:hAnsi="宋体" w:cs="宋体" w:eastAsia="宋体" w:hint="default"/>
          <w:spacing w:val="-59"/>
        </w:rPr>
        <w:t> </w:t>
      </w:r>
      <w:r>
        <w:rPr/>
        <w:t>万元。在委托管理期间，长城信安独立</w:t>
      </w:r>
      <w:r>
        <w:rPr>
          <w:w w:val="100"/>
        </w:rPr>
        <w:t> </w:t>
      </w:r>
      <w:r>
        <w:rPr/>
        <w:t>核算，自负盈亏，财务报表纳入</w:t>
      </w:r>
      <w:r>
        <w:rPr>
          <w:spacing w:val="-58"/>
        </w:rPr>
        <w:t> </w:t>
      </w:r>
      <w:r>
        <w:rPr>
          <w:rFonts w:ascii="宋体" w:hAnsi="宋体" w:cs="宋体" w:eastAsia="宋体" w:hint="default"/>
        </w:rPr>
        <w:t>CEC</w:t>
      </w:r>
      <w:r>
        <w:rPr>
          <w:rFonts w:ascii="宋体" w:hAnsi="宋体" w:cs="宋体" w:eastAsia="宋体" w:hint="default"/>
          <w:spacing w:val="-58"/>
        </w:rPr>
        <w:t> </w:t>
      </w:r>
      <w:r>
        <w:rPr/>
        <w:t>合并报表范围。</w:t>
      </w:r>
    </w:p>
    <w:p>
      <w:pPr>
        <w:pStyle w:val="Heading7"/>
        <w:spacing w:line="391" w:lineRule="auto" w:before="98"/>
        <w:ind w:left="959" w:right="5959"/>
        <w:jc w:val="left"/>
      </w:pPr>
      <w:r>
        <w:rPr>
          <w:spacing w:val="-1"/>
        </w:rPr>
        <w:t>（</w:t>
      </w:r>
      <w:r>
        <w:rPr>
          <w:rFonts w:ascii="宋体" w:hAnsi="宋体" w:cs="宋体" w:eastAsia="宋体" w:hint="default"/>
          <w:spacing w:val="-1"/>
        </w:rPr>
        <w:t>2</w:t>
      </w:r>
      <w:r>
        <w:rPr>
          <w:spacing w:val="-1"/>
        </w:rPr>
        <w:t>）委托管理</w:t>
      </w:r>
      <w:r>
        <w:rPr>
          <w:rFonts w:ascii="宋体" w:hAnsi="宋体" w:cs="宋体" w:eastAsia="宋体" w:hint="default"/>
          <w:spacing w:val="-1"/>
        </w:rPr>
        <w:t>/</w:t>
      </w:r>
      <w:r>
        <w:rPr>
          <w:spacing w:val="-1"/>
        </w:rPr>
        <w:t>出包情况</w:t>
      </w:r>
      <w:r>
        <w:rPr>
          <w:spacing w:val="-99"/>
        </w:rPr>
        <w:t> </w:t>
      </w:r>
      <w:r>
        <w:rPr>
          <w:spacing w:val="-99"/>
        </w:rPr>
      </w:r>
      <w:r>
        <w:rPr/>
        <w:t>无。</w:t>
      </w:r>
    </w:p>
    <w:p>
      <w:pPr>
        <w:pStyle w:val="Heading7"/>
        <w:spacing w:line="240" w:lineRule="auto" w:before="41"/>
        <w:ind w:left="959" w:right="0"/>
        <w:jc w:val="left"/>
      </w:pPr>
      <w:r>
        <w:rPr>
          <w:rFonts w:ascii="宋体" w:hAnsi="宋体" w:cs="宋体" w:eastAsia="宋体" w:hint="default"/>
        </w:rPr>
        <w:t>7</w:t>
      </w:r>
      <w:r>
        <w:rPr/>
        <w:t>、关联出租情况</w:t>
      </w:r>
    </w:p>
    <w:p>
      <w:pPr>
        <w:pStyle w:val="Heading7"/>
        <w:spacing w:line="240" w:lineRule="auto" w:before="180"/>
        <w:ind w:left="959" w:right="0"/>
        <w:jc w:val="left"/>
      </w:pPr>
      <w:r>
        <w:rPr/>
        <w:t>（</w:t>
      </w:r>
      <w:r>
        <w:rPr>
          <w:rFonts w:ascii="宋体" w:hAnsi="宋体" w:cs="宋体" w:eastAsia="宋体" w:hint="default"/>
        </w:rPr>
        <w:t>1</w:t>
      </w:r>
      <w:r>
        <w:rPr/>
        <w:t>）出租情况</w:t>
      </w:r>
    </w:p>
    <w:p>
      <w:pPr>
        <w:spacing w:line="240" w:lineRule="auto" w:before="8"/>
        <w:rPr>
          <w:rFonts w:ascii="宋体" w:hAnsi="宋体" w:cs="宋体" w:eastAsia="宋体" w:hint="default"/>
          <w:sz w:val="6"/>
          <w:szCs w:val="6"/>
        </w:rPr>
      </w:pPr>
    </w:p>
    <w:tbl>
      <w:tblPr>
        <w:tblW w:w="0" w:type="auto"/>
        <w:jc w:val="left"/>
        <w:tblInd w:w="450" w:type="dxa"/>
        <w:tblLayout w:type="fixed"/>
        <w:tblCellMar>
          <w:top w:w="0" w:type="dxa"/>
          <w:left w:w="0" w:type="dxa"/>
          <w:bottom w:w="0" w:type="dxa"/>
          <w:right w:w="0" w:type="dxa"/>
        </w:tblCellMar>
        <w:tblLook w:val="01E0"/>
      </w:tblPr>
      <w:tblGrid>
        <w:gridCol w:w="1985"/>
        <w:gridCol w:w="2987"/>
        <w:gridCol w:w="682"/>
        <w:gridCol w:w="1366"/>
        <w:gridCol w:w="1385"/>
      </w:tblGrid>
      <w:tr>
        <w:trPr>
          <w:trHeight w:val="643" w:hRule="exact"/>
        </w:trPr>
        <w:tc>
          <w:tcPr>
            <w:tcW w:w="19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9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682" w:type="dxa"/>
            <w:tcBorders>
              <w:top w:val="single" w:sz="12" w:space="0" w:color="000000"/>
              <w:left w:val="single" w:sz="4" w:space="0" w:color="000000"/>
              <w:bottom w:val="single" w:sz="4" w:space="0" w:color="000000"/>
              <w:right w:val="single" w:sz="4" w:space="0" w:color="000000"/>
            </w:tcBorders>
          </w:tcPr>
          <w:p>
            <w:pPr>
              <w:pStyle w:val="TableParagraph"/>
              <w:spacing w:line="283" w:lineRule="auto" w:before="34"/>
              <w:ind w:left="62" w:right="65"/>
              <w:jc w:val="left"/>
              <w:rPr>
                <w:rFonts w:ascii="宋体" w:hAnsi="宋体" w:cs="宋体" w:eastAsia="宋体" w:hint="default"/>
                <w:sz w:val="18"/>
                <w:szCs w:val="18"/>
              </w:rPr>
            </w:pPr>
            <w:r>
              <w:rPr>
                <w:rFonts w:ascii="宋体" w:hAnsi="宋体" w:cs="宋体" w:eastAsia="宋体" w:hint="default"/>
                <w:b/>
                <w:bCs/>
                <w:sz w:val="18"/>
                <w:szCs w:val="18"/>
              </w:rPr>
              <w:t>租赁资</w:t>
            </w:r>
            <w:r>
              <w:rPr>
                <w:rFonts w:ascii="宋体" w:hAnsi="宋体" w:cs="宋体" w:eastAsia="宋体" w:hint="default"/>
                <w:b/>
                <w:bCs/>
                <w:w w:val="99"/>
                <w:sz w:val="18"/>
                <w:szCs w:val="18"/>
              </w:rPr>
              <w:t> </w:t>
            </w:r>
            <w:r>
              <w:rPr>
                <w:rFonts w:ascii="宋体" w:hAnsi="宋体" w:cs="宋体" w:eastAsia="宋体" w:hint="default"/>
                <w:b/>
                <w:bCs/>
                <w:sz w:val="18"/>
                <w:szCs w:val="18"/>
              </w:rPr>
              <w:t>产种类</w:t>
            </w:r>
            <w:r>
              <w:rPr>
                <w:rFonts w:ascii="宋体" w:hAnsi="宋体" w:cs="宋体" w:eastAsia="宋体" w:hint="default"/>
                <w:sz w:val="18"/>
                <w:szCs w:val="18"/>
              </w:rPr>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83" w:lineRule="auto" w:before="34"/>
              <w:ind w:left="496" w:right="44" w:hanging="452"/>
              <w:jc w:val="left"/>
              <w:rPr>
                <w:rFonts w:ascii="宋体" w:hAnsi="宋体" w:cs="宋体" w:eastAsia="宋体" w:hint="default"/>
                <w:sz w:val="18"/>
                <w:szCs w:val="18"/>
              </w:rPr>
            </w:pPr>
            <w:r>
              <w:rPr>
                <w:rFonts w:ascii="宋体" w:hAnsi="宋体" w:cs="宋体" w:eastAsia="宋体" w:hint="default"/>
                <w:b/>
                <w:bCs/>
                <w:sz w:val="18"/>
                <w:szCs w:val="18"/>
              </w:rPr>
              <w:t>本年确认的租赁</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83" w:lineRule="auto" w:before="34"/>
              <w:ind w:left="506" w:right="58" w:hanging="452"/>
              <w:jc w:val="left"/>
              <w:rPr>
                <w:rFonts w:ascii="宋体" w:hAnsi="宋体" w:cs="宋体" w:eastAsia="宋体" w:hint="default"/>
                <w:sz w:val="18"/>
                <w:szCs w:val="18"/>
              </w:rPr>
            </w:pPr>
            <w:r>
              <w:rPr>
                <w:rFonts w:ascii="宋体" w:hAnsi="宋体" w:cs="宋体" w:eastAsia="宋体" w:hint="default"/>
                <w:b/>
                <w:bCs/>
                <w:sz w:val="18"/>
                <w:szCs w:val="18"/>
              </w:rPr>
              <w:t>上年确认的租赁</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11,238,293.44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9"/>
              <w:jc w:val="right"/>
              <w:rPr>
                <w:rFonts w:ascii="宋体" w:hAnsi="宋体" w:cs="宋体" w:eastAsia="宋体" w:hint="default"/>
                <w:sz w:val="18"/>
                <w:szCs w:val="18"/>
              </w:rPr>
            </w:pPr>
            <w:r>
              <w:rPr>
                <w:rFonts w:ascii="宋体"/>
                <w:spacing w:val="-1"/>
                <w:sz w:val="18"/>
              </w:rPr>
              <w:t>9,876,603.24</w:t>
            </w:r>
          </w:p>
        </w:tc>
      </w:tr>
      <w:tr>
        <w:trPr>
          <w:trHeight w:val="35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9"/>
                <w:szCs w:val="9"/>
              </w:rPr>
            </w:pPr>
            <w:r>
              <w:rPr>
                <w:rFonts w:ascii="宋体" w:hAnsi="宋体" w:cs="宋体" w:eastAsia="宋体" w:hint="default"/>
                <w:sz w:val="18"/>
                <w:szCs w:val="18"/>
              </w:rPr>
              <w:t>捷联显示科技有限公司</w:t>
            </w:r>
            <w:r>
              <w:rPr>
                <w:rFonts w:ascii="宋体" w:hAnsi="宋体" w:cs="宋体" w:eastAsia="宋体" w:hint="default"/>
                <w:position w:val="9"/>
                <w:sz w:val="9"/>
                <w:szCs w:val="9"/>
              </w:rPr>
              <w:t>注</w:t>
            </w:r>
            <w:r>
              <w:rPr>
                <w:rFonts w:ascii="宋体" w:hAnsi="宋体" w:cs="宋体" w:eastAsia="宋体" w:hint="default"/>
                <w:sz w:val="9"/>
                <w:szCs w:val="9"/>
              </w:rPr>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8,854,914.75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9"/>
              <w:jc w:val="right"/>
              <w:rPr>
                <w:rFonts w:ascii="宋体" w:hAnsi="宋体" w:cs="宋体" w:eastAsia="宋体" w:hint="default"/>
                <w:sz w:val="18"/>
                <w:szCs w:val="18"/>
              </w:rPr>
            </w:pPr>
            <w:r>
              <w:rPr>
                <w:rFonts w:ascii="宋体"/>
                <w:spacing w:val="-1"/>
                <w:sz w:val="18"/>
              </w:rPr>
              <w:t>8,474,079.11</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5" w:right="0"/>
              <w:jc w:val="left"/>
              <w:rPr>
                <w:rFonts w:ascii="宋体" w:hAnsi="宋体" w:cs="宋体" w:eastAsia="宋体" w:hint="default"/>
                <w:sz w:val="9"/>
                <w:szCs w:val="9"/>
              </w:rPr>
            </w:pPr>
            <w:r>
              <w:rPr>
                <w:rFonts w:ascii="宋体" w:hAnsi="宋体" w:cs="宋体" w:eastAsia="宋体" w:hint="default"/>
                <w:sz w:val="18"/>
                <w:szCs w:val="18"/>
              </w:rPr>
              <w:t>福建捷联电子有限公司</w:t>
            </w:r>
            <w:r>
              <w:rPr>
                <w:rFonts w:ascii="宋体" w:hAnsi="宋体" w:cs="宋体" w:eastAsia="宋体" w:hint="default"/>
                <w:position w:val="9"/>
                <w:sz w:val="9"/>
                <w:szCs w:val="9"/>
              </w:rPr>
              <w:t>注</w:t>
            </w:r>
            <w:r>
              <w:rPr>
                <w:rFonts w:ascii="宋体" w:hAnsi="宋体" w:cs="宋体" w:eastAsia="宋体" w:hint="default"/>
                <w:sz w:val="9"/>
                <w:szCs w:val="9"/>
              </w:rPr>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宋体" w:hAnsi="宋体" w:cs="宋体" w:eastAsia="宋体" w:hint="default"/>
                <w:sz w:val="18"/>
                <w:szCs w:val="18"/>
              </w:rPr>
            </w:pPr>
            <w:r>
              <w:rPr>
                <w:rFonts w:ascii="宋体"/>
                <w:spacing w:val="-1"/>
                <w:sz w:val="18"/>
              </w:rPr>
              <w:t>4,642,746.00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39"/>
              <w:jc w:val="right"/>
              <w:rPr>
                <w:rFonts w:ascii="宋体" w:hAnsi="宋体" w:cs="宋体" w:eastAsia="宋体" w:hint="default"/>
                <w:sz w:val="18"/>
                <w:szCs w:val="18"/>
              </w:rPr>
            </w:pPr>
            <w:r>
              <w:rPr>
                <w:rFonts w:ascii="宋体"/>
                <w:spacing w:val="-1"/>
                <w:sz w:val="18"/>
              </w:rPr>
              <w:t>4,676,413.49</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2,389,118.74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9"/>
              <w:jc w:val="right"/>
              <w:rPr>
                <w:rFonts w:ascii="宋体" w:hAnsi="宋体" w:cs="宋体" w:eastAsia="宋体" w:hint="default"/>
                <w:sz w:val="18"/>
                <w:szCs w:val="18"/>
              </w:rPr>
            </w:pPr>
            <w:r>
              <w:rPr>
                <w:rFonts w:ascii="宋体"/>
                <w:spacing w:val="-1"/>
                <w:sz w:val="18"/>
              </w:rPr>
              <w:t>1,793,302.00</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2,077,540.26</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9"/>
              <w:jc w:val="right"/>
              <w:rPr>
                <w:rFonts w:ascii="宋体" w:hAnsi="宋体" w:cs="宋体" w:eastAsia="宋体" w:hint="default"/>
                <w:sz w:val="18"/>
                <w:szCs w:val="18"/>
              </w:rPr>
            </w:pPr>
            <w:r>
              <w:rPr>
                <w:rFonts w:ascii="宋体"/>
                <w:spacing w:val="-1"/>
                <w:sz w:val="18"/>
              </w:rPr>
              <w:t>3,301,329.80</w:t>
            </w:r>
          </w:p>
        </w:tc>
      </w:tr>
      <w:tr>
        <w:trPr>
          <w:trHeight w:val="35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1,896,021.00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9"/>
              <w:jc w:val="right"/>
              <w:rPr>
                <w:rFonts w:ascii="宋体" w:hAnsi="宋体" w:cs="宋体" w:eastAsia="宋体" w:hint="default"/>
                <w:sz w:val="18"/>
                <w:szCs w:val="18"/>
              </w:rPr>
            </w:pPr>
            <w:r>
              <w:rPr>
                <w:rFonts w:ascii="宋体"/>
                <w:spacing w:val="-1"/>
                <w:sz w:val="18"/>
              </w:rPr>
              <w:t>2,292,225.20</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245,649.12</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245,649.15</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134,995.01</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369,630.96</w:t>
            </w:r>
          </w:p>
        </w:tc>
      </w:tr>
      <w:tr>
        <w:trPr>
          <w:trHeight w:val="35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中国华大集成电路设计集团有限公司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120,000.00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151,200.00</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宋体" w:hAnsi="宋体" w:cs="宋体" w:eastAsia="宋体" w:hint="default"/>
                <w:sz w:val="18"/>
                <w:szCs w:val="18"/>
              </w:rPr>
            </w:pPr>
            <w:r>
              <w:rPr>
                <w:rFonts w:ascii="宋体"/>
                <w:spacing w:val="-1"/>
                <w:sz w:val="18"/>
              </w:rPr>
              <w:t>45,528.80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38"/>
              <w:jc w:val="right"/>
              <w:rPr>
                <w:rFonts w:ascii="宋体" w:hAnsi="宋体" w:cs="宋体" w:eastAsia="宋体" w:hint="default"/>
                <w:sz w:val="18"/>
                <w:szCs w:val="18"/>
              </w:rPr>
            </w:pPr>
            <w:r>
              <w:rPr>
                <w:rFonts w:ascii="宋体"/>
                <w:spacing w:val="-1"/>
                <w:sz w:val="18"/>
              </w:rPr>
              <w:t>43,704.50</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北京长荣发科技发展有限公司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spacing w:val="-1"/>
                <w:sz w:val="18"/>
              </w:rPr>
              <w:t>30,112.80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24,090.00</w:t>
            </w:r>
          </w:p>
        </w:tc>
      </w:tr>
      <w:tr>
        <w:trPr>
          <w:trHeight w:val="353"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5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中国电子投资控股有限公司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办公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19,200.00</w:t>
            </w:r>
          </w:p>
        </w:tc>
      </w:tr>
      <w:tr>
        <w:trPr>
          <w:trHeight w:val="362" w:hRule="exact"/>
        </w:trPr>
        <w:tc>
          <w:tcPr>
            <w:tcW w:w="1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7" w:type="dxa"/>
            <w:tcBorders>
              <w:top w:val="single" w:sz="4" w:space="0" w:color="000000"/>
              <w:left w:val="single" w:sz="4" w:space="0" w:color="000000"/>
              <w:bottom w:val="single" w:sz="12" w:space="0" w:color="000000"/>
              <w:right w:val="single" w:sz="4" w:space="0" w:color="000000"/>
            </w:tcBorders>
          </w:tcPr>
          <w:p>
            <w:pPr/>
          </w:p>
        </w:tc>
        <w:tc>
          <w:tcPr>
            <w:tcW w:w="682"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31"/>
              <w:jc w:val="right"/>
              <w:rPr>
                <w:rFonts w:ascii="宋体" w:hAnsi="宋体" w:cs="宋体" w:eastAsia="宋体" w:hint="default"/>
                <w:sz w:val="18"/>
                <w:szCs w:val="18"/>
              </w:rPr>
            </w:pPr>
            <w:r>
              <w:rPr>
                <w:rFonts w:ascii="宋体"/>
                <w:b/>
                <w:w w:val="95"/>
                <w:sz w:val="18"/>
              </w:rPr>
              <w:t>31,674,919.92</w:t>
            </w:r>
            <w:r>
              <w:rPr>
                <w:rFonts w:ascii="宋体"/>
                <w:sz w:val="18"/>
              </w:rPr>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39"/>
              <w:jc w:val="right"/>
              <w:rPr>
                <w:rFonts w:ascii="宋体" w:hAnsi="宋体" w:cs="宋体" w:eastAsia="宋体" w:hint="default"/>
                <w:sz w:val="18"/>
                <w:szCs w:val="18"/>
              </w:rPr>
            </w:pPr>
            <w:r>
              <w:rPr>
                <w:rFonts w:ascii="宋体"/>
                <w:b/>
                <w:w w:val="95"/>
                <w:sz w:val="18"/>
              </w:rPr>
              <w:t>31,267,427.45</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0" w:top="1600" w:bottom="1160" w:left="1280" w:right="128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79" w:right="0"/>
        <w:jc w:val="left"/>
      </w:pPr>
      <w:r>
        <w:rPr/>
        <w:t>注：福建捷联电子有限公司和捷联显示科技有限公司均为冠捷科技的子公司。</w:t>
      </w:r>
    </w:p>
    <w:p>
      <w:pPr>
        <w:pStyle w:val="Heading7"/>
        <w:spacing w:line="240" w:lineRule="auto" w:before="180"/>
        <w:ind w:left="679" w:right="0"/>
        <w:jc w:val="left"/>
      </w:pPr>
      <w:r>
        <w:rPr/>
        <w:t>（</w:t>
      </w:r>
      <w:r>
        <w:rPr>
          <w:rFonts w:ascii="宋体" w:hAnsi="宋体" w:cs="宋体" w:eastAsia="宋体" w:hint="default"/>
        </w:rPr>
        <w:t>2</w:t>
      </w:r>
      <w:r>
        <w:rPr/>
        <w:t>）承租情况</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274"/>
        <w:gridCol w:w="989"/>
        <w:gridCol w:w="1090"/>
        <w:gridCol w:w="1486"/>
        <w:gridCol w:w="1700"/>
      </w:tblGrid>
      <w:tr>
        <w:trPr>
          <w:trHeight w:val="718" w:hRule="exact"/>
        </w:trPr>
        <w:tc>
          <w:tcPr>
            <w:tcW w:w="32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5"/>
              <w:ind w:left="400" w:right="130" w:hanging="272"/>
              <w:jc w:val="left"/>
              <w:rPr>
                <w:rFonts w:ascii="宋体" w:hAnsi="宋体" w:cs="宋体" w:eastAsia="宋体" w:hint="default"/>
                <w:sz w:val="18"/>
                <w:szCs w:val="18"/>
              </w:rPr>
            </w:pPr>
            <w:r>
              <w:rPr>
                <w:rFonts w:ascii="宋体" w:hAnsi="宋体" w:cs="宋体" w:eastAsia="宋体" w:hint="default"/>
                <w:b/>
                <w:bCs/>
                <w:sz w:val="18"/>
                <w:szCs w:val="18"/>
              </w:rPr>
              <w:t>承租方名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090"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5"/>
              <w:ind w:left="360" w:right="181" w:hanging="180"/>
              <w:jc w:val="left"/>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b/>
                <w:bCs/>
                <w:w w:val="99"/>
                <w:sz w:val="18"/>
                <w:szCs w:val="18"/>
              </w:rPr>
              <w:t> </w:t>
            </w:r>
            <w:r>
              <w:rPr>
                <w:rFonts w:ascii="宋体" w:hAnsi="宋体" w:cs="宋体" w:eastAsia="宋体" w:hint="default"/>
                <w:b/>
                <w:bCs/>
                <w:sz w:val="18"/>
                <w:szCs w:val="18"/>
              </w:rPr>
              <w:t>种类</w:t>
            </w:r>
            <w:r>
              <w:rPr>
                <w:rFonts w:ascii="宋体" w:hAnsi="宋体" w:cs="宋体" w:eastAsia="宋体" w:hint="default"/>
                <w:sz w:val="18"/>
                <w:szCs w:val="18"/>
              </w:rPr>
            </w: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b/>
                <w:bCs/>
                <w:w w:val="95"/>
                <w:sz w:val="18"/>
                <w:szCs w:val="18"/>
              </w:rPr>
              <w:t>本年确认租赁费</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上年确认租赁费</w:t>
            </w:r>
            <w:r>
              <w:rPr>
                <w:rFonts w:ascii="宋体" w:hAnsi="宋体" w:cs="宋体" w:eastAsia="宋体" w:hint="default"/>
                <w:sz w:val="18"/>
                <w:szCs w:val="18"/>
              </w:rPr>
            </w:r>
          </w:p>
        </w:tc>
      </w:tr>
      <w:tr>
        <w:trPr>
          <w:trHeight w:val="406" w:hRule="exact"/>
        </w:trPr>
        <w:tc>
          <w:tcPr>
            <w:tcW w:w="3274"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989"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090"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486"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3,669,267.00</w:t>
            </w:r>
          </w:p>
        </w:tc>
        <w:tc>
          <w:tcPr>
            <w:tcW w:w="1700" w:type="dxa"/>
            <w:tcBorders>
              <w:top w:val="single" w:sz="2" w:space="0" w:color="000000"/>
              <w:left w:val="single" w:sz="2" w:space="0" w:color="000000"/>
              <w:bottom w:val="single" w:sz="4" w:space="0" w:color="000000"/>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pacing w:val="-1"/>
                <w:sz w:val="18"/>
              </w:rPr>
              <w:t>11,007,787.68</w:t>
            </w:r>
          </w:p>
        </w:tc>
      </w:tr>
      <w:tr>
        <w:trPr>
          <w:trHeight w:val="403" w:hRule="exact"/>
        </w:trPr>
        <w:tc>
          <w:tcPr>
            <w:tcW w:w="3274"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中国电子北海产业园发展有限公司</w:t>
            </w:r>
          </w:p>
        </w:tc>
        <w:tc>
          <w:tcPr>
            <w:tcW w:w="989"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090"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486"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256,770.20</w:t>
            </w:r>
          </w:p>
        </w:tc>
        <w:tc>
          <w:tcPr>
            <w:tcW w:w="1700" w:type="dxa"/>
            <w:tcBorders>
              <w:top w:val="single" w:sz="4"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325,015.50</w:t>
            </w:r>
          </w:p>
        </w:tc>
      </w:tr>
      <w:tr>
        <w:trPr>
          <w:trHeight w:val="401" w:hRule="exact"/>
        </w:trPr>
        <w:tc>
          <w:tcPr>
            <w:tcW w:w="3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225,900.00</w:t>
            </w:r>
          </w:p>
        </w:tc>
        <w:tc>
          <w:tcPr>
            <w:tcW w:w="1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262,550.00</w:t>
            </w:r>
          </w:p>
        </w:tc>
      </w:tr>
      <w:tr>
        <w:trPr>
          <w:trHeight w:val="415" w:hRule="exact"/>
        </w:trPr>
        <w:tc>
          <w:tcPr>
            <w:tcW w:w="32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9" w:type="dxa"/>
            <w:tcBorders>
              <w:top w:val="single" w:sz="2" w:space="0" w:color="000000"/>
              <w:left w:val="single" w:sz="2" w:space="0" w:color="000000"/>
              <w:bottom w:val="single" w:sz="12" w:space="0" w:color="000000"/>
              <w:right w:val="single" w:sz="2" w:space="0" w:color="000000"/>
            </w:tcBorders>
          </w:tcPr>
          <w:p>
            <w:pPr/>
          </w:p>
        </w:tc>
        <w:tc>
          <w:tcPr>
            <w:tcW w:w="1090"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4,151,937.20</w:t>
            </w:r>
            <w:r>
              <w:rPr>
                <w:rFonts w:ascii="宋体"/>
                <w:sz w:val="18"/>
              </w:rPr>
            </w:r>
          </w:p>
        </w:tc>
        <w:tc>
          <w:tcPr>
            <w:tcW w:w="1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11,595,353.18</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8</w:t>
      </w:r>
      <w:r>
        <w:rPr/>
        <w:t>、关联方存贷款情况</w:t>
      </w:r>
    </w:p>
    <w:p>
      <w:pPr>
        <w:pStyle w:val="Heading7"/>
        <w:spacing w:line="240" w:lineRule="auto" w:before="180"/>
        <w:ind w:left="679" w:right="0"/>
        <w:jc w:val="left"/>
      </w:pPr>
      <w:r>
        <w:rPr/>
        <w:t>（</w:t>
      </w:r>
      <w:r>
        <w:rPr>
          <w:rFonts w:ascii="宋体" w:hAnsi="宋体" w:cs="宋体" w:eastAsia="宋体" w:hint="default"/>
        </w:rPr>
        <w:t>1</w:t>
      </w:r>
      <w:r>
        <w:rPr/>
        <w:t>）关联方存款</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600"/>
        <w:gridCol w:w="1675"/>
        <w:gridCol w:w="1664"/>
        <w:gridCol w:w="1212"/>
        <w:gridCol w:w="1388"/>
      </w:tblGrid>
      <w:tr>
        <w:trPr>
          <w:trHeight w:val="718" w:hRule="exact"/>
        </w:trPr>
        <w:tc>
          <w:tcPr>
            <w:tcW w:w="26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54"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6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5"/>
              <w:ind w:left="153" w:right="149"/>
              <w:jc w:val="left"/>
              <w:rPr>
                <w:rFonts w:ascii="宋体" w:hAnsi="宋体" w:cs="宋体" w:eastAsia="宋体" w:hint="default"/>
                <w:sz w:val="18"/>
                <w:szCs w:val="18"/>
              </w:rPr>
            </w:pPr>
            <w:r>
              <w:rPr>
                <w:rFonts w:ascii="宋体" w:hAnsi="宋体" w:cs="宋体" w:eastAsia="宋体" w:hint="default"/>
                <w:b/>
                <w:bCs/>
                <w:sz w:val="18"/>
                <w:szCs w:val="18"/>
              </w:rPr>
              <w:t>本年收取利</w:t>
            </w:r>
            <w:r>
              <w:rPr>
                <w:rFonts w:ascii="宋体" w:hAnsi="宋体" w:cs="宋体" w:eastAsia="宋体" w:hint="default"/>
                <w:b/>
                <w:bCs/>
                <w:w w:val="99"/>
                <w:sz w:val="18"/>
                <w:szCs w:val="18"/>
              </w:rPr>
              <w:t> </w:t>
            </w:r>
            <w:r>
              <w:rPr>
                <w:rFonts w:ascii="宋体" w:hAnsi="宋体" w:cs="宋体" w:eastAsia="宋体" w:hint="default"/>
                <w:b/>
                <w:bCs/>
                <w:sz w:val="18"/>
                <w:szCs w:val="18"/>
              </w:rPr>
              <w:t>息、手续费</w:t>
            </w:r>
            <w:r>
              <w:rPr>
                <w:rFonts w:ascii="宋体" w:hAnsi="宋体" w:cs="宋体" w:eastAsia="宋体" w:hint="default"/>
                <w:sz w:val="18"/>
                <w:szCs w:val="18"/>
              </w:rPr>
            </w:r>
          </w:p>
        </w:tc>
        <w:tc>
          <w:tcPr>
            <w:tcW w:w="1388"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5"/>
              <w:ind w:left="240" w:right="240"/>
              <w:jc w:val="left"/>
              <w:rPr>
                <w:rFonts w:ascii="宋体" w:hAnsi="宋体" w:cs="宋体" w:eastAsia="宋体" w:hint="default"/>
                <w:sz w:val="18"/>
                <w:szCs w:val="18"/>
              </w:rPr>
            </w:pPr>
            <w:r>
              <w:rPr>
                <w:rFonts w:ascii="宋体" w:hAnsi="宋体" w:cs="宋体" w:eastAsia="宋体" w:hint="default"/>
                <w:b/>
                <w:bCs/>
                <w:sz w:val="18"/>
                <w:szCs w:val="18"/>
              </w:rPr>
              <w:t>上年收取利</w:t>
            </w:r>
            <w:r>
              <w:rPr>
                <w:rFonts w:ascii="宋体" w:hAnsi="宋体" w:cs="宋体" w:eastAsia="宋体" w:hint="default"/>
                <w:b/>
                <w:bCs/>
                <w:w w:val="99"/>
                <w:sz w:val="18"/>
                <w:szCs w:val="18"/>
              </w:rPr>
              <w:t> </w:t>
            </w:r>
            <w:r>
              <w:rPr>
                <w:rFonts w:ascii="宋体" w:hAnsi="宋体" w:cs="宋体" w:eastAsia="宋体" w:hint="default"/>
                <w:b/>
                <w:bCs/>
                <w:sz w:val="18"/>
                <w:szCs w:val="18"/>
              </w:rPr>
              <w:t>息、手续费</w:t>
            </w:r>
            <w:r>
              <w:rPr>
                <w:rFonts w:ascii="宋体" w:hAnsi="宋体" w:cs="宋体" w:eastAsia="宋体" w:hint="default"/>
                <w:sz w:val="18"/>
                <w:szCs w:val="18"/>
              </w:rPr>
            </w:r>
          </w:p>
        </w:tc>
      </w:tr>
      <w:tr>
        <w:trPr>
          <w:trHeight w:val="403" w:hRule="exact"/>
        </w:trPr>
        <w:tc>
          <w:tcPr>
            <w:tcW w:w="26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99,983,071.82</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161,976,686.23</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661,075.01</w:t>
            </w: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1,418,044.30</w:t>
            </w:r>
          </w:p>
        </w:tc>
      </w:tr>
      <w:tr>
        <w:trPr>
          <w:trHeight w:val="413" w:hRule="exact"/>
        </w:trPr>
        <w:tc>
          <w:tcPr>
            <w:tcW w:w="26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99,983,071.82</w:t>
            </w:r>
            <w:r>
              <w:rPr>
                <w:rFonts w:ascii="宋体"/>
                <w:sz w:val="18"/>
              </w:rPr>
            </w:r>
          </w:p>
        </w:tc>
        <w:tc>
          <w:tcPr>
            <w:tcW w:w="1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161,976,686.23</w:t>
            </w:r>
            <w:r>
              <w:rPr>
                <w:rFonts w:ascii="宋体"/>
                <w:sz w:val="18"/>
              </w:rPr>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b/>
                <w:w w:val="95"/>
                <w:sz w:val="18"/>
              </w:rPr>
              <w:t>661,075.01</w:t>
            </w:r>
            <w:r>
              <w:rPr>
                <w:rFonts w:ascii="宋体"/>
                <w:sz w:val="18"/>
              </w:rPr>
            </w:r>
          </w:p>
        </w:tc>
        <w:tc>
          <w:tcPr>
            <w:tcW w:w="13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1,418,044.30</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t>（</w:t>
      </w:r>
      <w:r>
        <w:rPr>
          <w:rFonts w:ascii="宋体" w:hAnsi="宋体" w:cs="宋体" w:eastAsia="宋体" w:hint="default"/>
        </w:rPr>
        <w:t>2</w:t>
      </w:r>
      <w:r>
        <w:rPr/>
        <w:t>）关联方贷款</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597"/>
        <w:gridCol w:w="1582"/>
        <w:gridCol w:w="1486"/>
        <w:gridCol w:w="1387"/>
        <w:gridCol w:w="1486"/>
      </w:tblGrid>
      <w:tr>
        <w:trPr>
          <w:trHeight w:val="718" w:hRule="exact"/>
        </w:trPr>
        <w:tc>
          <w:tcPr>
            <w:tcW w:w="25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54"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5"/>
              <w:ind w:left="240" w:right="238"/>
              <w:jc w:val="left"/>
              <w:rPr>
                <w:rFonts w:ascii="宋体" w:hAnsi="宋体" w:cs="宋体" w:eastAsia="宋体" w:hint="default"/>
                <w:sz w:val="18"/>
                <w:szCs w:val="18"/>
              </w:rPr>
            </w:pPr>
            <w:r>
              <w:rPr>
                <w:rFonts w:ascii="宋体" w:hAnsi="宋体" w:cs="宋体" w:eastAsia="宋体" w:hint="default"/>
                <w:b/>
                <w:bCs/>
                <w:sz w:val="18"/>
                <w:szCs w:val="18"/>
              </w:rPr>
              <w:t>本年支付利</w:t>
            </w:r>
            <w:r>
              <w:rPr>
                <w:rFonts w:ascii="宋体" w:hAnsi="宋体" w:cs="宋体" w:eastAsia="宋体" w:hint="default"/>
                <w:b/>
                <w:bCs/>
                <w:w w:val="99"/>
                <w:sz w:val="18"/>
                <w:szCs w:val="18"/>
              </w:rPr>
              <w:t> </w:t>
            </w:r>
            <w:r>
              <w:rPr>
                <w:rFonts w:ascii="宋体" w:hAnsi="宋体" w:cs="宋体" w:eastAsia="宋体" w:hint="default"/>
                <w:b/>
                <w:bCs/>
                <w:sz w:val="18"/>
                <w:szCs w:val="18"/>
              </w:rPr>
              <w:t>息、手续费</w:t>
            </w:r>
            <w:r>
              <w:rPr>
                <w:rFonts w:ascii="宋体" w:hAnsi="宋体" w:cs="宋体" w:eastAsia="宋体" w:hint="default"/>
                <w:sz w:val="18"/>
                <w:szCs w:val="18"/>
              </w:rPr>
            </w:r>
          </w:p>
        </w:tc>
        <w:tc>
          <w:tcPr>
            <w:tcW w:w="1486"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5"/>
              <w:ind w:left="468" w:right="109" w:hanging="361"/>
              <w:jc w:val="left"/>
              <w:rPr>
                <w:rFonts w:ascii="宋体" w:hAnsi="宋体" w:cs="宋体" w:eastAsia="宋体" w:hint="default"/>
                <w:sz w:val="18"/>
                <w:szCs w:val="18"/>
              </w:rPr>
            </w:pPr>
            <w:r>
              <w:rPr>
                <w:rFonts w:ascii="宋体" w:hAnsi="宋体" w:cs="宋体" w:eastAsia="宋体" w:hint="default"/>
                <w:b/>
                <w:bCs/>
                <w:sz w:val="18"/>
                <w:szCs w:val="18"/>
              </w:rPr>
              <w:t>上年支付利息、</w:t>
            </w:r>
            <w:r>
              <w:rPr>
                <w:rFonts w:ascii="宋体" w:hAnsi="宋体" w:cs="宋体" w:eastAsia="宋体" w:hint="default"/>
                <w:b/>
                <w:bCs/>
                <w:w w:val="99"/>
                <w:sz w:val="18"/>
                <w:szCs w:val="18"/>
              </w:rPr>
              <w:t> </w:t>
            </w:r>
            <w:r>
              <w:rPr>
                <w:rFonts w:ascii="宋体" w:hAnsi="宋体" w:cs="宋体" w:eastAsia="宋体" w:hint="default"/>
                <w:b/>
                <w:bCs/>
                <w:sz w:val="18"/>
                <w:szCs w:val="18"/>
              </w:rPr>
              <w:t>手续费</w:t>
            </w:r>
            <w:r>
              <w:rPr>
                <w:rFonts w:ascii="宋体" w:hAnsi="宋体" w:cs="宋体" w:eastAsia="宋体" w:hint="default"/>
                <w:sz w:val="18"/>
                <w:szCs w:val="18"/>
              </w:rPr>
            </w:r>
          </w:p>
        </w:tc>
      </w:tr>
      <w:tr>
        <w:trPr>
          <w:trHeight w:val="403" w:hRule="exact"/>
        </w:trPr>
        <w:tc>
          <w:tcPr>
            <w:tcW w:w="2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05" w:right="0"/>
              <w:jc w:val="center"/>
              <w:rPr>
                <w:rFonts w:ascii="宋体" w:hAnsi="宋体" w:cs="宋体" w:eastAsia="宋体" w:hint="default"/>
                <w:sz w:val="18"/>
                <w:szCs w:val="18"/>
              </w:rPr>
            </w:pPr>
            <w:r>
              <w:rPr>
                <w:rFonts w:ascii="宋体"/>
                <w:sz w:val="18"/>
              </w:rPr>
              <w:t>100,000,000.00</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48,144,292.00</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宋体" w:hAnsi="宋体" w:cs="宋体" w:eastAsia="宋体" w:hint="default"/>
                <w:sz w:val="18"/>
                <w:szCs w:val="18"/>
              </w:rPr>
            </w:pPr>
            <w:r>
              <w:rPr>
                <w:rFonts w:ascii="宋体"/>
                <w:spacing w:val="-1"/>
                <w:sz w:val="18"/>
              </w:rPr>
              <w:t>5,387,848.39</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pacing w:val="-1"/>
                <w:sz w:val="18"/>
              </w:rPr>
              <w:t>3,226,666.66</w:t>
            </w:r>
          </w:p>
        </w:tc>
      </w:tr>
      <w:tr>
        <w:trPr>
          <w:trHeight w:val="415" w:hRule="exact"/>
        </w:trPr>
        <w:tc>
          <w:tcPr>
            <w:tcW w:w="25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95" w:right="0"/>
              <w:jc w:val="center"/>
              <w:rPr>
                <w:rFonts w:ascii="宋体" w:hAnsi="宋体" w:cs="宋体" w:eastAsia="宋体" w:hint="default"/>
                <w:sz w:val="18"/>
                <w:szCs w:val="18"/>
              </w:rPr>
            </w:pPr>
            <w:r>
              <w:rPr>
                <w:rFonts w:ascii="宋体"/>
                <w:b/>
                <w:sz w:val="18"/>
              </w:rPr>
              <w:t>100,000,000.00</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48,144,292.00</w:t>
            </w:r>
            <w:r>
              <w:rPr>
                <w:rFonts w:ascii="宋体"/>
                <w:sz w:val="18"/>
              </w:rPr>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5,387,848.39</w:t>
            </w:r>
            <w:r>
              <w:rPr>
                <w:rFonts w:ascii="宋体"/>
                <w:sz w:val="18"/>
              </w:rPr>
            </w: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3,226,666.66</w:t>
            </w:r>
            <w:r>
              <w:rPr>
                <w:rFonts w:ascii="宋体"/>
                <w:sz w:val="18"/>
              </w:rPr>
            </w:r>
          </w:p>
        </w:tc>
      </w:tr>
    </w:tbl>
    <w:p>
      <w:pPr>
        <w:spacing w:line="240" w:lineRule="auto" w:before="9"/>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9</w:t>
      </w:r>
      <w:r>
        <w:rPr/>
        <w:t>、其他关联交易</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123"/>
        <w:gridCol w:w="1731"/>
        <w:gridCol w:w="1841"/>
        <w:gridCol w:w="1844"/>
      </w:tblGrid>
      <w:tr>
        <w:trPr>
          <w:trHeight w:val="413" w:hRule="exact"/>
        </w:trPr>
        <w:tc>
          <w:tcPr>
            <w:tcW w:w="31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3"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7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交易类型</w:t>
            </w:r>
            <w:r>
              <w:rPr>
                <w:rFonts w:ascii="宋体" w:hAnsi="宋体" w:cs="宋体" w:eastAsia="宋体" w:hint="default"/>
                <w:sz w:val="18"/>
                <w:szCs w:val="18"/>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left="55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left="55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1" w:hRule="exact"/>
        </w:trPr>
        <w:tc>
          <w:tcPr>
            <w:tcW w:w="3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中国中电国际信息服务有限公司</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资产转让</w:t>
            </w:r>
            <w:r>
              <w:rPr>
                <w:rFonts w:ascii="宋体" w:hAnsi="宋体" w:cs="宋体" w:eastAsia="宋体" w:hint="default"/>
                <w:sz w:val="18"/>
                <w:szCs w:val="18"/>
              </w:rPr>
              <w:t>-</w:t>
            </w:r>
            <w:r>
              <w:rPr>
                <w:rFonts w:ascii="宋体" w:hAnsi="宋体" w:cs="宋体" w:eastAsia="宋体" w:hint="default"/>
                <w:sz w:val="18"/>
                <w:szCs w:val="18"/>
              </w:rPr>
              <w:t>投资款</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41,603,746.75</w:t>
            </w: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深圳市振华通信设备有限公司</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固定资产转让</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pacing w:val="-1"/>
                <w:sz w:val="18"/>
              </w:rPr>
              <w:t>22,040,563.00</w:t>
            </w: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sz w:val="18"/>
              </w:rPr>
              <w:t>CEC</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商标使用费</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2,826,057.97</w:t>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2,898,404.97</w:t>
            </w:r>
          </w:p>
        </w:tc>
      </w:tr>
      <w:tr>
        <w:trPr>
          <w:trHeight w:val="401" w:hRule="exact"/>
        </w:trPr>
        <w:tc>
          <w:tcPr>
            <w:tcW w:w="3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固定资产转让</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620,650.21</w:t>
            </w: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固定资产转让</w:t>
            </w:r>
          </w:p>
        </w:tc>
        <w:tc>
          <w:tcPr>
            <w:tcW w:w="1841"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730,000.00</w:t>
            </w:r>
          </w:p>
        </w:tc>
      </w:tr>
      <w:tr>
        <w:trPr>
          <w:trHeight w:val="413" w:hRule="exact"/>
        </w:trPr>
        <w:tc>
          <w:tcPr>
            <w:tcW w:w="31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1" w:type="dxa"/>
            <w:tcBorders>
              <w:top w:val="single" w:sz="2" w:space="0" w:color="000000"/>
              <w:left w:val="single" w:sz="2" w:space="0" w:color="000000"/>
              <w:bottom w:val="single" w:sz="12" w:space="0" w:color="000000"/>
              <w:right w:val="single" w:sz="2" w:space="0" w:color="000000"/>
            </w:tcBorders>
          </w:tcPr>
          <w:p>
            <w:pP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b/>
                <w:w w:val="95"/>
                <w:sz w:val="18"/>
              </w:rPr>
              <w:t>67,091,017.93</w:t>
            </w:r>
            <w:r>
              <w:rPr>
                <w:rFonts w:ascii="宋体"/>
                <w:sz w:val="18"/>
              </w:rPr>
            </w:r>
          </w:p>
        </w:tc>
        <w:tc>
          <w:tcPr>
            <w:tcW w:w="1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3,628,404.97</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10</w:t>
      </w:r>
      <w:r>
        <w:rPr/>
        <w:t>、关键管理人员薪酬</w:t>
      </w:r>
    </w:p>
    <w:p>
      <w:pPr>
        <w:spacing w:line="240" w:lineRule="auto" w:before="8"/>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2809"/>
        <w:gridCol w:w="2787"/>
        <w:gridCol w:w="2787"/>
      </w:tblGrid>
      <w:tr>
        <w:trPr>
          <w:trHeight w:val="444" w:hRule="exact"/>
        </w:trPr>
        <w:tc>
          <w:tcPr>
            <w:tcW w:w="28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0"/>
              <w:ind w:left="13"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7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42" w:hRule="exact"/>
        </w:trPr>
        <w:tc>
          <w:tcPr>
            <w:tcW w:w="28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45"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2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807" w:right="0"/>
              <w:jc w:val="left"/>
              <w:rPr>
                <w:rFonts w:ascii="宋体" w:hAnsi="宋体" w:cs="宋体" w:eastAsia="宋体" w:hint="default"/>
                <w:sz w:val="18"/>
                <w:szCs w:val="18"/>
              </w:rPr>
            </w:pPr>
            <w:r>
              <w:rPr>
                <w:rFonts w:ascii="宋体" w:hAnsi="宋体" w:cs="宋体" w:eastAsia="宋体" w:hint="default"/>
                <w:sz w:val="18"/>
                <w:szCs w:val="18"/>
              </w:rPr>
              <w:t>695.99</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7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1810" w:right="0"/>
              <w:jc w:val="left"/>
              <w:rPr>
                <w:rFonts w:ascii="宋体" w:hAnsi="宋体" w:cs="宋体" w:eastAsia="宋体" w:hint="default"/>
                <w:sz w:val="18"/>
                <w:szCs w:val="18"/>
              </w:rPr>
            </w:pPr>
            <w:r>
              <w:rPr>
                <w:rFonts w:ascii="宋体" w:hAnsi="宋体" w:cs="宋体" w:eastAsia="宋体" w:hint="default"/>
                <w:sz w:val="18"/>
                <w:szCs w:val="18"/>
              </w:rPr>
              <w:t>843.13</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spacing w:line="240" w:lineRule="auto" w:before="8"/>
        <w:rPr>
          <w:rFonts w:ascii="宋体" w:hAnsi="宋体" w:cs="宋体" w:eastAsia="宋体" w:hint="default"/>
          <w:sz w:val="4"/>
          <w:szCs w:val="4"/>
        </w:rPr>
      </w:pPr>
    </w:p>
    <w:p>
      <w:pPr>
        <w:spacing w:line="391" w:lineRule="auto" w:before="32"/>
        <w:ind w:left="679" w:right="6016" w:firstLine="2"/>
        <w:jc w:val="left"/>
        <w:rPr>
          <w:rFonts w:ascii="宋体" w:hAnsi="宋体" w:cs="宋体" w:eastAsia="宋体" w:hint="default"/>
          <w:sz w:val="22"/>
          <w:szCs w:val="22"/>
        </w:rPr>
      </w:pPr>
      <w:r>
        <w:rPr>
          <w:rFonts w:ascii="宋体" w:hAnsi="宋体" w:cs="宋体" w:eastAsia="宋体" w:hint="default"/>
          <w:b/>
          <w:bCs/>
          <w:sz w:val="22"/>
          <w:szCs w:val="22"/>
        </w:rPr>
        <w:t>（三）关联方往来余额</w:t>
      </w:r>
      <w:r>
        <w:rPr>
          <w:rFonts w:ascii="宋体" w:hAnsi="宋体" w:cs="宋体" w:eastAsia="宋体" w:hint="default"/>
          <w:b/>
          <w:bCs/>
          <w:w w:val="99"/>
          <w:sz w:val="22"/>
          <w:szCs w:val="22"/>
        </w:rPr>
        <w:t> </w:t>
      </w:r>
      <w:r>
        <w:rPr>
          <w:rFonts w:ascii="宋体" w:hAnsi="宋体" w:cs="宋体" w:eastAsia="宋体" w:hint="default"/>
          <w:sz w:val="22"/>
          <w:szCs w:val="22"/>
        </w:rPr>
        <w:t>11</w:t>
      </w:r>
      <w:r>
        <w:rPr>
          <w:rFonts w:ascii="宋体" w:hAnsi="宋体" w:cs="宋体" w:eastAsia="宋体" w:hint="default"/>
          <w:sz w:val="22"/>
          <w:szCs w:val="22"/>
        </w:rPr>
        <w:t>、应收项目</w:t>
      </w:r>
    </w:p>
    <w:p>
      <w:pPr>
        <w:spacing w:after="0" w:line="391" w:lineRule="auto"/>
        <w:jc w:val="left"/>
        <w:rPr>
          <w:rFonts w:ascii="宋体" w:hAnsi="宋体" w:cs="宋体" w:eastAsia="宋体" w:hint="default"/>
          <w:sz w:val="22"/>
          <w:szCs w:val="22"/>
        </w:rPr>
        <w:sectPr>
          <w:pgSz w:w="11910" w:h="16840"/>
          <w:pgMar w:header="0" w:footer="980" w:top="1600" w:bottom="1160" w:left="1560" w:right="1420"/>
        </w:sectPr>
      </w:pPr>
    </w:p>
    <w:p>
      <w:pPr>
        <w:spacing w:line="240" w:lineRule="auto" w:before="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994"/>
        <w:gridCol w:w="2962"/>
        <w:gridCol w:w="1349"/>
        <w:gridCol w:w="1260"/>
        <w:gridCol w:w="1352"/>
        <w:gridCol w:w="1260"/>
      </w:tblGrid>
      <w:tr>
        <w:trPr>
          <w:trHeight w:val="345" w:hRule="exact"/>
        </w:trPr>
        <w:tc>
          <w:tcPr>
            <w:tcW w:w="994"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962"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6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3" w:hRule="exact"/>
        </w:trPr>
        <w:tc>
          <w:tcPr>
            <w:tcW w:w="994" w:type="dxa"/>
            <w:vMerge/>
            <w:tcBorders>
              <w:left w:val="nil" w:sz="6" w:space="0" w:color="auto"/>
              <w:bottom w:val="single" w:sz="4" w:space="0" w:color="000000"/>
              <w:right w:val="single" w:sz="4" w:space="0" w:color="000000"/>
            </w:tcBorders>
          </w:tcPr>
          <w:p>
            <w:pPr/>
          </w:p>
        </w:tc>
        <w:tc>
          <w:tcPr>
            <w:tcW w:w="2962"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217,392,740.80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205,733,018.00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sz w:val="18"/>
              </w:rPr>
              <w:t>Envision Peripherals,</w:t>
            </w:r>
            <w:r>
              <w:rPr>
                <w:rFonts w:ascii="宋体"/>
                <w:spacing w:val="-11"/>
                <w:sz w:val="18"/>
              </w:rPr>
              <w:t> </w:t>
            </w:r>
            <w:r>
              <w:rPr>
                <w:rFonts w:ascii="宋体"/>
                <w:sz w:val="18"/>
              </w:rPr>
              <w:t>Inc.</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181,074,036.00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333,393,715.00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14,103,880.32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15,717,218.00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11,861,278.00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宋体" w:hAnsi="宋体" w:cs="宋体" w:eastAsia="宋体" w:hint="default"/>
                <w:sz w:val="18"/>
                <w:szCs w:val="18"/>
              </w:rPr>
            </w:pPr>
            <w:r>
              <w:rPr>
                <w:rFonts w:ascii="宋体"/>
                <w:spacing w:val="-1"/>
                <w:sz w:val="18"/>
              </w:rPr>
              <w:t>11,861,278.00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11,861,278.00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8"/>
              <w:jc w:val="right"/>
              <w:rPr>
                <w:rFonts w:ascii="宋体" w:hAnsi="宋体" w:cs="宋体" w:eastAsia="宋体" w:hint="default"/>
                <w:sz w:val="18"/>
                <w:szCs w:val="18"/>
              </w:rPr>
            </w:pPr>
            <w:r>
              <w:rPr>
                <w:rFonts w:ascii="宋体"/>
                <w:spacing w:val="-1"/>
                <w:sz w:val="18"/>
              </w:rPr>
              <w:t>11,861,278.00</w:t>
            </w: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5,311,764.80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6,057,810.00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3,694,858.40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6,981,779.00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2,746,556.94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1,631,147.70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1,631,147.70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1,531,077.26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2,256,334.39</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中电长城网际系统应用广东有限公司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1,062,137.00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43,400.00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长城信息产业股份有限公司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649,185.59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1"/>
              <w:jc w:val="right"/>
              <w:rPr>
                <w:rFonts w:ascii="宋体" w:hAnsi="宋体" w:cs="宋体" w:eastAsia="宋体" w:hint="default"/>
                <w:sz w:val="18"/>
                <w:szCs w:val="18"/>
              </w:rPr>
            </w:pPr>
            <w:r>
              <w:rPr>
                <w:rFonts w:ascii="宋体"/>
                <w:spacing w:val="-1"/>
                <w:sz w:val="18"/>
              </w:rPr>
              <w:t>649,185.59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649,185.59</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8"/>
              <w:jc w:val="right"/>
              <w:rPr>
                <w:rFonts w:ascii="宋体" w:hAnsi="宋体" w:cs="宋体" w:eastAsia="宋体" w:hint="default"/>
                <w:sz w:val="18"/>
                <w:szCs w:val="18"/>
              </w:rPr>
            </w:pPr>
            <w:r>
              <w:rPr>
                <w:rFonts w:ascii="宋体"/>
                <w:spacing w:val="-1"/>
                <w:sz w:val="18"/>
              </w:rPr>
              <w:t>649,185.59</w:t>
            </w: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咸阳彩虹光伏科技有限公司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526,400.02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7,482,400.02</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中国电子系统工程总公司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400,000.00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362,922.00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423,180.00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深圳桑达商用机器有限公司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278,845.00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166,063.00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深圳市桑达汇通电子有限公司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201,301.60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114,000.00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1,132,600.00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12,611.00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63,019,581.00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8"/>
              <w:jc w:val="right"/>
              <w:rPr>
                <w:rFonts w:ascii="宋体" w:hAnsi="宋体" w:cs="宋体" w:eastAsia="宋体" w:hint="default"/>
                <w:sz w:val="18"/>
                <w:szCs w:val="18"/>
              </w:rPr>
            </w:pPr>
            <w:r>
              <w:rPr>
                <w:rFonts w:ascii="宋体"/>
                <w:spacing w:val="-1"/>
                <w:sz w:val="18"/>
              </w:rPr>
              <w:t>55,028,167.00</w:t>
            </w: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中国计算机集团上海分公司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956,841.73</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8"/>
              <w:jc w:val="right"/>
              <w:rPr>
                <w:rFonts w:ascii="宋体" w:hAnsi="宋体" w:cs="宋体" w:eastAsia="宋体" w:hint="default"/>
                <w:sz w:val="18"/>
                <w:szCs w:val="18"/>
              </w:rPr>
            </w:pPr>
            <w:r>
              <w:rPr>
                <w:rFonts w:ascii="宋体"/>
                <w:spacing w:val="-1"/>
                <w:sz w:val="18"/>
              </w:rPr>
              <w:t>956,841.73</w:t>
            </w:r>
          </w:p>
        </w:tc>
      </w:tr>
      <w:tr>
        <w:trPr>
          <w:trHeight w:val="344"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121,235.40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18,357.00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152,437,260.00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202,930,516.00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4,175,384.80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477,282.00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956,945.63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955,105.78</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136,365.60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850,541.00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135,805.54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122,554.63</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59,000.00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59,000.00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中国电子北海产业园发展有限公司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16,199.64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sz w:val="18"/>
              </w:rPr>
              <w:t>Envision</w:t>
            </w:r>
            <w:r>
              <w:rPr>
                <w:rFonts w:ascii="宋体"/>
                <w:spacing w:val="-9"/>
                <w:sz w:val="18"/>
              </w:rPr>
              <w:t> </w:t>
            </w:r>
            <w:r>
              <w:rPr>
                <w:rFonts w:ascii="宋体"/>
                <w:sz w:val="18"/>
              </w:rPr>
              <w:t>Peripherals,Inc.</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6,493.60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24,476.00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深圳桑达国际电源科技有限公司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569,067.00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深圳桑达百利电器有限公司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214,165.00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12,238.00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19,719,765.00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15,675,954.00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50,000,000.00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spacing w:val="-1"/>
                <w:sz w:val="18"/>
              </w:rPr>
              <w:t>26,145,351.83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sz w:val="18"/>
              </w:rPr>
              <w:t>P-Marshall Hong Kong</w:t>
            </w:r>
            <w:r>
              <w:rPr>
                <w:rFonts w:ascii="宋体"/>
                <w:spacing w:val="-9"/>
                <w:sz w:val="18"/>
              </w:rPr>
              <w:t> </w:t>
            </w:r>
            <w:r>
              <w:rPr>
                <w:rFonts w:ascii="宋体"/>
                <w:sz w:val="18"/>
              </w:rPr>
              <w:t>Ltd.</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727,283.20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4"/>
              <w:jc w:val="right"/>
              <w:rPr>
                <w:rFonts w:ascii="宋体" w:hAnsi="宋体" w:cs="宋体" w:eastAsia="宋体" w:hint="default"/>
                <w:sz w:val="18"/>
                <w:szCs w:val="18"/>
              </w:rPr>
            </w:pPr>
            <w:r>
              <w:rPr>
                <w:rFonts w:ascii="宋体"/>
                <w:spacing w:val="-1"/>
                <w:sz w:val="18"/>
              </w:rPr>
              <w:t>972,921.00</w:t>
            </w: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9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3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62" w:type="dxa"/>
            <w:tcBorders>
              <w:top w:val="single" w:sz="4" w:space="0" w:color="000000"/>
              <w:left w:val="single" w:sz="4" w:space="0" w:color="000000"/>
              <w:bottom w:val="single" w:sz="12" w:space="0" w:color="000000"/>
              <w:right w:val="single" w:sz="4" w:space="0" w:color="000000"/>
            </w:tcBorders>
          </w:tcPr>
          <w:p>
            <w:pP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b/>
                <w:w w:val="95"/>
                <w:sz w:val="18"/>
              </w:rPr>
              <w:t>697,470,597.27</w:t>
            </w:r>
            <w:r>
              <w:rPr>
                <w:rFonts w:ascii="宋体"/>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1"/>
              <w:jc w:val="right"/>
              <w:rPr>
                <w:rFonts w:ascii="宋体" w:hAnsi="宋体" w:cs="宋体" w:eastAsia="宋体" w:hint="default"/>
                <w:sz w:val="18"/>
                <w:szCs w:val="18"/>
              </w:rPr>
            </w:pPr>
            <w:r>
              <w:rPr>
                <w:rFonts w:ascii="宋体"/>
                <w:b/>
                <w:w w:val="95"/>
                <w:sz w:val="18"/>
              </w:rPr>
              <w:t>12,510,463.59</w:t>
            </w:r>
            <w:r>
              <w:rPr>
                <w:rFonts w:ascii="宋体"/>
                <w:sz w:val="18"/>
              </w:rPr>
            </w:r>
          </w:p>
        </w:tc>
        <w:tc>
          <w:tcPr>
            <w:tcW w:w="1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b/>
                <w:w w:val="95"/>
                <w:sz w:val="18"/>
              </w:rPr>
              <w:t>880,508,964.24</w:t>
            </w:r>
            <w:r>
              <w:rPr>
                <w:rFonts w:ascii="宋体"/>
                <w:sz w:val="18"/>
              </w:rPr>
            </w:r>
          </w:p>
        </w:tc>
        <w:tc>
          <w:tcPr>
            <w:tcW w:w="12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38"/>
              <w:jc w:val="right"/>
              <w:rPr>
                <w:rFonts w:ascii="宋体" w:hAnsi="宋体" w:cs="宋体" w:eastAsia="宋体" w:hint="default"/>
                <w:sz w:val="18"/>
                <w:szCs w:val="18"/>
              </w:rPr>
            </w:pPr>
            <w:r>
              <w:rPr>
                <w:rFonts w:ascii="宋体"/>
                <w:b/>
                <w:w w:val="95"/>
                <w:sz w:val="18"/>
              </w:rPr>
              <w:t>68,495,472.32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0" w:top="1600" w:bottom="1160" w:left="1240" w:right="1240"/>
        </w:sectPr>
      </w:pPr>
    </w:p>
    <w:p>
      <w:pPr>
        <w:spacing w:line="240" w:lineRule="auto" w:before="8"/>
        <w:rPr>
          <w:rFonts w:ascii="Times New Roman" w:hAnsi="Times New Roman" w:cs="Times New Roman" w:eastAsia="Times New Roman" w:hint="default"/>
          <w:sz w:val="3"/>
          <w:szCs w:val="3"/>
        </w:rPr>
      </w:pPr>
    </w:p>
    <w:p>
      <w:pPr>
        <w:spacing w:line="20" w:lineRule="exact"/>
        <w:ind w:left="2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pStyle w:val="Heading7"/>
        <w:spacing w:line="240" w:lineRule="auto" w:before="0"/>
        <w:ind w:left="679" w:right="0"/>
        <w:jc w:val="left"/>
      </w:pPr>
      <w:r>
        <w:rPr>
          <w:rFonts w:ascii="宋体" w:hAnsi="宋体" w:cs="宋体" w:eastAsia="宋体" w:hint="default"/>
        </w:rPr>
        <w:t>12</w:t>
      </w:r>
      <w:r>
        <w:rPr/>
        <w:t>、其他非流动资产</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169"/>
        <w:gridCol w:w="1664"/>
        <w:gridCol w:w="1106"/>
        <w:gridCol w:w="1525"/>
        <w:gridCol w:w="1075"/>
      </w:tblGrid>
      <w:tr>
        <w:trPr>
          <w:trHeight w:val="391" w:hRule="exact"/>
        </w:trPr>
        <w:tc>
          <w:tcPr>
            <w:tcW w:w="3169"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57"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77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60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9" w:hRule="exact"/>
        </w:trPr>
        <w:tc>
          <w:tcPr>
            <w:tcW w:w="3169" w:type="dxa"/>
            <w:vMerge/>
            <w:tcBorders>
              <w:left w:val="nil" w:sz="6" w:space="0" w:color="auto"/>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79"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140,002,016.00</w:t>
            </w:r>
          </w:p>
        </w:tc>
        <w:tc>
          <w:tcPr>
            <w:tcW w:w="110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sz w:val="18"/>
              </w:rPr>
              <w:t>138,026,283.00</w:t>
            </w: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391" w:hRule="exact"/>
        </w:trPr>
        <w:tc>
          <w:tcPr>
            <w:tcW w:w="31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b/>
                <w:w w:val="95"/>
                <w:sz w:val="18"/>
              </w:rPr>
              <w:t>140,002,016.00</w:t>
            </w:r>
            <w:r>
              <w:rPr>
                <w:rFonts w:ascii="宋体"/>
                <w:sz w:val="18"/>
              </w:rPr>
            </w:r>
          </w:p>
        </w:tc>
        <w:tc>
          <w:tcPr>
            <w:tcW w:w="1106" w:type="dxa"/>
            <w:tcBorders>
              <w:top w:val="single" w:sz="4" w:space="0" w:color="000000"/>
              <w:left w:val="single" w:sz="4" w:space="0" w:color="000000"/>
              <w:bottom w:val="single" w:sz="12" w:space="0" w:color="000000"/>
              <w:right w:val="single" w:sz="4" w:space="0" w:color="000000"/>
            </w:tcBorders>
          </w:tcPr>
          <w:p>
            <w:pP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b/>
                <w:sz w:val="18"/>
              </w:rPr>
              <w:t>138,026,283.00</w:t>
            </w:r>
            <w:r>
              <w:rPr>
                <w:rFonts w:ascii="宋体"/>
                <w:sz w:val="18"/>
              </w:rPr>
            </w:r>
          </w:p>
        </w:tc>
        <w:tc>
          <w:tcPr>
            <w:tcW w:w="107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79" w:right="0"/>
        <w:jc w:val="left"/>
      </w:pPr>
      <w:r>
        <w:rPr>
          <w:rFonts w:ascii="宋体" w:hAnsi="宋体" w:cs="宋体" w:eastAsia="宋体" w:hint="default"/>
        </w:rPr>
        <w:t>13</w:t>
      </w:r>
      <w:r>
        <w:rPr/>
        <w:t>、应付项目</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694"/>
        <w:gridCol w:w="3507"/>
        <w:gridCol w:w="1668"/>
        <w:gridCol w:w="1668"/>
      </w:tblGrid>
      <w:tr>
        <w:trPr>
          <w:trHeight w:val="362" w:hRule="exact"/>
        </w:trPr>
        <w:tc>
          <w:tcPr>
            <w:tcW w:w="16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49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5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46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left="4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338,894,490.40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513,843,025.00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159,826,976.80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60,841,217.00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111,267,836.00</w:t>
            </w: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pacing w:val="-1"/>
                <w:sz w:val="18"/>
              </w:rPr>
              <w:t>51,420,579.00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18"/>
                <w:szCs w:val="18"/>
              </w:rPr>
            </w:pPr>
            <w:r>
              <w:rPr>
                <w:rFonts w:ascii="宋体"/>
                <w:spacing w:val="-1"/>
                <w:sz w:val="18"/>
              </w:rPr>
              <w:t>6,124,864.31</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48,890,314.40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226,672,236.00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10,350,798.40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15,799,258.00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中国电子进出口总公司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8,631,281.95</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spacing w:val="-1"/>
                <w:sz w:val="18"/>
              </w:rPr>
              <w:t>8,127,383.55</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6,813,441.11</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13,546,659.34</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深圳市京华信息技术有限公司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4,487,077.60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5,127,722.00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2,691,497.65</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1,351,547.75</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2,324,708.80</w:t>
            </w: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476,551.75</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562,066.64</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428,577.60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41,388,916.00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sz w:val="18"/>
              </w:rPr>
              <w:t>Envision Peripherals,</w:t>
            </w:r>
            <w:r>
              <w:rPr>
                <w:rFonts w:ascii="宋体"/>
                <w:spacing w:val="-11"/>
                <w:sz w:val="18"/>
              </w:rPr>
              <w:t> </w:t>
            </w:r>
            <w:r>
              <w:rPr>
                <w:rFonts w:ascii="宋体"/>
                <w:sz w:val="18"/>
              </w:rPr>
              <w:t>Inc.</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84,416.80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636,376.00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19,480.80</w:t>
            </w: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3,760.00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3,760.00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69,743.52</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18,615.30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湖南凯杰科技有限责任公司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24,476.00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3,397,255.09</w:t>
            </w: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sz w:val="18"/>
              </w:rPr>
              <w:t>CEC</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2,830,793.22</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2,272,376.34</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1,999,676.26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1,954,620.00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1,181,129.78</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1,181,129.78</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1,113,736.70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1,113,736.70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316,969.26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316,969.26</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中国华大集成电路设计集团有限公司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305,000.00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425,000.00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中国电子北海产业园发展有限公司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296,400.00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296,400.00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272,731.20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618,019.00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227,276.00</w:t>
            </w: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97,404.00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2,129,412.00</w:t>
            </w:r>
          </w:p>
        </w:tc>
      </w:tr>
      <w:tr>
        <w:trPr>
          <w:trHeight w:val="362" w:hRule="exact"/>
        </w:trPr>
        <w:tc>
          <w:tcPr>
            <w:tcW w:w="16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90,000.00</w:t>
            </w: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30,000.00</w:t>
            </w:r>
          </w:p>
        </w:tc>
      </w:tr>
    </w:tbl>
    <w:p>
      <w:pPr>
        <w:spacing w:after="0" w:line="240" w:lineRule="auto"/>
        <w:jc w:val="right"/>
        <w:rPr>
          <w:rFonts w:ascii="宋体" w:hAnsi="宋体" w:cs="宋体" w:eastAsia="宋体" w:hint="default"/>
          <w:sz w:val="18"/>
          <w:szCs w:val="18"/>
        </w:rPr>
        <w:sectPr>
          <w:pgSz w:w="11910" w:h="16840"/>
          <w:pgMar w:header="0" w:footer="980" w:top="1600" w:bottom="1160" w:left="1560" w:right="1420"/>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94"/>
        <w:gridCol w:w="3507"/>
        <w:gridCol w:w="1668"/>
        <w:gridCol w:w="1828"/>
      </w:tblGrid>
      <w:tr>
        <w:trPr>
          <w:trHeight w:val="357" w:hRule="exact"/>
        </w:trPr>
        <w:tc>
          <w:tcPr>
            <w:tcW w:w="16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6"/>
              <w:ind w:left="49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5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6"/>
              <w:ind w:left="46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6"/>
              <w:ind w:left="4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南京中电熊猫工程项目管理有限公司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50,000.00</w:t>
            </w: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中国电子产业开发公司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50,000.00</w:t>
            </w: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中国中电国际信息服务有限公司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50,000.00</w:t>
            </w:r>
          </w:p>
        </w:tc>
        <w:tc>
          <w:tcPr>
            <w:tcW w:w="1828" w:type="dxa"/>
            <w:tcBorders>
              <w:top w:val="single" w:sz="4" w:space="0" w:color="000000"/>
              <w:left w:val="single" w:sz="4" w:space="0" w:color="000000"/>
              <w:bottom w:val="single" w:sz="4" w:space="0" w:color="000000"/>
              <w:right w:val="nil" w:sz="6" w:space="0" w:color="auto"/>
            </w:tcBorders>
          </w:tcPr>
          <w:p>
            <w:pP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深圳桑达电子通讯市场有限公司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38,961.60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97,904.00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长沙湘计华湘计算机有限公司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28,414.00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28,414.00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22,000.00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66"/>
              <w:jc w:val="right"/>
              <w:rPr>
                <w:rFonts w:ascii="宋体" w:hAnsi="宋体" w:cs="宋体" w:eastAsia="宋体" w:hint="default"/>
                <w:sz w:val="18"/>
                <w:szCs w:val="18"/>
              </w:rPr>
            </w:pPr>
            <w:r>
              <w:rPr>
                <w:rFonts w:ascii="宋体"/>
                <w:spacing w:val="-1"/>
                <w:sz w:val="18"/>
              </w:rPr>
              <w:t>22,342,742.58</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深圳市桑达汇通电子有限公司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12,987.20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6"/>
              <w:jc w:val="right"/>
              <w:rPr>
                <w:rFonts w:ascii="宋体" w:hAnsi="宋体" w:cs="宋体" w:eastAsia="宋体" w:hint="default"/>
                <w:sz w:val="18"/>
                <w:szCs w:val="18"/>
              </w:rPr>
            </w:pPr>
            <w:r>
              <w:rPr>
                <w:rFonts w:ascii="宋体"/>
                <w:spacing w:val="-1"/>
                <w:sz w:val="18"/>
              </w:rPr>
              <w:t>59,843,820.00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5,000.00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5,000.00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3,994.00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5,514.80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北京长荣发科技发展有限公司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2,509.40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65"/>
              <w:jc w:val="right"/>
              <w:rPr>
                <w:rFonts w:ascii="宋体" w:hAnsi="宋体" w:cs="宋体" w:eastAsia="宋体" w:hint="default"/>
                <w:sz w:val="18"/>
                <w:szCs w:val="18"/>
              </w:rPr>
            </w:pPr>
            <w:r>
              <w:rPr>
                <w:rFonts w:ascii="宋体"/>
                <w:spacing w:val="-1"/>
                <w:sz w:val="18"/>
              </w:rPr>
              <w:t>1,505.63</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1,000.00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1,000.00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建通工程建设监理有限公司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292.30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4"/>
              <w:jc w:val="right"/>
              <w:rPr>
                <w:rFonts w:ascii="宋体" w:hAnsi="宋体" w:cs="宋体" w:eastAsia="宋体" w:hint="default"/>
                <w:sz w:val="18"/>
                <w:szCs w:val="18"/>
              </w:rPr>
            </w:pPr>
            <w:r>
              <w:rPr>
                <w:rFonts w:ascii="宋体"/>
                <w:spacing w:val="-1"/>
                <w:sz w:val="18"/>
              </w:rPr>
              <w:t>292.30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中国电子器材总公司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293,712.00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深圳桑达百利电器有限公司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220,284.00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sz w:val="18"/>
              </w:rPr>
              <w:t>Envision</w:t>
            </w:r>
            <w:r>
              <w:rPr>
                <w:rFonts w:ascii="宋体"/>
                <w:spacing w:val="-9"/>
                <w:sz w:val="18"/>
              </w:rPr>
              <w:t> </w:t>
            </w:r>
            <w:r>
              <w:rPr>
                <w:rFonts w:ascii="宋体"/>
                <w:sz w:val="18"/>
              </w:rPr>
              <w:t>Peripherals,Inc.</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48,952.00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3,791.62</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3,791.62</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50,000,000.00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65"/>
              <w:jc w:val="right"/>
              <w:rPr>
                <w:rFonts w:ascii="宋体" w:hAnsi="宋体" w:cs="宋体" w:eastAsia="宋体" w:hint="default"/>
                <w:sz w:val="18"/>
                <w:szCs w:val="18"/>
              </w:rPr>
            </w:pPr>
            <w:r>
              <w:rPr>
                <w:rFonts w:ascii="宋体"/>
                <w:spacing w:val="-1"/>
                <w:sz w:val="18"/>
              </w:rPr>
              <w:t>291,717.22</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661,660.05</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624,822.71</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6"/>
              <w:jc w:val="right"/>
              <w:rPr>
                <w:rFonts w:ascii="宋体" w:hAnsi="宋体" w:cs="宋体" w:eastAsia="宋体" w:hint="default"/>
                <w:sz w:val="18"/>
                <w:szCs w:val="18"/>
              </w:rPr>
            </w:pPr>
            <w:r>
              <w:rPr>
                <w:rFonts w:ascii="宋体"/>
                <w:spacing w:val="-1"/>
                <w:sz w:val="18"/>
              </w:rPr>
              <w:t>19,256,493.00</w:t>
            </w:r>
          </w:p>
        </w:tc>
      </w:tr>
      <w:tr>
        <w:trPr>
          <w:trHeight w:val="350"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5"/>
              <w:jc w:val="right"/>
              <w:rPr>
                <w:rFonts w:ascii="宋体" w:hAnsi="宋体" w:cs="宋体" w:eastAsia="宋体" w:hint="default"/>
                <w:sz w:val="18"/>
                <w:szCs w:val="18"/>
              </w:rPr>
            </w:pPr>
            <w:r>
              <w:rPr>
                <w:rFonts w:ascii="宋体"/>
                <w:spacing w:val="-1"/>
                <w:sz w:val="18"/>
              </w:rPr>
              <w:t>263,117.00</w:t>
            </w:r>
          </w:p>
        </w:tc>
      </w:tr>
      <w:tr>
        <w:trPr>
          <w:trHeight w:val="353" w:hRule="exact"/>
        </w:trPr>
        <w:tc>
          <w:tcPr>
            <w:tcW w:w="1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sz w:val="18"/>
              </w:rPr>
              <w:t>CEC</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165,000,000.00</w:t>
            </w:r>
          </w:p>
        </w:tc>
        <w:tc>
          <w:tcPr>
            <w:tcW w:w="1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66"/>
              <w:jc w:val="right"/>
              <w:rPr>
                <w:rFonts w:ascii="宋体" w:hAnsi="宋体" w:cs="宋体" w:eastAsia="宋体" w:hint="default"/>
                <w:sz w:val="18"/>
                <w:szCs w:val="18"/>
              </w:rPr>
            </w:pPr>
            <w:r>
              <w:rPr>
                <w:rFonts w:ascii="宋体"/>
                <w:spacing w:val="-1"/>
                <w:sz w:val="18"/>
              </w:rPr>
              <w:t>165,000,000.00</w:t>
            </w:r>
          </w:p>
        </w:tc>
      </w:tr>
      <w:tr>
        <w:trPr>
          <w:trHeight w:val="363" w:hRule="exact"/>
        </w:trPr>
        <w:tc>
          <w:tcPr>
            <w:tcW w:w="16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07"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b/>
                <w:w w:val="95"/>
                <w:sz w:val="18"/>
              </w:rPr>
              <w:t>974,670,770.74</w:t>
            </w:r>
            <w:r>
              <w:rPr>
                <w:rFonts w:ascii="宋体"/>
                <w:sz w:val="18"/>
              </w:rPr>
            </w:r>
          </w:p>
        </w:tc>
        <w:tc>
          <w:tcPr>
            <w:tcW w:w="1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266"/>
              <w:jc w:val="right"/>
              <w:rPr>
                <w:rFonts w:ascii="宋体" w:hAnsi="宋体" w:cs="宋体" w:eastAsia="宋体" w:hint="default"/>
                <w:sz w:val="18"/>
                <w:szCs w:val="18"/>
              </w:rPr>
            </w:pPr>
            <w:r>
              <w:rPr>
                <w:rFonts w:ascii="宋体"/>
                <w:b/>
                <w:w w:val="95"/>
                <w:sz w:val="18"/>
              </w:rPr>
              <w:t>1,172,804,612.35</w:t>
            </w:r>
            <w:r>
              <w:rPr>
                <w:rFonts w:ascii="宋体"/>
                <w:sz w:val="18"/>
              </w:rPr>
            </w:r>
          </w:p>
        </w:tc>
      </w:tr>
    </w:tbl>
    <w:p>
      <w:pPr>
        <w:spacing w:line="240" w:lineRule="auto" w:before="8"/>
        <w:rPr>
          <w:rFonts w:ascii="宋体" w:hAnsi="宋体" w:cs="宋体" w:eastAsia="宋体" w:hint="default"/>
          <w:sz w:val="4"/>
          <w:szCs w:val="4"/>
        </w:rPr>
      </w:pPr>
    </w:p>
    <w:p>
      <w:pPr>
        <w:pStyle w:val="Heading6"/>
        <w:spacing w:line="240" w:lineRule="auto" w:before="32"/>
        <w:ind w:left="681" w:right="276"/>
        <w:jc w:val="left"/>
        <w:rPr>
          <w:b w:val="0"/>
          <w:bCs w:val="0"/>
        </w:rPr>
      </w:pPr>
      <w:r>
        <w:rPr/>
        <w:t>（四）关联方承诺</w:t>
      </w:r>
      <w:r>
        <w:rPr>
          <w:b w:val="0"/>
          <w:bCs w:val="0"/>
        </w:rPr>
      </w:r>
    </w:p>
    <w:p>
      <w:pPr>
        <w:pStyle w:val="Heading7"/>
        <w:spacing w:line="326" w:lineRule="auto" w:before="180"/>
        <w:ind w:left="240" w:right="399" w:firstLine="439"/>
        <w:jc w:val="both"/>
      </w:pPr>
      <w:r>
        <w:rPr/>
        <w:t>公司或持股</w:t>
      </w:r>
      <w:r>
        <w:rPr>
          <w:spacing w:val="47"/>
        </w:rPr>
        <w:t> </w:t>
      </w:r>
      <w:r>
        <w:rPr>
          <w:rFonts w:ascii="宋体" w:hAnsi="宋体" w:cs="宋体" w:eastAsia="宋体" w:hint="default"/>
        </w:rPr>
        <w:t>5%</w:t>
      </w:r>
      <w:r>
        <w:rPr/>
        <w:t>以上股东在报告期内发生或以前期间发生但持续到报告期内的承诺</w:t>
      </w:r>
      <w:r>
        <w:rPr>
          <w:w w:val="100"/>
        </w:rPr>
        <w:t> </w:t>
      </w:r>
      <w:r>
        <w:rPr/>
        <w:t>事项：</w:t>
      </w:r>
    </w:p>
    <w:p>
      <w:pPr>
        <w:pStyle w:val="Heading7"/>
        <w:spacing w:line="240" w:lineRule="auto" w:before="101"/>
        <w:ind w:left="679" w:right="107"/>
        <w:jc w:val="left"/>
      </w:pPr>
      <w:r>
        <w:rPr>
          <w:rFonts w:ascii="宋体" w:hAnsi="宋体" w:cs="宋体" w:eastAsia="宋体" w:hint="default"/>
          <w:w w:val="100"/>
        </w:rPr>
        <w:t>1</w:t>
      </w:r>
      <w:r>
        <w:rPr>
          <w:spacing w:val="-111"/>
          <w:w w:val="100"/>
        </w:rPr>
        <w:t>、</w:t>
      </w:r>
      <w:r>
        <w:rPr>
          <w:rFonts w:ascii="宋体" w:hAnsi="宋体" w:cs="宋体" w:eastAsia="宋体" w:hint="default"/>
          <w:w w:val="100"/>
        </w:rPr>
        <w:t>2013</w:t>
      </w:r>
      <w:r>
        <w:rPr>
          <w:rFonts w:ascii="宋体" w:hAnsi="宋体" w:cs="宋体" w:eastAsia="宋体" w:hint="default"/>
          <w:spacing w:val="-55"/>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7"/>
        </w:rPr>
        <w:t> </w:t>
      </w:r>
      <w:r>
        <w:rPr>
          <w:w w:val="100"/>
        </w:rPr>
        <w:t>日</w:t>
      </w:r>
      <w:r>
        <w:rPr>
          <w:spacing w:val="-55"/>
        </w:rPr>
        <w:t> </w:t>
      </w:r>
      <w:r>
        <w:rPr>
          <w:rFonts w:ascii="宋体" w:hAnsi="宋体" w:cs="宋体" w:eastAsia="宋体" w:hint="default"/>
          <w:w w:val="100"/>
        </w:rPr>
        <w:t>C</w:t>
      </w:r>
      <w:r>
        <w:rPr>
          <w:rFonts w:ascii="宋体" w:hAnsi="宋体" w:cs="宋体" w:eastAsia="宋体" w:hint="default"/>
          <w:spacing w:val="-3"/>
          <w:w w:val="100"/>
        </w:rPr>
        <w:t>E</w:t>
      </w:r>
      <w:r>
        <w:rPr>
          <w:rFonts w:ascii="宋体" w:hAnsi="宋体" w:cs="宋体" w:eastAsia="宋体" w:hint="default"/>
          <w:w w:val="100"/>
        </w:rPr>
        <w:t>C</w:t>
      </w:r>
      <w:r>
        <w:rPr>
          <w:rFonts w:ascii="宋体" w:hAnsi="宋体" w:cs="宋体" w:eastAsia="宋体" w:hint="default"/>
          <w:spacing w:val="-55"/>
        </w:rPr>
        <w:t> </w:t>
      </w:r>
      <w:r>
        <w:rPr>
          <w:w w:val="100"/>
        </w:rPr>
        <w:t>在收</w:t>
      </w:r>
      <w:r>
        <w:rPr>
          <w:spacing w:val="-3"/>
          <w:w w:val="100"/>
        </w:rPr>
        <w:t>购</w:t>
      </w:r>
      <w:r>
        <w:rPr>
          <w:w w:val="100"/>
        </w:rPr>
        <w:t>报告</w:t>
      </w:r>
      <w:r>
        <w:rPr>
          <w:spacing w:val="-3"/>
          <w:w w:val="100"/>
        </w:rPr>
        <w:t>书</w:t>
      </w:r>
      <w:r>
        <w:rPr>
          <w:w w:val="100"/>
        </w:rPr>
        <w:t>或权</w:t>
      </w:r>
      <w:r>
        <w:rPr>
          <w:spacing w:val="-3"/>
          <w:w w:val="100"/>
        </w:rPr>
        <w:t>益变</w:t>
      </w:r>
      <w:r>
        <w:rPr>
          <w:w w:val="100"/>
        </w:rPr>
        <w:t>动报告</w:t>
      </w:r>
      <w:r>
        <w:rPr>
          <w:spacing w:val="-3"/>
          <w:w w:val="100"/>
        </w:rPr>
        <w:t>书</w:t>
      </w:r>
      <w:r>
        <w:rPr>
          <w:w w:val="100"/>
        </w:rPr>
        <w:t>中所</w:t>
      </w:r>
      <w:r>
        <w:rPr>
          <w:spacing w:val="-3"/>
          <w:w w:val="100"/>
        </w:rPr>
        <w:t>作</w:t>
      </w:r>
      <w:r>
        <w:rPr>
          <w:w w:val="100"/>
        </w:rPr>
        <w:t>承</w:t>
      </w:r>
      <w:r>
        <w:rPr>
          <w:spacing w:val="-111"/>
          <w:w w:val="100"/>
        </w:rPr>
        <w:t>诺</w:t>
      </w:r>
      <w:r>
        <w:rPr>
          <w:w w:val="100"/>
        </w:rPr>
        <w:t>（</w:t>
      </w:r>
      <w:r>
        <w:rPr>
          <w:spacing w:val="-3"/>
          <w:w w:val="100"/>
        </w:rPr>
        <w:t>长</w:t>
      </w:r>
      <w:r>
        <w:rPr>
          <w:w w:val="100"/>
        </w:rPr>
        <w:t>期有效</w:t>
      </w:r>
      <w:r>
        <w:rPr>
          <w:spacing w:val="-111"/>
          <w:w w:val="100"/>
        </w:rPr>
        <w:t>）</w:t>
      </w:r>
      <w:r>
        <w:rPr>
          <w:w w:val="100"/>
        </w:rPr>
        <w:t>：</w:t>
      </w:r>
    </w:p>
    <w:p>
      <w:pPr>
        <w:pStyle w:val="Heading7"/>
        <w:spacing w:line="240" w:lineRule="auto" w:before="180"/>
        <w:ind w:left="679" w:right="276"/>
        <w:jc w:val="left"/>
      </w:pPr>
      <w:r>
        <w:rPr/>
        <w:t>（</w:t>
      </w:r>
      <w:r>
        <w:rPr>
          <w:rFonts w:ascii="宋体" w:hAnsi="宋体" w:cs="宋体" w:eastAsia="宋体" w:hint="default"/>
        </w:rPr>
        <w:t>1</w:t>
      </w:r>
      <w:r>
        <w:rPr/>
        <w:t>）同业竞争</w:t>
      </w:r>
    </w:p>
    <w:p>
      <w:pPr>
        <w:pStyle w:val="Heading7"/>
        <w:spacing w:line="326" w:lineRule="auto" w:before="180"/>
        <w:ind w:left="240" w:right="397" w:firstLine="439"/>
        <w:jc w:val="both"/>
      </w:pPr>
      <w:r>
        <w:rPr>
          <w:rFonts w:ascii="宋体" w:hAnsi="宋体" w:cs="宋体" w:eastAsia="宋体" w:hint="default"/>
          <w:spacing w:val="-22"/>
          <w:w w:val="100"/>
        </w:rPr>
        <w:t>1</w:t>
      </w:r>
      <w:r>
        <w:rPr>
          <w:spacing w:val="-22"/>
          <w:w w:val="100"/>
        </w:rPr>
        <w:t>）</w:t>
      </w:r>
      <w:r>
        <w:rPr>
          <w:rFonts w:ascii="宋体" w:hAnsi="宋体" w:cs="宋体" w:eastAsia="宋体" w:hint="default"/>
          <w:spacing w:val="-22"/>
          <w:w w:val="100"/>
        </w:rPr>
        <w:t>CEC</w:t>
      </w:r>
      <w:r>
        <w:rPr>
          <w:rFonts w:ascii="宋体" w:hAnsi="宋体" w:cs="宋体" w:eastAsia="宋体" w:hint="default"/>
          <w:spacing w:val="-57"/>
          <w:w w:val="100"/>
        </w:rPr>
        <w:t> </w:t>
      </w:r>
      <w:r>
        <w:rPr>
          <w:spacing w:val="-1"/>
          <w:w w:val="100"/>
        </w:rPr>
        <w:t>及其下属企业目前没有直接或间接从事与本公司及下属企业主营业务构成竞</w:t>
      </w:r>
      <w:r>
        <w:rPr>
          <w:w w:val="100"/>
        </w:rPr>
        <w:t> </w:t>
      </w:r>
      <w:r>
        <w:rPr/>
        <w:t>争的业务；</w:t>
      </w:r>
    </w:p>
    <w:p>
      <w:pPr>
        <w:pStyle w:val="Heading7"/>
        <w:spacing w:line="326" w:lineRule="auto" w:before="99"/>
        <w:ind w:left="240" w:right="397" w:firstLine="439"/>
        <w:jc w:val="both"/>
      </w:pPr>
      <w:r>
        <w:rPr>
          <w:rFonts w:ascii="宋体" w:hAnsi="宋体" w:cs="宋体" w:eastAsia="宋体" w:hint="default"/>
          <w:spacing w:val="-8"/>
        </w:rPr>
        <w:t>2</w:t>
      </w:r>
      <w:r>
        <w:rPr>
          <w:spacing w:val="-8"/>
        </w:rPr>
        <w:t>）</w:t>
      </w:r>
      <w:r>
        <w:rPr>
          <w:rFonts w:ascii="宋体" w:hAnsi="宋体" w:cs="宋体" w:eastAsia="宋体" w:hint="default"/>
          <w:spacing w:val="-8"/>
        </w:rPr>
        <w:t>CEC</w:t>
      </w:r>
      <w:r>
        <w:rPr>
          <w:rFonts w:ascii="宋体" w:hAnsi="宋体" w:cs="宋体" w:eastAsia="宋体" w:hint="default"/>
          <w:spacing w:val="-45"/>
        </w:rPr>
        <w:t> </w:t>
      </w:r>
      <w:r>
        <w:rPr>
          <w:spacing w:val="-5"/>
        </w:rPr>
        <w:t>将来不会，而且会促使</w:t>
      </w:r>
      <w:r>
        <w:rPr>
          <w:spacing w:val="-42"/>
        </w:rPr>
        <w:t> </w:t>
      </w:r>
      <w:r>
        <w:rPr>
          <w:rFonts w:ascii="宋体" w:hAnsi="宋体" w:cs="宋体" w:eastAsia="宋体" w:hint="default"/>
        </w:rPr>
        <w:t>CEC</w:t>
      </w:r>
      <w:r>
        <w:rPr>
          <w:rFonts w:ascii="宋体" w:hAnsi="宋体" w:cs="宋体" w:eastAsia="宋体" w:hint="default"/>
          <w:spacing w:val="-45"/>
        </w:rPr>
        <w:t> </w:t>
      </w:r>
      <w:r>
        <w:rPr>
          <w:spacing w:val="-3"/>
        </w:rPr>
        <w:t>下属企业不会单独或与第三方、以直接或间接形</w:t>
      </w:r>
      <w:r>
        <w:rPr>
          <w:w w:val="100"/>
        </w:rPr>
        <w:t> </w:t>
      </w:r>
      <w:r>
        <w:rPr>
          <w:spacing w:val="-3"/>
        </w:rPr>
        <w:t>式参与、经营或从事与本公司及下属企业主营业务构成竞争或可能构成竞争的业务或活</w:t>
      </w:r>
      <w:r>
        <w:rPr>
          <w:spacing w:val="-58"/>
        </w:rPr>
        <w:t> </w:t>
      </w:r>
      <w:r>
        <w:rPr>
          <w:spacing w:val="-58"/>
        </w:rPr>
      </w:r>
      <w:r>
        <w:rPr/>
        <w:t>动；</w:t>
      </w:r>
    </w:p>
    <w:p>
      <w:pPr>
        <w:pStyle w:val="Heading7"/>
        <w:spacing w:line="326" w:lineRule="auto" w:before="98"/>
        <w:ind w:left="240" w:right="396" w:firstLine="439"/>
        <w:jc w:val="both"/>
      </w:pPr>
      <w:r>
        <w:rPr>
          <w:rFonts w:ascii="宋体" w:hAnsi="宋体" w:cs="宋体" w:eastAsia="宋体" w:hint="default"/>
          <w:spacing w:val="-4"/>
        </w:rPr>
        <w:t>3</w:t>
      </w:r>
      <w:r>
        <w:rPr>
          <w:spacing w:val="-4"/>
        </w:rPr>
        <w:t>）若本公司未来新增主营业务，</w:t>
      </w:r>
      <w:r>
        <w:rPr>
          <w:rFonts w:ascii="宋体" w:hAnsi="宋体" w:cs="宋体" w:eastAsia="宋体" w:hint="default"/>
          <w:spacing w:val="-4"/>
        </w:rPr>
        <w:t>CEC</w:t>
      </w:r>
      <w:r>
        <w:rPr>
          <w:rFonts w:ascii="宋体" w:hAnsi="宋体" w:cs="宋体" w:eastAsia="宋体" w:hint="default"/>
          <w:spacing w:val="-29"/>
        </w:rPr>
        <w:t> </w:t>
      </w:r>
      <w:r>
        <w:rPr>
          <w:spacing w:val="-4"/>
        </w:rPr>
        <w:t>及其下属企业将不会，单独或与第三方、以直</w:t>
      </w:r>
      <w:r>
        <w:rPr>
          <w:w w:val="100"/>
        </w:rPr>
        <w:t> </w:t>
      </w:r>
      <w:r>
        <w:rPr>
          <w:spacing w:val="-3"/>
        </w:rPr>
        <w:t>接或间接形式参与、经营或从事与本公司及下属企业未来新增主营业务构成竞争或可能</w:t>
      </w:r>
      <w:r>
        <w:rPr>
          <w:spacing w:val="-58"/>
        </w:rPr>
        <w:t> </w:t>
      </w:r>
      <w:r>
        <w:rPr>
          <w:spacing w:val="-58"/>
        </w:rPr>
      </w:r>
      <w:r>
        <w:rPr/>
        <w:t>构成竞争的业务或活动；</w:t>
      </w:r>
    </w:p>
    <w:p>
      <w:pPr>
        <w:spacing w:after="0" w:line="326" w:lineRule="auto"/>
        <w:jc w:val="both"/>
        <w:sectPr>
          <w:pgSz w:w="11910" w:h="16840"/>
          <w:pgMar w:header="0" w:footer="980" w:top="1600" w:bottom="1160" w:left="1560" w:right="1400"/>
        </w:sectPr>
      </w:pPr>
    </w:p>
    <w:p>
      <w:pPr>
        <w:spacing w:line="240" w:lineRule="auto" w:before="3"/>
        <w:rPr>
          <w:rFonts w:ascii="宋体" w:hAnsi="宋体" w:cs="宋体" w:eastAsia="宋体" w:hint="default"/>
          <w:sz w:val="3"/>
          <w:szCs w:val="3"/>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79" w:right="0"/>
        <w:jc w:val="left"/>
      </w:pPr>
      <w:r>
        <w:rPr>
          <w:rFonts w:ascii="宋体" w:hAnsi="宋体" w:cs="宋体" w:eastAsia="宋体" w:hint="default"/>
        </w:rPr>
        <w:t>4</w:t>
      </w:r>
      <w:r>
        <w:rPr/>
        <w:t>）若违反上述承诺而参与竞争的，</w:t>
      </w:r>
      <w:r>
        <w:rPr>
          <w:rFonts w:ascii="宋体" w:hAnsi="宋体" w:cs="宋体" w:eastAsia="宋体" w:hint="default"/>
        </w:rPr>
        <w:t>CEC</w:t>
      </w:r>
      <w:r>
        <w:rPr>
          <w:rFonts w:ascii="宋体" w:hAnsi="宋体" w:cs="宋体" w:eastAsia="宋体" w:hint="default"/>
          <w:spacing w:val="-63"/>
        </w:rPr>
        <w:t> </w:t>
      </w:r>
      <w:r>
        <w:rPr/>
        <w:t>将承担由此给本公司造成的全部经济损失。</w:t>
      </w:r>
    </w:p>
    <w:p>
      <w:pPr>
        <w:pStyle w:val="Heading7"/>
        <w:spacing w:line="240" w:lineRule="auto" w:before="180"/>
        <w:ind w:left="679" w:right="0"/>
        <w:jc w:val="left"/>
      </w:pPr>
      <w:r>
        <w:rPr/>
        <w:t>（</w:t>
      </w:r>
      <w:r>
        <w:rPr>
          <w:rFonts w:ascii="宋体" w:hAnsi="宋体" w:cs="宋体" w:eastAsia="宋体" w:hint="default"/>
        </w:rPr>
        <w:t>2</w:t>
      </w:r>
      <w:r>
        <w:rPr/>
        <w:t>）关联交易</w:t>
      </w:r>
    </w:p>
    <w:p>
      <w:pPr>
        <w:pStyle w:val="Heading7"/>
        <w:spacing w:line="240" w:lineRule="auto" w:before="180"/>
        <w:ind w:left="679" w:right="0"/>
        <w:jc w:val="left"/>
      </w:pPr>
      <w:r>
        <w:rPr>
          <w:rFonts w:ascii="宋体" w:hAnsi="宋体" w:cs="宋体" w:eastAsia="宋体" w:hint="default"/>
        </w:rPr>
        <w:t>1</w:t>
      </w:r>
      <w:r>
        <w:rPr/>
        <w:t>）</w:t>
      </w:r>
      <w:r>
        <w:rPr>
          <w:rFonts w:ascii="宋体" w:hAnsi="宋体" w:cs="宋体" w:eastAsia="宋体" w:hint="default"/>
        </w:rPr>
        <w:t>CEC</w:t>
      </w:r>
      <w:r>
        <w:rPr>
          <w:rFonts w:ascii="宋体" w:hAnsi="宋体" w:cs="宋体" w:eastAsia="宋体" w:hint="default"/>
          <w:spacing w:val="-57"/>
        </w:rPr>
        <w:t> </w:t>
      </w:r>
      <w:r>
        <w:rPr/>
        <w:t>将尽可能减少并规范与本公司之间的关联交易；</w:t>
      </w:r>
    </w:p>
    <w:p>
      <w:pPr>
        <w:pStyle w:val="Heading7"/>
        <w:spacing w:line="326" w:lineRule="auto" w:before="180"/>
        <w:ind w:left="240" w:right="373" w:firstLine="439"/>
        <w:jc w:val="both"/>
      </w:pPr>
      <w:r>
        <w:rPr>
          <w:rFonts w:ascii="宋体" w:hAnsi="宋体" w:cs="宋体" w:eastAsia="宋体" w:hint="default"/>
          <w:spacing w:val="-7"/>
        </w:rPr>
        <w:t>2</w:t>
      </w:r>
      <w:r>
        <w:rPr>
          <w:spacing w:val="-7"/>
        </w:rPr>
        <w:t>）对于确需发生的</w:t>
      </w:r>
      <w:r>
        <w:rPr>
          <w:spacing w:val="-40"/>
        </w:rPr>
        <w:t> </w:t>
      </w:r>
      <w:r>
        <w:rPr>
          <w:rFonts w:ascii="宋体" w:hAnsi="宋体" w:cs="宋体" w:eastAsia="宋体" w:hint="default"/>
        </w:rPr>
        <w:t>CEC</w:t>
      </w:r>
      <w:r>
        <w:rPr>
          <w:rFonts w:ascii="宋体" w:hAnsi="宋体" w:cs="宋体" w:eastAsia="宋体" w:hint="default"/>
          <w:spacing w:val="-44"/>
        </w:rPr>
        <w:t> </w:t>
      </w:r>
      <w:r>
        <w:rPr>
          <w:spacing w:val="-4"/>
        </w:rPr>
        <w:t>及其下属企业与本公司之间的一切交易行为，</w:t>
      </w:r>
      <w:r>
        <w:rPr>
          <w:rFonts w:ascii="宋体" w:hAnsi="宋体" w:cs="宋体" w:eastAsia="宋体" w:hint="default"/>
          <w:spacing w:val="-4"/>
        </w:rPr>
        <w:t>CEC</w:t>
      </w:r>
      <w:r>
        <w:rPr>
          <w:rFonts w:ascii="宋体" w:hAnsi="宋体" w:cs="宋体" w:eastAsia="宋体" w:hint="default"/>
          <w:spacing w:val="-43"/>
        </w:rPr>
        <w:t> </w:t>
      </w:r>
      <w:r>
        <w:rPr/>
        <w:t>将严格履</w:t>
      </w:r>
      <w:r>
        <w:rPr>
          <w:w w:val="100"/>
        </w:rPr>
        <w:t> </w:t>
      </w:r>
      <w:r>
        <w:rPr>
          <w:spacing w:val="-3"/>
        </w:rPr>
        <w:t>行法定程序，依法及时进行信息披露，严格遵循市场规则，本着平等互利、等价有偿的</w:t>
      </w:r>
      <w:r>
        <w:rPr>
          <w:spacing w:val="-55"/>
        </w:rPr>
        <w:t> </w:t>
      </w:r>
      <w:r>
        <w:rPr>
          <w:spacing w:val="-55"/>
        </w:rPr>
      </w:r>
      <w:r>
        <w:rPr>
          <w:spacing w:val="-3"/>
        </w:rPr>
        <w:t>一般商业原则，公平合理的进行，保证不通过关联交易取得任何不当的利益或使本公司</w:t>
      </w:r>
      <w:r>
        <w:rPr>
          <w:spacing w:val="-59"/>
        </w:rPr>
        <w:t> </w:t>
      </w:r>
      <w:r>
        <w:rPr>
          <w:spacing w:val="-59"/>
        </w:rPr>
      </w:r>
      <w:r>
        <w:rPr/>
        <w:t>承担任何不当的责任和义务。</w:t>
      </w:r>
    </w:p>
    <w:p>
      <w:pPr>
        <w:pStyle w:val="Heading7"/>
        <w:spacing w:line="240" w:lineRule="auto" w:before="101"/>
        <w:ind w:left="679" w:right="0"/>
        <w:jc w:val="left"/>
        <w:rPr>
          <w:rFonts w:ascii="宋体" w:hAnsi="宋体" w:cs="宋体" w:eastAsia="宋体" w:hint="default"/>
        </w:rPr>
      </w:pPr>
      <w:r>
        <w:rPr>
          <w:rFonts w:ascii="宋体" w:hAnsi="宋体" w:cs="宋体" w:eastAsia="宋体" w:hint="default"/>
          <w:w w:val="100"/>
        </w:rPr>
        <w:t>2</w:t>
      </w:r>
      <w:r>
        <w:rPr>
          <w:w w:val="100"/>
        </w:rPr>
        <w:t>、</w:t>
      </w:r>
      <w:r>
        <w:rPr>
          <w:rFonts w:ascii="宋体" w:hAnsi="宋体" w:cs="宋体" w:eastAsia="宋体" w:hint="default"/>
          <w:w w:val="100"/>
        </w:rPr>
        <w:t>2013</w:t>
      </w:r>
      <w:r>
        <w:rPr>
          <w:rFonts w:ascii="宋体" w:hAnsi="宋体" w:cs="宋体" w:eastAsia="宋体" w:hint="default"/>
          <w:spacing w:val="-50"/>
        </w:rPr>
        <w:t> </w:t>
      </w:r>
      <w:r>
        <w:rPr>
          <w:w w:val="100"/>
        </w:rPr>
        <w:t>年</w:t>
      </w:r>
      <w:r>
        <w:rPr>
          <w:spacing w:val="-48"/>
        </w:rPr>
        <w:t> </w:t>
      </w:r>
      <w:r>
        <w:rPr>
          <w:rFonts w:ascii="宋体" w:hAnsi="宋体" w:cs="宋体" w:eastAsia="宋体" w:hint="default"/>
          <w:w w:val="100"/>
        </w:rPr>
        <w:t>11</w:t>
      </w:r>
      <w:r>
        <w:rPr>
          <w:rFonts w:ascii="宋体" w:hAnsi="宋体" w:cs="宋体" w:eastAsia="宋体" w:hint="default"/>
          <w:spacing w:val="-50"/>
        </w:rPr>
        <w:t> </w:t>
      </w:r>
      <w:r>
        <w:rPr>
          <w:w w:val="100"/>
        </w:rPr>
        <w:t>月</w:t>
      </w:r>
      <w:r>
        <w:rPr>
          <w:spacing w:val="-47"/>
        </w:rPr>
        <w:t> </w:t>
      </w:r>
      <w:r>
        <w:rPr>
          <w:rFonts w:ascii="宋体" w:hAnsi="宋体" w:cs="宋体" w:eastAsia="宋体" w:hint="default"/>
          <w:w w:val="100"/>
        </w:rPr>
        <w:t>13</w:t>
      </w:r>
      <w:r>
        <w:rPr>
          <w:rFonts w:ascii="宋体" w:hAnsi="宋体" w:cs="宋体" w:eastAsia="宋体" w:hint="default"/>
          <w:spacing w:val="-50"/>
        </w:rPr>
        <w:t> </w:t>
      </w:r>
      <w:r>
        <w:rPr>
          <w:w w:val="100"/>
        </w:rPr>
        <w:t>日</w:t>
      </w:r>
      <w:r>
        <w:rPr>
          <w:spacing w:val="-48"/>
        </w:rPr>
        <w:t> </w:t>
      </w:r>
      <w:r>
        <w:rPr>
          <w:rFonts w:ascii="宋体" w:hAnsi="宋体" w:cs="宋体" w:eastAsia="宋体" w:hint="default"/>
          <w:spacing w:val="-3"/>
          <w:w w:val="100"/>
        </w:rPr>
        <w:t>C</w:t>
      </w:r>
      <w:r>
        <w:rPr>
          <w:rFonts w:ascii="宋体" w:hAnsi="宋体" w:cs="宋体" w:eastAsia="宋体" w:hint="default"/>
          <w:w w:val="100"/>
        </w:rPr>
        <w:t>EC</w:t>
      </w:r>
      <w:r>
        <w:rPr>
          <w:rFonts w:ascii="宋体" w:hAnsi="宋体" w:cs="宋体" w:eastAsia="宋体" w:hint="default"/>
          <w:spacing w:val="-48"/>
        </w:rPr>
        <w:t> </w:t>
      </w:r>
      <w:r>
        <w:rPr>
          <w:w w:val="100"/>
        </w:rPr>
        <w:t>关于</w:t>
      </w:r>
      <w:r>
        <w:rPr>
          <w:spacing w:val="-3"/>
          <w:w w:val="100"/>
        </w:rPr>
        <w:t>其</w:t>
      </w:r>
      <w:r>
        <w:rPr>
          <w:w w:val="100"/>
        </w:rPr>
        <w:t>他对</w:t>
      </w:r>
      <w:r>
        <w:rPr>
          <w:spacing w:val="-3"/>
          <w:w w:val="100"/>
        </w:rPr>
        <w:t>公</w:t>
      </w:r>
      <w:r>
        <w:rPr>
          <w:w w:val="100"/>
        </w:rPr>
        <w:t>司中</w:t>
      </w:r>
      <w:r>
        <w:rPr>
          <w:spacing w:val="-3"/>
          <w:w w:val="100"/>
        </w:rPr>
        <w:t>小</w:t>
      </w:r>
      <w:r>
        <w:rPr>
          <w:w w:val="100"/>
        </w:rPr>
        <w:t>股东所</w:t>
      </w:r>
      <w:r>
        <w:rPr>
          <w:spacing w:val="-3"/>
          <w:w w:val="100"/>
        </w:rPr>
        <w:t>作</w:t>
      </w:r>
      <w:r>
        <w:rPr>
          <w:w w:val="100"/>
        </w:rPr>
        <w:t>承诺</w:t>
      </w:r>
      <w:r>
        <w:rPr>
          <w:spacing w:val="-111"/>
          <w:w w:val="100"/>
        </w:rPr>
        <w:t>：</w:t>
      </w:r>
      <w:r>
        <w:rPr>
          <w:spacing w:val="-3"/>
          <w:w w:val="100"/>
        </w:rPr>
        <w:t>（</w:t>
      </w:r>
      <w:r>
        <w:rPr>
          <w:w w:val="100"/>
        </w:rPr>
        <w:t>有效</w:t>
      </w:r>
      <w:r>
        <w:rPr>
          <w:spacing w:val="-3"/>
          <w:w w:val="100"/>
        </w:rPr>
        <w:t>期</w:t>
      </w:r>
      <w:r>
        <w:rPr>
          <w:w w:val="100"/>
        </w:rPr>
        <w:t>截至</w:t>
      </w:r>
      <w:r>
        <w:rPr>
          <w:spacing w:val="-47"/>
        </w:rPr>
        <w:t> </w:t>
      </w:r>
      <w:r>
        <w:rPr>
          <w:rFonts w:ascii="宋体" w:hAnsi="宋体" w:cs="宋体" w:eastAsia="宋体" w:hint="default"/>
          <w:w w:val="100"/>
        </w:rPr>
        <w:t>2019</w:t>
      </w:r>
    </w:p>
    <w:p>
      <w:pPr>
        <w:pStyle w:val="Heading7"/>
        <w:spacing w:line="240" w:lineRule="auto" w:before="103"/>
        <w:ind w:left="240" w:right="0"/>
        <w:jc w:val="left"/>
      </w:pP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23</w:t>
      </w:r>
      <w:r>
        <w:rPr>
          <w:rFonts w:ascii="宋体" w:hAnsi="宋体" w:cs="宋体" w:eastAsia="宋体" w:hint="default"/>
          <w:spacing w:val="-57"/>
        </w:rPr>
        <w:t> </w:t>
      </w:r>
      <w:r>
        <w:rPr/>
        <w:t>日）</w:t>
      </w:r>
    </w:p>
    <w:p>
      <w:pPr>
        <w:pStyle w:val="Heading7"/>
        <w:spacing w:line="326" w:lineRule="auto" w:before="178"/>
        <w:ind w:left="240" w:right="0" w:firstLine="439"/>
        <w:jc w:val="left"/>
      </w:pPr>
      <w:r>
        <w:rPr/>
        <w:t>公司实际控制人</w:t>
      </w:r>
      <w:r>
        <w:rPr>
          <w:spacing w:val="-56"/>
        </w:rPr>
        <w:t> </w:t>
      </w:r>
      <w:r>
        <w:rPr>
          <w:rFonts w:ascii="宋体" w:hAnsi="宋体" w:cs="宋体" w:eastAsia="宋体" w:hint="default"/>
        </w:rPr>
        <w:t>CEC</w:t>
      </w:r>
      <w:r>
        <w:rPr>
          <w:rFonts w:ascii="宋体" w:hAnsi="宋体" w:cs="宋体" w:eastAsia="宋体" w:hint="default"/>
          <w:spacing w:val="-56"/>
        </w:rPr>
        <w:t> </w:t>
      </w:r>
      <w:r>
        <w:rPr/>
        <w:t>承诺不会发生占用上市公司资金的现象和可能。</w:t>
      </w:r>
      <w:r>
        <w:rPr>
          <w:rFonts w:ascii="宋体" w:hAnsi="宋体" w:cs="宋体" w:eastAsia="宋体" w:hint="default"/>
        </w:rPr>
        <w:t>CEC</w:t>
      </w:r>
      <w:r>
        <w:rPr>
          <w:rFonts w:ascii="宋体" w:hAnsi="宋体" w:cs="宋体" w:eastAsia="宋体" w:hint="default"/>
          <w:spacing w:val="-56"/>
        </w:rPr>
        <w:t> </w:t>
      </w:r>
      <w:r>
        <w:rPr/>
        <w:t>承诺当中</w:t>
      </w:r>
      <w:r>
        <w:rPr>
          <w:w w:val="100"/>
        </w:rPr>
        <w:t> </w:t>
      </w:r>
      <w:r>
        <w:rPr>
          <w:spacing w:val="-6"/>
        </w:rPr>
        <w:t>电财务出现支付困难的紧急情况时，按照解决支付困难的实际需要，增加相应的资本金。</w:t>
      </w:r>
    </w:p>
    <w:p>
      <w:pPr>
        <w:pStyle w:val="Heading7"/>
        <w:spacing w:line="240" w:lineRule="auto" w:before="101"/>
        <w:ind w:left="679" w:right="0"/>
        <w:jc w:val="left"/>
      </w:pP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5"/>
        </w:rPr>
        <w:t> </w:t>
      </w:r>
      <w:r>
        <w:rPr/>
        <w:t>年</w:t>
      </w:r>
      <w:r>
        <w:rPr>
          <w:spacing w:val="-58"/>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11</w:t>
      </w:r>
      <w:r>
        <w:rPr>
          <w:rFonts w:ascii="宋体" w:hAnsi="宋体" w:cs="宋体" w:eastAsia="宋体" w:hint="default"/>
          <w:spacing w:val="-57"/>
        </w:rPr>
        <w:t> </w:t>
      </w:r>
      <w:r>
        <w:rPr/>
        <w:t>日本公司</w:t>
      </w:r>
      <w:r>
        <w:rPr>
          <w:rFonts w:ascii="宋体" w:hAnsi="宋体" w:cs="宋体" w:eastAsia="宋体" w:hint="default"/>
        </w:rPr>
        <w:t>/</w:t>
      </w:r>
      <w:r>
        <w:rPr/>
        <w:t>董事、监事、高级管理人员关于其他对公司中小股东</w:t>
      </w:r>
    </w:p>
    <w:p>
      <w:pPr>
        <w:pStyle w:val="Heading7"/>
        <w:spacing w:line="240" w:lineRule="auto" w:before="103"/>
        <w:ind w:left="240" w:right="0"/>
        <w:jc w:val="left"/>
      </w:pPr>
      <w:r>
        <w:rPr>
          <w:w w:val="100"/>
        </w:rPr>
        <w:t>所作承诺</w:t>
      </w:r>
      <w:r>
        <w:rPr>
          <w:spacing w:val="-113"/>
          <w:w w:val="100"/>
        </w:rPr>
        <w:t>：</w:t>
      </w:r>
      <w:r>
        <w:rPr>
          <w:w w:val="100"/>
        </w:rPr>
        <w:t>（有</w:t>
      </w:r>
      <w:r>
        <w:rPr>
          <w:spacing w:val="-3"/>
          <w:w w:val="100"/>
        </w:rPr>
        <w:t>效</w:t>
      </w:r>
      <w:r>
        <w:rPr>
          <w:w w:val="100"/>
        </w:rPr>
        <w:t>期</w:t>
      </w:r>
      <w:r>
        <w:rPr>
          <w:spacing w:val="-3"/>
          <w:w w:val="100"/>
        </w:rPr>
        <w:t>截</w:t>
      </w:r>
      <w:r>
        <w:rPr>
          <w:w w:val="100"/>
        </w:rPr>
        <w:t>至</w:t>
      </w:r>
      <w:r>
        <w:rPr>
          <w:spacing w:val="-57"/>
        </w:rPr>
        <w:t> </w:t>
      </w:r>
      <w:r>
        <w:rPr>
          <w:rFonts w:ascii="宋体" w:hAnsi="宋体" w:cs="宋体" w:eastAsia="宋体" w:hint="default"/>
          <w:w w:val="100"/>
        </w:rPr>
        <w:t>2016</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11</w:t>
      </w:r>
      <w:r>
        <w:rPr>
          <w:rFonts w:ascii="宋体" w:hAnsi="宋体" w:cs="宋体" w:eastAsia="宋体" w:hint="default"/>
          <w:spacing w:val="-58"/>
        </w:rPr>
        <w:t> </w:t>
      </w:r>
      <w:r>
        <w:rPr>
          <w:w w:val="100"/>
        </w:rPr>
        <w:t>日）</w:t>
      </w:r>
    </w:p>
    <w:p>
      <w:pPr>
        <w:pStyle w:val="Heading7"/>
        <w:spacing w:line="326" w:lineRule="auto" w:before="177"/>
        <w:ind w:left="240" w:right="377" w:firstLine="439"/>
        <w:jc w:val="both"/>
      </w:pPr>
      <w:r>
        <w:rPr/>
        <w:t>（</w:t>
      </w:r>
      <w:r>
        <w:rPr>
          <w:rFonts w:ascii="宋体" w:hAnsi="宋体" w:cs="宋体" w:eastAsia="宋体" w:hint="default"/>
        </w:rPr>
        <w:t>1</w:t>
      </w:r>
      <w:r>
        <w:rPr/>
        <w:t>）为促进公司持续、稳定、健康发展，维护公司全体股东的利益，持有公司股</w:t>
      </w:r>
      <w:r>
        <w:rPr>
          <w:w w:val="100"/>
        </w:rPr>
        <w:t> </w:t>
      </w:r>
      <w:r>
        <w:rPr/>
        <w:t>票的董事、监事、高级管理人员承诺本年内不减持本人所持公司股票；</w:t>
      </w:r>
    </w:p>
    <w:p>
      <w:pPr>
        <w:pStyle w:val="Heading7"/>
        <w:spacing w:line="324" w:lineRule="auto" w:before="101"/>
        <w:ind w:left="240" w:right="376" w:firstLine="439"/>
        <w:jc w:val="both"/>
      </w:pPr>
      <w:r>
        <w:rPr/>
        <w:t>（</w:t>
      </w:r>
      <w:r>
        <w:rPr>
          <w:rFonts w:ascii="宋体" w:hAnsi="宋体" w:cs="宋体" w:eastAsia="宋体" w:hint="default"/>
        </w:rPr>
        <w:t>2</w:t>
      </w:r>
      <w:r>
        <w:rPr/>
        <w:t>）若公司股价未来 </w:t>
      </w:r>
      <w:r>
        <w:rPr>
          <w:rFonts w:ascii="宋体" w:hAnsi="宋体" w:cs="宋体" w:eastAsia="宋体" w:hint="default"/>
        </w:rPr>
        <w:t>6</w:t>
      </w:r>
      <w:r>
        <w:rPr>
          <w:rFonts w:ascii="宋体" w:hAnsi="宋体" w:cs="宋体" w:eastAsia="宋体" w:hint="default"/>
          <w:spacing w:val="-60"/>
        </w:rPr>
        <w:t> </w:t>
      </w:r>
      <w:r>
        <w:rPr/>
        <w:t>个月出现大幅下跌，公司将积极研究推进股份回购相关事</w:t>
      </w:r>
      <w:r>
        <w:rPr>
          <w:w w:val="100"/>
        </w:rPr>
        <w:t> </w:t>
      </w:r>
      <w:r>
        <w:rPr>
          <w:spacing w:val="-3"/>
          <w:w w:val="100"/>
        </w:rPr>
        <w:t>宜，并鼓励公司董事（独立董事除外）、监事、高级管理人员及员工根据实际情况在合</w:t>
      </w:r>
      <w:r>
        <w:rPr>
          <w:spacing w:val="-84"/>
          <w:w w:val="100"/>
        </w:rPr>
        <w:t> </w:t>
      </w:r>
      <w:r>
        <w:rPr>
          <w:spacing w:val="-84"/>
          <w:w w:val="100"/>
        </w:rPr>
      </w:r>
      <w:r>
        <w:rPr/>
        <w:t>法合规的前提下积极买入公司股票。</w:t>
      </w:r>
    </w:p>
    <w:p>
      <w:pPr>
        <w:pStyle w:val="Heading7"/>
        <w:spacing w:line="240" w:lineRule="auto" w:before="103"/>
        <w:ind w:left="679" w:right="0"/>
        <w:jc w:val="left"/>
      </w:pP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56"/>
        </w:rPr>
        <w:t> </w:t>
      </w:r>
      <w:r>
        <w:rPr/>
        <w:t>年</w:t>
      </w:r>
      <w:r>
        <w:rPr>
          <w:spacing w:val="-59"/>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4</w:t>
      </w:r>
      <w:r>
        <w:rPr>
          <w:rFonts w:ascii="宋体" w:hAnsi="宋体" w:cs="宋体" w:eastAsia="宋体" w:hint="default"/>
          <w:spacing w:val="-56"/>
        </w:rPr>
        <w:t> </w:t>
      </w:r>
      <w:r>
        <w:rPr/>
        <w:t>日中国长城计算机深圳股份有限公司、长城科技股份有限公司、</w:t>
      </w:r>
    </w:p>
    <w:p>
      <w:pPr>
        <w:pStyle w:val="Heading7"/>
        <w:spacing w:line="240" w:lineRule="auto" w:before="103"/>
        <w:ind w:left="240" w:right="0"/>
        <w:jc w:val="left"/>
      </w:pPr>
      <w:r>
        <w:rPr>
          <w:rFonts w:ascii="宋体" w:hAnsi="宋体" w:cs="宋体" w:eastAsia="宋体" w:hint="default"/>
          <w:w w:val="100"/>
        </w:rPr>
        <w:t>CEC</w:t>
      </w:r>
      <w:r>
        <w:rPr>
          <w:rFonts w:ascii="宋体" w:hAnsi="宋体" w:cs="宋体" w:eastAsia="宋体" w:hint="default"/>
          <w:spacing w:val="-55"/>
        </w:rPr>
        <w:t> </w:t>
      </w:r>
      <w:r>
        <w:rPr>
          <w:w w:val="100"/>
        </w:rPr>
        <w:t>关</w:t>
      </w:r>
      <w:r>
        <w:rPr>
          <w:spacing w:val="-3"/>
          <w:w w:val="100"/>
        </w:rPr>
        <w:t>于</w:t>
      </w:r>
      <w:r>
        <w:rPr>
          <w:w w:val="100"/>
        </w:rPr>
        <w:t>其他</w:t>
      </w:r>
      <w:r>
        <w:rPr>
          <w:spacing w:val="-3"/>
          <w:w w:val="100"/>
        </w:rPr>
        <w:t>对</w:t>
      </w:r>
      <w:r>
        <w:rPr>
          <w:w w:val="100"/>
        </w:rPr>
        <w:t>公司</w:t>
      </w:r>
      <w:r>
        <w:rPr>
          <w:spacing w:val="-3"/>
          <w:w w:val="100"/>
        </w:rPr>
        <w:t>中小</w:t>
      </w:r>
      <w:r>
        <w:rPr>
          <w:w w:val="100"/>
        </w:rPr>
        <w:t>股东所</w:t>
      </w:r>
      <w:r>
        <w:rPr>
          <w:spacing w:val="-3"/>
          <w:w w:val="100"/>
        </w:rPr>
        <w:t>作</w:t>
      </w:r>
      <w:r>
        <w:rPr>
          <w:w w:val="100"/>
        </w:rPr>
        <w:t>承诺</w:t>
      </w:r>
      <w:r>
        <w:rPr>
          <w:spacing w:val="-166"/>
          <w:w w:val="100"/>
        </w:rPr>
        <w:t>：</w:t>
      </w:r>
      <w:r>
        <w:rPr>
          <w:w w:val="100"/>
        </w:rPr>
        <w:t>（</w:t>
      </w:r>
      <w:r>
        <w:rPr>
          <w:spacing w:val="-3"/>
          <w:w w:val="100"/>
        </w:rPr>
        <w:t>有</w:t>
      </w:r>
      <w:r>
        <w:rPr>
          <w:w w:val="100"/>
        </w:rPr>
        <w:t>效</w:t>
      </w:r>
      <w:r>
        <w:rPr>
          <w:spacing w:val="-3"/>
          <w:w w:val="100"/>
        </w:rPr>
        <w:t>期</w:t>
      </w:r>
      <w:r>
        <w:rPr>
          <w:w w:val="100"/>
        </w:rPr>
        <w:t>截至</w:t>
      </w:r>
      <w:r>
        <w:rPr>
          <w:spacing w:val="-54"/>
        </w:rPr>
        <w:t> </w:t>
      </w:r>
      <w:r>
        <w:rPr>
          <w:rFonts w:ascii="宋体" w:hAnsi="宋体" w:cs="宋体" w:eastAsia="宋体" w:hint="default"/>
          <w:w w:val="100"/>
        </w:rPr>
        <w:t>2015</w:t>
      </w:r>
      <w:r>
        <w:rPr>
          <w:rFonts w:ascii="宋体" w:hAnsi="宋体" w:cs="宋体" w:eastAsia="宋体" w:hint="default"/>
          <w:spacing w:val="-58"/>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5"/>
        </w:rPr>
        <w:t> </w:t>
      </w:r>
      <w:r>
        <w:rPr>
          <w:w w:val="100"/>
        </w:rPr>
        <w:t>日</w:t>
      </w:r>
      <w:r>
        <w:rPr>
          <w:spacing w:val="-58"/>
          <w:w w:val="100"/>
        </w:rPr>
        <w:t>，</w:t>
      </w:r>
      <w:r>
        <w:rPr>
          <w:w w:val="100"/>
        </w:rPr>
        <w:t>已履行</w:t>
      </w:r>
      <w:r>
        <w:rPr>
          <w:spacing w:val="-3"/>
          <w:w w:val="100"/>
        </w:rPr>
        <w:t>完</w:t>
      </w:r>
      <w:r>
        <w:rPr>
          <w:w w:val="100"/>
        </w:rPr>
        <w:t>毕</w:t>
      </w:r>
      <w:r>
        <w:rPr>
          <w:spacing w:val="-111"/>
          <w:w w:val="100"/>
        </w:rPr>
        <w:t>）</w:t>
      </w:r>
      <w:r>
        <w:rPr>
          <w:w w:val="100"/>
        </w:rPr>
        <w:t>。</w:t>
      </w:r>
    </w:p>
    <w:p>
      <w:pPr>
        <w:pStyle w:val="Heading7"/>
        <w:spacing w:line="326" w:lineRule="auto" w:before="177"/>
        <w:ind w:left="240" w:right="373" w:firstLine="439"/>
        <w:jc w:val="both"/>
      </w:pPr>
      <w:r>
        <w:rPr>
          <w:spacing w:val="-4"/>
        </w:rPr>
        <w:t>除已经披露的非公开发行股票项目外（已经</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23</w:t>
      </w:r>
      <w:r>
        <w:rPr>
          <w:rFonts w:ascii="宋体" w:hAnsi="宋体" w:cs="宋体" w:eastAsia="宋体" w:hint="default"/>
          <w:spacing w:val="-53"/>
        </w:rPr>
        <w:t> </w:t>
      </w:r>
      <w:r>
        <w:rPr/>
        <w:t>日公司</w:t>
      </w:r>
      <w:r>
        <w:rPr>
          <w:spacing w:val="-53"/>
        </w:rPr>
        <w:t> </w:t>
      </w:r>
      <w:r>
        <w:rPr>
          <w:rFonts w:ascii="宋体" w:hAnsi="宋体" w:cs="宋体" w:eastAsia="宋体" w:hint="default"/>
        </w:rPr>
        <w:t>2014</w:t>
      </w:r>
      <w:r>
        <w:rPr>
          <w:rFonts w:ascii="宋体" w:hAnsi="宋体" w:cs="宋体" w:eastAsia="宋体" w:hint="default"/>
          <w:spacing w:val="-55"/>
        </w:rPr>
        <w:t> </w:t>
      </w:r>
      <w:r>
        <w:rPr/>
        <w:t>年度第五</w:t>
      </w:r>
      <w:r>
        <w:rPr>
          <w:w w:val="100"/>
        </w:rPr>
        <w:t> </w:t>
      </w:r>
      <w:r>
        <w:rPr>
          <w:spacing w:val="-3"/>
          <w:w w:val="100"/>
        </w:rPr>
        <w:t>次临时股东大会审议通过），公司目前不存在其他重大资产重组和重大收购等行为，同</w:t>
      </w:r>
      <w:r>
        <w:rPr>
          <w:spacing w:val="-83"/>
          <w:w w:val="100"/>
        </w:rPr>
        <w:t> </w:t>
      </w:r>
      <w:r>
        <w:rPr>
          <w:spacing w:val="-83"/>
          <w:w w:val="100"/>
        </w:rPr>
      </w:r>
      <w:r>
        <w:rPr/>
        <w:t>时公司、控股股东及实际控制人承诺至少在</w:t>
      </w:r>
      <w:r>
        <w:rPr>
          <w:spacing w:val="-60"/>
        </w:rPr>
        <w:t> </w:t>
      </w:r>
      <w:r>
        <w:rPr>
          <w:rFonts w:ascii="宋体" w:hAnsi="宋体" w:cs="宋体" w:eastAsia="宋体" w:hint="default"/>
        </w:rPr>
        <w:t>3</w:t>
      </w:r>
      <w:r>
        <w:rPr>
          <w:rFonts w:ascii="宋体" w:hAnsi="宋体" w:cs="宋体" w:eastAsia="宋体" w:hint="default"/>
          <w:spacing w:val="-60"/>
        </w:rPr>
        <w:t> </w:t>
      </w:r>
      <w:r>
        <w:rPr/>
        <w:t>个月内不对公司筹划前述事项。</w:t>
      </w:r>
    </w:p>
    <w:p>
      <w:pPr>
        <w:spacing w:line="240" w:lineRule="auto" w:before="7"/>
        <w:rPr>
          <w:rFonts w:ascii="宋体" w:hAnsi="宋体" w:cs="宋体" w:eastAsia="宋体" w:hint="default"/>
          <w:sz w:val="16"/>
          <w:szCs w:val="16"/>
        </w:rPr>
      </w:pPr>
    </w:p>
    <w:p>
      <w:pPr>
        <w:spacing w:line="422" w:lineRule="auto" w:before="0"/>
        <w:ind w:left="679" w:right="6147" w:firstLine="2"/>
        <w:jc w:val="left"/>
        <w:rPr>
          <w:rFonts w:ascii="宋体" w:hAnsi="宋体" w:cs="宋体" w:eastAsia="宋体" w:hint="default"/>
          <w:sz w:val="22"/>
          <w:szCs w:val="22"/>
        </w:rPr>
      </w:pPr>
      <w:r>
        <w:rPr/>
        <w:pict>
          <v:shape style="position:absolute;margin-left:83.183983pt;margin-top:44.047615pt;width:429.1pt;height:115.2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22"/>
                    <w:gridCol w:w="2316"/>
                  </w:tblGrid>
                  <w:tr>
                    <w:trPr>
                      <w:trHeight w:val="389" w:hRule="exact"/>
                    </w:trPr>
                    <w:tc>
                      <w:tcPr>
                        <w:tcW w:w="62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375" w:hRule="exact"/>
                    </w:trPr>
                    <w:tc>
                      <w:tcPr>
                        <w:tcW w:w="6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公司本年授予的各项权益工具总额</w:t>
                        </w:r>
                      </w:p>
                    </w:tc>
                    <w:tc>
                      <w:tcPr>
                        <w:tcW w:w="23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6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公司本年行权的各项权益工具总额</w:t>
                        </w:r>
                      </w:p>
                    </w:tc>
                    <w:tc>
                      <w:tcPr>
                        <w:tcW w:w="23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6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公司本年失效的各项权益工具总额</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4,300,000.00</w:t>
                        </w:r>
                      </w:p>
                    </w:tc>
                  </w:tr>
                  <w:tr>
                    <w:trPr>
                      <w:trHeight w:val="374" w:hRule="exact"/>
                    </w:trPr>
                    <w:tc>
                      <w:tcPr>
                        <w:tcW w:w="6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公司年末发行在外的股份年权行权价格的范围和合同剩余年限</w:t>
                        </w:r>
                      </w:p>
                    </w:tc>
                    <w:tc>
                      <w:tcPr>
                        <w:tcW w:w="23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hAnsi="宋体" w:cs="宋体" w:eastAsia="宋体" w:hint="default"/>
                            <w:sz w:val="18"/>
                            <w:szCs w:val="18"/>
                          </w:rPr>
                          <w:t>见本附注十二、</w:t>
                        </w:r>
                        <w:r>
                          <w:rPr>
                            <w:rFonts w:ascii="宋体" w:hAnsi="宋体" w:cs="宋体" w:eastAsia="宋体" w:hint="default"/>
                            <w:sz w:val="18"/>
                            <w:szCs w:val="18"/>
                          </w:rPr>
                          <w:t>4</w:t>
                        </w:r>
                      </w:p>
                    </w:tc>
                  </w:tr>
                  <w:tr>
                    <w:trPr>
                      <w:trHeight w:val="389" w:hRule="exact"/>
                    </w:trPr>
                    <w:tc>
                      <w:tcPr>
                        <w:tcW w:w="62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公司年末其他权益工具行权价格的范围和合同剩余年限</w:t>
                        </w:r>
                      </w:p>
                    </w:tc>
                    <w:tc>
                      <w:tcPr>
                        <w:tcW w:w="2316"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b/>
          <w:bCs/>
          <w:sz w:val="22"/>
          <w:szCs w:val="22"/>
        </w:rPr>
        <w:t>十二、股份支付</w:t>
      </w:r>
      <w:r>
        <w:rPr>
          <w:rFonts w:ascii="宋体" w:hAnsi="宋体" w:cs="宋体" w:eastAsia="宋体" w:hint="default"/>
          <w:b/>
          <w:bCs/>
          <w:w w:val="99"/>
          <w:sz w:val="22"/>
          <w:szCs w:val="22"/>
        </w:rPr>
        <w:t> </w:t>
      </w:r>
      <w:r>
        <w:rPr>
          <w:rFonts w:ascii="宋体" w:hAnsi="宋体" w:cs="宋体" w:eastAsia="宋体" w:hint="default"/>
          <w:spacing w:val="-1"/>
          <w:sz w:val="22"/>
          <w:szCs w:val="22"/>
        </w:rPr>
        <w:t>1</w:t>
      </w:r>
      <w:r>
        <w:rPr>
          <w:rFonts w:ascii="宋体" w:hAnsi="宋体" w:cs="宋体" w:eastAsia="宋体" w:hint="default"/>
          <w:spacing w:val="-1"/>
          <w:sz w:val="22"/>
          <w:szCs w:val="22"/>
        </w:rPr>
        <w:t>、股份支付总体情况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7"/>
        <w:spacing w:line="240" w:lineRule="auto"/>
        <w:ind w:left="679" w:right="0"/>
        <w:jc w:val="left"/>
      </w:pPr>
      <w:r>
        <w:rPr>
          <w:rFonts w:ascii="宋体" w:hAnsi="宋体" w:cs="宋体" w:eastAsia="宋体" w:hint="default"/>
        </w:rPr>
        <w:t>2</w:t>
      </w:r>
      <w:r>
        <w:rPr/>
        <w:t>、以权益结算的股份支付情况</w:t>
      </w:r>
    </w:p>
    <w:p>
      <w:pPr>
        <w:spacing w:after="0" w:line="240" w:lineRule="auto"/>
        <w:jc w:val="left"/>
        <w:sectPr>
          <w:pgSz w:w="11910" w:h="16840"/>
          <w:pgMar w:header="0" w:footer="980" w:top="1600" w:bottom="1160" w:left="1560" w:right="1420"/>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83"/>
        <w:gridCol w:w="3715"/>
      </w:tblGrid>
      <w:tr>
        <w:trPr>
          <w:trHeight w:val="381" w:hRule="exact"/>
        </w:trPr>
        <w:tc>
          <w:tcPr>
            <w:tcW w:w="49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3"/>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3"/>
              <w:ind w:right="158"/>
              <w:jc w:val="center"/>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377"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3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期权定价模型</w:t>
            </w:r>
          </w:p>
        </w:tc>
      </w:tr>
      <w:tr>
        <w:trPr>
          <w:trHeight w:val="665"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对可行权权益工具数量的确定依据</w:t>
            </w:r>
          </w:p>
        </w:tc>
        <w:tc>
          <w:tcPr>
            <w:tcW w:w="3715" w:type="dxa"/>
            <w:tcBorders>
              <w:top w:val="single" w:sz="2" w:space="0" w:color="000000"/>
              <w:left w:val="single" w:sz="2" w:space="0" w:color="000000"/>
              <w:bottom w:val="single" w:sz="2" w:space="0" w:color="000000"/>
              <w:right w:val="nil" w:sz="6" w:space="0" w:color="auto"/>
            </w:tcBorders>
          </w:tcPr>
          <w:p>
            <w:pPr>
              <w:pStyle w:val="TableParagraph"/>
              <w:spacing w:line="295" w:lineRule="auto" w:before="49"/>
              <w:ind w:left="105" w:right="272"/>
              <w:jc w:val="left"/>
              <w:rPr>
                <w:rFonts w:ascii="宋体" w:hAnsi="宋体" w:cs="宋体" w:eastAsia="宋体" w:hint="default"/>
                <w:sz w:val="18"/>
                <w:szCs w:val="18"/>
              </w:rPr>
            </w:pPr>
            <w:r>
              <w:rPr>
                <w:rFonts w:ascii="宋体" w:hAnsi="宋体" w:cs="宋体" w:eastAsia="宋体" w:hint="default"/>
                <w:spacing w:val="4"/>
                <w:sz w:val="18"/>
                <w:szCs w:val="18"/>
              </w:rPr>
              <w:t>根据最新取得的可行职工人数变动等后续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信息作出最佳估计</w:t>
            </w:r>
          </w:p>
        </w:tc>
      </w:tr>
      <w:tr>
        <w:trPr>
          <w:trHeight w:val="374"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本年估计与上年估计有重大差异的原因</w:t>
            </w:r>
          </w:p>
        </w:tc>
        <w:tc>
          <w:tcPr>
            <w:tcW w:w="3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77" w:hRule="exact"/>
        </w:trPr>
        <w:tc>
          <w:tcPr>
            <w:tcW w:w="49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3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19,951,000.00</w:t>
            </w:r>
            <w:r>
              <w:rPr>
                <w:rFonts w:ascii="宋体" w:hAnsi="宋体" w:cs="宋体" w:eastAsia="宋体" w:hint="default"/>
                <w:spacing w:val="-49"/>
                <w:sz w:val="18"/>
                <w:szCs w:val="18"/>
              </w:rPr>
              <w:t> </w:t>
            </w:r>
            <w:r>
              <w:rPr>
                <w:rFonts w:ascii="宋体" w:hAnsi="宋体" w:cs="宋体" w:eastAsia="宋体" w:hint="default"/>
                <w:sz w:val="18"/>
                <w:szCs w:val="18"/>
              </w:rPr>
              <w:t>美元</w:t>
            </w:r>
          </w:p>
        </w:tc>
      </w:tr>
      <w:tr>
        <w:trPr>
          <w:trHeight w:val="386" w:hRule="exact"/>
        </w:trPr>
        <w:tc>
          <w:tcPr>
            <w:tcW w:w="49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本年以权益结算的股份支付确认的费用总额</w:t>
            </w:r>
          </w:p>
        </w:tc>
        <w:tc>
          <w:tcPr>
            <w:tcW w:w="3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26,000.00</w:t>
            </w:r>
            <w:r>
              <w:rPr>
                <w:rFonts w:ascii="宋体" w:hAnsi="宋体" w:cs="宋体" w:eastAsia="宋体" w:hint="default"/>
                <w:spacing w:val="-47"/>
                <w:sz w:val="18"/>
                <w:szCs w:val="18"/>
              </w:rPr>
              <w:t> </w:t>
            </w:r>
            <w:r>
              <w:rPr>
                <w:rFonts w:ascii="宋体" w:hAnsi="宋体" w:cs="宋体" w:eastAsia="宋体" w:hint="default"/>
                <w:sz w:val="18"/>
                <w:szCs w:val="18"/>
              </w:rPr>
              <w:t>美元</w:t>
            </w:r>
          </w:p>
        </w:tc>
      </w:tr>
    </w:tbl>
    <w:p>
      <w:pPr>
        <w:spacing w:line="240" w:lineRule="auto" w:before="8"/>
        <w:rPr>
          <w:rFonts w:ascii="宋体" w:hAnsi="宋体" w:cs="宋体" w:eastAsia="宋体" w:hint="default"/>
          <w:sz w:val="4"/>
          <w:szCs w:val="4"/>
        </w:rPr>
      </w:pPr>
    </w:p>
    <w:p>
      <w:pPr>
        <w:pStyle w:val="Heading7"/>
        <w:spacing w:line="240" w:lineRule="auto"/>
        <w:ind w:left="679" w:right="276"/>
        <w:jc w:val="left"/>
      </w:pPr>
      <w:r>
        <w:rPr>
          <w:rFonts w:ascii="宋体" w:hAnsi="宋体" w:cs="宋体" w:eastAsia="宋体" w:hint="default"/>
        </w:rPr>
        <w:t>3</w:t>
      </w:r>
      <w:r>
        <w:rPr/>
        <w:t>、以股份支付服务情况</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983"/>
        <w:gridCol w:w="3555"/>
      </w:tblGrid>
      <w:tr>
        <w:trPr>
          <w:trHeight w:val="389" w:hRule="exact"/>
        </w:trPr>
        <w:tc>
          <w:tcPr>
            <w:tcW w:w="49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right="229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389" w:hRule="exact"/>
        </w:trPr>
        <w:tc>
          <w:tcPr>
            <w:tcW w:w="49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right="2336"/>
              <w:jc w:val="righ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35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2229" w:right="0"/>
              <w:jc w:val="left"/>
              <w:rPr>
                <w:rFonts w:ascii="宋体" w:hAnsi="宋体" w:cs="宋体" w:eastAsia="宋体" w:hint="default"/>
                <w:sz w:val="18"/>
                <w:szCs w:val="18"/>
              </w:rPr>
            </w:pPr>
            <w:r>
              <w:rPr>
                <w:rFonts w:ascii="宋体" w:hAnsi="宋体" w:cs="宋体" w:eastAsia="宋体" w:hint="default"/>
                <w:sz w:val="18"/>
                <w:szCs w:val="18"/>
              </w:rPr>
              <w:t>26,000.00</w:t>
            </w:r>
            <w:r>
              <w:rPr>
                <w:rFonts w:ascii="宋体" w:hAnsi="宋体" w:cs="宋体" w:eastAsia="宋体" w:hint="default"/>
                <w:spacing w:val="-46"/>
                <w:sz w:val="18"/>
                <w:szCs w:val="18"/>
              </w:rPr>
              <w:t> </w:t>
            </w:r>
            <w:r>
              <w:rPr>
                <w:rFonts w:ascii="宋体" w:hAnsi="宋体" w:cs="宋体" w:eastAsia="宋体" w:hint="default"/>
                <w:sz w:val="18"/>
                <w:szCs w:val="18"/>
              </w:rPr>
              <w:t>美元</w:t>
            </w:r>
          </w:p>
        </w:tc>
      </w:tr>
    </w:tbl>
    <w:p>
      <w:pPr>
        <w:spacing w:line="240" w:lineRule="auto" w:before="9"/>
        <w:rPr>
          <w:rFonts w:ascii="宋体" w:hAnsi="宋体" w:cs="宋体" w:eastAsia="宋体" w:hint="default"/>
          <w:sz w:val="4"/>
          <w:szCs w:val="4"/>
        </w:rPr>
      </w:pPr>
    </w:p>
    <w:p>
      <w:pPr>
        <w:pStyle w:val="Heading7"/>
        <w:spacing w:line="240" w:lineRule="auto"/>
        <w:ind w:left="679" w:right="276"/>
        <w:jc w:val="left"/>
      </w:pPr>
      <w:r>
        <w:rPr>
          <w:rFonts w:ascii="宋体" w:hAnsi="宋体" w:cs="宋体" w:eastAsia="宋体" w:hint="default"/>
        </w:rPr>
        <w:t>4</w:t>
      </w:r>
      <w:r>
        <w:rPr/>
        <w:t>、冠捷科技未行使购股权数目之变动及其相关加权平均行权价如下</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738"/>
        <w:gridCol w:w="1141"/>
        <w:gridCol w:w="1582"/>
        <w:gridCol w:w="1018"/>
        <w:gridCol w:w="1478"/>
        <w:gridCol w:w="1582"/>
      </w:tblGrid>
      <w:tr>
        <w:trPr>
          <w:trHeight w:val="389" w:hRule="exact"/>
        </w:trPr>
        <w:tc>
          <w:tcPr>
            <w:tcW w:w="1738"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授予日</w:t>
            </w:r>
            <w:r>
              <w:rPr>
                <w:rFonts w:ascii="宋体" w:hAnsi="宋体" w:cs="宋体" w:eastAsia="宋体" w:hint="default"/>
                <w:sz w:val="18"/>
                <w:szCs w:val="18"/>
              </w:rPr>
            </w:r>
          </w:p>
        </w:tc>
        <w:tc>
          <w:tcPr>
            <w:tcW w:w="1141"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b/>
                <w:bCs/>
                <w:sz w:val="18"/>
                <w:szCs w:val="18"/>
              </w:rPr>
              <w:t>行权价</w:t>
            </w:r>
            <w:r>
              <w:rPr>
                <w:rFonts w:ascii="宋体" w:hAnsi="宋体" w:cs="宋体" w:eastAsia="宋体" w:hint="default"/>
                <w:sz w:val="18"/>
                <w:szCs w:val="18"/>
              </w:rPr>
            </w:r>
          </w:p>
        </w:tc>
        <w:tc>
          <w:tcPr>
            <w:tcW w:w="566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b/>
                <w:bCs/>
                <w:sz w:val="18"/>
                <w:szCs w:val="18"/>
              </w:rPr>
              <w:t>可行权股数</w:t>
            </w:r>
            <w:r>
              <w:rPr>
                <w:rFonts w:ascii="宋体" w:hAnsi="宋体" w:cs="宋体" w:eastAsia="宋体" w:hint="default"/>
                <w:sz w:val="18"/>
                <w:szCs w:val="18"/>
              </w:rPr>
            </w:r>
          </w:p>
        </w:tc>
      </w:tr>
      <w:tr>
        <w:trPr>
          <w:trHeight w:val="379" w:hRule="exact"/>
        </w:trPr>
        <w:tc>
          <w:tcPr>
            <w:tcW w:w="1738" w:type="dxa"/>
            <w:vMerge/>
            <w:tcBorders>
              <w:left w:val="nil" w:sz="6" w:space="0" w:color="auto"/>
              <w:bottom w:val="single" w:sz="4" w:space="0" w:color="000000"/>
              <w:right w:val="single" w:sz="4" w:space="0" w:color="000000"/>
            </w:tcBorders>
          </w:tcPr>
          <w:p>
            <w:pPr/>
          </w:p>
        </w:tc>
        <w:tc>
          <w:tcPr>
            <w:tcW w:w="1141"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8" w:right="0"/>
              <w:jc w:val="left"/>
              <w:rPr>
                <w:rFonts w:ascii="宋体" w:hAnsi="宋体" w:cs="宋体" w:eastAsia="宋体" w:hint="default"/>
                <w:sz w:val="18"/>
                <w:szCs w:val="18"/>
              </w:rPr>
            </w:pPr>
            <w:r>
              <w:rPr>
                <w:rFonts w:ascii="宋体"/>
                <w:b/>
                <w:sz w:val="18"/>
              </w:rPr>
              <w:t>2014-12-31</w:t>
            </w:r>
            <w:r>
              <w:rPr>
                <w:rFonts w:ascii="宋体"/>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b/>
                <w:bCs/>
                <w:sz w:val="18"/>
                <w:szCs w:val="18"/>
              </w:rPr>
              <w:t>年内行权</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b/>
                <w:bCs/>
                <w:sz w:val="18"/>
                <w:szCs w:val="18"/>
              </w:rPr>
              <w:t>年内失效</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331" w:right="0"/>
              <w:jc w:val="left"/>
              <w:rPr>
                <w:rFonts w:ascii="宋体" w:hAnsi="宋体" w:cs="宋体" w:eastAsia="宋体" w:hint="default"/>
                <w:sz w:val="18"/>
                <w:szCs w:val="18"/>
              </w:rPr>
            </w:pPr>
            <w:r>
              <w:rPr>
                <w:rFonts w:ascii="宋体"/>
                <w:b/>
                <w:sz w:val="18"/>
              </w:rPr>
              <w:t>2015-12-31</w:t>
            </w:r>
            <w:r>
              <w:rPr>
                <w:rFonts w:ascii="宋体"/>
                <w:sz w:val="18"/>
              </w:rPr>
            </w:r>
          </w:p>
        </w:tc>
      </w:tr>
      <w:tr>
        <w:trPr>
          <w:trHeight w:val="382"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5.008</w:t>
            </w:r>
            <w:r>
              <w:rPr>
                <w:rFonts w:ascii="宋体" w:hAnsi="宋体" w:cs="宋体" w:eastAsia="宋体" w:hint="default"/>
                <w:spacing w:val="-45"/>
                <w:sz w:val="18"/>
                <w:szCs w:val="18"/>
              </w:rPr>
              <w:t> </w:t>
            </w:r>
            <w:r>
              <w:rPr>
                <w:rFonts w:ascii="宋体" w:hAnsi="宋体" w:cs="宋体" w:eastAsia="宋体" w:hint="default"/>
                <w:sz w:val="18"/>
                <w:szCs w:val="18"/>
              </w:rPr>
              <w:t>港币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sz w:val="18"/>
              </w:rPr>
              <w:t>33,770,000.00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4,300,000.00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97" w:right="0"/>
              <w:jc w:val="left"/>
              <w:rPr>
                <w:rFonts w:ascii="宋体" w:hAnsi="宋体" w:cs="宋体" w:eastAsia="宋体" w:hint="default"/>
                <w:sz w:val="18"/>
                <w:szCs w:val="18"/>
              </w:rPr>
            </w:pPr>
            <w:r>
              <w:rPr>
                <w:rFonts w:ascii="宋体"/>
                <w:sz w:val="18"/>
              </w:rPr>
              <w:t>29,470,000.00</w:t>
            </w:r>
          </w:p>
        </w:tc>
      </w:tr>
      <w:tr>
        <w:trPr>
          <w:trHeight w:val="389" w:hRule="exact"/>
        </w:trPr>
        <w:tc>
          <w:tcPr>
            <w:tcW w:w="17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41" w:type="dxa"/>
            <w:tcBorders>
              <w:top w:val="single" w:sz="4" w:space="0" w:color="000000"/>
              <w:left w:val="single" w:sz="4" w:space="0" w:color="000000"/>
              <w:bottom w:val="single" w:sz="12" w:space="0" w:color="000000"/>
              <w:right w:val="single" w:sz="4" w:space="0" w:color="000000"/>
            </w:tcBorders>
          </w:tcPr>
          <w:p>
            <w:pP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87" w:right="0"/>
              <w:jc w:val="left"/>
              <w:rPr>
                <w:rFonts w:ascii="宋体" w:hAnsi="宋体" w:cs="宋体" w:eastAsia="宋体" w:hint="default"/>
                <w:sz w:val="18"/>
                <w:szCs w:val="18"/>
              </w:rPr>
            </w:pPr>
            <w:r>
              <w:rPr>
                <w:rFonts w:ascii="宋体"/>
                <w:b/>
                <w:sz w:val="18"/>
              </w:rPr>
              <w:t>33,770,000.00</w:t>
            </w:r>
            <w:r>
              <w:rPr>
                <w:rFonts w:ascii="宋体"/>
                <w:sz w:val="18"/>
              </w:rPr>
            </w:r>
          </w:p>
        </w:tc>
        <w:tc>
          <w:tcPr>
            <w:tcW w:w="1018" w:type="dxa"/>
            <w:tcBorders>
              <w:top w:val="single" w:sz="4" w:space="0" w:color="000000"/>
              <w:left w:val="single" w:sz="4" w:space="0" w:color="000000"/>
              <w:bottom w:val="single" w:sz="12" w:space="0" w:color="000000"/>
              <w:right w:val="single" w:sz="4" w:space="0" w:color="000000"/>
            </w:tcBorders>
          </w:tcPr>
          <w:p>
            <w:pP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4,300,000.00</w:t>
            </w:r>
            <w:r>
              <w:rPr>
                <w:rFonts w:ascii="宋体"/>
                <w:sz w:val="18"/>
              </w:rPr>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290" w:right="0"/>
              <w:jc w:val="left"/>
              <w:rPr>
                <w:rFonts w:ascii="宋体" w:hAnsi="宋体" w:cs="宋体" w:eastAsia="宋体" w:hint="default"/>
                <w:sz w:val="18"/>
                <w:szCs w:val="18"/>
              </w:rPr>
            </w:pPr>
            <w:r>
              <w:rPr>
                <w:rFonts w:ascii="宋体"/>
                <w:b/>
                <w:sz w:val="18"/>
              </w:rPr>
              <w:t>29,470,000.00</w:t>
            </w:r>
            <w:r>
              <w:rPr>
                <w:rFonts w:ascii="宋体"/>
                <w:sz w:val="18"/>
              </w:rPr>
            </w:r>
          </w:p>
        </w:tc>
      </w:tr>
    </w:tbl>
    <w:p>
      <w:pPr>
        <w:spacing w:line="240" w:lineRule="auto" w:before="8"/>
        <w:rPr>
          <w:rFonts w:ascii="宋体" w:hAnsi="宋体" w:cs="宋体" w:eastAsia="宋体" w:hint="default"/>
          <w:sz w:val="4"/>
          <w:szCs w:val="4"/>
        </w:rPr>
      </w:pPr>
    </w:p>
    <w:p>
      <w:pPr>
        <w:pStyle w:val="Heading7"/>
        <w:spacing w:line="326" w:lineRule="auto"/>
        <w:ind w:left="240" w:right="393" w:firstLine="439"/>
        <w:jc w:val="both"/>
        <w:rPr>
          <w:rFonts w:ascii="宋体" w:hAnsi="宋体" w:cs="宋体" w:eastAsia="宋体" w:hint="default"/>
        </w:rPr>
      </w:pPr>
      <w:r>
        <w:rPr>
          <w:w w:val="100"/>
        </w:rPr>
        <w:t>注</w:t>
      </w:r>
      <w:r>
        <w:rPr>
          <w:spacing w:val="-39"/>
          <w:w w:val="100"/>
        </w:rPr>
        <w:t> </w:t>
      </w:r>
      <w:r>
        <w:rPr>
          <w:rFonts w:ascii="宋体" w:hAnsi="宋体" w:cs="宋体" w:eastAsia="宋体" w:hint="default"/>
          <w:spacing w:val="-1"/>
          <w:w w:val="100"/>
        </w:rPr>
        <w:t>1</w:t>
      </w:r>
      <w:r>
        <w:rPr>
          <w:spacing w:val="-1"/>
          <w:w w:val="100"/>
        </w:rPr>
        <w:t>：以上股票期权的行权价为每股</w:t>
      </w:r>
      <w:r>
        <w:rPr>
          <w:spacing w:val="-38"/>
          <w:w w:val="100"/>
        </w:rPr>
        <w:t> </w:t>
      </w:r>
      <w:r>
        <w:rPr>
          <w:rFonts w:ascii="宋体" w:hAnsi="宋体" w:cs="宋体" w:eastAsia="宋体" w:hint="default"/>
          <w:spacing w:val="-1"/>
          <w:w w:val="100"/>
        </w:rPr>
        <w:t>5.008</w:t>
      </w:r>
      <w:r>
        <w:rPr>
          <w:rFonts w:ascii="宋体" w:hAnsi="宋体" w:cs="宋体" w:eastAsia="宋体" w:hint="default"/>
          <w:spacing w:val="-39"/>
          <w:w w:val="100"/>
        </w:rPr>
        <w:t> </w:t>
      </w:r>
      <w:r>
        <w:rPr>
          <w:spacing w:val="-1"/>
          <w:w w:val="100"/>
        </w:rPr>
        <w:t>港币（</w:t>
      </w:r>
      <w:r>
        <w:rPr>
          <w:rFonts w:ascii="宋体" w:hAnsi="宋体" w:cs="宋体" w:eastAsia="宋体" w:hint="default"/>
          <w:spacing w:val="-1"/>
          <w:w w:val="100"/>
        </w:rPr>
        <w:t>0.64</w:t>
      </w:r>
      <w:r>
        <w:rPr>
          <w:rFonts w:ascii="宋体" w:hAnsi="宋体" w:cs="宋体" w:eastAsia="宋体" w:hint="default"/>
          <w:spacing w:val="-39"/>
          <w:w w:val="100"/>
        </w:rPr>
        <w:t> </w:t>
      </w:r>
      <w:r>
        <w:rPr>
          <w:spacing w:val="-11"/>
          <w:w w:val="100"/>
        </w:rPr>
        <w:t>美元），可分四期行使：即</w:t>
      </w:r>
      <w:r>
        <w:rPr>
          <w:w w:val="100"/>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t>日至</w:t>
      </w:r>
      <w:r>
        <w:rPr>
          <w:spacing w:val="-53"/>
        </w:rPr>
        <w:t> </w:t>
      </w:r>
      <w:r>
        <w:rPr>
          <w:rFonts w:ascii="宋体" w:hAnsi="宋体" w:cs="宋体" w:eastAsia="宋体" w:hint="default"/>
        </w:rPr>
        <w:t>2021</w:t>
      </w:r>
      <w:r>
        <w:rPr>
          <w:rFonts w:ascii="宋体" w:hAnsi="宋体" w:cs="宋体" w:eastAsia="宋体" w:hint="default"/>
          <w:spacing w:val="-52"/>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t>日至</w:t>
      </w:r>
      <w:r>
        <w:rPr>
          <w:spacing w:val="-53"/>
        </w:rPr>
        <w:t> </w:t>
      </w:r>
      <w:r>
        <w:rPr>
          <w:rFonts w:ascii="宋体" w:hAnsi="宋体" w:cs="宋体" w:eastAsia="宋体" w:hint="default"/>
        </w:rPr>
        <w:t>2021</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2"/>
        </w:rPr>
        <w:t> </w:t>
      </w:r>
      <w:r>
        <w:rPr/>
        <w:t>日、</w:t>
      </w:r>
      <w:r>
        <w:rPr>
          <w:rFonts w:ascii="宋体" w:hAnsi="宋体" w:cs="宋体" w:eastAsia="宋体" w:hint="default"/>
        </w:rPr>
        <w:t>2014</w:t>
      </w:r>
    </w:p>
    <w:p>
      <w:pPr>
        <w:pStyle w:val="Heading7"/>
        <w:spacing w:line="324" w:lineRule="auto" w:before="24"/>
        <w:ind w:left="240" w:right="276"/>
        <w:jc w:val="left"/>
      </w:pP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日至</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3"/>
        </w:rPr>
        <w:t> </w:t>
      </w:r>
      <w:r>
        <w:rPr/>
        <w:t>日及</w:t>
      </w:r>
      <w:r>
        <w:rPr>
          <w:spacing w:val="-55"/>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2"/>
        </w:rPr>
        <w:t> </w:t>
      </w:r>
      <w:r>
        <w:rPr>
          <w:rFonts w:ascii="宋体" w:hAnsi="宋体" w:cs="宋体" w:eastAsia="宋体" w:hint="default"/>
        </w:rPr>
        <w:t>18</w:t>
      </w:r>
      <w:r>
        <w:rPr>
          <w:rFonts w:ascii="宋体" w:hAnsi="宋体" w:cs="宋体" w:eastAsia="宋体" w:hint="default"/>
          <w:spacing w:val="-53"/>
        </w:rPr>
        <w:t> </w:t>
      </w:r>
      <w:r>
        <w:rPr/>
        <w:t>日至</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日期间，分别</w:t>
      </w:r>
      <w:r>
        <w:rPr>
          <w:w w:val="100"/>
        </w:rPr>
        <w:t> </w:t>
      </w:r>
      <w:r>
        <w:rPr/>
        <w:t>以</w:t>
      </w:r>
      <w:r>
        <w:rPr>
          <w:spacing w:val="-58"/>
        </w:rPr>
        <w:t> </w:t>
      </w:r>
      <w:r>
        <w:rPr>
          <w:rFonts w:ascii="宋体" w:hAnsi="宋体" w:cs="宋体" w:eastAsia="宋体" w:hint="default"/>
        </w:rPr>
        <w:t>25%</w:t>
      </w:r>
      <w:r>
        <w:rPr/>
        <w:t>、</w:t>
      </w:r>
      <w:r>
        <w:rPr>
          <w:rFonts w:ascii="宋体" w:hAnsi="宋体" w:cs="宋体" w:eastAsia="宋体" w:hint="default"/>
        </w:rPr>
        <w:t>50%</w:t>
      </w:r>
      <w:r>
        <w:rPr/>
        <w:t>、</w:t>
      </w:r>
      <w:r>
        <w:rPr>
          <w:rFonts w:ascii="宋体" w:hAnsi="宋体" w:cs="宋体" w:eastAsia="宋体" w:hint="default"/>
        </w:rPr>
        <w:t>75%</w:t>
      </w:r>
      <w:r>
        <w:rPr/>
        <w:t>及</w:t>
      </w:r>
      <w:r>
        <w:rPr>
          <w:spacing w:val="-58"/>
        </w:rPr>
        <w:t> </w:t>
      </w:r>
      <w:r>
        <w:rPr>
          <w:rFonts w:ascii="宋体" w:hAnsi="宋体" w:cs="宋体" w:eastAsia="宋体" w:hint="default"/>
        </w:rPr>
        <w:t>100%</w:t>
      </w:r>
      <w:r>
        <w:rPr/>
        <w:t>之可予行使购股权百分比上限认购冠捷科技股份。</w:t>
      </w:r>
    </w:p>
    <w:p>
      <w:pPr>
        <w:pStyle w:val="Heading7"/>
        <w:spacing w:line="487" w:lineRule="auto" w:before="103"/>
        <w:ind w:left="681" w:right="2422" w:hanging="3"/>
        <w:jc w:val="left"/>
        <w:rPr>
          <w:rFonts w:ascii="宋体" w:hAnsi="宋体" w:cs="宋体" w:eastAsia="宋体" w:hint="default"/>
        </w:rPr>
      </w:pPr>
      <w:r>
        <w:rPr/>
        <w:t>本年有</w:t>
      </w:r>
      <w:r>
        <w:rPr>
          <w:spacing w:val="-57"/>
        </w:rPr>
        <w:t> </w:t>
      </w:r>
      <w:r>
        <w:rPr>
          <w:rFonts w:ascii="宋体" w:hAnsi="宋体" w:cs="宋体" w:eastAsia="宋体" w:hint="default"/>
        </w:rPr>
        <w:t>4,300,000.00</w:t>
      </w:r>
      <w:r>
        <w:rPr>
          <w:rFonts w:ascii="宋体" w:hAnsi="宋体" w:cs="宋体" w:eastAsia="宋体" w:hint="default"/>
          <w:spacing w:val="-57"/>
        </w:rPr>
        <w:t> </w:t>
      </w:r>
      <w:r>
        <w:rPr/>
        <w:t>股可行权因特定员工终止雇佣而失效。</w:t>
      </w:r>
      <w:r>
        <w:rPr>
          <w:w w:val="100"/>
        </w:rPr>
        <w:t> </w:t>
      </w:r>
      <w:r>
        <w:rPr>
          <w:rFonts w:ascii="宋体" w:hAnsi="宋体" w:cs="宋体" w:eastAsia="宋体" w:hint="default"/>
          <w:b/>
          <w:bCs/>
        </w:rPr>
        <w:t>十三、或有事项</w:t>
      </w:r>
      <w:r>
        <w:rPr>
          <w:rFonts w:ascii="宋体" w:hAnsi="宋体" w:cs="宋体" w:eastAsia="宋体" w:hint="default"/>
        </w:rPr>
      </w:r>
    </w:p>
    <w:p>
      <w:pPr>
        <w:spacing w:line="391" w:lineRule="auto" w:before="0"/>
        <w:ind w:left="679" w:right="276" w:firstLine="2"/>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、未决诉讼或仲裁形成的或有负债</w:t>
      </w:r>
      <w:r>
        <w:rPr>
          <w:rFonts w:ascii="宋体" w:hAnsi="宋体" w:cs="宋体" w:eastAsia="宋体" w:hint="default"/>
          <w:b/>
          <w:bCs/>
          <w:w w:val="99"/>
          <w:sz w:val="22"/>
          <w:szCs w:val="22"/>
        </w:rPr>
        <w:t> </w:t>
      </w:r>
      <w:r>
        <w:rPr>
          <w:rFonts w:ascii="宋体" w:hAnsi="宋体" w:cs="宋体" w:eastAsia="宋体" w:hint="default"/>
          <w:spacing w:val="-3"/>
          <w:sz w:val="22"/>
          <w:szCs w:val="22"/>
        </w:rPr>
        <w:t>本报告期公司无重大诉讼、仲裁事项。关于下属子公司冠捷科技未决诉讼或仲裁形</w:t>
      </w:r>
    </w:p>
    <w:p>
      <w:pPr>
        <w:pStyle w:val="Heading7"/>
        <w:spacing w:line="253" w:lineRule="exact" w:before="0"/>
        <w:ind w:left="240" w:right="276"/>
        <w:jc w:val="left"/>
      </w:pPr>
      <w:r>
        <w:rPr>
          <w:spacing w:val="-3"/>
        </w:rPr>
        <w:t>成的或有负债事项如下（冠捷科技董事预期任何该等法律程序的结果均不会对冠捷科技</w:t>
      </w:r>
    </w:p>
    <w:p>
      <w:pPr>
        <w:pStyle w:val="Heading7"/>
        <w:spacing w:line="240" w:lineRule="auto" w:before="101"/>
        <w:ind w:left="240" w:right="276"/>
        <w:jc w:val="left"/>
      </w:pPr>
      <w:r>
        <w:rPr>
          <w:w w:val="100"/>
        </w:rPr>
        <w:t>的财务</w:t>
      </w:r>
      <w:r>
        <w:rPr>
          <w:spacing w:val="-3"/>
          <w:w w:val="100"/>
        </w:rPr>
        <w:t>状</w:t>
      </w:r>
      <w:r>
        <w:rPr>
          <w:w w:val="100"/>
        </w:rPr>
        <w:t>况或</w:t>
      </w:r>
      <w:r>
        <w:rPr>
          <w:spacing w:val="-3"/>
          <w:w w:val="100"/>
        </w:rPr>
        <w:t>经</w:t>
      </w:r>
      <w:r>
        <w:rPr>
          <w:w w:val="100"/>
        </w:rPr>
        <w:t>营业</w:t>
      </w:r>
      <w:r>
        <w:rPr>
          <w:spacing w:val="-3"/>
          <w:w w:val="100"/>
        </w:rPr>
        <w:t>绩构</w:t>
      </w:r>
      <w:r>
        <w:rPr>
          <w:w w:val="100"/>
        </w:rPr>
        <w:t>成重大</w:t>
      </w:r>
      <w:r>
        <w:rPr>
          <w:spacing w:val="-3"/>
          <w:w w:val="100"/>
        </w:rPr>
        <w:t>不</w:t>
      </w:r>
      <w:r>
        <w:rPr>
          <w:w w:val="100"/>
        </w:rPr>
        <w:t>利影响</w:t>
      </w:r>
      <w:r>
        <w:rPr>
          <w:spacing w:val="-113"/>
          <w:w w:val="100"/>
        </w:rPr>
        <w:t>）</w:t>
      </w:r>
      <w:r>
        <w:rPr>
          <w:w w:val="100"/>
        </w:rPr>
        <w:t>：</w:t>
      </w:r>
    </w:p>
    <w:p>
      <w:pPr>
        <w:pStyle w:val="Heading7"/>
        <w:spacing w:line="326" w:lineRule="auto" w:before="180"/>
        <w:ind w:left="240" w:right="397" w:firstLine="439"/>
        <w:jc w:val="both"/>
      </w:pPr>
      <w:r>
        <w:rPr/>
        <w:t>（</w:t>
      </w: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59"/>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月，一间第三方公司在美国对冠捷科技就各方签订的一份协议内与</w:t>
      </w:r>
      <w:r>
        <w:rPr>
          <w:w w:val="100"/>
        </w:rPr>
        <w:t> </w:t>
      </w:r>
      <w:r>
        <w:rPr/>
        <w:t>补偿责任相关的赔偿提出诉讼。</w:t>
      </w:r>
    </w:p>
    <w:p>
      <w:pPr>
        <w:pStyle w:val="Heading7"/>
        <w:spacing w:line="326" w:lineRule="auto" w:before="98"/>
        <w:ind w:left="240" w:right="391" w:firstLine="439"/>
        <w:jc w:val="both"/>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7"/>
        </w:rPr>
        <w:t> </w:t>
      </w:r>
      <w:r>
        <w:rPr/>
        <w:t>年，一名第三方就寻求收回当时由</w:t>
      </w:r>
      <w:r>
        <w:rPr>
          <w:spacing w:val="-53"/>
        </w:rPr>
        <w:t> </w:t>
      </w:r>
      <w:r>
        <w:rPr>
          <w:rFonts w:ascii="宋体" w:hAnsi="宋体" w:cs="宋体" w:eastAsia="宋体" w:hint="default"/>
        </w:rPr>
        <w:t>TP</w:t>
      </w:r>
      <w:r>
        <w:rPr>
          <w:rFonts w:ascii="宋体" w:hAnsi="宋体" w:cs="宋体" w:eastAsia="宋体" w:hint="default"/>
          <w:spacing w:val="-1"/>
        </w:rPr>
        <w:t> </w:t>
      </w:r>
      <w:r>
        <w:rPr>
          <w:rFonts w:ascii="宋体" w:hAnsi="宋体" w:cs="宋体" w:eastAsia="宋体" w:hint="default"/>
        </w:rPr>
        <w:t>Vision</w:t>
      </w:r>
      <w:r>
        <w:rPr>
          <w:rFonts w:ascii="宋体" w:hAnsi="宋体" w:cs="宋体" w:eastAsia="宋体" w:hint="default"/>
          <w:spacing w:val="-54"/>
        </w:rPr>
        <w:t> </w:t>
      </w:r>
      <w:r>
        <w:rPr/>
        <w:t>集团拥有的一幅面积相对</w:t>
      </w:r>
      <w:r>
        <w:rPr>
          <w:w w:val="100"/>
        </w:rPr>
        <w:t> </w:t>
      </w:r>
      <w:r>
        <w:rPr>
          <w:spacing w:val="-3"/>
        </w:rPr>
        <w:t>较小的土地提出赔偿。该事项目前由法律机关进行审议。根据与飞利浦订立的股份买卖</w:t>
      </w:r>
      <w:r>
        <w:rPr>
          <w:spacing w:val="-58"/>
        </w:rPr>
        <w:t> </w:t>
      </w:r>
      <w:r>
        <w:rPr>
          <w:spacing w:val="-58"/>
        </w:rPr>
      </w:r>
      <w:r>
        <w:rPr/>
        <w:t>协议，此次赔偿导致的任何损失将全数由飞利浦补偿。</w:t>
      </w:r>
    </w:p>
    <w:p>
      <w:pPr>
        <w:pStyle w:val="Heading7"/>
        <w:spacing w:line="326" w:lineRule="auto" w:before="98"/>
        <w:ind w:left="240" w:right="394" w:firstLine="439"/>
        <w:jc w:val="both"/>
      </w:pPr>
      <w:r>
        <w:rPr>
          <w:spacing w:val="-8"/>
        </w:rPr>
        <w:t>（</w:t>
      </w:r>
      <w:r>
        <w:rPr>
          <w:rFonts w:ascii="宋体" w:hAnsi="宋体" w:cs="宋体" w:eastAsia="宋体" w:hint="default"/>
          <w:spacing w:val="-8"/>
        </w:rPr>
        <w:t>3</w:t>
      </w:r>
      <w:r>
        <w:rPr>
          <w:spacing w:val="-8"/>
        </w:rPr>
        <w:t>）</w:t>
      </w:r>
      <w:r>
        <w:rPr>
          <w:rFonts w:ascii="宋体" w:hAnsi="宋体" w:cs="宋体" w:eastAsia="宋体" w:hint="default"/>
          <w:spacing w:val="-8"/>
        </w:rPr>
        <w:t>2013</w:t>
      </w:r>
      <w:r>
        <w:rPr>
          <w:rFonts w:ascii="宋体" w:hAnsi="宋体" w:cs="宋体" w:eastAsia="宋体" w:hint="default"/>
          <w:spacing w:val="-25"/>
        </w:rPr>
        <w:t> </w:t>
      </w:r>
      <w:r>
        <w:rPr>
          <w:spacing w:val="-3"/>
        </w:rPr>
        <w:t>年，一个指定国家的民法典规定生产或进口具复制音频</w:t>
      </w:r>
      <w:r>
        <w:rPr>
          <w:rFonts w:ascii="宋体" w:hAnsi="宋体" w:cs="宋体" w:eastAsia="宋体" w:hint="default"/>
          <w:spacing w:val="-3"/>
        </w:rPr>
        <w:t>/</w:t>
      </w:r>
      <w:r>
        <w:rPr>
          <w:spacing w:val="-3"/>
        </w:rPr>
        <w:t>视频功能商品的</w:t>
      </w:r>
      <w:r>
        <w:rPr>
          <w:w w:val="100"/>
        </w:rPr>
        <w:t> </w:t>
      </w:r>
      <w:r>
        <w:rPr>
          <w:spacing w:val="-3"/>
        </w:rPr>
        <w:t>所有公司必须透过当地的版权拥有人协会向版权拥有人（不具名作者名单）支付营业额</w:t>
      </w:r>
    </w:p>
    <w:p>
      <w:pPr>
        <w:pStyle w:val="Heading7"/>
        <w:spacing w:line="240" w:lineRule="auto" w:before="24"/>
        <w:ind w:left="240" w:right="276"/>
        <w:jc w:val="left"/>
      </w:pPr>
      <w:r>
        <w:rPr/>
        <w:t>（进口或生产价值）的</w:t>
      </w:r>
      <w:r>
        <w:rPr>
          <w:spacing w:val="-56"/>
        </w:rPr>
        <w:t> </w:t>
      </w:r>
      <w:r>
        <w:rPr>
          <w:rFonts w:ascii="宋体" w:hAnsi="宋体" w:cs="宋体" w:eastAsia="宋体" w:hint="default"/>
        </w:rPr>
        <w:t>1%</w:t>
      </w:r>
      <w:r>
        <w:rPr/>
        <w:t>的版权费用。</w:t>
      </w:r>
    </w:p>
    <w:p>
      <w:pPr>
        <w:spacing w:after="0" w:line="240" w:lineRule="auto"/>
        <w:jc w:val="left"/>
        <w:sectPr>
          <w:pgSz w:w="11910" w:h="16840"/>
          <w:pgMar w:header="0" w:footer="980" w:top="1600" w:bottom="1160" w:left="1560" w:right="140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right="377" w:firstLine="439"/>
        <w:jc w:val="both"/>
      </w:pPr>
      <w:r>
        <w:rPr/>
        <w:t>（</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59"/>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月，美国国际贸易委员会基于一间第三方公司对冠捷科技及其他第</w:t>
      </w:r>
      <w:r>
        <w:rPr>
          <w:w w:val="100"/>
        </w:rPr>
        <w:t> </w:t>
      </w:r>
      <w:r>
        <w:rPr>
          <w:spacing w:val="-3"/>
        </w:rPr>
        <w:t>三方的修正诉讼展开调查。该调查是就该第三方公司声称冠捷科技某些电视侵犯其某些</w:t>
      </w:r>
      <w:r>
        <w:rPr>
          <w:spacing w:val="-58"/>
        </w:rPr>
        <w:t> </w:t>
      </w:r>
      <w:r>
        <w:rPr>
          <w:spacing w:val="-58"/>
        </w:rPr>
      </w:r>
      <w:r>
        <w:rPr>
          <w:spacing w:val="-12"/>
          <w:w w:val="100"/>
        </w:rPr>
        <w:t>电视调频器技术专利（“专利Ⅰ”）而作出。</w:t>
      </w:r>
    </w:p>
    <w:p>
      <w:pPr>
        <w:pStyle w:val="Heading7"/>
        <w:spacing w:line="240" w:lineRule="auto" w:before="98"/>
        <w:ind w:left="559" w:right="0"/>
        <w:jc w:val="left"/>
      </w:pP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9"/>
        </w:rPr>
        <w:t> </w:t>
      </w:r>
      <w:r>
        <w:rPr>
          <w:rFonts w:ascii="宋体" w:hAnsi="宋体" w:cs="宋体" w:eastAsia="宋体" w:hint="default"/>
        </w:rPr>
        <w:t>29</w:t>
      </w:r>
      <w:r>
        <w:rPr>
          <w:rFonts w:ascii="宋体" w:hAnsi="宋体" w:cs="宋体" w:eastAsia="宋体" w:hint="default"/>
          <w:spacing w:val="-56"/>
        </w:rPr>
        <w:t> </w:t>
      </w:r>
      <w:r>
        <w:rPr/>
        <w:t>日，美国国际贸易委员会行政法官作出最终判决，确定本案并未违</w:t>
      </w:r>
    </w:p>
    <w:p>
      <w:pPr>
        <w:pStyle w:val="Heading7"/>
        <w:spacing w:line="240" w:lineRule="auto" w:before="103"/>
        <w:ind w:right="0"/>
        <w:jc w:val="left"/>
      </w:pPr>
      <w:r>
        <w:rPr/>
        <w:t>反美国关税法第</w:t>
      </w:r>
      <w:r>
        <w:rPr>
          <w:spacing w:val="-58"/>
        </w:rPr>
        <w:t> </w:t>
      </w:r>
      <w:r>
        <w:rPr>
          <w:rFonts w:ascii="宋体" w:hAnsi="宋体" w:cs="宋体" w:eastAsia="宋体" w:hint="default"/>
        </w:rPr>
        <w:t>337</w:t>
      </w:r>
      <w:r>
        <w:rPr>
          <w:rFonts w:ascii="宋体" w:hAnsi="宋体" w:cs="宋体" w:eastAsia="宋体" w:hint="default"/>
          <w:spacing w:val="-55"/>
        </w:rPr>
        <w:t> </w:t>
      </w:r>
      <w:r>
        <w:rPr/>
        <w:t>条款而终止调查。</w:t>
      </w:r>
    </w:p>
    <w:p>
      <w:pPr>
        <w:pStyle w:val="Heading7"/>
        <w:spacing w:line="326" w:lineRule="auto" w:before="180"/>
        <w:ind w:right="368" w:firstLine="439"/>
        <w:jc w:val="left"/>
      </w:pPr>
      <w:r>
        <w:rPr/>
        <w:t>（</w:t>
      </w: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59"/>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月，一间第三方公司在美国对冠捷科技提出诉讼。该诉讼起因是就</w:t>
      </w:r>
      <w:r>
        <w:rPr>
          <w:w w:val="100"/>
        </w:rPr>
        <w:t> </w:t>
      </w:r>
      <w:r>
        <w:rPr/>
        <w:t>一份关于欧洲数位电视的专利授权协议的争议。</w:t>
      </w:r>
    </w:p>
    <w:p>
      <w:pPr>
        <w:pStyle w:val="Heading7"/>
        <w:spacing w:line="240" w:lineRule="auto" w:before="98"/>
        <w:ind w:left="559" w:right="0"/>
        <w:jc w:val="left"/>
      </w:pPr>
      <w:r>
        <w:rPr>
          <w:rFonts w:ascii="宋体" w:hAnsi="宋体" w:cs="宋体" w:eastAsia="宋体" w:hint="default"/>
          <w:w w:val="100"/>
        </w:rPr>
        <w:t>2016</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8"/>
        </w:rPr>
        <w:t> </w:t>
      </w:r>
      <w:r>
        <w:rPr>
          <w:w w:val="100"/>
        </w:rPr>
        <w:t>月</w:t>
      </w:r>
      <w:r>
        <w:rPr>
          <w:spacing w:val="-111"/>
          <w:w w:val="100"/>
        </w:rPr>
        <w:t>，</w:t>
      </w:r>
      <w:r>
        <w:rPr>
          <w:w w:val="100"/>
        </w:rPr>
        <w:t>冠</w:t>
      </w:r>
      <w:r>
        <w:rPr>
          <w:spacing w:val="-3"/>
          <w:w w:val="100"/>
        </w:rPr>
        <w:t>捷</w:t>
      </w:r>
      <w:r>
        <w:rPr>
          <w:w w:val="100"/>
        </w:rPr>
        <w:t>科技</w:t>
      </w:r>
      <w:r>
        <w:rPr>
          <w:spacing w:val="-3"/>
          <w:w w:val="100"/>
        </w:rPr>
        <w:t>与</w:t>
      </w:r>
      <w:r>
        <w:rPr>
          <w:w w:val="100"/>
        </w:rPr>
        <w:t>第三方</w:t>
      </w:r>
      <w:r>
        <w:rPr>
          <w:spacing w:val="-3"/>
          <w:w w:val="100"/>
        </w:rPr>
        <w:t>订</w:t>
      </w:r>
      <w:r>
        <w:rPr>
          <w:w w:val="100"/>
        </w:rPr>
        <w:t>立商</w:t>
      </w:r>
      <w:r>
        <w:rPr>
          <w:spacing w:val="-3"/>
          <w:w w:val="100"/>
        </w:rPr>
        <w:t>业</w:t>
      </w:r>
      <w:r>
        <w:rPr>
          <w:w w:val="100"/>
        </w:rPr>
        <w:t>和解</w:t>
      </w:r>
      <w:r>
        <w:rPr>
          <w:spacing w:val="-3"/>
          <w:w w:val="100"/>
        </w:rPr>
        <w:t>以撤</w:t>
      </w:r>
      <w:r>
        <w:rPr>
          <w:w w:val="100"/>
        </w:rPr>
        <w:t>销合约</w:t>
      </w:r>
      <w:r>
        <w:rPr>
          <w:spacing w:val="-3"/>
          <w:w w:val="100"/>
        </w:rPr>
        <w:t>争</w:t>
      </w:r>
      <w:r>
        <w:rPr>
          <w:w w:val="100"/>
        </w:rPr>
        <w:t>议</w:t>
      </w:r>
      <w:r>
        <w:rPr>
          <w:spacing w:val="-111"/>
          <w:w w:val="100"/>
        </w:rPr>
        <w:t>。</w:t>
      </w:r>
      <w:r>
        <w:rPr>
          <w:w w:val="100"/>
        </w:rPr>
        <w:t>冠</w:t>
      </w:r>
      <w:r>
        <w:rPr>
          <w:spacing w:val="-3"/>
          <w:w w:val="100"/>
        </w:rPr>
        <w:t>捷</w:t>
      </w:r>
      <w:r>
        <w:rPr>
          <w:w w:val="100"/>
        </w:rPr>
        <w:t>科技</w:t>
      </w:r>
      <w:r>
        <w:rPr>
          <w:spacing w:val="-3"/>
          <w:w w:val="100"/>
        </w:rPr>
        <w:t>董</w:t>
      </w:r>
      <w:r>
        <w:rPr>
          <w:w w:val="100"/>
        </w:rPr>
        <w:t>事认为，</w:t>
      </w:r>
    </w:p>
    <w:p>
      <w:pPr>
        <w:pStyle w:val="Heading7"/>
        <w:spacing w:line="326" w:lineRule="auto" w:before="103"/>
        <w:ind w:right="369"/>
        <w:jc w:val="left"/>
      </w:pPr>
      <w:r>
        <w:rPr/>
        <w:t>和解净额并不重大且已于</w:t>
      </w:r>
      <w:r>
        <w:rPr>
          <w:spacing w:val="-48"/>
        </w:rPr>
        <w:t> </w:t>
      </w:r>
      <w:r>
        <w:rPr>
          <w:rFonts w:ascii="宋体" w:hAnsi="宋体" w:cs="宋体" w:eastAsia="宋体" w:hint="default"/>
        </w:rPr>
        <w:t>2015</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spacing w:val="-4"/>
        </w:rPr>
        <w:t>月在收益表内确认，因有关条款及和解金额属保密</w:t>
      </w:r>
      <w:r>
        <w:rPr>
          <w:spacing w:val="-108"/>
        </w:rPr>
        <w:t> </w:t>
      </w:r>
      <w:r>
        <w:rPr>
          <w:spacing w:val="-108"/>
        </w:rPr>
      </w:r>
      <w:r>
        <w:rPr/>
        <w:t>性质且涉及敏感资料，故并未全面载列披露相关资料。</w:t>
      </w:r>
    </w:p>
    <w:p>
      <w:pPr>
        <w:pStyle w:val="Heading7"/>
        <w:spacing w:line="326" w:lineRule="auto" w:before="99"/>
        <w:ind w:right="373" w:firstLine="439"/>
        <w:jc w:val="both"/>
        <w:rPr>
          <w:rFonts w:ascii="宋体" w:hAnsi="宋体" w:cs="宋体" w:eastAsia="宋体" w:hint="default"/>
        </w:rPr>
      </w:pPr>
      <w:r>
        <w:rPr>
          <w:spacing w:val="-6"/>
        </w:rPr>
        <w:t>（</w:t>
      </w:r>
      <w:r>
        <w:rPr>
          <w:rFonts w:ascii="宋体" w:hAnsi="宋体" w:cs="宋体" w:eastAsia="宋体" w:hint="default"/>
          <w:spacing w:val="-6"/>
        </w:rPr>
        <w:t>6</w:t>
      </w:r>
      <w:r>
        <w:rPr>
          <w:spacing w:val="-6"/>
        </w:rPr>
        <w:t>）</w:t>
      </w:r>
      <w:r>
        <w:rPr>
          <w:rFonts w:ascii="宋体" w:hAnsi="宋体" w:cs="宋体" w:eastAsia="宋体" w:hint="default"/>
          <w:spacing w:val="-6"/>
        </w:rPr>
        <w:t>2014</w:t>
      </w:r>
      <w:r>
        <w:rPr>
          <w:rFonts w:ascii="宋体" w:hAnsi="宋体" w:cs="宋体" w:eastAsia="宋体" w:hint="default"/>
          <w:spacing w:val="-43"/>
        </w:rPr>
        <w:t> </w:t>
      </w:r>
      <w:r>
        <w:rPr/>
        <w:t>年</w:t>
      </w:r>
      <w:r>
        <w:rPr>
          <w:spacing w:val="-43"/>
        </w:rPr>
        <w:t> </w:t>
      </w:r>
      <w:r>
        <w:rPr>
          <w:rFonts w:ascii="宋体" w:hAnsi="宋体" w:cs="宋体" w:eastAsia="宋体" w:hint="default"/>
        </w:rPr>
        <w:t>11</w:t>
      </w:r>
      <w:r>
        <w:rPr>
          <w:rFonts w:ascii="宋体" w:hAnsi="宋体" w:cs="宋体" w:eastAsia="宋体" w:hint="default"/>
          <w:spacing w:val="-43"/>
        </w:rPr>
        <w:t> </w:t>
      </w:r>
      <w:r>
        <w:rPr>
          <w:spacing w:val="-4"/>
        </w:rPr>
        <w:t>月，一间第三方公司在德国对冠捷科技提出诉讼。该诉讼乃就指控</w:t>
      </w:r>
      <w:r>
        <w:rPr>
          <w:w w:val="100"/>
        </w:rPr>
        <w:t> </w:t>
      </w:r>
      <w:r>
        <w:rPr>
          <w:spacing w:val="-1"/>
          <w:w w:val="100"/>
        </w:rPr>
        <w:t>侵犯制造电脑显示器</w:t>
      </w:r>
      <w:r>
        <w:rPr>
          <w:spacing w:val="-52"/>
          <w:w w:val="100"/>
        </w:rPr>
        <w:t> </w:t>
      </w:r>
      <w:r>
        <w:rPr>
          <w:rFonts w:ascii="宋体" w:hAnsi="宋体" w:cs="宋体" w:eastAsia="宋体" w:hint="default"/>
          <w:spacing w:val="-1"/>
          <w:w w:val="100"/>
        </w:rPr>
        <w:t>LED</w:t>
      </w:r>
      <w:r>
        <w:rPr>
          <w:rFonts w:ascii="宋体" w:hAnsi="宋体" w:cs="宋体" w:eastAsia="宋体" w:hint="default"/>
          <w:spacing w:val="-54"/>
          <w:w w:val="100"/>
        </w:rPr>
        <w:t> </w:t>
      </w:r>
      <w:r>
        <w:rPr>
          <w:spacing w:val="-11"/>
          <w:w w:val="100"/>
        </w:rPr>
        <w:t>科技的专利（“专利Ⅱ”）而提出索偿。对冠捷科技的诉讼主要</w:t>
      </w:r>
      <w:r>
        <w:rPr>
          <w:w w:val="100"/>
        </w:rPr>
        <w:t> </w:t>
      </w:r>
      <w:r>
        <w:rPr>
          <w:spacing w:val="-6"/>
          <w:w w:val="100"/>
        </w:rPr>
        <w:t>指称：（</w:t>
      </w:r>
      <w:r>
        <w:rPr>
          <w:rFonts w:ascii="宋体" w:hAnsi="宋体" w:cs="宋体" w:eastAsia="宋体" w:hint="default"/>
          <w:spacing w:val="-6"/>
          <w:w w:val="100"/>
        </w:rPr>
        <w:t>1</w:t>
      </w:r>
      <w:r>
        <w:rPr>
          <w:spacing w:val="-6"/>
          <w:w w:val="100"/>
        </w:rPr>
        <w:t>）冠捷科技在德国制造、使用、经销、提供及进口电脑显示器，从而侵犯专利</w:t>
      </w:r>
      <w:r>
        <w:rPr>
          <w:spacing w:val="-78"/>
          <w:w w:val="100"/>
        </w:rPr>
        <w:t> </w:t>
      </w:r>
      <w:r>
        <w:rPr>
          <w:spacing w:val="-78"/>
          <w:w w:val="100"/>
        </w:rPr>
      </w:r>
      <w:r>
        <w:rPr/>
        <w:t>Ⅱ；及（</w:t>
      </w:r>
      <w:r>
        <w:rPr>
          <w:rFonts w:ascii="宋体" w:hAnsi="宋体" w:cs="宋体" w:eastAsia="宋体" w:hint="default"/>
        </w:rPr>
        <w:t>2</w:t>
      </w:r>
      <w:r>
        <w:rPr/>
        <w:t>）该侵权行为引致原告人利益受损，原告人有资格获得相关赔偿。</w:t>
      </w:r>
      <w:r>
        <w:rPr>
          <w:rFonts w:ascii="宋体" w:hAnsi="宋体" w:cs="宋体" w:eastAsia="宋体" w:hint="default"/>
        </w:rPr>
        <w:t>2016 </w:t>
      </w:r>
      <w:r>
        <w:rPr/>
        <w:t>年</w:t>
      </w:r>
      <w:r>
        <w:rPr>
          <w:spacing w:val="-59"/>
        </w:rPr>
        <w:t> </w:t>
      </w:r>
      <w:r>
        <w:rPr>
          <w:rFonts w:ascii="宋体" w:hAnsi="宋体" w:cs="宋体" w:eastAsia="宋体" w:hint="default"/>
        </w:rPr>
        <w:t>2</w:t>
      </w:r>
    </w:p>
    <w:p>
      <w:pPr>
        <w:pStyle w:val="Heading7"/>
        <w:spacing w:line="240" w:lineRule="auto" w:before="24"/>
        <w:ind w:right="0"/>
        <w:jc w:val="left"/>
      </w:pPr>
      <w:r>
        <w:rPr/>
        <w:t>月</w:t>
      </w:r>
      <w:r>
        <w:rPr>
          <w:spacing w:val="-57"/>
        </w:rPr>
        <w:t> </w:t>
      </w:r>
      <w:r>
        <w:rPr>
          <w:rFonts w:ascii="宋体" w:hAnsi="宋体" w:cs="宋体" w:eastAsia="宋体" w:hint="default"/>
        </w:rPr>
        <w:t>1</w:t>
      </w:r>
      <w:r>
        <w:rPr>
          <w:rFonts w:ascii="宋体" w:hAnsi="宋体" w:cs="宋体" w:eastAsia="宋体" w:hint="default"/>
          <w:spacing w:val="-57"/>
        </w:rPr>
        <w:t> </w:t>
      </w:r>
      <w:r>
        <w:rPr/>
        <w:t>日，双方达成和解并撤销诉讼。</w:t>
      </w:r>
    </w:p>
    <w:p>
      <w:pPr>
        <w:pStyle w:val="Heading7"/>
        <w:spacing w:line="326" w:lineRule="auto" w:before="177"/>
        <w:ind w:right="259" w:firstLine="439"/>
        <w:jc w:val="left"/>
      </w:pPr>
      <w:r>
        <w:rPr>
          <w:spacing w:val="-16"/>
          <w:w w:val="100"/>
        </w:rPr>
        <w:t>（</w:t>
      </w:r>
      <w:r>
        <w:rPr>
          <w:rFonts w:ascii="宋体" w:hAnsi="宋体" w:cs="宋体" w:eastAsia="宋体" w:hint="default"/>
          <w:spacing w:val="-16"/>
          <w:w w:val="100"/>
        </w:rPr>
        <w:t>7</w:t>
      </w:r>
      <w:r>
        <w:rPr>
          <w:spacing w:val="-16"/>
          <w:w w:val="100"/>
        </w:rPr>
        <w:t>）</w:t>
      </w:r>
      <w:r>
        <w:rPr>
          <w:rFonts w:ascii="宋体" w:hAnsi="宋体" w:cs="宋体" w:eastAsia="宋体" w:hint="default"/>
          <w:spacing w:val="-16"/>
          <w:w w:val="100"/>
        </w:rPr>
        <w:t>2014</w:t>
      </w:r>
      <w:r>
        <w:rPr>
          <w:rFonts w:ascii="宋体" w:hAnsi="宋体" w:cs="宋体" w:eastAsia="宋体" w:hint="default"/>
          <w:spacing w:val="-56"/>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2"/>
          <w:w w:val="100"/>
        </w:rPr>
        <w:t> </w:t>
      </w:r>
      <w:r>
        <w:rPr>
          <w:spacing w:val="-5"/>
          <w:w w:val="100"/>
        </w:rPr>
        <w:t>月，一间第三方公司在美国对冠捷科技及其一间联营公司提出诉讼。</w:t>
      </w:r>
      <w:r>
        <w:rPr>
          <w:w w:val="100"/>
        </w:rPr>
        <w:t> </w:t>
      </w:r>
      <w:r>
        <w:rPr>
          <w:spacing w:val="-11"/>
          <w:w w:val="100"/>
        </w:rPr>
        <w:t>该诉讼乃就指控侵犯制造某些电视及监视器的技术的某些专利（“专利Ⅲ”）而提出索偿。</w:t>
      </w:r>
      <w:r>
        <w:rPr>
          <w:spacing w:val="-94"/>
          <w:w w:val="100"/>
        </w:rPr>
        <w:t> </w:t>
      </w:r>
      <w:r>
        <w:rPr>
          <w:spacing w:val="-94"/>
          <w:w w:val="100"/>
        </w:rPr>
      </w:r>
      <w:r>
        <w:rPr>
          <w:spacing w:val="-6"/>
          <w:w w:val="100"/>
        </w:rPr>
        <w:t>对冠捷科技及其联营公司的诉讼主要指称：（</w:t>
      </w:r>
      <w:r>
        <w:rPr>
          <w:rFonts w:ascii="宋体" w:hAnsi="宋体" w:cs="宋体" w:eastAsia="宋体" w:hint="default"/>
          <w:spacing w:val="-6"/>
          <w:w w:val="100"/>
        </w:rPr>
        <w:t>1</w:t>
      </w:r>
      <w:r>
        <w:rPr>
          <w:spacing w:val="-6"/>
          <w:w w:val="100"/>
        </w:rPr>
        <w:t>）已侵犯并继续侵犯专利Ⅲ，以及在美国</w:t>
      </w:r>
      <w:r>
        <w:rPr>
          <w:spacing w:val="-80"/>
          <w:w w:val="100"/>
        </w:rPr>
        <w:t> </w:t>
      </w:r>
      <w:r>
        <w:rPr>
          <w:spacing w:val="-80"/>
          <w:w w:val="100"/>
        </w:rPr>
      </w:r>
      <w:r>
        <w:rPr/>
        <w:t>助成及积极促成他人侵犯专利Ⅲ；及（</w:t>
      </w:r>
      <w:r>
        <w:rPr>
          <w:rFonts w:ascii="宋体" w:hAnsi="宋体" w:cs="宋体" w:eastAsia="宋体" w:hint="default"/>
        </w:rPr>
        <w:t>2</w:t>
      </w:r>
      <w:r>
        <w:rPr/>
        <w:t>）该等侵权行为引致及将继续引致原告利益受</w:t>
      </w:r>
      <w:r>
        <w:rPr>
          <w:spacing w:val="-56"/>
        </w:rPr>
        <w:t> </w:t>
      </w:r>
      <w:r>
        <w:rPr>
          <w:spacing w:val="-56"/>
        </w:rPr>
      </w:r>
      <w:r>
        <w:rPr/>
        <w:t>损。</w:t>
      </w:r>
    </w:p>
    <w:p>
      <w:pPr>
        <w:pStyle w:val="Heading7"/>
        <w:spacing w:line="326" w:lineRule="auto" w:before="98"/>
        <w:ind w:right="261" w:firstLine="439"/>
        <w:jc w:val="left"/>
      </w:pPr>
      <w:r>
        <w:rPr>
          <w:spacing w:val="-8"/>
        </w:rPr>
        <w:t>（</w:t>
      </w:r>
      <w:r>
        <w:rPr>
          <w:rFonts w:ascii="宋体" w:hAnsi="宋体" w:cs="宋体" w:eastAsia="宋体" w:hint="default"/>
          <w:spacing w:val="-8"/>
        </w:rPr>
        <w:t>8</w:t>
      </w:r>
      <w:r>
        <w:rPr>
          <w:spacing w:val="-8"/>
        </w:rPr>
        <w:t>）</w:t>
      </w:r>
      <w:r>
        <w:rPr>
          <w:rFonts w:ascii="宋体" w:hAnsi="宋体" w:cs="宋体" w:eastAsia="宋体" w:hint="default"/>
          <w:spacing w:val="-8"/>
        </w:rPr>
        <w:t>2015</w:t>
      </w:r>
      <w:r>
        <w:rPr>
          <w:rFonts w:ascii="宋体" w:hAnsi="宋体" w:cs="宋体" w:eastAsia="宋体" w:hint="default"/>
          <w:spacing w:val="-48"/>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spacing w:val="-3"/>
        </w:rPr>
        <w:t>月，一间第三方公司在美国对冠捷科技及其一间联营公司提出诉讼。</w:t>
      </w:r>
      <w:r>
        <w:rPr>
          <w:w w:val="100"/>
        </w:rPr>
        <w:t> </w:t>
      </w:r>
      <w:r>
        <w:rPr>
          <w:spacing w:val="-8"/>
          <w:w w:val="100"/>
        </w:rPr>
        <w:t>该诉讼乃就指控侵犯制造某些电视的技术的某些专利（“专利Ⅳ”）而提出索偿。对冠捷</w:t>
      </w:r>
      <w:r>
        <w:rPr>
          <w:w w:val="100"/>
        </w:rPr>
        <w:t> </w:t>
      </w:r>
      <w:r>
        <w:rPr>
          <w:spacing w:val="-6"/>
          <w:w w:val="100"/>
        </w:rPr>
        <w:t>科技及其联营公司的诉讼主要指称：（</w:t>
      </w:r>
      <w:r>
        <w:rPr>
          <w:rFonts w:ascii="宋体" w:hAnsi="宋体" w:cs="宋体" w:eastAsia="宋体" w:hint="default"/>
          <w:spacing w:val="-6"/>
          <w:w w:val="100"/>
        </w:rPr>
        <w:t>1</w:t>
      </w:r>
      <w:r>
        <w:rPr>
          <w:spacing w:val="-6"/>
          <w:w w:val="100"/>
        </w:rPr>
        <w:t>）已侵犯并继续侵犯专利Ⅳ，以及在美国助成及</w:t>
      </w:r>
      <w:r>
        <w:rPr>
          <w:spacing w:val="-81"/>
          <w:w w:val="100"/>
        </w:rPr>
        <w:t> </w:t>
      </w:r>
      <w:r>
        <w:rPr>
          <w:spacing w:val="-81"/>
          <w:w w:val="100"/>
        </w:rPr>
      </w:r>
      <w:r>
        <w:rPr/>
        <w:t>积极促成他人侵犯专利Ⅳ；及（</w:t>
      </w:r>
      <w:r>
        <w:rPr>
          <w:rFonts w:ascii="宋体" w:hAnsi="宋体" w:cs="宋体" w:eastAsia="宋体" w:hint="default"/>
        </w:rPr>
        <w:t>2</w:t>
      </w:r>
      <w:r>
        <w:rPr/>
        <w:t>）该等侵权行为引致及将继续引致原告利益受损。</w:t>
      </w:r>
    </w:p>
    <w:p>
      <w:pPr>
        <w:pStyle w:val="Heading6"/>
        <w:spacing w:line="240" w:lineRule="auto" w:before="101"/>
        <w:ind w:left="561" w:right="0"/>
        <w:jc w:val="left"/>
        <w:rPr>
          <w:b w:val="0"/>
          <w:bCs w:val="0"/>
        </w:rPr>
      </w:pPr>
      <w:r>
        <w:rPr>
          <w:rFonts w:ascii="宋体" w:hAnsi="宋体" w:cs="宋体" w:eastAsia="宋体" w:hint="default"/>
        </w:rPr>
        <w:t>2</w:t>
      </w:r>
      <w:r>
        <w:rPr/>
        <w:t>、对外提供担保形成的或有负债</w:t>
      </w:r>
      <w:r>
        <w:rPr>
          <w:b w:val="0"/>
          <w:bCs w:val="0"/>
        </w:rPr>
      </w:r>
    </w:p>
    <w:p>
      <w:pPr>
        <w:pStyle w:val="Heading7"/>
        <w:spacing w:line="391" w:lineRule="auto" w:before="180"/>
        <w:ind w:left="559" w:right="0"/>
        <w:jc w:val="left"/>
      </w:pPr>
      <w:r>
        <w:rPr/>
        <w:t>（</w:t>
      </w:r>
      <w:r>
        <w:rPr>
          <w:rFonts w:ascii="宋体" w:hAnsi="宋体" w:cs="宋体" w:eastAsia="宋体" w:hint="default"/>
        </w:rPr>
        <w:t>1</w:t>
      </w:r>
      <w:r>
        <w:rPr/>
        <w:t>）为子公司长城香港提供担保</w:t>
      </w:r>
      <w:r>
        <w:rPr>
          <w:spacing w:val="-108"/>
        </w:rPr>
        <w:t> </w:t>
      </w:r>
      <w:r>
        <w:rPr>
          <w:spacing w:val="-108"/>
        </w:rPr>
      </w:r>
      <w:r>
        <w:rPr>
          <w:spacing w:val="-3"/>
        </w:rPr>
        <w:t>为降低融资成本，节约财务费用，提高资金使用效率，满足子公司长城香港未来发</w:t>
      </w:r>
    </w:p>
    <w:p>
      <w:pPr>
        <w:pStyle w:val="Heading7"/>
        <w:spacing w:line="253" w:lineRule="exact" w:before="0"/>
        <w:ind w:right="0"/>
        <w:jc w:val="left"/>
      </w:pPr>
      <w:r>
        <w:rPr>
          <w:spacing w:val="-3"/>
        </w:rPr>
        <w:t>展及日常运作的资金需求，公司通过“内保外贷”的方式为长城香港的银行融资等提供</w:t>
      </w:r>
    </w:p>
    <w:p>
      <w:pPr>
        <w:pStyle w:val="Heading7"/>
        <w:spacing w:line="326" w:lineRule="auto" w:before="101"/>
        <w:ind w:right="370"/>
        <w:jc w:val="left"/>
      </w:pPr>
      <w:r>
        <w:rPr/>
        <w:t>担保，担保额度总额预计为</w:t>
      </w:r>
      <w:r>
        <w:rPr>
          <w:spacing w:val="-43"/>
        </w:rPr>
        <w:t> </w:t>
      </w:r>
      <w:r>
        <w:rPr>
          <w:rFonts w:ascii="宋体" w:hAnsi="宋体" w:cs="宋体" w:eastAsia="宋体" w:hint="default"/>
        </w:rPr>
        <w:t>4</w:t>
      </w:r>
      <w:r>
        <w:rPr>
          <w:rFonts w:ascii="宋体" w:hAnsi="宋体" w:cs="宋体" w:eastAsia="宋体" w:hint="default"/>
          <w:spacing w:val="-44"/>
        </w:rPr>
        <w:t> </w:t>
      </w:r>
      <w:r>
        <w:rPr/>
        <w:t>亿元人民币，担保期限</w:t>
      </w:r>
      <w:r>
        <w:rPr>
          <w:spacing w:val="-43"/>
        </w:rPr>
        <w:t> </w:t>
      </w:r>
      <w:r>
        <w:rPr>
          <w:rFonts w:ascii="宋体" w:hAnsi="宋体" w:cs="宋体" w:eastAsia="宋体" w:hint="default"/>
        </w:rPr>
        <w:t>13</w:t>
      </w:r>
      <w:r>
        <w:rPr>
          <w:rFonts w:ascii="宋体" w:hAnsi="宋体" w:cs="宋体" w:eastAsia="宋体" w:hint="default"/>
          <w:spacing w:val="-44"/>
        </w:rPr>
        <w:t> </w:t>
      </w:r>
      <w:r>
        <w:rPr/>
        <w:t>个月，担保方式为连带责任保</w:t>
      </w:r>
      <w:r>
        <w:rPr>
          <w:w w:val="100"/>
        </w:rPr>
        <w:t> </w:t>
      </w:r>
      <w:r>
        <w:rPr/>
        <w:t>证。</w:t>
      </w:r>
    </w:p>
    <w:p>
      <w:pPr>
        <w:pStyle w:val="Heading7"/>
        <w:spacing w:line="391" w:lineRule="auto" w:before="98"/>
        <w:ind w:left="559" w:right="0"/>
        <w:jc w:val="left"/>
      </w:pPr>
      <w:r>
        <w:rPr/>
        <w:t>（</w:t>
      </w:r>
      <w:r>
        <w:rPr>
          <w:rFonts w:ascii="宋体" w:hAnsi="宋体" w:cs="宋体" w:eastAsia="宋体" w:hint="default"/>
        </w:rPr>
        <w:t>2</w:t>
      </w:r>
      <w:r>
        <w:rPr/>
        <w:t>）为子公司长城能源提供担保</w:t>
      </w:r>
      <w:r>
        <w:rPr>
          <w:spacing w:val="-108"/>
        </w:rPr>
        <w:t> </w:t>
      </w:r>
      <w:r>
        <w:rPr>
          <w:spacing w:val="-108"/>
        </w:rPr>
      </w:r>
      <w:r>
        <w:rPr>
          <w:spacing w:val="-3"/>
        </w:rPr>
        <w:t>为减少资金占用，提高资金使用效率，满足子公司长城能源生产经营所需的资金需</w:t>
      </w:r>
    </w:p>
    <w:p>
      <w:pPr>
        <w:pStyle w:val="Heading7"/>
        <w:spacing w:line="253" w:lineRule="exact" w:before="0"/>
        <w:ind w:right="0"/>
        <w:jc w:val="left"/>
      </w:pPr>
      <w:r>
        <w:rPr>
          <w:spacing w:val="-3"/>
        </w:rPr>
        <w:t>求，公司通过信用担保的方式为长城能源向银行申请最高不超过 </w:t>
      </w:r>
      <w:r>
        <w:rPr>
          <w:rFonts w:ascii="宋体" w:hAnsi="宋体" w:cs="宋体" w:eastAsia="宋体" w:hint="default"/>
        </w:rPr>
        <w:t>4,000</w:t>
      </w:r>
      <w:r>
        <w:rPr>
          <w:rFonts w:ascii="宋体" w:hAnsi="宋体" w:cs="宋体" w:eastAsia="宋体" w:hint="default"/>
          <w:spacing w:val="-84"/>
        </w:rPr>
        <w:t> </w:t>
      </w:r>
      <w:r>
        <w:rPr/>
        <w:t>万元人民币的综</w:t>
      </w:r>
    </w:p>
    <w:p>
      <w:pPr>
        <w:spacing w:after="0" w:line="253" w:lineRule="exact"/>
        <w:jc w:val="left"/>
        <w:sectPr>
          <w:footerReference w:type="default" r:id="rId68"/>
          <w:pgSz w:w="11910" w:h="16840"/>
          <w:pgMar w:footer="980" w:header="0" w:top="1600" w:bottom="1160" w:left="1680" w:right="1420"/>
        </w:sectPr>
      </w:pPr>
    </w:p>
    <w:p>
      <w:pPr>
        <w:spacing w:line="240" w:lineRule="auto" w:before="3"/>
        <w:rPr>
          <w:rFonts w:ascii="宋体" w:hAnsi="宋体" w:cs="宋体" w:eastAsia="宋体" w:hint="default"/>
          <w:sz w:val="3"/>
          <w:szCs w:val="3"/>
        </w:rPr>
      </w:pPr>
    </w:p>
    <w:p>
      <w:pPr>
        <w:spacing w:line="20" w:lineRule="exact"/>
        <w:ind w:left="6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60" w:right="0"/>
        <w:jc w:val="both"/>
      </w:pPr>
      <w:r>
        <w:rPr/>
        <w:t>合授信额度提供担保，担保期限不超过</w:t>
      </w:r>
      <w:r>
        <w:rPr>
          <w:spacing w:val="-56"/>
        </w:rPr>
        <w:t> </w:t>
      </w:r>
      <w:r>
        <w:rPr>
          <w:rFonts w:ascii="宋体" w:hAnsi="宋体" w:cs="宋体" w:eastAsia="宋体" w:hint="default"/>
        </w:rPr>
        <w:t>1</w:t>
      </w:r>
      <w:r>
        <w:rPr>
          <w:rFonts w:ascii="宋体" w:hAnsi="宋体" w:cs="宋体" w:eastAsia="宋体" w:hint="default"/>
          <w:spacing w:val="-59"/>
        </w:rPr>
        <w:t> </w:t>
      </w:r>
      <w:r>
        <w:rPr/>
        <w:t>年，担保方式为连带责任保证。</w:t>
      </w:r>
    </w:p>
    <w:p>
      <w:pPr>
        <w:pStyle w:val="Heading7"/>
        <w:spacing w:line="391" w:lineRule="auto" w:before="177"/>
        <w:ind w:left="1099" w:right="537"/>
        <w:jc w:val="left"/>
      </w:pPr>
      <w:r>
        <w:rPr/>
        <w:t>（</w:t>
      </w:r>
      <w:r>
        <w:rPr>
          <w:rFonts w:ascii="宋体" w:hAnsi="宋体" w:cs="宋体" w:eastAsia="宋体" w:hint="default"/>
        </w:rPr>
        <w:t>3</w:t>
      </w:r>
      <w:r>
        <w:rPr/>
        <w:t>）长城香港、柏怡控股为柏怡香港提供担保</w:t>
      </w:r>
      <w:r>
        <w:rPr>
          <w:w w:val="100"/>
        </w:rPr>
        <w:t> </w:t>
      </w:r>
      <w:r>
        <w:rPr>
          <w:spacing w:val="-3"/>
        </w:rPr>
        <w:t>基于柏怡香港正常经营业务的流动资金需求，柏怡香港通过资产抵押和信用担保的</w:t>
      </w:r>
    </w:p>
    <w:p>
      <w:pPr>
        <w:pStyle w:val="Heading7"/>
        <w:spacing w:line="253" w:lineRule="exact" w:before="0"/>
        <w:ind w:left="660" w:right="0"/>
        <w:jc w:val="both"/>
      </w:pPr>
      <w:r>
        <w:rPr>
          <w:w w:val="100"/>
        </w:rPr>
        <w:t>方式向</w:t>
      </w:r>
      <w:r>
        <w:rPr>
          <w:spacing w:val="-3"/>
          <w:w w:val="100"/>
        </w:rPr>
        <w:t>香</w:t>
      </w:r>
      <w:r>
        <w:rPr>
          <w:w w:val="100"/>
        </w:rPr>
        <w:t>港汇</w:t>
      </w:r>
      <w:r>
        <w:rPr>
          <w:spacing w:val="-3"/>
          <w:w w:val="100"/>
        </w:rPr>
        <w:t>丰</w:t>
      </w:r>
      <w:r>
        <w:rPr>
          <w:w w:val="100"/>
        </w:rPr>
        <w:t>银行</w:t>
      </w:r>
      <w:r>
        <w:rPr>
          <w:spacing w:val="-3"/>
          <w:w w:val="100"/>
        </w:rPr>
        <w:t>申请</w:t>
      </w:r>
      <w:r>
        <w:rPr>
          <w:w w:val="100"/>
        </w:rPr>
        <w:t>授信额</w:t>
      </w:r>
      <w:r>
        <w:rPr>
          <w:spacing w:val="-3"/>
          <w:w w:val="100"/>
        </w:rPr>
        <w:t>度</w:t>
      </w:r>
      <w:r>
        <w:rPr>
          <w:w w:val="100"/>
        </w:rPr>
        <w:t>港币</w:t>
      </w:r>
      <w:r>
        <w:rPr>
          <w:spacing w:val="-69"/>
        </w:rPr>
        <w:t> </w:t>
      </w:r>
      <w:r>
        <w:rPr>
          <w:rFonts w:ascii="宋体" w:hAnsi="宋体" w:cs="宋体" w:eastAsia="宋体" w:hint="default"/>
          <w:w w:val="100"/>
        </w:rPr>
        <w:t>10,864</w:t>
      </w:r>
      <w:r>
        <w:rPr>
          <w:rFonts w:ascii="宋体" w:hAnsi="宋体" w:cs="宋体" w:eastAsia="宋体" w:hint="default"/>
          <w:spacing w:val="-72"/>
        </w:rPr>
        <w:t> </w:t>
      </w:r>
      <w:r>
        <w:rPr>
          <w:spacing w:val="-3"/>
          <w:w w:val="100"/>
        </w:rPr>
        <w:t>万</w:t>
      </w:r>
      <w:r>
        <w:rPr>
          <w:spacing w:val="-111"/>
          <w:w w:val="100"/>
        </w:rPr>
        <w:t>元</w:t>
      </w:r>
      <w:r>
        <w:rPr>
          <w:w w:val="100"/>
        </w:rPr>
        <w:t>（含</w:t>
      </w:r>
      <w:r>
        <w:rPr>
          <w:spacing w:val="-69"/>
        </w:rPr>
        <w:t> </w:t>
      </w:r>
      <w:r>
        <w:rPr>
          <w:rFonts w:ascii="宋体" w:hAnsi="宋体" w:cs="宋体" w:eastAsia="宋体" w:hint="default"/>
          <w:w w:val="100"/>
        </w:rPr>
        <w:t>800</w:t>
      </w:r>
      <w:r>
        <w:rPr>
          <w:rFonts w:ascii="宋体" w:hAnsi="宋体" w:cs="宋体" w:eastAsia="宋体" w:hint="default"/>
          <w:spacing w:val="-70"/>
        </w:rPr>
        <w:t> </w:t>
      </w:r>
      <w:r>
        <w:rPr>
          <w:w w:val="100"/>
        </w:rPr>
        <w:t>万</w:t>
      </w:r>
      <w:r>
        <w:rPr>
          <w:spacing w:val="-3"/>
          <w:w w:val="100"/>
        </w:rPr>
        <w:t>美</w:t>
      </w:r>
      <w:r>
        <w:rPr>
          <w:w w:val="100"/>
        </w:rPr>
        <w:t>元应</w:t>
      </w:r>
      <w:r>
        <w:rPr>
          <w:spacing w:val="-3"/>
          <w:w w:val="100"/>
        </w:rPr>
        <w:t>收账</w:t>
      </w:r>
      <w:r>
        <w:rPr>
          <w:w w:val="100"/>
        </w:rPr>
        <w:t>款保理</w:t>
      </w:r>
      <w:r>
        <w:rPr>
          <w:spacing w:val="-3"/>
          <w:w w:val="100"/>
        </w:rPr>
        <w:t>额</w:t>
      </w:r>
      <w:r>
        <w:rPr>
          <w:w w:val="100"/>
        </w:rPr>
        <w:t>度</w:t>
      </w:r>
      <w:r>
        <w:rPr>
          <w:spacing w:val="-111"/>
          <w:w w:val="100"/>
        </w:rPr>
        <w:t>）</w:t>
      </w:r>
      <w:r>
        <w:rPr>
          <w:w w:val="100"/>
        </w:rPr>
        <w:t>，</w:t>
      </w:r>
    </w:p>
    <w:p>
      <w:pPr>
        <w:pStyle w:val="Heading7"/>
        <w:spacing w:line="388" w:lineRule="auto" w:before="103"/>
        <w:ind w:left="1099" w:right="537" w:hanging="440"/>
        <w:jc w:val="left"/>
      </w:pPr>
      <w:r>
        <w:rPr/>
        <w:t>授信有效期自协议签署日起为期一年。</w:t>
      </w:r>
      <w:r>
        <w:rPr>
          <w:w w:val="100"/>
        </w:rPr>
        <w:t> </w:t>
      </w:r>
      <w:r>
        <w:rPr>
          <w:spacing w:val="-6"/>
          <w:w w:val="100"/>
        </w:rPr>
        <w:t>除自身所持的债券抵押和应收账款保理外，柏怡香港需：（</w:t>
      </w:r>
      <w:r>
        <w:rPr>
          <w:rFonts w:ascii="宋体" w:hAnsi="宋体" w:cs="宋体" w:eastAsia="宋体" w:hint="default"/>
          <w:spacing w:val="-6"/>
          <w:w w:val="100"/>
        </w:rPr>
        <w:t>1</w:t>
      </w:r>
      <w:r>
        <w:rPr>
          <w:spacing w:val="-6"/>
          <w:w w:val="100"/>
        </w:rPr>
        <w:t>）柏怡控股为柏怡香港</w:t>
      </w:r>
    </w:p>
    <w:p>
      <w:pPr>
        <w:pStyle w:val="Heading7"/>
        <w:spacing w:line="255" w:lineRule="exact" w:before="0"/>
        <w:ind w:left="660" w:right="0"/>
        <w:jc w:val="both"/>
      </w:pPr>
      <w:r>
        <w:rPr>
          <w:spacing w:val="-3"/>
        </w:rPr>
        <w:t>在上述授信范围内的贷款提供无限额的信用担保（担保范围为贷款本金、利息、违约金</w:t>
      </w:r>
    </w:p>
    <w:p>
      <w:pPr>
        <w:pStyle w:val="Heading7"/>
        <w:spacing w:line="240" w:lineRule="auto" w:before="103"/>
        <w:ind w:left="660" w:right="0"/>
        <w:jc w:val="both"/>
      </w:pPr>
      <w:r>
        <w:rPr/>
        <w:t>及其他相关费用，对其中的香港特区政府特别担保计划项目提供限额 </w:t>
      </w:r>
      <w:r>
        <w:rPr>
          <w:rFonts w:ascii="宋体" w:hAnsi="宋体" w:cs="宋体" w:eastAsia="宋体" w:hint="default"/>
        </w:rPr>
        <w:t>1200</w:t>
      </w:r>
      <w:r>
        <w:rPr>
          <w:rFonts w:ascii="宋体" w:hAnsi="宋体" w:cs="宋体" w:eastAsia="宋体" w:hint="default"/>
          <w:spacing w:val="-61"/>
        </w:rPr>
        <w:t> </w:t>
      </w:r>
      <w:r>
        <w:rPr/>
        <w:t>万港币的信</w:t>
      </w:r>
    </w:p>
    <w:p>
      <w:pPr>
        <w:pStyle w:val="Heading7"/>
        <w:spacing w:line="326" w:lineRule="auto" w:before="101"/>
        <w:ind w:left="660" w:right="656"/>
        <w:jc w:val="both"/>
      </w:pPr>
      <w:r>
        <w:rPr>
          <w:spacing w:val="-10"/>
          <w:w w:val="100"/>
        </w:rPr>
        <w:t>用担保）；以及（</w:t>
      </w:r>
      <w:r>
        <w:rPr>
          <w:rFonts w:ascii="宋体" w:hAnsi="宋体" w:cs="宋体" w:eastAsia="宋体" w:hint="default"/>
          <w:spacing w:val="-10"/>
          <w:w w:val="100"/>
        </w:rPr>
        <w:t>2</w:t>
      </w:r>
      <w:r>
        <w:rPr>
          <w:spacing w:val="-10"/>
          <w:w w:val="100"/>
        </w:rPr>
        <w:t>）长城香港为柏怡香港在上述授信范围内的贷款提供额度为港币</w:t>
      </w:r>
      <w:r>
        <w:rPr>
          <w:spacing w:val="-49"/>
          <w:w w:val="100"/>
        </w:rPr>
        <w:t> </w:t>
      </w:r>
      <w:r>
        <w:rPr>
          <w:rFonts w:ascii="宋体" w:hAnsi="宋体" w:cs="宋体" w:eastAsia="宋体" w:hint="default"/>
          <w:spacing w:val="-1"/>
          <w:w w:val="100"/>
        </w:rPr>
        <w:t>3,000</w:t>
      </w:r>
      <w:r>
        <w:rPr>
          <w:rFonts w:ascii="宋体" w:hAnsi="宋体" w:cs="宋体" w:eastAsia="宋体" w:hint="default"/>
          <w:w w:val="100"/>
        </w:rPr>
        <w:t> </w:t>
      </w:r>
      <w:r>
        <w:rPr>
          <w:spacing w:val="-3"/>
          <w:w w:val="100"/>
        </w:rPr>
        <w:t>万元的公司信用担保（担保范围为贷款本金、利息、违约金及其他相关费用）；担保期</w:t>
      </w:r>
      <w:r>
        <w:rPr>
          <w:spacing w:val="-85"/>
          <w:w w:val="100"/>
        </w:rPr>
        <w:t> </w:t>
      </w:r>
      <w:r>
        <w:rPr>
          <w:spacing w:val="-85"/>
          <w:w w:val="100"/>
        </w:rPr>
      </w:r>
      <w:r>
        <w:rPr>
          <w:spacing w:val="-6"/>
          <w:w w:val="100"/>
        </w:rPr>
        <w:t>限均为自授信协议签署后为期一年。（</w:t>
      </w:r>
      <w:r>
        <w:rPr>
          <w:rFonts w:ascii="宋体" w:hAnsi="宋体" w:cs="宋体" w:eastAsia="宋体" w:hint="default"/>
          <w:spacing w:val="-6"/>
          <w:w w:val="100"/>
        </w:rPr>
        <w:t>3</w:t>
      </w:r>
      <w:r>
        <w:rPr>
          <w:spacing w:val="-6"/>
          <w:w w:val="100"/>
        </w:rPr>
        <w:t>）就长城香港所提供的担保，柏怡控股的全资下</w:t>
      </w:r>
      <w:r>
        <w:rPr>
          <w:spacing w:val="-80"/>
          <w:w w:val="100"/>
        </w:rPr>
        <w:t> </w:t>
      </w:r>
      <w:r>
        <w:rPr>
          <w:spacing w:val="-80"/>
          <w:w w:val="100"/>
        </w:rPr>
      </w:r>
      <w:r>
        <w:rPr>
          <w:spacing w:val="-3"/>
        </w:rPr>
        <w:t>属公司宝辉科技（龙南）有限公司将会以其所拥有的评估价值不低于港币</w:t>
      </w:r>
      <w:r>
        <w:rPr>
          <w:spacing w:val="-41"/>
        </w:rPr>
        <w:t> </w:t>
      </w:r>
      <w:r>
        <w:rPr>
          <w:rFonts w:ascii="宋体" w:hAnsi="宋体" w:cs="宋体" w:eastAsia="宋体" w:hint="default"/>
        </w:rPr>
        <w:t>3,000</w:t>
      </w:r>
      <w:r>
        <w:rPr>
          <w:rFonts w:ascii="宋体" w:hAnsi="宋体" w:cs="宋体" w:eastAsia="宋体" w:hint="default"/>
          <w:spacing w:val="-38"/>
        </w:rPr>
        <w:t> </w:t>
      </w:r>
      <w:r>
        <w:rPr/>
        <w:t>万元的</w:t>
      </w:r>
      <w:r>
        <w:rPr>
          <w:spacing w:val="-106"/>
        </w:rPr>
        <w:t> </w:t>
      </w:r>
      <w:r>
        <w:rPr>
          <w:spacing w:val="-106"/>
        </w:rPr>
      </w:r>
      <w:r>
        <w:rPr/>
        <w:t>房地产提供反担保。</w:t>
      </w:r>
    </w:p>
    <w:p>
      <w:pPr>
        <w:pStyle w:val="Heading6"/>
        <w:spacing w:line="487" w:lineRule="auto" w:before="101"/>
        <w:ind w:left="1101" w:right="537"/>
        <w:jc w:val="left"/>
        <w:rPr>
          <w:b w:val="0"/>
          <w:bCs w:val="0"/>
        </w:rPr>
      </w:pPr>
      <w:r>
        <w:rPr>
          <w:rFonts w:ascii="宋体" w:hAnsi="宋体" w:cs="宋体" w:eastAsia="宋体" w:hint="default"/>
          <w:spacing w:val="-9"/>
        </w:rPr>
        <w:t>3</w:t>
      </w:r>
      <w:r>
        <w:rPr>
          <w:spacing w:val="-9"/>
        </w:rPr>
        <w:t>、除存在上述或有事项外，截至</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spacing w:val="-5"/>
        </w:rPr>
        <w:t>日，本集团无其他重大或有事项。</w:t>
      </w:r>
      <w:r>
        <w:rPr>
          <w:w w:val="99"/>
        </w:rPr>
        <w:t> </w:t>
      </w:r>
      <w:r>
        <w:rPr/>
        <w:t>十四、承诺事项</w:t>
      </w:r>
      <w:r>
        <w:rPr>
          <w:b w:val="0"/>
          <w:bCs w:val="0"/>
        </w:rPr>
      </w:r>
    </w:p>
    <w:p>
      <w:pPr>
        <w:pStyle w:val="Heading7"/>
        <w:spacing w:line="280" w:lineRule="exact" w:before="0"/>
        <w:ind w:left="1099" w:right="537"/>
        <w:jc w:val="left"/>
      </w:pPr>
      <w:r>
        <w:rPr>
          <w:rFonts w:ascii="宋体" w:hAnsi="宋体" w:cs="宋体" w:eastAsia="宋体" w:hint="default"/>
        </w:rPr>
        <w:t>1</w:t>
      </w:r>
      <w:r>
        <w:rPr/>
        <w:t>、重大承诺事项</w:t>
      </w:r>
    </w:p>
    <w:p>
      <w:pPr>
        <w:pStyle w:val="Heading7"/>
        <w:spacing w:line="240" w:lineRule="auto" w:before="180"/>
        <w:ind w:left="1099" w:right="537"/>
        <w:jc w:val="left"/>
      </w:pPr>
      <w:r>
        <w:rPr/>
        <w:t>（</w:t>
      </w:r>
      <w:r>
        <w:rPr>
          <w:rFonts w:ascii="宋体" w:hAnsi="宋体" w:cs="宋体" w:eastAsia="宋体" w:hint="default"/>
        </w:rPr>
        <w:t>1</w:t>
      </w:r>
      <w:r>
        <w:rPr/>
        <w:t>）已签订的正在或准备履行的大额发包合同</w:t>
      </w:r>
    </w:p>
    <w:p>
      <w:pPr>
        <w:pStyle w:val="Heading7"/>
        <w:spacing w:line="240" w:lineRule="auto" w:before="180"/>
        <w:ind w:left="1099" w:right="537"/>
        <w:jc w:val="left"/>
      </w:pPr>
      <w:r>
        <w:rPr/>
        <w:t>截至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t>日，本集团尚有已签订但未支付的约定大额发包合同支出共</w:t>
      </w:r>
    </w:p>
    <w:p>
      <w:pPr>
        <w:pStyle w:val="Heading7"/>
        <w:spacing w:line="240" w:lineRule="auto" w:before="103"/>
        <w:ind w:left="660" w:right="0"/>
        <w:jc w:val="both"/>
      </w:pPr>
      <w:r>
        <w:rPr/>
        <w:t>计</w:t>
      </w:r>
      <w:r>
        <w:rPr>
          <w:spacing w:val="-57"/>
        </w:rPr>
        <w:t> </w:t>
      </w:r>
      <w:r>
        <w:rPr>
          <w:rFonts w:ascii="宋体" w:hAnsi="宋体" w:cs="宋体" w:eastAsia="宋体" w:hint="default"/>
        </w:rPr>
        <w:t>31,628.04</w:t>
      </w:r>
      <w:r>
        <w:rPr>
          <w:rFonts w:ascii="宋体" w:hAnsi="宋体" w:cs="宋体" w:eastAsia="宋体" w:hint="default"/>
          <w:spacing w:val="-57"/>
        </w:rPr>
        <w:t> </w:t>
      </w:r>
      <w:r>
        <w:rPr/>
        <w:t>万元，具体情况如下：</w:t>
      </w:r>
    </w:p>
    <w:p>
      <w:pPr>
        <w:spacing w:line="240" w:lineRule="auto" w:before="6"/>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795"/>
        <w:gridCol w:w="1596"/>
        <w:gridCol w:w="1647"/>
        <w:gridCol w:w="1469"/>
        <w:gridCol w:w="1330"/>
        <w:gridCol w:w="540"/>
      </w:tblGrid>
      <w:tr>
        <w:trPr>
          <w:trHeight w:val="427" w:hRule="exact"/>
        </w:trPr>
        <w:tc>
          <w:tcPr>
            <w:tcW w:w="27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0"/>
              <w:ind w:left="21"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431"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6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455" w:right="0"/>
              <w:jc w:val="left"/>
              <w:rPr>
                <w:rFonts w:ascii="宋体" w:hAnsi="宋体" w:cs="宋体" w:eastAsia="宋体" w:hint="default"/>
                <w:sz w:val="18"/>
                <w:szCs w:val="18"/>
              </w:rPr>
            </w:pPr>
            <w:r>
              <w:rPr>
                <w:rFonts w:ascii="宋体" w:hAnsi="宋体" w:cs="宋体" w:eastAsia="宋体" w:hint="default"/>
                <w:b/>
                <w:bCs/>
                <w:sz w:val="18"/>
                <w:szCs w:val="18"/>
              </w:rPr>
              <w:t>已付金额</w:t>
            </w:r>
            <w:r>
              <w:rPr>
                <w:rFonts w:ascii="宋体" w:hAnsi="宋体" w:cs="宋体" w:eastAsia="宋体" w:hint="default"/>
                <w:sz w:val="18"/>
                <w:szCs w:val="18"/>
              </w:rPr>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367" w:right="0"/>
              <w:jc w:val="left"/>
              <w:rPr>
                <w:rFonts w:ascii="宋体" w:hAnsi="宋体" w:cs="宋体" w:eastAsia="宋体" w:hint="default"/>
                <w:sz w:val="18"/>
                <w:szCs w:val="18"/>
              </w:rPr>
            </w:pPr>
            <w:r>
              <w:rPr>
                <w:rFonts w:ascii="宋体" w:hAnsi="宋体" w:cs="宋体" w:eastAsia="宋体" w:hint="default"/>
                <w:b/>
                <w:bCs/>
                <w:sz w:val="18"/>
                <w:szCs w:val="18"/>
              </w:rPr>
              <w:t>未付金额</w:t>
            </w:r>
            <w:r>
              <w:rPr>
                <w:rFonts w:ascii="宋体" w:hAnsi="宋体" w:cs="宋体" w:eastAsia="宋体" w:hint="default"/>
                <w:sz w:val="18"/>
                <w:szCs w:val="18"/>
              </w:rPr>
            </w:r>
          </w:p>
        </w:tc>
        <w:tc>
          <w:tcPr>
            <w:tcW w:w="13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b/>
                <w:bCs/>
                <w:sz w:val="18"/>
                <w:szCs w:val="18"/>
              </w:rPr>
              <w:t>预计投资期间</w:t>
            </w:r>
            <w:r>
              <w:rPr>
                <w:rFonts w:ascii="宋体" w:hAnsi="宋体" w:cs="宋体" w:eastAsia="宋体" w:hint="default"/>
                <w:sz w:val="18"/>
                <w:szCs w:val="18"/>
              </w:rPr>
            </w:r>
          </w:p>
        </w:tc>
        <w:tc>
          <w:tcPr>
            <w:tcW w:w="5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left="83"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8"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厂房总包工程</w:t>
            </w:r>
            <w:r>
              <w:rPr>
                <w:rFonts w:ascii="宋体" w:hAnsi="宋体" w:cs="宋体" w:eastAsia="宋体" w:hint="default"/>
                <w:sz w:val="18"/>
                <w:szCs w:val="18"/>
              </w:rPr>
              <w:t>+</w:t>
            </w:r>
            <w:r>
              <w:rPr>
                <w:rFonts w:ascii="宋体" w:hAnsi="宋体" w:cs="宋体" w:eastAsia="宋体" w:hint="default"/>
                <w:sz w:val="18"/>
                <w:szCs w:val="18"/>
              </w:rPr>
              <w:t>延续工程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5"/>
              <w:jc w:val="right"/>
              <w:rPr>
                <w:rFonts w:ascii="宋体" w:hAnsi="宋体" w:cs="宋体" w:eastAsia="宋体" w:hint="default"/>
                <w:sz w:val="18"/>
                <w:szCs w:val="18"/>
              </w:rPr>
            </w:pPr>
            <w:r>
              <w:rPr>
                <w:rFonts w:ascii="宋体"/>
                <w:spacing w:val="-1"/>
                <w:sz w:val="18"/>
              </w:rPr>
              <w:t>126,954,125.10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4"/>
              <w:jc w:val="right"/>
              <w:rPr>
                <w:rFonts w:ascii="宋体" w:hAnsi="宋体" w:cs="宋体" w:eastAsia="宋体" w:hint="default"/>
                <w:sz w:val="18"/>
                <w:szCs w:val="18"/>
              </w:rPr>
            </w:pPr>
            <w:r>
              <w:rPr>
                <w:rFonts w:ascii="宋体"/>
                <w:spacing w:val="-1"/>
                <w:sz w:val="18"/>
              </w:rPr>
              <w:t>112,219,008.28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3"/>
              <w:jc w:val="right"/>
              <w:rPr>
                <w:rFonts w:ascii="宋体" w:hAnsi="宋体" w:cs="宋体" w:eastAsia="宋体" w:hint="default"/>
                <w:sz w:val="18"/>
                <w:szCs w:val="18"/>
              </w:rPr>
            </w:pPr>
            <w:r>
              <w:rPr>
                <w:rFonts w:ascii="宋体"/>
                <w:spacing w:val="-1"/>
                <w:sz w:val="18"/>
              </w:rPr>
              <w:t>14,735,116.82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54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55" w:right="0"/>
              <w:jc w:val="left"/>
              <w:rPr>
                <w:rFonts w:ascii="宋体" w:hAnsi="宋体" w:cs="宋体" w:eastAsia="宋体" w:hint="default"/>
                <w:sz w:val="18"/>
                <w:szCs w:val="18"/>
              </w:rPr>
            </w:pPr>
            <w:r>
              <w:rPr>
                <w:rFonts w:ascii="宋体" w:hAnsi="宋体" w:cs="宋体" w:eastAsia="宋体" w:hint="default"/>
                <w:sz w:val="18"/>
                <w:szCs w:val="18"/>
              </w:rPr>
              <w:t>中电长城大厦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5"/>
              <w:jc w:val="right"/>
              <w:rPr>
                <w:rFonts w:ascii="宋体" w:hAnsi="宋体" w:cs="宋体" w:eastAsia="宋体" w:hint="default"/>
                <w:sz w:val="18"/>
                <w:szCs w:val="18"/>
              </w:rPr>
            </w:pPr>
            <w:r>
              <w:rPr>
                <w:rFonts w:ascii="宋体"/>
                <w:spacing w:val="-1"/>
                <w:sz w:val="18"/>
              </w:rPr>
              <w:t>145,382,854.69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4"/>
              <w:jc w:val="right"/>
              <w:rPr>
                <w:rFonts w:ascii="宋体" w:hAnsi="宋体" w:cs="宋体" w:eastAsia="宋体" w:hint="default"/>
                <w:sz w:val="18"/>
                <w:szCs w:val="18"/>
              </w:rPr>
            </w:pPr>
            <w:r>
              <w:rPr>
                <w:rFonts w:ascii="宋体"/>
                <w:spacing w:val="-1"/>
                <w:sz w:val="18"/>
              </w:rPr>
              <w:t>68,489,588.03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3"/>
              <w:jc w:val="right"/>
              <w:rPr>
                <w:rFonts w:ascii="宋体" w:hAnsi="宋体" w:cs="宋体" w:eastAsia="宋体" w:hint="default"/>
                <w:sz w:val="18"/>
                <w:szCs w:val="18"/>
              </w:rPr>
            </w:pPr>
            <w:r>
              <w:rPr>
                <w:rFonts w:ascii="宋体"/>
                <w:spacing w:val="-1"/>
                <w:sz w:val="18"/>
              </w:rPr>
              <w:t>76,893,266.66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54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55" w:right="0"/>
              <w:jc w:val="left"/>
              <w:rPr>
                <w:rFonts w:ascii="宋体" w:hAnsi="宋体" w:cs="宋体" w:eastAsia="宋体" w:hint="default"/>
                <w:sz w:val="18"/>
                <w:szCs w:val="18"/>
              </w:rPr>
            </w:pPr>
            <w:r>
              <w:rPr>
                <w:rFonts w:ascii="宋体"/>
                <w:sz w:val="18"/>
              </w:rPr>
              <w:t>CapitalCommitment for</w:t>
            </w:r>
            <w:r>
              <w:rPr>
                <w:rFonts w:ascii="宋体"/>
                <w:spacing w:val="-9"/>
                <w:sz w:val="18"/>
              </w:rPr>
              <w:t> </w:t>
            </w:r>
            <w:r>
              <w:rPr>
                <w:rFonts w:ascii="宋体"/>
                <w:sz w:val="18"/>
              </w:rPr>
              <w:t>PPE</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4"/>
              <w:jc w:val="right"/>
              <w:rPr>
                <w:rFonts w:ascii="宋体" w:hAnsi="宋体" w:cs="宋体" w:eastAsia="宋体" w:hint="default"/>
                <w:sz w:val="18"/>
                <w:szCs w:val="18"/>
              </w:rPr>
            </w:pPr>
            <w:r>
              <w:rPr>
                <w:rFonts w:ascii="宋体"/>
                <w:spacing w:val="-1"/>
                <w:sz w:val="18"/>
              </w:rPr>
              <w:t>1,925,771,351.80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4"/>
              <w:jc w:val="right"/>
              <w:rPr>
                <w:rFonts w:ascii="宋体" w:hAnsi="宋体" w:cs="宋体" w:eastAsia="宋体" w:hint="default"/>
                <w:sz w:val="18"/>
                <w:szCs w:val="18"/>
              </w:rPr>
            </w:pPr>
            <w:r>
              <w:rPr>
                <w:rFonts w:ascii="宋体"/>
                <w:spacing w:val="-1"/>
                <w:sz w:val="18"/>
              </w:rPr>
              <w:t>1,701,119,355.06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5"/>
              <w:jc w:val="right"/>
              <w:rPr>
                <w:rFonts w:ascii="宋体" w:hAnsi="宋体" w:cs="宋体" w:eastAsia="宋体" w:hint="default"/>
                <w:sz w:val="18"/>
                <w:szCs w:val="18"/>
              </w:rPr>
            </w:pPr>
            <w:r>
              <w:rPr>
                <w:rFonts w:ascii="宋体"/>
                <w:spacing w:val="-1"/>
                <w:sz w:val="18"/>
              </w:rPr>
              <w:t>224,651,996.74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年内</w:t>
            </w:r>
          </w:p>
        </w:tc>
        <w:tc>
          <w:tcPr>
            <w:tcW w:w="540"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27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8"/>
              <w:ind w:left="2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34"/>
              <w:jc w:val="right"/>
              <w:rPr>
                <w:rFonts w:ascii="宋体" w:hAnsi="宋体" w:cs="宋体" w:eastAsia="宋体" w:hint="default"/>
                <w:sz w:val="18"/>
                <w:szCs w:val="18"/>
              </w:rPr>
            </w:pPr>
            <w:r>
              <w:rPr>
                <w:rFonts w:ascii="宋体"/>
                <w:b/>
                <w:w w:val="95"/>
                <w:sz w:val="18"/>
              </w:rPr>
              <w:t>2,198,108,331.59</w:t>
            </w:r>
            <w:r>
              <w:rPr>
                <w:rFonts w:ascii="宋体"/>
                <w:sz w:val="18"/>
              </w:rPr>
            </w:r>
          </w:p>
        </w:tc>
        <w:tc>
          <w:tcPr>
            <w:tcW w:w="16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34"/>
              <w:jc w:val="right"/>
              <w:rPr>
                <w:rFonts w:ascii="宋体" w:hAnsi="宋体" w:cs="宋体" w:eastAsia="宋体" w:hint="default"/>
                <w:sz w:val="18"/>
                <w:szCs w:val="18"/>
              </w:rPr>
            </w:pPr>
            <w:r>
              <w:rPr>
                <w:rFonts w:ascii="宋体"/>
                <w:b/>
                <w:w w:val="95"/>
                <w:sz w:val="18"/>
              </w:rPr>
              <w:t>1,881,827,951.37</w:t>
            </w:r>
            <w:r>
              <w:rPr>
                <w:rFonts w:ascii="宋体"/>
                <w:sz w:val="18"/>
              </w:rPr>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34"/>
              <w:jc w:val="right"/>
              <w:rPr>
                <w:rFonts w:ascii="宋体" w:hAnsi="宋体" w:cs="宋体" w:eastAsia="宋体" w:hint="default"/>
                <w:sz w:val="18"/>
                <w:szCs w:val="18"/>
              </w:rPr>
            </w:pPr>
            <w:r>
              <w:rPr>
                <w:rFonts w:ascii="宋体"/>
                <w:b/>
                <w:w w:val="95"/>
                <w:sz w:val="18"/>
              </w:rPr>
              <w:t>316,280,380.22</w:t>
            </w:r>
            <w:r>
              <w:rPr>
                <w:rFonts w:ascii="宋体"/>
                <w:sz w:val="18"/>
              </w:rPr>
            </w:r>
          </w:p>
        </w:tc>
        <w:tc>
          <w:tcPr>
            <w:tcW w:w="1330" w:type="dxa"/>
            <w:tcBorders>
              <w:top w:val="single" w:sz="4" w:space="0" w:color="000000"/>
              <w:left w:val="single" w:sz="4" w:space="0" w:color="000000"/>
              <w:bottom w:val="single" w:sz="12" w:space="0" w:color="000000"/>
              <w:right w:val="single" w:sz="4" w:space="0" w:color="000000"/>
            </w:tcBorders>
          </w:tcPr>
          <w:p>
            <w:pPr/>
          </w:p>
        </w:tc>
        <w:tc>
          <w:tcPr>
            <w:tcW w:w="54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391" w:lineRule="auto"/>
        <w:ind w:left="1099" w:right="6857"/>
        <w:jc w:val="left"/>
      </w:pPr>
      <w:r>
        <w:rPr/>
        <w:pict>
          <v:shape style="position:absolute;margin-left:83.183983pt;margin-top:43.727623pt;width:429.1pt;height:83.8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89"/>
                    <w:gridCol w:w="2487"/>
                    <w:gridCol w:w="2463"/>
                  </w:tblGrid>
                  <w:tr>
                    <w:trPr>
                      <w:trHeight w:val="416" w:hRule="exact"/>
                    </w:trPr>
                    <w:tc>
                      <w:tcPr>
                        <w:tcW w:w="35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3"/>
                          <w:ind w:left="897" w:right="0"/>
                          <w:jc w:val="left"/>
                          <w:rPr>
                            <w:rFonts w:ascii="宋体" w:hAnsi="宋体" w:cs="宋体" w:eastAsia="宋体" w:hint="default"/>
                            <w:sz w:val="18"/>
                            <w:szCs w:val="18"/>
                          </w:rPr>
                        </w:pPr>
                        <w:r>
                          <w:rPr>
                            <w:rFonts w:ascii="宋体" w:hAnsi="宋体" w:cs="宋体" w:eastAsia="宋体" w:hint="default"/>
                            <w:b/>
                            <w:bCs/>
                            <w:sz w:val="18"/>
                            <w:szCs w:val="18"/>
                          </w:rPr>
                          <w:t>经营租赁租出资产类别</w:t>
                        </w:r>
                        <w:r>
                          <w:rPr>
                            <w:rFonts w:ascii="宋体" w:hAnsi="宋体" w:cs="宋体" w:eastAsia="宋体" w:hint="default"/>
                            <w:sz w:val="18"/>
                            <w:szCs w:val="18"/>
                          </w:rPr>
                        </w:r>
                      </w:p>
                    </w:tc>
                    <w:tc>
                      <w:tcPr>
                        <w:tcW w:w="24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8" w:hRule="exact"/>
                    </w:trPr>
                    <w:tc>
                      <w:tcPr>
                        <w:tcW w:w="3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1,143,886,809.07</w:t>
                        </w:r>
                      </w:p>
                    </w:tc>
                    <w:tc>
                      <w:tcPr>
                        <w:tcW w:w="2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1,085,041,202.93</w:t>
                        </w:r>
                      </w:p>
                    </w:tc>
                  </w:tr>
                  <w:tr>
                    <w:trPr>
                      <w:trHeight w:val="406" w:hRule="exact"/>
                    </w:trPr>
                    <w:tc>
                      <w:tcPr>
                        <w:tcW w:w="3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2,204,105.27</w:t>
                        </w:r>
                      </w:p>
                    </w:tc>
                    <w:tc>
                      <w:tcPr>
                        <w:tcW w:w="2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18"/>
                            <w:szCs w:val="18"/>
                          </w:rPr>
                        </w:pPr>
                        <w:r>
                          <w:rPr>
                            <w:rFonts w:ascii="宋体"/>
                            <w:spacing w:val="-1"/>
                            <w:sz w:val="18"/>
                          </w:rPr>
                          <w:t>5,271,323.01</w:t>
                        </w:r>
                      </w:p>
                    </w:tc>
                  </w:tr>
                  <w:tr>
                    <w:trPr>
                      <w:trHeight w:val="418" w:hRule="exact"/>
                    </w:trPr>
                    <w:tc>
                      <w:tcPr>
                        <w:tcW w:w="35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b/>
                            <w:w w:val="95"/>
                            <w:sz w:val="18"/>
                          </w:rPr>
                          <w:t>1,146,090,914.34</w:t>
                        </w:r>
                        <w:r>
                          <w:rPr>
                            <w:rFonts w:ascii="宋体"/>
                            <w:sz w:val="18"/>
                          </w:rPr>
                        </w:r>
                      </w:p>
                    </w:tc>
                    <w:tc>
                      <w:tcPr>
                        <w:tcW w:w="24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9"/>
                          <w:jc w:val="right"/>
                          <w:rPr>
                            <w:rFonts w:ascii="宋体" w:hAnsi="宋体" w:cs="宋体" w:eastAsia="宋体" w:hint="default"/>
                            <w:sz w:val="18"/>
                            <w:szCs w:val="18"/>
                          </w:rPr>
                        </w:pPr>
                        <w:r>
                          <w:rPr>
                            <w:rFonts w:ascii="宋体"/>
                            <w:b/>
                            <w:w w:val="95"/>
                            <w:sz w:val="18"/>
                          </w:rPr>
                          <w:t>1,090,312,525.94</w:t>
                        </w:r>
                        <w:r>
                          <w:rPr>
                            <w:rFonts w:ascii="宋体"/>
                            <w:sz w:val="18"/>
                          </w:rPr>
                        </w:r>
                      </w:p>
                    </w:tc>
                  </w:tr>
                </w:tbl>
                <w:p>
                  <w:pPr/>
                </w:p>
              </w:txbxContent>
            </v:textbox>
            <w10:wrap type="none"/>
          </v:shape>
        </w:pict>
      </w:r>
      <w:r>
        <w:rPr/>
        <w:t>（</w:t>
      </w:r>
      <w:r>
        <w:rPr>
          <w:rFonts w:ascii="宋体" w:hAnsi="宋体" w:cs="宋体" w:eastAsia="宋体" w:hint="default"/>
        </w:rPr>
        <w:t>2</w:t>
      </w:r>
      <w:r>
        <w:rPr/>
        <w:t>）租赁</w:t>
      </w:r>
      <w:r>
        <w:rPr>
          <w:spacing w:val="-107"/>
        </w:rPr>
        <w:t> </w:t>
      </w:r>
      <w:r>
        <w:rPr>
          <w:rFonts w:ascii="宋体" w:hAnsi="宋体" w:cs="宋体" w:eastAsia="宋体" w:hint="default"/>
        </w:rPr>
        <w:t>1</w:t>
      </w:r>
      <w:r>
        <w:rPr/>
        <w:t>）经营出租资产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7"/>
        <w:spacing w:line="240" w:lineRule="auto"/>
        <w:ind w:left="1099" w:right="537"/>
        <w:jc w:val="left"/>
      </w:pPr>
      <w:r>
        <w:rPr>
          <w:rFonts w:ascii="宋体" w:hAnsi="宋体" w:cs="宋体" w:eastAsia="宋体" w:hint="default"/>
        </w:rPr>
        <w:t>2</w:t>
      </w:r>
      <w:r>
        <w:rPr/>
        <w:t>）已签订的正在或准备履行的租赁合同及财务影响</w:t>
      </w:r>
    </w:p>
    <w:p>
      <w:pPr>
        <w:spacing w:after="0" w:line="240" w:lineRule="auto"/>
        <w:jc w:val="left"/>
        <w:sectPr>
          <w:footerReference w:type="default" r:id="rId69"/>
          <w:pgSz w:w="11910" w:h="16840"/>
          <w:pgMar w:footer="980" w:header="0" w:top="1600" w:bottom="1160" w:left="1140" w:right="1140"/>
          <w:pgNumType w:start="101"/>
        </w:sectPr>
      </w:pPr>
    </w:p>
    <w:p>
      <w:pPr>
        <w:spacing w:line="240" w:lineRule="auto" w:before="3"/>
        <w:rPr>
          <w:rFonts w:ascii="宋体" w:hAnsi="宋体" w:cs="宋体" w:eastAsia="宋体" w:hint="default"/>
          <w:sz w:val="3"/>
          <w:szCs w:val="3"/>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19" w:right="374"/>
        <w:jc w:val="left"/>
      </w:pPr>
      <w:r>
        <w:rPr/>
        <w:t>本公司：</w:t>
      </w:r>
    </w:p>
    <w:p>
      <w:pPr>
        <w:pStyle w:val="Heading7"/>
        <w:spacing w:line="326" w:lineRule="auto" w:before="180"/>
        <w:ind w:left="180" w:right="374" w:firstLine="439"/>
        <w:jc w:val="left"/>
      </w:pPr>
      <w:r>
        <w:rPr>
          <w:w w:val="100"/>
        </w:rPr>
        <w:t>于</w:t>
      </w:r>
      <w:r>
        <w:rPr>
          <w:spacing w:val="-47"/>
          <w:w w:val="100"/>
        </w:rPr>
        <w:t> </w:t>
      </w:r>
      <w:r>
        <w:rPr>
          <w:rFonts w:ascii="宋体" w:hAnsi="宋体" w:cs="宋体" w:eastAsia="宋体" w:hint="default"/>
          <w:w w:val="100"/>
        </w:rPr>
        <w:t>2015</w:t>
      </w:r>
      <w:r>
        <w:rPr>
          <w:rFonts w:ascii="宋体" w:hAnsi="宋体" w:cs="宋体" w:eastAsia="宋体" w:hint="default"/>
          <w:spacing w:val="-49"/>
          <w:w w:val="100"/>
        </w:rPr>
        <w:t> </w:t>
      </w:r>
      <w:r>
        <w:rPr>
          <w:w w:val="100"/>
        </w:rPr>
        <w:t>年</w:t>
      </w:r>
      <w:r>
        <w:rPr>
          <w:spacing w:val="-47"/>
          <w:w w:val="100"/>
        </w:rPr>
        <w:t> </w:t>
      </w:r>
      <w:r>
        <w:rPr>
          <w:rFonts w:ascii="宋体" w:hAnsi="宋体" w:cs="宋体" w:eastAsia="宋体" w:hint="default"/>
          <w:w w:val="100"/>
        </w:rPr>
        <w:t>12</w:t>
      </w:r>
      <w:r>
        <w:rPr>
          <w:rFonts w:ascii="宋体" w:hAnsi="宋体" w:cs="宋体" w:eastAsia="宋体" w:hint="default"/>
          <w:spacing w:val="-49"/>
          <w:w w:val="100"/>
        </w:rPr>
        <w:t> </w:t>
      </w:r>
      <w:r>
        <w:rPr>
          <w:w w:val="100"/>
        </w:rPr>
        <w:t>月</w:t>
      </w:r>
      <w:r>
        <w:rPr>
          <w:spacing w:val="-46"/>
          <w:w w:val="100"/>
        </w:rPr>
        <w:t> </w:t>
      </w:r>
      <w:r>
        <w:rPr>
          <w:rFonts w:ascii="宋体" w:hAnsi="宋体" w:cs="宋体" w:eastAsia="宋体" w:hint="default"/>
          <w:w w:val="100"/>
        </w:rPr>
        <w:t>31</w:t>
      </w:r>
      <w:r>
        <w:rPr>
          <w:rFonts w:ascii="宋体" w:hAnsi="宋体" w:cs="宋体" w:eastAsia="宋体" w:hint="default"/>
          <w:spacing w:val="-49"/>
          <w:w w:val="100"/>
        </w:rPr>
        <w:t> </w:t>
      </w:r>
      <w:r>
        <w:rPr>
          <w:spacing w:val="-5"/>
          <w:w w:val="100"/>
        </w:rPr>
        <w:t>日（</w:t>
      </w:r>
      <w:r>
        <w:rPr>
          <w:rFonts w:ascii="宋体" w:hAnsi="宋体" w:cs="宋体" w:eastAsia="宋体" w:hint="default"/>
          <w:spacing w:val="-5"/>
          <w:w w:val="100"/>
        </w:rPr>
        <w:t>T</w:t>
      </w:r>
      <w:r>
        <w:rPr>
          <w:spacing w:val="-5"/>
          <w:w w:val="100"/>
        </w:rPr>
        <w:t>），本公司就各代表处办公场所之不可撤销经营租赁和融</w:t>
      </w:r>
      <w:r>
        <w:rPr>
          <w:w w:val="100"/>
        </w:rPr>
        <w:t> </w:t>
      </w:r>
      <w:r>
        <w:rPr/>
        <w:t>资租赁所需于下列年间承担款项如下（单位：人民币元）</w:t>
      </w:r>
    </w:p>
    <w:tbl>
      <w:tblPr>
        <w:tblW w:w="0" w:type="auto"/>
        <w:jc w:val="left"/>
        <w:tblInd w:w="108" w:type="dxa"/>
        <w:tblLayout w:type="fixed"/>
        <w:tblCellMar>
          <w:top w:w="0" w:type="dxa"/>
          <w:left w:w="0" w:type="dxa"/>
          <w:bottom w:w="0" w:type="dxa"/>
          <w:right w:w="0" w:type="dxa"/>
        </w:tblCellMar>
        <w:tblLook w:val="01E0"/>
      </w:tblPr>
      <w:tblGrid>
        <w:gridCol w:w="5058"/>
        <w:gridCol w:w="3348"/>
      </w:tblGrid>
      <w:tr>
        <w:trPr>
          <w:trHeight w:val="389" w:hRule="exact"/>
        </w:trPr>
        <w:tc>
          <w:tcPr>
            <w:tcW w:w="50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b/>
                <w:bCs/>
                <w:sz w:val="18"/>
                <w:szCs w:val="18"/>
              </w:rPr>
              <w:t>年间</w:t>
            </w:r>
            <w:r>
              <w:rPr>
                <w:rFonts w:ascii="宋体" w:hAnsi="宋体" w:cs="宋体" w:eastAsia="宋体" w:hint="default"/>
                <w:sz w:val="18"/>
                <w:szCs w:val="18"/>
              </w:rPr>
            </w:r>
          </w:p>
        </w:tc>
        <w:tc>
          <w:tcPr>
            <w:tcW w:w="33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经营租赁</w:t>
            </w:r>
            <w:r>
              <w:rPr>
                <w:rFonts w:ascii="宋体" w:hAnsi="宋体" w:cs="宋体" w:eastAsia="宋体" w:hint="default"/>
                <w:sz w:val="18"/>
                <w:szCs w:val="18"/>
              </w:rPr>
            </w:r>
          </w:p>
        </w:tc>
      </w:tr>
      <w:tr>
        <w:trPr>
          <w:trHeight w:val="382" w:hRule="exact"/>
        </w:trPr>
        <w:tc>
          <w:tcPr>
            <w:tcW w:w="5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9"/>
              <w:jc w:val="right"/>
              <w:rPr>
                <w:rFonts w:ascii="宋体" w:hAnsi="宋体" w:cs="宋体" w:eastAsia="宋体" w:hint="default"/>
                <w:sz w:val="18"/>
                <w:szCs w:val="18"/>
              </w:rPr>
            </w:pPr>
            <w:r>
              <w:rPr>
                <w:rFonts w:ascii="宋体"/>
                <w:spacing w:val="-1"/>
                <w:sz w:val="18"/>
              </w:rPr>
              <w:t>1,533,736.72</w:t>
            </w:r>
          </w:p>
        </w:tc>
      </w:tr>
      <w:tr>
        <w:trPr>
          <w:trHeight w:val="379" w:hRule="exact"/>
        </w:trPr>
        <w:tc>
          <w:tcPr>
            <w:tcW w:w="5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216,616.32</w:t>
            </w:r>
          </w:p>
        </w:tc>
      </w:tr>
      <w:tr>
        <w:trPr>
          <w:trHeight w:val="379" w:hRule="exact"/>
        </w:trPr>
        <w:tc>
          <w:tcPr>
            <w:tcW w:w="5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146,416.32</w:t>
            </w:r>
          </w:p>
        </w:tc>
      </w:tr>
      <w:tr>
        <w:trPr>
          <w:trHeight w:val="391" w:hRule="exact"/>
        </w:trPr>
        <w:tc>
          <w:tcPr>
            <w:tcW w:w="50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b/>
                <w:w w:val="95"/>
                <w:sz w:val="18"/>
              </w:rPr>
              <w:t>1,896,769.36</w:t>
            </w:r>
            <w:r>
              <w:rPr>
                <w:rFonts w:ascii="宋体"/>
                <w:sz w:val="18"/>
              </w:rPr>
            </w:r>
          </w:p>
        </w:tc>
      </w:tr>
    </w:tbl>
    <w:p>
      <w:pPr>
        <w:spacing w:line="240" w:lineRule="auto" w:before="3"/>
        <w:rPr>
          <w:rFonts w:ascii="宋体" w:hAnsi="宋体" w:cs="宋体" w:eastAsia="宋体" w:hint="default"/>
          <w:sz w:val="5"/>
          <w:szCs w:val="5"/>
        </w:rPr>
      </w:pPr>
    </w:p>
    <w:p>
      <w:pPr>
        <w:pStyle w:val="Heading7"/>
        <w:spacing w:line="240" w:lineRule="auto"/>
        <w:ind w:left="619" w:right="374"/>
        <w:jc w:val="left"/>
      </w:pPr>
      <w:r>
        <w:rPr/>
        <w:t>子公司：冠捷科技</w:t>
      </w:r>
    </w:p>
    <w:p>
      <w:pPr>
        <w:pStyle w:val="Heading7"/>
        <w:spacing w:line="326" w:lineRule="auto" w:before="180"/>
        <w:ind w:left="180" w:right="374" w:firstLine="439"/>
        <w:jc w:val="left"/>
      </w:pPr>
      <w:r>
        <w:rPr>
          <w:w w:val="100"/>
        </w:rPr>
        <w:t>于</w:t>
      </w:r>
      <w:r>
        <w:rPr>
          <w:spacing w:val="-47"/>
          <w:w w:val="100"/>
        </w:rPr>
        <w:t> </w:t>
      </w:r>
      <w:r>
        <w:rPr>
          <w:rFonts w:ascii="宋体" w:hAnsi="宋体" w:cs="宋体" w:eastAsia="宋体" w:hint="default"/>
          <w:w w:val="100"/>
        </w:rPr>
        <w:t>2015</w:t>
      </w:r>
      <w:r>
        <w:rPr>
          <w:rFonts w:ascii="宋体" w:hAnsi="宋体" w:cs="宋体" w:eastAsia="宋体" w:hint="default"/>
          <w:spacing w:val="-49"/>
          <w:w w:val="100"/>
        </w:rPr>
        <w:t> </w:t>
      </w:r>
      <w:r>
        <w:rPr>
          <w:w w:val="100"/>
        </w:rPr>
        <w:t>年</w:t>
      </w:r>
      <w:r>
        <w:rPr>
          <w:spacing w:val="-47"/>
          <w:w w:val="100"/>
        </w:rPr>
        <w:t> </w:t>
      </w:r>
      <w:r>
        <w:rPr>
          <w:rFonts w:ascii="宋体" w:hAnsi="宋体" w:cs="宋体" w:eastAsia="宋体" w:hint="default"/>
          <w:w w:val="100"/>
        </w:rPr>
        <w:t>12</w:t>
      </w:r>
      <w:r>
        <w:rPr>
          <w:rFonts w:ascii="宋体" w:hAnsi="宋体" w:cs="宋体" w:eastAsia="宋体" w:hint="default"/>
          <w:spacing w:val="-49"/>
          <w:w w:val="100"/>
        </w:rPr>
        <w:t> </w:t>
      </w:r>
      <w:r>
        <w:rPr>
          <w:w w:val="100"/>
        </w:rPr>
        <w:t>月</w:t>
      </w:r>
      <w:r>
        <w:rPr>
          <w:spacing w:val="-46"/>
          <w:w w:val="100"/>
        </w:rPr>
        <w:t> </w:t>
      </w:r>
      <w:r>
        <w:rPr>
          <w:rFonts w:ascii="宋体" w:hAnsi="宋体" w:cs="宋体" w:eastAsia="宋体" w:hint="default"/>
          <w:w w:val="100"/>
        </w:rPr>
        <w:t>31</w:t>
      </w:r>
      <w:r>
        <w:rPr>
          <w:rFonts w:ascii="宋体" w:hAnsi="宋体" w:cs="宋体" w:eastAsia="宋体" w:hint="default"/>
          <w:spacing w:val="-49"/>
          <w:w w:val="100"/>
        </w:rPr>
        <w:t> </w:t>
      </w:r>
      <w:r>
        <w:rPr>
          <w:spacing w:val="-5"/>
          <w:w w:val="100"/>
        </w:rPr>
        <w:t>日（</w:t>
      </w:r>
      <w:r>
        <w:rPr>
          <w:rFonts w:ascii="宋体" w:hAnsi="宋体" w:cs="宋体" w:eastAsia="宋体" w:hint="default"/>
          <w:spacing w:val="-5"/>
          <w:w w:val="100"/>
        </w:rPr>
        <w:t>T</w:t>
      </w:r>
      <w:r>
        <w:rPr>
          <w:spacing w:val="-5"/>
          <w:w w:val="100"/>
        </w:rPr>
        <w:t>），本公司之子公司冠捷科技就土地、厂房不可撤销经营</w:t>
      </w:r>
      <w:r>
        <w:rPr>
          <w:w w:val="100"/>
        </w:rPr>
        <w:t> </w:t>
      </w:r>
      <w:r>
        <w:rPr/>
        <w:t>租赁和融资租赁所需于下列年间承担款项如下（单位：千美元）</w:t>
      </w:r>
    </w:p>
    <w:tbl>
      <w:tblPr>
        <w:tblW w:w="0" w:type="auto"/>
        <w:jc w:val="left"/>
        <w:tblInd w:w="108" w:type="dxa"/>
        <w:tblLayout w:type="fixed"/>
        <w:tblCellMar>
          <w:top w:w="0" w:type="dxa"/>
          <w:left w:w="0" w:type="dxa"/>
          <w:bottom w:w="0" w:type="dxa"/>
          <w:right w:w="0" w:type="dxa"/>
        </w:tblCellMar>
        <w:tblLook w:val="01E0"/>
      </w:tblPr>
      <w:tblGrid>
        <w:gridCol w:w="5058"/>
        <w:gridCol w:w="3348"/>
      </w:tblGrid>
      <w:tr>
        <w:trPr>
          <w:trHeight w:val="391" w:hRule="exact"/>
        </w:trPr>
        <w:tc>
          <w:tcPr>
            <w:tcW w:w="50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33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经营租赁</w:t>
            </w:r>
            <w:r>
              <w:rPr>
                <w:rFonts w:ascii="宋体" w:hAnsi="宋体" w:cs="宋体" w:eastAsia="宋体" w:hint="default"/>
                <w:sz w:val="18"/>
                <w:szCs w:val="18"/>
              </w:rPr>
            </w:r>
          </w:p>
        </w:tc>
      </w:tr>
      <w:tr>
        <w:trPr>
          <w:trHeight w:val="379" w:hRule="exact"/>
        </w:trPr>
        <w:tc>
          <w:tcPr>
            <w:tcW w:w="5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15,600.00</w:t>
            </w:r>
          </w:p>
        </w:tc>
      </w:tr>
      <w:tr>
        <w:trPr>
          <w:trHeight w:val="379" w:hRule="exact"/>
        </w:trPr>
        <w:tc>
          <w:tcPr>
            <w:tcW w:w="5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T+2</w:t>
            </w:r>
            <w:r>
              <w:rPr>
                <w:rFonts w:ascii="宋体" w:hAnsi="宋体" w:cs="宋体" w:eastAsia="宋体" w:hint="default"/>
                <w:spacing w:val="-44"/>
                <w:sz w:val="18"/>
                <w:szCs w:val="18"/>
              </w:rPr>
              <w:t> </w:t>
            </w:r>
            <w:r>
              <w:rPr>
                <w:rFonts w:ascii="宋体" w:hAnsi="宋体" w:cs="宋体" w:eastAsia="宋体" w:hint="default"/>
                <w:sz w:val="18"/>
                <w:szCs w:val="18"/>
              </w:rPr>
              <w:t>年 至</w:t>
            </w:r>
            <w:r>
              <w:rPr>
                <w:rFonts w:ascii="宋体" w:hAnsi="宋体" w:cs="宋体" w:eastAsia="宋体" w:hint="default"/>
                <w:spacing w:val="-3"/>
                <w:sz w:val="18"/>
                <w:szCs w:val="18"/>
              </w:rPr>
              <w:t> </w:t>
            </w:r>
            <w:r>
              <w:rPr>
                <w:rFonts w:ascii="宋体" w:hAnsi="宋体" w:cs="宋体" w:eastAsia="宋体" w:hint="default"/>
                <w:sz w:val="18"/>
                <w:szCs w:val="18"/>
              </w:rPr>
              <w:t>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26,748.00</w:t>
            </w:r>
          </w:p>
        </w:tc>
      </w:tr>
      <w:tr>
        <w:trPr>
          <w:trHeight w:val="382" w:hRule="exact"/>
        </w:trPr>
        <w:tc>
          <w:tcPr>
            <w:tcW w:w="5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T+5</w:t>
            </w:r>
            <w:r>
              <w:rPr>
                <w:rFonts w:ascii="宋体" w:hAnsi="宋体" w:cs="宋体" w:eastAsia="宋体" w:hint="default"/>
                <w:spacing w:val="-44"/>
                <w:sz w:val="18"/>
                <w:szCs w:val="18"/>
              </w:rPr>
              <w:t> </w:t>
            </w:r>
            <w:r>
              <w:rPr>
                <w:rFonts w:ascii="宋体" w:hAnsi="宋体" w:cs="宋体" w:eastAsia="宋体" w:hint="default"/>
                <w:sz w:val="18"/>
                <w:szCs w:val="18"/>
              </w:rPr>
              <w:t>年以后</w:t>
            </w:r>
          </w:p>
        </w:tc>
        <w:tc>
          <w:tcPr>
            <w:tcW w:w="33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8"/>
              <w:jc w:val="right"/>
              <w:rPr>
                <w:rFonts w:ascii="宋体" w:hAnsi="宋体" w:cs="宋体" w:eastAsia="宋体" w:hint="default"/>
                <w:sz w:val="18"/>
                <w:szCs w:val="18"/>
              </w:rPr>
            </w:pPr>
            <w:r>
              <w:rPr>
                <w:rFonts w:ascii="宋体"/>
                <w:spacing w:val="-1"/>
                <w:sz w:val="18"/>
              </w:rPr>
              <w:t>13,486.00</w:t>
            </w:r>
          </w:p>
        </w:tc>
      </w:tr>
      <w:tr>
        <w:trPr>
          <w:trHeight w:val="389" w:hRule="exact"/>
        </w:trPr>
        <w:tc>
          <w:tcPr>
            <w:tcW w:w="50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b/>
                <w:w w:val="95"/>
                <w:sz w:val="18"/>
              </w:rPr>
              <w:t>55,834.00</w:t>
            </w:r>
            <w:r>
              <w:rPr>
                <w:rFonts w:ascii="宋体"/>
                <w:sz w:val="18"/>
              </w:rPr>
            </w:r>
          </w:p>
        </w:tc>
      </w:tr>
    </w:tbl>
    <w:p>
      <w:pPr>
        <w:spacing w:line="240" w:lineRule="auto" w:before="0"/>
        <w:rPr>
          <w:rFonts w:ascii="宋体" w:hAnsi="宋体" w:cs="宋体" w:eastAsia="宋体" w:hint="default"/>
          <w:sz w:val="5"/>
          <w:szCs w:val="5"/>
        </w:rPr>
      </w:pPr>
    </w:p>
    <w:p>
      <w:pPr>
        <w:spacing w:line="487" w:lineRule="auto" w:before="32"/>
        <w:ind w:left="621" w:right="864" w:hanging="3"/>
        <w:jc w:val="left"/>
        <w:rPr>
          <w:rFonts w:ascii="宋体" w:hAnsi="宋体" w:cs="宋体" w:eastAsia="宋体" w:hint="default"/>
          <w:sz w:val="22"/>
          <w:szCs w:val="22"/>
        </w:rPr>
      </w:pPr>
      <w:r>
        <w:rPr>
          <w:rFonts w:ascii="宋体" w:hAnsi="宋体" w:cs="宋体" w:eastAsia="宋体" w:hint="default"/>
          <w:sz w:val="22"/>
          <w:szCs w:val="22"/>
        </w:rPr>
        <w:t>除上述承诺事项外，截至</w:t>
      </w:r>
      <w:r>
        <w:rPr>
          <w:rFonts w:ascii="宋体" w:hAnsi="宋体" w:cs="宋体" w:eastAsia="宋体" w:hint="default"/>
          <w:spacing w:val="-55"/>
          <w:sz w:val="22"/>
          <w:szCs w:val="22"/>
        </w:rPr>
        <w:t> </w:t>
      </w:r>
      <w:r>
        <w:rPr>
          <w:rFonts w:ascii="宋体" w:hAnsi="宋体" w:cs="宋体" w:eastAsia="宋体" w:hint="default"/>
          <w:sz w:val="22"/>
          <w:szCs w:val="22"/>
        </w:rPr>
        <w:t>2015</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100"/>
          <w:sz w:val="22"/>
          <w:szCs w:val="22"/>
        </w:rPr>
        <w:t> </w:t>
      </w:r>
      <w:r>
        <w:rPr>
          <w:rFonts w:ascii="宋体" w:hAnsi="宋体" w:cs="宋体" w:eastAsia="宋体" w:hint="default"/>
          <w:b/>
          <w:bCs/>
          <w:sz w:val="22"/>
          <w:szCs w:val="22"/>
        </w:rPr>
        <w:t>十五、资产负债表日后事项</w:t>
      </w:r>
      <w:r>
        <w:rPr>
          <w:rFonts w:ascii="宋体" w:hAnsi="宋体" w:cs="宋体" w:eastAsia="宋体" w:hint="default"/>
          <w:sz w:val="22"/>
          <w:szCs w:val="22"/>
        </w:rPr>
      </w:r>
    </w:p>
    <w:p>
      <w:pPr>
        <w:pStyle w:val="Heading7"/>
        <w:spacing w:line="280" w:lineRule="exact" w:before="0"/>
        <w:ind w:left="619" w:right="374"/>
        <w:jc w:val="left"/>
      </w:pPr>
      <w:r>
        <w:rPr>
          <w:rFonts w:ascii="宋体" w:hAnsi="宋体" w:cs="宋体" w:eastAsia="宋体" w:hint="default"/>
        </w:rPr>
        <w:t>1</w:t>
      </w:r>
      <w:r>
        <w:rPr/>
        <w:t>、重大资产重组项目</w:t>
      </w:r>
    </w:p>
    <w:p>
      <w:pPr>
        <w:pStyle w:val="Heading7"/>
        <w:spacing w:line="326" w:lineRule="auto" w:before="180"/>
        <w:ind w:left="180" w:right="376" w:firstLine="439"/>
        <w:jc w:val="both"/>
      </w:pPr>
      <w:r>
        <w:rPr/>
        <w:t>由于公司实际控制人 </w:t>
      </w:r>
      <w:r>
        <w:rPr>
          <w:rFonts w:ascii="宋体" w:hAnsi="宋体" w:cs="宋体" w:eastAsia="宋体" w:hint="default"/>
        </w:rPr>
        <w:t>CEC</w:t>
      </w:r>
      <w:r>
        <w:rPr>
          <w:rFonts w:ascii="宋体" w:hAnsi="宋体" w:cs="宋体" w:eastAsia="宋体" w:hint="default"/>
          <w:spacing w:val="-75"/>
        </w:rPr>
        <w:t> </w:t>
      </w:r>
      <w:r>
        <w:rPr>
          <w:spacing w:val="-4"/>
        </w:rPr>
        <w:t>正在筹划涉及公司的重大事项，经公司申请，公司股票自</w:t>
      </w:r>
      <w:r>
        <w:rPr>
          <w:w w:val="100"/>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3"/>
        </w:rPr>
        <w:t> </w:t>
      </w:r>
      <w:r>
        <w:rPr>
          <w:rFonts w:ascii="宋体" w:hAnsi="宋体" w:cs="宋体" w:eastAsia="宋体" w:hint="default"/>
        </w:rPr>
        <w:t>18</w:t>
      </w:r>
      <w:r>
        <w:rPr>
          <w:rFonts w:ascii="宋体" w:hAnsi="宋体" w:cs="宋体" w:eastAsia="宋体" w:hint="default"/>
          <w:spacing w:val="-56"/>
        </w:rPr>
        <w:t> </w:t>
      </w:r>
      <w:r>
        <w:rPr>
          <w:spacing w:val="-5"/>
        </w:rPr>
        <w:t>日开市起停牌。</w:t>
      </w:r>
      <w:r>
        <w:rPr>
          <w:rFonts w:ascii="宋体" w:hAnsi="宋体" w:cs="宋体" w:eastAsia="宋体" w:hint="default"/>
          <w:spacing w:val="-5"/>
        </w:rPr>
        <w:t>2015</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spacing w:val="-9"/>
        </w:rPr>
        <w:t>日，经确认，</w:t>
      </w:r>
      <w:r>
        <w:rPr>
          <w:rFonts w:ascii="宋体" w:hAnsi="宋体" w:cs="宋体" w:eastAsia="宋体" w:hint="default"/>
          <w:spacing w:val="-9"/>
        </w:rPr>
        <w:t>CEC</w:t>
      </w:r>
      <w:r>
        <w:rPr>
          <w:rFonts w:ascii="宋体" w:hAnsi="宋体" w:cs="宋体" w:eastAsia="宋体" w:hint="default"/>
          <w:spacing w:val="-56"/>
        </w:rPr>
        <w:t> </w:t>
      </w:r>
      <w:r>
        <w:rPr/>
        <w:t>本次筹划的重大事项涉</w:t>
      </w:r>
      <w:r>
        <w:rPr>
          <w:w w:val="100"/>
        </w:rPr>
        <w:t> </w:t>
      </w:r>
      <w:r>
        <w:rPr/>
        <w:t>及本公司的重大资产重组，经公司申请，公司股票转为重大资产重组停牌。</w:t>
      </w:r>
    </w:p>
    <w:p>
      <w:pPr>
        <w:pStyle w:val="Heading7"/>
        <w:spacing w:line="240" w:lineRule="auto" w:before="98"/>
        <w:ind w:left="619" w:right="261"/>
        <w:jc w:val="left"/>
      </w:pP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9"/>
        </w:rPr>
        <w:t> </w:t>
      </w:r>
      <w:r>
        <w:rPr>
          <w:rFonts w:ascii="宋体" w:hAnsi="宋体" w:cs="宋体" w:eastAsia="宋体" w:hint="default"/>
        </w:rPr>
        <w:t>23</w:t>
      </w:r>
      <w:r>
        <w:rPr>
          <w:rFonts w:ascii="宋体" w:hAnsi="宋体" w:cs="宋体" w:eastAsia="宋体" w:hint="default"/>
          <w:spacing w:val="-56"/>
        </w:rPr>
        <w:t> </w:t>
      </w:r>
      <w:r>
        <w:rPr/>
        <w:t>日，公司第六届董事会第六次会议审议通过了本次重大资产重组预</w:t>
      </w:r>
    </w:p>
    <w:p>
      <w:pPr>
        <w:pStyle w:val="Heading7"/>
        <w:spacing w:line="240" w:lineRule="auto" w:before="103"/>
        <w:ind w:left="180" w:right="261"/>
        <w:jc w:val="left"/>
      </w:pPr>
      <w:r>
        <w:rPr/>
        <w:t>案及其他相关议案；</w:t>
      </w:r>
      <w:r>
        <w:rPr>
          <w:rFonts w:ascii="宋体" w:hAnsi="宋体" w:cs="宋体" w:eastAsia="宋体" w:hint="default"/>
        </w:rPr>
        <w:t>2016</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10</w:t>
      </w:r>
      <w:r>
        <w:rPr>
          <w:rFonts w:ascii="宋体" w:hAnsi="宋体" w:cs="宋体" w:eastAsia="宋体" w:hint="default"/>
          <w:spacing w:val="-55"/>
        </w:rPr>
        <w:t> </w:t>
      </w:r>
      <w:r>
        <w:rPr>
          <w:spacing w:val="-3"/>
        </w:rPr>
        <w:t>日，经公司申请，公司股票恢复交易；</w:t>
      </w:r>
      <w:r>
        <w:rPr>
          <w:rFonts w:ascii="宋体" w:hAnsi="宋体" w:cs="宋体" w:eastAsia="宋体" w:hint="default"/>
          <w:spacing w:val="-3"/>
        </w:rPr>
        <w:t>2016</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8"/>
        </w:rPr>
        <w:t> </w:t>
      </w:r>
      <w:r>
        <w:rPr/>
        <w:t>月</w:t>
      </w:r>
    </w:p>
    <w:p>
      <w:pPr>
        <w:pStyle w:val="Heading7"/>
        <w:spacing w:line="240" w:lineRule="auto" w:before="103"/>
        <w:ind w:left="180" w:right="261"/>
        <w:jc w:val="left"/>
      </w:pPr>
      <w:r>
        <w:rPr>
          <w:rFonts w:ascii="宋体" w:hAnsi="宋体" w:cs="宋体" w:eastAsia="宋体" w:hint="default"/>
        </w:rPr>
        <w:t>10</w:t>
      </w:r>
      <w:r>
        <w:rPr>
          <w:rFonts w:ascii="宋体" w:hAnsi="宋体" w:cs="宋体" w:eastAsia="宋体" w:hint="default"/>
          <w:spacing w:val="-51"/>
        </w:rPr>
        <w:t> </w:t>
      </w:r>
      <w:r>
        <w:rPr>
          <w:spacing w:val="-4"/>
        </w:rPr>
        <w:t>日公司第六届董事会第七次会议、</w:t>
      </w:r>
      <w:r>
        <w:rPr>
          <w:rFonts w:ascii="宋体" w:hAnsi="宋体" w:cs="宋体" w:eastAsia="宋体" w:hint="default"/>
          <w:spacing w:val="-4"/>
        </w:rPr>
        <w:t>2016</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t>日公司第六届董事会第八次会议和</w:t>
      </w:r>
    </w:p>
    <w:p>
      <w:pPr>
        <w:pStyle w:val="Heading7"/>
        <w:spacing w:line="240" w:lineRule="auto" w:before="101"/>
        <w:ind w:left="180" w:right="261"/>
        <w:jc w:val="left"/>
      </w:pPr>
      <w:r>
        <w:rPr>
          <w:rFonts w:ascii="宋体" w:hAnsi="宋体" w:cs="宋体" w:eastAsia="宋体" w:hint="default"/>
        </w:rPr>
        <w:t>2016</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39"/>
        </w:rPr>
        <w:t> </w:t>
      </w:r>
      <w:r>
        <w:rPr/>
        <w:t>月</w:t>
      </w:r>
      <w:r>
        <w:rPr>
          <w:spacing w:val="-42"/>
        </w:rPr>
        <w:t> </w:t>
      </w:r>
      <w:r>
        <w:rPr>
          <w:rFonts w:ascii="宋体" w:hAnsi="宋体" w:cs="宋体" w:eastAsia="宋体" w:hint="default"/>
        </w:rPr>
        <w:t>28</w:t>
      </w:r>
      <w:r>
        <w:rPr>
          <w:rFonts w:ascii="宋体" w:hAnsi="宋体" w:cs="宋体" w:eastAsia="宋体" w:hint="default"/>
          <w:spacing w:val="-42"/>
        </w:rPr>
        <w:t> </w:t>
      </w:r>
      <w:r>
        <w:rPr/>
        <w:t>日</w:t>
      </w:r>
      <w:r>
        <w:rPr>
          <w:spacing w:val="-39"/>
        </w:rPr>
        <w:t> </w:t>
      </w:r>
      <w:r>
        <w:rPr>
          <w:rFonts w:ascii="宋体" w:hAnsi="宋体" w:cs="宋体" w:eastAsia="宋体" w:hint="default"/>
        </w:rPr>
        <w:t>2016</w:t>
      </w:r>
      <w:r>
        <w:rPr>
          <w:rFonts w:ascii="宋体" w:hAnsi="宋体" w:cs="宋体" w:eastAsia="宋体" w:hint="default"/>
          <w:spacing w:val="-41"/>
        </w:rPr>
        <w:t> </w:t>
      </w:r>
      <w:r>
        <w:rPr/>
        <w:t>年度第二次临时股东大会审议通过了本次重大资产重组报告书</w:t>
      </w:r>
    </w:p>
    <w:p>
      <w:pPr>
        <w:pStyle w:val="Heading7"/>
        <w:spacing w:line="326" w:lineRule="auto" w:before="103"/>
        <w:ind w:left="180" w:right="261"/>
        <w:jc w:val="left"/>
      </w:pPr>
      <w:r>
        <w:rPr>
          <w:spacing w:val="-8"/>
          <w:w w:val="100"/>
        </w:rPr>
        <w:t>（草案）及其他相关议案。本次重大资产重组总体方案包括：（</w:t>
      </w:r>
      <w:r>
        <w:rPr>
          <w:rFonts w:ascii="宋体" w:hAnsi="宋体" w:cs="宋体" w:eastAsia="宋体" w:hint="default"/>
          <w:spacing w:val="-8"/>
          <w:w w:val="100"/>
        </w:rPr>
        <w:t>1</w:t>
      </w:r>
      <w:r>
        <w:rPr>
          <w:spacing w:val="-8"/>
          <w:w w:val="100"/>
        </w:rPr>
        <w:t>）换股合并；（</w:t>
      </w:r>
      <w:r>
        <w:rPr>
          <w:rFonts w:ascii="宋体" w:hAnsi="宋体" w:cs="宋体" w:eastAsia="宋体" w:hint="default"/>
          <w:spacing w:val="-8"/>
          <w:w w:val="100"/>
        </w:rPr>
        <w:t>2</w:t>
      </w:r>
      <w:r>
        <w:rPr>
          <w:spacing w:val="-8"/>
          <w:w w:val="100"/>
        </w:rPr>
        <w:t>）重大</w:t>
      </w:r>
      <w:r>
        <w:rPr>
          <w:spacing w:val="-98"/>
          <w:w w:val="100"/>
        </w:rPr>
        <w:t> </w:t>
      </w:r>
      <w:r>
        <w:rPr>
          <w:spacing w:val="-98"/>
          <w:w w:val="100"/>
        </w:rPr>
      </w:r>
      <w:r>
        <w:rPr>
          <w:spacing w:val="-10"/>
          <w:w w:val="100"/>
        </w:rPr>
        <w:t>资产置换；（</w:t>
      </w:r>
      <w:r>
        <w:rPr>
          <w:rFonts w:ascii="宋体" w:hAnsi="宋体" w:cs="宋体" w:eastAsia="宋体" w:hint="default"/>
          <w:spacing w:val="-10"/>
          <w:w w:val="100"/>
        </w:rPr>
        <w:t>3</w:t>
      </w:r>
      <w:r>
        <w:rPr>
          <w:spacing w:val="-10"/>
          <w:w w:val="100"/>
        </w:rPr>
        <w:t>）发行股份购买资产；（</w:t>
      </w:r>
      <w:r>
        <w:rPr>
          <w:rFonts w:ascii="宋体" w:hAnsi="宋体" w:cs="宋体" w:eastAsia="宋体" w:hint="default"/>
          <w:spacing w:val="-10"/>
          <w:w w:val="100"/>
        </w:rPr>
        <w:t>4</w:t>
      </w:r>
      <w:r>
        <w:rPr>
          <w:spacing w:val="-10"/>
          <w:w w:val="100"/>
        </w:rPr>
        <w:t>）配套募集资金。因交易方实际控制人均为</w:t>
      </w:r>
      <w:r>
        <w:rPr>
          <w:spacing w:val="-43"/>
          <w:w w:val="100"/>
        </w:rPr>
        <w:t> </w:t>
      </w:r>
      <w:r>
        <w:rPr>
          <w:rFonts w:ascii="宋体" w:hAnsi="宋体" w:cs="宋体" w:eastAsia="宋体" w:hint="default"/>
          <w:spacing w:val="-1"/>
          <w:w w:val="100"/>
        </w:rPr>
        <w:t>CEC</w:t>
      </w:r>
      <w:r>
        <w:rPr>
          <w:spacing w:val="-1"/>
          <w:w w:val="100"/>
        </w:rPr>
        <w:t>，</w:t>
      </w:r>
      <w:r>
        <w:rPr>
          <w:spacing w:val="-107"/>
          <w:w w:val="100"/>
        </w:rPr>
        <w:t> </w:t>
      </w:r>
      <w:r>
        <w:rPr/>
        <w:t>本次重大资产重组构成关联交易。</w:t>
      </w:r>
    </w:p>
    <w:p>
      <w:pPr>
        <w:pStyle w:val="Heading7"/>
        <w:spacing w:line="326" w:lineRule="auto" w:before="98"/>
        <w:ind w:left="180" w:right="374" w:firstLine="439"/>
        <w:jc w:val="both"/>
      </w:pPr>
      <w:r>
        <w:rPr>
          <w:rFonts w:ascii="宋体" w:hAnsi="宋体" w:cs="宋体" w:eastAsia="宋体" w:hint="default"/>
        </w:rPr>
        <w:t>2016</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8"/>
        </w:rPr>
        <w:t> </w:t>
      </w:r>
      <w:r>
        <w:rPr/>
        <w:t>月</w:t>
      </w:r>
      <w:r>
        <w:rPr>
          <w:spacing w:val="-55"/>
        </w:rPr>
        <w:t> </w:t>
      </w:r>
      <w:r>
        <w:rPr>
          <w:rFonts w:ascii="宋体" w:hAnsi="宋体" w:cs="宋体" w:eastAsia="宋体" w:hint="default"/>
        </w:rPr>
        <w:t>25</w:t>
      </w:r>
      <w:r>
        <w:rPr>
          <w:rFonts w:ascii="宋体" w:hAnsi="宋体" w:cs="宋体" w:eastAsia="宋体" w:hint="default"/>
          <w:spacing w:val="-55"/>
        </w:rPr>
        <w:t> </w:t>
      </w:r>
      <w:r>
        <w:rPr/>
        <w:t>日，公司收到实际控制人</w:t>
      </w:r>
      <w:r>
        <w:rPr>
          <w:spacing w:val="-55"/>
        </w:rPr>
        <w:t> </w:t>
      </w:r>
      <w:r>
        <w:rPr>
          <w:rFonts w:ascii="宋体" w:hAnsi="宋体" w:cs="宋体" w:eastAsia="宋体" w:hint="default"/>
        </w:rPr>
        <w:t>CEC</w:t>
      </w:r>
      <w:r>
        <w:rPr>
          <w:rFonts w:ascii="宋体" w:hAnsi="宋体" w:cs="宋体" w:eastAsia="宋体" w:hint="default"/>
          <w:spacing w:val="-55"/>
        </w:rPr>
        <w:t> </w:t>
      </w:r>
      <w:r>
        <w:rPr/>
        <w:t>转来的国务院国有资产监督管理委员</w:t>
      </w:r>
      <w:r>
        <w:rPr>
          <w:w w:val="100"/>
        </w:rPr>
        <w:t> </w:t>
      </w:r>
      <w:r>
        <w:rPr>
          <w:spacing w:val="-3"/>
        </w:rPr>
        <w:t>会《关于中国长城计算机深圳股份有限公司换股吸收合并长城信息产业股份有限公司同</w:t>
      </w:r>
      <w:r>
        <w:rPr>
          <w:spacing w:val="-58"/>
        </w:rPr>
        <w:t> </w:t>
      </w:r>
      <w:r>
        <w:rPr>
          <w:spacing w:val="-58"/>
        </w:rPr>
      </w:r>
      <w:r>
        <w:rPr>
          <w:spacing w:val="-4"/>
          <w:w w:val="100"/>
        </w:rPr>
        <w:t>时进行资产重组暨配套融资有关问题的批复》（国资产权</w:t>
      </w:r>
      <w:r>
        <w:rPr>
          <w:rFonts w:ascii="宋体" w:hAnsi="宋体" w:cs="宋体" w:eastAsia="宋体" w:hint="default"/>
          <w:spacing w:val="-4"/>
          <w:w w:val="100"/>
        </w:rPr>
        <w:t>[2016]204</w:t>
      </w:r>
      <w:r>
        <w:rPr>
          <w:rFonts w:ascii="宋体" w:hAnsi="宋体" w:cs="宋体" w:eastAsia="宋体" w:hint="default"/>
          <w:spacing w:val="-49"/>
          <w:w w:val="100"/>
        </w:rPr>
        <w:t> </w:t>
      </w:r>
      <w:r>
        <w:rPr>
          <w:spacing w:val="-14"/>
          <w:w w:val="100"/>
        </w:rPr>
        <w:t>号），国务院国有资</w:t>
      </w:r>
      <w:r>
        <w:rPr>
          <w:w w:val="100"/>
        </w:rPr>
        <w:t> </w:t>
      </w:r>
      <w:r>
        <w:rPr>
          <w:spacing w:val="2"/>
        </w:rPr>
        <w:t>产监督管理委员会原则同意长城电脑本次换股吸收合并长城信息并进行资产重组及募</w:t>
      </w:r>
    </w:p>
    <w:p>
      <w:pPr>
        <w:spacing w:after="0" w:line="326" w:lineRule="auto"/>
        <w:jc w:val="both"/>
        <w:sectPr>
          <w:pgSz w:w="11910" w:h="16840"/>
          <w:pgMar w:header="0" w:footer="980" w:top="1600" w:bottom="1160" w:left="162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4" w:lineRule="auto" w:before="0"/>
        <w:ind w:right="369"/>
        <w:jc w:val="left"/>
      </w:pPr>
      <w:r>
        <w:rPr>
          <w:spacing w:val="-4"/>
        </w:rPr>
        <w:t>集配套资金的总体方案。</w:t>
      </w:r>
      <w:r>
        <w:rPr>
          <w:rFonts w:ascii="宋体" w:hAnsi="宋体" w:cs="宋体" w:eastAsia="宋体" w:hint="default"/>
          <w:spacing w:val="-4"/>
        </w:rPr>
        <w:t>2016</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9"/>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spacing w:val="-5"/>
        </w:rPr>
        <w:t>日，公司收到《中国证监会行政许可申请受理通</w:t>
      </w:r>
      <w:r>
        <w:rPr>
          <w:spacing w:val="-108"/>
        </w:rPr>
        <w:t> </w:t>
      </w:r>
      <w:r>
        <w:rPr>
          <w:spacing w:val="-108"/>
        </w:rPr>
      </w:r>
      <w:r>
        <w:rPr>
          <w:spacing w:val="-17"/>
          <w:w w:val="100"/>
        </w:rPr>
        <w:t>知书》（</w:t>
      </w:r>
      <w:r>
        <w:rPr>
          <w:rFonts w:ascii="宋体" w:hAnsi="宋体" w:cs="宋体" w:eastAsia="宋体" w:hint="default"/>
          <w:spacing w:val="-17"/>
          <w:w w:val="100"/>
        </w:rPr>
        <w:t>160650</w:t>
      </w:r>
      <w:r>
        <w:rPr>
          <w:rFonts w:ascii="宋体" w:hAnsi="宋体" w:cs="宋体" w:eastAsia="宋体" w:hint="default"/>
          <w:spacing w:val="-31"/>
          <w:w w:val="100"/>
        </w:rPr>
        <w:t> </w:t>
      </w:r>
      <w:r>
        <w:rPr>
          <w:spacing w:val="-7"/>
          <w:w w:val="100"/>
        </w:rPr>
        <w:t>号），中国证券监督管理委员会对本公司就本次重大资产重组事项提交的</w:t>
      </w:r>
    </w:p>
    <w:p>
      <w:pPr>
        <w:pStyle w:val="Heading7"/>
        <w:spacing w:line="324" w:lineRule="auto" w:before="26"/>
        <w:ind w:right="322"/>
        <w:jc w:val="both"/>
      </w:pPr>
      <w:r>
        <w:rPr>
          <w:spacing w:val="-1"/>
        </w:rPr>
        <w:t>《中国长城计算机深圳股份有限公司合并、分立核准》行政许可申请材料进行了审查，</w:t>
      </w:r>
      <w:r>
        <w:rPr>
          <w:spacing w:val="-78"/>
        </w:rPr>
        <w:t> </w:t>
      </w:r>
      <w:r>
        <w:rPr>
          <w:spacing w:val="-78"/>
        </w:rPr>
      </w:r>
      <w:r>
        <w:rPr>
          <w:spacing w:val="-3"/>
        </w:rPr>
        <w:t>认为该申请材料齐全，符合法定形式，决定对该行政许可申请予以受理。截止目前，该</w:t>
      </w:r>
      <w:r>
        <w:rPr>
          <w:spacing w:val="-53"/>
        </w:rPr>
        <w:t> </w:t>
      </w:r>
      <w:r>
        <w:rPr>
          <w:spacing w:val="-53"/>
        </w:rPr>
      </w:r>
      <w:r>
        <w:rPr/>
        <w:t>项目仍在进行中。</w:t>
      </w:r>
    </w:p>
    <w:p>
      <w:pPr>
        <w:pStyle w:val="Heading7"/>
        <w:spacing w:line="391" w:lineRule="auto" w:before="100"/>
        <w:ind w:left="559" w:right="0"/>
        <w:jc w:val="left"/>
      </w:pPr>
      <w:r>
        <w:rPr>
          <w:rFonts w:ascii="宋体" w:hAnsi="宋体" w:cs="宋体" w:eastAsia="宋体" w:hint="default"/>
        </w:rPr>
        <w:t>2</w:t>
      </w:r>
      <w:r>
        <w:rPr/>
        <w:t>、下属公司增资及股权结构调整</w:t>
      </w:r>
      <w:r>
        <w:rPr>
          <w:spacing w:val="-108"/>
        </w:rPr>
        <w:t> </w:t>
      </w:r>
      <w:r>
        <w:rPr>
          <w:spacing w:val="-108"/>
        </w:rPr>
      </w:r>
      <w:r>
        <w:rPr>
          <w:spacing w:val="-3"/>
        </w:rPr>
        <w:t>为解决中电长城能源日常经营所需的营运资金，推进其光伏电站项目的建设及原业</w:t>
      </w:r>
    </w:p>
    <w:p>
      <w:pPr>
        <w:pStyle w:val="Heading7"/>
        <w:spacing w:line="253" w:lineRule="exact" w:before="0"/>
        <w:ind w:right="0"/>
        <w:jc w:val="left"/>
        <w:rPr>
          <w:rFonts w:ascii="宋体" w:hAnsi="宋体" w:cs="宋体" w:eastAsia="宋体" w:hint="default"/>
        </w:rPr>
      </w:pPr>
      <w:r>
        <w:rPr/>
        <w:t>务规划的落实，优化公司业务模块和整合光伏业务，提高经营效率，经</w:t>
      </w:r>
      <w:r>
        <w:rPr>
          <w:spacing w:val="-55"/>
        </w:rPr>
        <w:t> </w:t>
      </w: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20</w:t>
      </w:r>
    </w:p>
    <w:p>
      <w:pPr>
        <w:pStyle w:val="Heading7"/>
        <w:spacing w:line="324" w:lineRule="auto" w:before="103"/>
        <w:ind w:right="260"/>
        <w:jc w:val="left"/>
      </w:pPr>
      <w:r>
        <w:rPr>
          <w:spacing w:val="-5"/>
          <w:w w:val="100"/>
        </w:rPr>
        <w:t>日公司第六届董事会审议，同意公司以现金方式对中电长城能源进行增资人民币</w:t>
      </w:r>
      <w:r>
        <w:rPr>
          <w:spacing w:val="-68"/>
          <w:w w:val="100"/>
        </w:rPr>
        <w:t> </w:t>
      </w:r>
      <w:r>
        <w:rPr>
          <w:rFonts w:ascii="宋体" w:hAnsi="宋体" w:cs="宋体" w:eastAsia="宋体" w:hint="default"/>
          <w:w w:val="100"/>
        </w:rPr>
        <w:t>3</w:t>
      </w:r>
      <w:r>
        <w:rPr>
          <w:rFonts w:ascii="宋体" w:hAnsi="宋体" w:cs="宋体" w:eastAsia="宋体" w:hint="default"/>
          <w:spacing w:val="-73"/>
          <w:w w:val="100"/>
        </w:rPr>
        <w:t> </w:t>
      </w:r>
      <w:r>
        <w:rPr>
          <w:w w:val="100"/>
        </w:rPr>
        <w:t>亿元，</w:t>
      </w:r>
      <w:r>
        <w:rPr>
          <w:spacing w:val="-105"/>
          <w:w w:val="100"/>
        </w:rPr>
        <w:t> </w:t>
      </w:r>
      <w:r>
        <w:rPr>
          <w:spacing w:val="9"/>
        </w:rPr>
        <w:t>同时由中电长城能源以</w:t>
      </w:r>
      <w:r>
        <w:rPr>
          <w:spacing w:val="24"/>
        </w:rPr>
        <w:t> </w:t>
      </w:r>
      <w:r>
        <w:rPr>
          <w:rFonts w:ascii="宋体" w:hAnsi="宋体" w:cs="宋体" w:eastAsia="宋体" w:hint="default"/>
        </w:rPr>
        <w:t>1</w:t>
      </w:r>
      <w:r>
        <w:rPr>
          <w:rFonts w:ascii="宋体" w:hAnsi="宋体" w:cs="宋体" w:eastAsia="宋体" w:hint="default"/>
          <w:spacing w:val="23"/>
        </w:rPr>
        <w:t> </w:t>
      </w:r>
      <w:r>
        <w:rPr>
          <w:spacing w:val="10"/>
        </w:rPr>
        <w:t>美元的价格向长城香港收购其所持有的</w:t>
      </w:r>
      <w:r>
        <w:rPr>
          <w:spacing w:val="26"/>
        </w:rPr>
        <w:t> </w:t>
      </w:r>
      <w:r>
        <w:rPr>
          <w:rFonts w:ascii="宋体" w:hAnsi="宋体" w:cs="宋体" w:eastAsia="宋体" w:hint="default"/>
        </w:rPr>
        <w:t>Perfect</w:t>
      </w:r>
      <w:r>
        <w:rPr>
          <w:rFonts w:ascii="宋体" w:hAnsi="宋体" w:cs="宋体" w:eastAsia="宋体" w:hint="default"/>
          <w:spacing w:val="25"/>
        </w:rPr>
        <w:t> </w:t>
      </w:r>
      <w:r>
        <w:rPr>
          <w:rFonts w:ascii="宋体" w:hAnsi="宋体" w:cs="宋体" w:eastAsia="宋体" w:hint="default"/>
        </w:rPr>
        <w:t>Galaxy</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International</w:t>
      </w:r>
      <w:r>
        <w:rPr>
          <w:rFonts w:ascii="宋体" w:hAnsi="宋体" w:cs="宋体" w:eastAsia="宋体" w:hint="default"/>
          <w:spacing w:val="19"/>
        </w:rPr>
        <w:t> </w:t>
      </w:r>
      <w:r>
        <w:rPr>
          <w:rFonts w:ascii="宋体" w:hAnsi="宋体" w:cs="宋体" w:eastAsia="宋体" w:hint="default"/>
        </w:rPr>
        <w:t>Limited</w:t>
      </w:r>
      <w:r>
        <w:rPr/>
        <w:t>（简称</w:t>
      </w:r>
      <w:r>
        <w:rPr>
          <w:spacing w:val="22"/>
        </w:rPr>
        <w:t> </w:t>
      </w:r>
      <w:r>
        <w:rPr>
          <w:rFonts w:ascii="宋体" w:hAnsi="宋体" w:cs="宋体" w:eastAsia="宋体" w:hint="default"/>
        </w:rPr>
        <w:t>Perfect</w:t>
      </w:r>
      <w:r>
        <w:rPr>
          <w:rFonts w:ascii="宋体" w:hAnsi="宋体" w:cs="宋体" w:eastAsia="宋体" w:hint="default"/>
          <w:spacing w:val="21"/>
        </w:rPr>
        <w:t> </w:t>
      </w:r>
      <w:r>
        <w:rPr>
          <w:rFonts w:ascii="宋体" w:hAnsi="宋体" w:cs="宋体" w:eastAsia="宋体" w:hint="default"/>
          <w:spacing w:val="3"/>
        </w:rPr>
        <w:t>Galaxy</w:t>
      </w:r>
      <w:r>
        <w:rPr>
          <w:spacing w:val="3"/>
        </w:rPr>
        <w:t>）</w:t>
      </w:r>
      <w:r>
        <w:rPr>
          <w:rFonts w:ascii="宋体" w:hAnsi="宋体" w:cs="宋体" w:eastAsia="宋体" w:hint="default"/>
          <w:spacing w:val="3"/>
        </w:rPr>
        <w:t>100%</w:t>
      </w:r>
      <w:r>
        <w:rPr>
          <w:spacing w:val="3"/>
        </w:rPr>
        <w:t>股权并以现金方式对</w:t>
      </w:r>
      <w:r>
        <w:rPr>
          <w:spacing w:val="24"/>
        </w:rPr>
        <w:t> </w:t>
      </w:r>
      <w:r>
        <w:rPr>
          <w:rFonts w:ascii="宋体" w:hAnsi="宋体" w:cs="宋体" w:eastAsia="宋体" w:hint="default"/>
        </w:rPr>
        <w:t>Perfect</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Galaxy</w:t>
      </w:r>
      <w:r>
        <w:rPr>
          <w:rFonts w:ascii="宋体" w:hAnsi="宋体" w:cs="宋体" w:eastAsia="宋体" w:hint="default"/>
          <w:spacing w:val="-54"/>
        </w:rPr>
        <w:t> </w:t>
      </w:r>
      <w:r>
        <w:rPr/>
        <w:t>进行增资</w:t>
      </w:r>
      <w:r>
        <w:rPr>
          <w:spacing w:val="-57"/>
        </w:rPr>
        <w:t> </w:t>
      </w:r>
      <w:r>
        <w:rPr>
          <w:rFonts w:ascii="宋体" w:hAnsi="宋体" w:cs="宋体" w:eastAsia="宋体" w:hint="default"/>
        </w:rPr>
        <w:t>700</w:t>
      </w:r>
      <w:r>
        <w:rPr>
          <w:rFonts w:ascii="宋体" w:hAnsi="宋体" w:cs="宋体" w:eastAsia="宋体" w:hint="default"/>
          <w:spacing w:val="-54"/>
        </w:rPr>
        <w:t> </w:t>
      </w:r>
      <w:r>
        <w:rPr/>
        <w:t>万美元。</w:t>
      </w:r>
    </w:p>
    <w:p>
      <w:pPr>
        <w:pStyle w:val="Heading7"/>
        <w:spacing w:line="240" w:lineRule="auto" w:before="103"/>
        <w:ind w:left="559" w:right="0"/>
        <w:jc w:val="left"/>
      </w:pP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9"/>
        </w:rPr>
        <w:t> </w:t>
      </w:r>
      <w:r>
        <w:rPr>
          <w:rFonts w:ascii="宋体" w:hAnsi="宋体" w:cs="宋体" w:eastAsia="宋体" w:hint="default"/>
        </w:rPr>
        <w:t>29</w:t>
      </w:r>
      <w:r>
        <w:rPr>
          <w:rFonts w:ascii="宋体" w:hAnsi="宋体" w:cs="宋体" w:eastAsia="宋体" w:hint="default"/>
          <w:spacing w:val="-56"/>
        </w:rPr>
        <w:t> </w:t>
      </w:r>
      <w:r>
        <w:rPr/>
        <w:t>日，中电长城能源获得了深圳市市场监督管理局关于其注册资本变</w:t>
      </w:r>
    </w:p>
    <w:p>
      <w:pPr>
        <w:pStyle w:val="Heading7"/>
        <w:spacing w:line="240" w:lineRule="auto" w:before="103"/>
        <w:ind w:right="0"/>
        <w:jc w:val="left"/>
      </w:pPr>
      <w:r>
        <w:rPr>
          <w:w w:val="100"/>
        </w:rPr>
        <w:t>更核准</w:t>
      </w:r>
      <w:r>
        <w:rPr>
          <w:spacing w:val="-15"/>
          <w:w w:val="100"/>
        </w:rPr>
        <w:t>的</w:t>
      </w:r>
      <w:r>
        <w:rPr>
          <w:spacing w:val="-3"/>
          <w:w w:val="100"/>
        </w:rPr>
        <w:t>《</w:t>
      </w:r>
      <w:r>
        <w:rPr>
          <w:w w:val="100"/>
        </w:rPr>
        <w:t>变</w:t>
      </w:r>
      <w:r>
        <w:rPr>
          <w:spacing w:val="-15"/>
          <w:w w:val="100"/>
        </w:rPr>
        <w:t>更</w:t>
      </w:r>
      <w:r>
        <w:rPr>
          <w:w w:val="100"/>
        </w:rPr>
        <w:t>（</w:t>
      </w:r>
      <w:r>
        <w:rPr>
          <w:spacing w:val="-3"/>
          <w:w w:val="100"/>
        </w:rPr>
        <w:t>备</w:t>
      </w:r>
      <w:r>
        <w:rPr>
          <w:w w:val="100"/>
        </w:rPr>
        <w:t>案</w:t>
      </w:r>
      <w:r>
        <w:rPr>
          <w:spacing w:val="-15"/>
          <w:w w:val="100"/>
        </w:rPr>
        <w:t>）</w:t>
      </w:r>
      <w:r>
        <w:rPr>
          <w:w w:val="100"/>
        </w:rPr>
        <w:t>通知书</w:t>
      </w:r>
      <w:r>
        <w:rPr>
          <w:spacing w:val="-111"/>
          <w:w w:val="100"/>
        </w:rPr>
        <w:t>》</w:t>
      </w:r>
      <w:r>
        <w:rPr>
          <w:spacing w:val="-15"/>
          <w:w w:val="100"/>
        </w:rPr>
        <w:t>，</w:t>
      </w:r>
      <w:r>
        <w:rPr>
          <w:spacing w:val="-3"/>
          <w:w w:val="100"/>
        </w:rPr>
        <w:t>同</w:t>
      </w:r>
      <w:r>
        <w:rPr>
          <w:w w:val="100"/>
        </w:rPr>
        <w:t>意其</w:t>
      </w:r>
      <w:r>
        <w:rPr>
          <w:spacing w:val="-3"/>
          <w:w w:val="100"/>
        </w:rPr>
        <w:t>注</w:t>
      </w:r>
      <w:r>
        <w:rPr>
          <w:w w:val="100"/>
        </w:rPr>
        <w:t>册</w:t>
      </w:r>
      <w:r>
        <w:rPr>
          <w:spacing w:val="-3"/>
          <w:w w:val="100"/>
        </w:rPr>
        <w:t>资</w:t>
      </w:r>
      <w:r>
        <w:rPr>
          <w:w w:val="100"/>
        </w:rPr>
        <w:t>本由原</w:t>
      </w:r>
      <w:r>
        <w:rPr>
          <w:spacing w:val="-3"/>
          <w:w w:val="100"/>
        </w:rPr>
        <w:t>来</w:t>
      </w:r>
      <w:r>
        <w:rPr>
          <w:w w:val="100"/>
        </w:rPr>
        <w:t>的人</w:t>
      </w:r>
      <w:r>
        <w:rPr>
          <w:spacing w:val="-3"/>
          <w:w w:val="100"/>
        </w:rPr>
        <w:t>民</w:t>
      </w:r>
      <w:r>
        <w:rPr>
          <w:w w:val="100"/>
        </w:rPr>
        <w:t>币</w:t>
      </w:r>
      <w:r>
        <w:rPr>
          <w:spacing w:val="-54"/>
        </w:rPr>
        <w:t> </w:t>
      </w:r>
      <w:r>
        <w:rPr>
          <w:rFonts w:ascii="宋体" w:hAnsi="宋体" w:cs="宋体" w:eastAsia="宋体" w:hint="default"/>
          <w:w w:val="100"/>
        </w:rPr>
        <w:t>15,</w:t>
      </w:r>
      <w:r>
        <w:rPr>
          <w:rFonts w:ascii="宋体" w:hAnsi="宋体" w:cs="宋体" w:eastAsia="宋体" w:hint="default"/>
          <w:spacing w:val="-3"/>
          <w:w w:val="100"/>
        </w:rPr>
        <w:t>25</w:t>
      </w:r>
      <w:r>
        <w:rPr>
          <w:rFonts w:ascii="宋体" w:hAnsi="宋体" w:cs="宋体" w:eastAsia="宋体" w:hint="default"/>
          <w:w w:val="100"/>
        </w:rPr>
        <w:t>2</w:t>
      </w:r>
      <w:r>
        <w:rPr>
          <w:rFonts w:ascii="宋体" w:hAnsi="宋体" w:cs="宋体" w:eastAsia="宋体" w:hint="default"/>
          <w:spacing w:val="-55"/>
        </w:rPr>
        <w:t> </w:t>
      </w:r>
      <w:r>
        <w:rPr>
          <w:w w:val="100"/>
        </w:rPr>
        <w:t>万元</w:t>
      </w:r>
      <w:r>
        <w:rPr>
          <w:spacing w:val="-3"/>
          <w:w w:val="100"/>
        </w:rPr>
        <w:t>变</w:t>
      </w:r>
      <w:r>
        <w:rPr>
          <w:w w:val="100"/>
        </w:rPr>
        <w:t>更为</w:t>
      </w:r>
    </w:p>
    <w:p>
      <w:pPr>
        <w:pStyle w:val="Heading7"/>
        <w:spacing w:line="240" w:lineRule="auto" w:before="101"/>
        <w:ind w:right="0"/>
        <w:jc w:val="left"/>
      </w:pPr>
      <w:r>
        <w:rPr/>
        <w:t>人民币</w:t>
      </w:r>
      <w:r>
        <w:rPr>
          <w:spacing w:val="-55"/>
        </w:rPr>
        <w:t> </w:t>
      </w:r>
      <w:r>
        <w:rPr>
          <w:rFonts w:ascii="宋体" w:hAnsi="宋体" w:cs="宋体" w:eastAsia="宋体" w:hint="default"/>
        </w:rPr>
        <w:t>45,252</w:t>
      </w:r>
      <w:r>
        <w:rPr>
          <w:rFonts w:ascii="宋体" w:hAnsi="宋体" w:cs="宋体" w:eastAsia="宋体" w:hint="default"/>
          <w:spacing w:val="-55"/>
        </w:rPr>
        <w:t> </w:t>
      </w:r>
      <w:r>
        <w:rPr/>
        <w:t>万元。</w:t>
      </w:r>
    </w:p>
    <w:p>
      <w:pPr>
        <w:pStyle w:val="Heading7"/>
        <w:spacing w:line="391" w:lineRule="auto" w:before="180"/>
        <w:ind w:left="559" w:right="367"/>
        <w:jc w:val="left"/>
        <w:rPr>
          <w:rFonts w:ascii="宋体" w:hAnsi="宋体" w:cs="宋体" w:eastAsia="宋体" w:hint="default"/>
        </w:rPr>
      </w:pPr>
      <w:r>
        <w:rPr>
          <w:rFonts w:ascii="宋体" w:hAnsi="宋体" w:cs="宋体" w:eastAsia="宋体" w:hint="default"/>
        </w:rPr>
        <w:t>3</w:t>
      </w:r>
      <w:r>
        <w:rPr/>
        <w:t>、与</w:t>
      </w:r>
      <w:r>
        <w:rPr>
          <w:spacing w:val="-55"/>
        </w:rPr>
        <w:t> </w:t>
      </w:r>
      <w:r>
        <w:rPr>
          <w:rFonts w:ascii="宋体" w:hAnsi="宋体" w:cs="宋体" w:eastAsia="宋体" w:hint="default"/>
        </w:rPr>
        <w:t>CEC</w:t>
      </w:r>
      <w:r>
        <w:rPr>
          <w:rFonts w:ascii="宋体" w:hAnsi="宋体" w:cs="宋体" w:eastAsia="宋体" w:hint="default"/>
          <w:spacing w:val="-58"/>
        </w:rPr>
        <w:t> </w:t>
      </w:r>
      <w:r>
        <w:rPr/>
        <w:t>签订《</w:t>
      </w:r>
      <w:r>
        <w:rPr>
          <w:rFonts w:ascii="宋体" w:hAnsi="宋体" w:cs="宋体" w:eastAsia="宋体" w:hint="default"/>
        </w:rPr>
        <w:t>2016</w:t>
      </w:r>
      <w:r>
        <w:rPr>
          <w:rFonts w:ascii="宋体" w:hAnsi="宋体" w:cs="宋体" w:eastAsia="宋体" w:hint="default"/>
          <w:spacing w:val="-58"/>
        </w:rPr>
        <w:t> </w:t>
      </w:r>
      <w:r>
        <w:rPr/>
        <w:t>年度日常关联交易框架协议》</w:t>
      </w:r>
      <w:r>
        <w:rPr>
          <w:w w:val="100"/>
        </w:rPr>
        <w:t> </w:t>
      </w:r>
      <w:r>
        <w:rPr>
          <w:spacing w:val="-7"/>
          <w:w w:val="100"/>
        </w:rPr>
        <w:t>鉴于公司开展日常生产运营的实际需要，预计</w:t>
      </w:r>
      <w:r>
        <w:rPr>
          <w:spacing w:val="-53"/>
          <w:w w:val="100"/>
        </w:rPr>
        <w:t> </w:t>
      </w:r>
      <w:r>
        <w:rPr>
          <w:rFonts w:ascii="宋体" w:hAnsi="宋体" w:cs="宋体" w:eastAsia="宋体" w:hint="default"/>
          <w:w w:val="100"/>
        </w:rPr>
        <w:t>2016</w:t>
      </w:r>
      <w:r>
        <w:rPr>
          <w:rFonts w:ascii="宋体" w:hAnsi="宋体" w:cs="宋体" w:eastAsia="宋体" w:hint="default"/>
          <w:spacing w:val="-54"/>
          <w:w w:val="100"/>
        </w:rPr>
        <w:t> </w:t>
      </w:r>
      <w:r>
        <w:rPr>
          <w:spacing w:val="-1"/>
          <w:w w:val="100"/>
        </w:rPr>
        <w:t>年度本集团将与实际控制人</w:t>
      </w:r>
      <w:r>
        <w:rPr>
          <w:spacing w:val="-51"/>
          <w:w w:val="100"/>
        </w:rPr>
        <w:t> </w:t>
      </w:r>
      <w:r>
        <w:rPr>
          <w:rFonts w:ascii="宋体" w:hAnsi="宋体" w:cs="宋体" w:eastAsia="宋体" w:hint="default"/>
          <w:w w:val="100"/>
        </w:rPr>
        <w:t>CEC</w:t>
      </w:r>
    </w:p>
    <w:p>
      <w:pPr>
        <w:pStyle w:val="Heading7"/>
        <w:spacing w:line="253" w:lineRule="exact" w:before="0"/>
        <w:ind w:right="0"/>
        <w:jc w:val="left"/>
      </w:pPr>
      <w:r>
        <w:rPr>
          <w:spacing w:val="-3"/>
        </w:rPr>
        <w:t>及其下属企业发生日常关联交易，涉及向关联方采购原材料及产成品、销售原材料及产</w:t>
      </w:r>
    </w:p>
    <w:p>
      <w:pPr>
        <w:pStyle w:val="Heading7"/>
        <w:spacing w:line="240" w:lineRule="auto" w:before="101"/>
        <w:ind w:right="0"/>
        <w:jc w:val="left"/>
      </w:pPr>
      <w:r>
        <w:rPr/>
        <w:t>成品、提供劳务、接受劳务等；预计 </w:t>
      </w:r>
      <w:r>
        <w:rPr>
          <w:rFonts w:ascii="宋体" w:hAnsi="宋体" w:cs="宋体" w:eastAsia="宋体" w:hint="default"/>
        </w:rPr>
        <w:t>2016</w:t>
      </w:r>
      <w:r>
        <w:rPr>
          <w:rFonts w:ascii="宋体" w:hAnsi="宋体" w:cs="宋体" w:eastAsia="宋体" w:hint="default"/>
          <w:spacing w:val="-62"/>
        </w:rPr>
        <w:t> </w:t>
      </w:r>
      <w:r>
        <w:rPr/>
        <w:t>年度日常关联交易采购类金额不超过人民币</w:t>
      </w:r>
    </w:p>
    <w:p>
      <w:pPr>
        <w:pStyle w:val="Heading7"/>
        <w:spacing w:line="324" w:lineRule="auto" w:before="103"/>
        <w:ind w:right="367"/>
        <w:jc w:val="left"/>
      </w:pPr>
      <w:r>
        <w:rPr>
          <w:rFonts w:ascii="宋体" w:hAnsi="宋体" w:cs="宋体" w:eastAsia="宋体" w:hint="default"/>
        </w:rPr>
        <w:t>60,000</w:t>
      </w:r>
      <w:r>
        <w:rPr>
          <w:rFonts w:ascii="宋体" w:hAnsi="宋体" w:cs="宋体" w:eastAsia="宋体" w:hint="default"/>
          <w:spacing w:val="-44"/>
        </w:rPr>
        <w:t> </w:t>
      </w:r>
      <w:r>
        <w:rPr/>
        <w:t>万元、销售类金额不超过人民币</w:t>
      </w:r>
      <w:r>
        <w:rPr>
          <w:spacing w:val="-42"/>
        </w:rPr>
        <w:t> </w:t>
      </w:r>
      <w:r>
        <w:rPr>
          <w:rFonts w:ascii="宋体" w:hAnsi="宋体" w:cs="宋体" w:eastAsia="宋体" w:hint="default"/>
        </w:rPr>
        <w:t>63,500</w:t>
      </w:r>
      <w:r>
        <w:rPr>
          <w:rFonts w:ascii="宋体" w:hAnsi="宋体" w:cs="宋体" w:eastAsia="宋体" w:hint="default"/>
          <w:spacing w:val="-44"/>
        </w:rPr>
        <w:t> </w:t>
      </w:r>
      <w:r>
        <w:rPr/>
        <w:t>万元、劳务类金额不超过人民币</w:t>
      </w:r>
      <w:r>
        <w:rPr>
          <w:spacing w:val="-41"/>
        </w:rPr>
        <w:t> </w:t>
      </w:r>
      <w:r>
        <w:rPr>
          <w:rFonts w:ascii="宋体" w:hAnsi="宋体" w:cs="宋体" w:eastAsia="宋体" w:hint="default"/>
        </w:rPr>
        <w:t>2,000</w:t>
      </w:r>
      <w:r>
        <w:rPr>
          <w:rFonts w:ascii="宋体" w:hAnsi="宋体" w:cs="宋体" w:eastAsia="宋体" w:hint="default"/>
          <w:w w:val="100"/>
        </w:rPr>
        <w:t> </w:t>
      </w:r>
      <w:r>
        <w:rPr/>
        <w:t>万元。</w:t>
      </w:r>
    </w:p>
    <w:p>
      <w:pPr>
        <w:pStyle w:val="Heading7"/>
        <w:spacing w:line="326" w:lineRule="auto" w:before="103"/>
        <w:ind w:right="0" w:firstLine="439"/>
        <w:jc w:val="left"/>
      </w:pPr>
      <w:r>
        <w:rPr>
          <w:w w:val="100"/>
        </w:rPr>
        <w:t>经</w:t>
      </w:r>
      <w:r>
        <w:rPr>
          <w:spacing w:val="-55"/>
          <w:w w:val="100"/>
        </w:rPr>
        <w:t> </w:t>
      </w:r>
      <w:r>
        <w:rPr>
          <w:rFonts w:ascii="宋体" w:hAnsi="宋体" w:cs="宋体" w:eastAsia="宋体" w:hint="default"/>
          <w:w w:val="100"/>
        </w:rPr>
        <w:t>2016</w:t>
      </w:r>
      <w:r>
        <w:rPr>
          <w:rFonts w:ascii="宋体" w:hAnsi="宋体" w:cs="宋体" w:eastAsia="宋体" w:hint="default"/>
          <w:spacing w:val="-58"/>
          <w:w w:val="100"/>
        </w:rPr>
        <w:t> </w:t>
      </w:r>
      <w:r>
        <w:rPr>
          <w:w w:val="100"/>
        </w:rPr>
        <w:t>年</w:t>
      </w:r>
      <w:r>
        <w:rPr>
          <w:spacing w:val="-55"/>
          <w:w w:val="100"/>
        </w:rPr>
        <w:t> </w:t>
      </w:r>
      <w:r>
        <w:rPr>
          <w:rFonts w:ascii="宋体" w:hAnsi="宋体" w:cs="宋体" w:eastAsia="宋体" w:hint="default"/>
          <w:w w:val="100"/>
        </w:rPr>
        <w:t>1</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spacing w:val="-2"/>
          <w:w w:val="100"/>
        </w:rPr>
        <w:t>28</w:t>
      </w:r>
      <w:r>
        <w:rPr>
          <w:rFonts w:ascii="宋体" w:hAnsi="宋体" w:cs="宋体" w:eastAsia="宋体" w:hint="default"/>
          <w:spacing w:val="-55"/>
          <w:w w:val="100"/>
        </w:rPr>
        <w:t> </w:t>
      </w:r>
      <w:r>
        <w:rPr>
          <w:spacing w:val="-9"/>
          <w:w w:val="100"/>
        </w:rPr>
        <w:t>日公司第六届董事会、</w:t>
      </w:r>
      <w:r>
        <w:rPr>
          <w:rFonts w:ascii="宋体" w:hAnsi="宋体" w:cs="宋体" w:eastAsia="宋体" w:hint="default"/>
          <w:spacing w:val="-9"/>
          <w:w w:val="100"/>
        </w:rPr>
        <w:t>2016</w:t>
      </w:r>
      <w:r>
        <w:rPr>
          <w:rFonts w:ascii="宋体" w:hAnsi="宋体" w:cs="宋体" w:eastAsia="宋体" w:hint="default"/>
          <w:spacing w:val="-57"/>
          <w:w w:val="100"/>
        </w:rPr>
        <w:t> </w:t>
      </w:r>
      <w:r>
        <w:rPr>
          <w:w w:val="100"/>
        </w:rPr>
        <w:t>年</w:t>
      </w:r>
      <w:r>
        <w:rPr>
          <w:spacing w:val="-55"/>
          <w:w w:val="100"/>
        </w:rPr>
        <w:t> </w:t>
      </w:r>
      <w:r>
        <w:rPr>
          <w:rFonts w:ascii="宋体" w:hAnsi="宋体" w:cs="宋体" w:eastAsia="宋体" w:hint="default"/>
          <w:w w:val="100"/>
        </w:rPr>
        <w:t>2</w:t>
      </w:r>
      <w:r>
        <w:rPr>
          <w:rFonts w:ascii="宋体" w:hAnsi="宋体" w:cs="宋体" w:eastAsia="宋体" w:hint="default"/>
          <w:spacing w:val="-58"/>
          <w:w w:val="100"/>
        </w:rPr>
        <w:t> </w:t>
      </w:r>
      <w:r>
        <w:rPr>
          <w:w w:val="100"/>
        </w:rPr>
        <w:t>月</w:t>
      </w:r>
      <w:r>
        <w:rPr>
          <w:spacing w:val="-55"/>
          <w:w w:val="100"/>
        </w:rPr>
        <w:t> </w:t>
      </w:r>
      <w:r>
        <w:rPr>
          <w:rFonts w:ascii="宋体" w:hAnsi="宋体" w:cs="宋体" w:eastAsia="宋体" w:hint="default"/>
          <w:w w:val="100"/>
        </w:rPr>
        <w:t>23</w:t>
      </w:r>
      <w:r>
        <w:rPr>
          <w:rFonts w:ascii="宋体" w:hAnsi="宋体" w:cs="宋体" w:eastAsia="宋体" w:hint="default"/>
          <w:spacing w:val="-55"/>
          <w:w w:val="100"/>
        </w:rPr>
        <w:t> </w:t>
      </w:r>
      <w:r>
        <w:rPr>
          <w:w w:val="100"/>
        </w:rPr>
        <w:t>日</w:t>
      </w:r>
      <w:r>
        <w:rPr>
          <w:spacing w:val="-55"/>
          <w:w w:val="100"/>
        </w:rPr>
        <w:t> </w:t>
      </w:r>
      <w:r>
        <w:rPr>
          <w:rFonts w:ascii="宋体" w:hAnsi="宋体" w:cs="宋体" w:eastAsia="宋体" w:hint="default"/>
          <w:spacing w:val="-1"/>
          <w:w w:val="100"/>
        </w:rPr>
        <w:t>2016</w:t>
      </w:r>
      <w:r>
        <w:rPr>
          <w:rFonts w:ascii="宋体" w:hAnsi="宋体" w:cs="宋体" w:eastAsia="宋体" w:hint="default"/>
          <w:spacing w:val="-55"/>
          <w:w w:val="100"/>
        </w:rPr>
        <w:t> </w:t>
      </w:r>
      <w:r>
        <w:rPr>
          <w:spacing w:val="-2"/>
          <w:w w:val="100"/>
        </w:rPr>
        <w:t>年度第一次临时股</w:t>
      </w:r>
      <w:r>
        <w:rPr>
          <w:w w:val="100"/>
        </w:rPr>
        <w:t> </w:t>
      </w:r>
      <w:r>
        <w:rPr>
          <w:spacing w:val="-1"/>
          <w:w w:val="100"/>
        </w:rPr>
        <w:t>东大会审议，同意公司与</w:t>
      </w:r>
      <w:r>
        <w:rPr>
          <w:spacing w:val="-52"/>
          <w:w w:val="100"/>
        </w:rPr>
        <w:t> </w:t>
      </w:r>
      <w:r>
        <w:rPr>
          <w:rFonts w:ascii="宋体" w:hAnsi="宋体" w:cs="宋体" w:eastAsia="宋体" w:hint="default"/>
          <w:w w:val="100"/>
        </w:rPr>
        <w:t>CEC</w:t>
      </w:r>
      <w:r>
        <w:rPr>
          <w:rFonts w:ascii="宋体" w:hAnsi="宋体" w:cs="宋体" w:eastAsia="宋体" w:hint="default"/>
          <w:spacing w:val="-52"/>
          <w:w w:val="100"/>
        </w:rPr>
        <w:t> </w:t>
      </w:r>
      <w:r>
        <w:rPr>
          <w:spacing w:val="-1"/>
          <w:w w:val="100"/>
        </w:rPr>
        <w:t>就前述事宜签订《</w:t>
      </w:r>
      <w:r>
        <w:rPr>
          <w:rFonts w:ascii="宋体" w:hAnsi="宋体" w:cs="宋体" w:eastAsia="宋体" w:hint="default"/>
          <w:spacing w:val="-1"/>
          <w:w w:val="100"/>
        </w:rPr>
        <w:t>2016</w:t>
      </w:r>
      <w:r>
        <w:rPr>
          <w:rFonts w:ascii="宋体" w:hAnsi="宋体" w:cs="宋体" w:eastAsia="宋体" w:hint="default"/>
          <w:spacing w:val="-52"/>
          <w:w w:val="100"/>
        </w:rPr>
        <w:t> </w:t>
      </w:r>
      <w:r>
        <w:rPr>
          <w:spacing w:val="-9"/>
          <w:w w:val="100"/>
        </w:rPr>
        <w:t>年度日常关联交易框架协议》，具</w:t>
      </w:r>
      <w:r>
        <w:rPr>
          <w:spacing w:val="-103"/>
          <w:w w:val="100"/>
        </w:rPr>
        <w:t> </w:t>
      </w:r>
      <w:r>
        <w:rPr>
          <w:spacing w:val="-103"/>
          <w:w w:val="100"/>
        </w:rPr>
      </w:r>
      <w:r>
        <w:rPr>
          <w:spacing w:val="-6"/>
        </w:rPr>
        <w:t>体业务将由订约方根据一般商业条款经公平磋商后确定，本着公平、公正、公开的原则，</w:t>
      </w:r>
      <w:r>
        <w:rPr>
          <w:spacing w:val="-47"/>
        </w:rPr>
        <w:t> </w:t>
      </w:r>
      <w:r>
        <w:rPr>
          <w:spacing w:val="-47"/>
        </w:rPr>
      </w:r>
      <w:r>
        <w:rPr/>
        <w:t>参照市场价格定价。</w:t>
      </w:r>
    </w:p>
    <w:p>
      <w:pPr>
        <w:pStyle w:val="Heading7"/>
        <w:spacing w:line="391" w:lineRule="auto" w:before="98"/>
        <w:ind w:left="559" w:right="367"/>
        <w:jc w:val="left"/>
      </w:pPr>
      <w:r>
        <w:rPr>
          <w:rFonts w:ascii="宋体" w:hAnsi="宋体" w:cs="宋体" w:eastAsia="宋体" w:hint="default"/>
          <w:spacing w:val="-5"/>
          <w:w w:val="100"/>
        </w:rPr>
        <w:t>4</w:t>
      </w:r>
      <w:r>
        <w:rPr>
          <w:spacing w:val="-5"/>
          <w:w w:val="100"/>
        </w:rPr>
        <w:t>、《全面金融合作协议》调整存贷款额度及延长协议期限暨关联交易事宜</w:t>
      </w:r>
      <w:r>
        <w:rPr>
          <w:spacing w:val="-87"/>
          <w:w w:val="100"/>
        </w:rPr>
        <w:t> </w:t>
      </w:r>
      <w:r>
        <w:rPr>
          <w:spacing w:val="-87"/>
          <w:w w:val="100"/>
        </w:rPr>
      </w:r>
      <w:r>
        <w:rPr/>
        <w:t>为充分利用 </w:t>
      </w:r>
      <w:r>
        <w:rPr>
          <w:rFonts w:ascii="宋体" w:hAnsi="宋体" w:cs="宋体" w:eastAsia="宋体" w:hint="default"/>
        </w:rPr>
        <w:t>CEC</w:t>
      </w:r>
      <w:r>
        <w:rPr>
          <w:rFonts w:ascii="宋体" w:hAnsi="宋体" w:cs="宋体" w:eastAsia="宋体" w:hint="default"/>
          <w:spacing w:val="-83"/>
        </w:rPr>
        <w:t> </w:t>
      </w:r>
      <w:r>
        <w:rPr>
          <w:spacing w:val="-3"/>
        </w:rPr>
        <w:t>财务有限责任公司（以下简称中电财务）所提供的内部金融服务平</w:t>
      </w:r>
    </w:p>
    <w:p>
      <w:pPr>
        <w:pStyle w:val="Heading7"/>
        <w:spacing w:line="253" w:lineRule="exact" w:before="0"/>
        <w:ind w:right="0"/>
        <w:jc w:val="left"/>
        <w:rPr>
          <w:rFonts w:ascii="宋体" w:hAnsi="宋体" w:cs="宋体" w:eastAsia="宋体" w:hint="default"/>
        </w:rPr>
      </w:pPr>
      <w:r>
        <w:rPr>
          <w:spacing w:val="-4"/>
        </w:rPr>
        <w:t>台，经综合考虑公司的财务状况、现金流状况及未来经营发展需要等实际情况，经</w:t>
      </w:r>
      <w:r>
        <w:rPr>
          <w:spacing w:val="-26"/>
        </w:rPr>
        <w:t> </w:t>
      </w:r>
      <w:r>
        <w:rPr>
          <w:rFonts w:ascii="宋体" w:hAnsi="宋体" w:cs="宋体" w:eastAsia="宋体" w:hint="default"/>
        </w:rPr>
        <w:t>2016</w:t>
      </w:r>
    </w:p>
    <w:p>
      <w:pPr>
        <w:pStyle w:val="Heading7"/>
        <w:spacing w:line="324" w:lineRule="auto" w:before="104"/>
        <w:ind w:right="260"/>
        <w:jc w:val="left"/>
      </w:pPr>
      <w:r>
        <w:rPr>
          <w:w w:val="100"/>
        </w:rPr>
        <w:t>年</w:t>
      </w:r>
      <w:r>
        <w:rPr>
          <w:spacing w:val="-55"/>
          <w:w w:val="100"/>
        </w:rPr>
        <w:t> </w:t>
      </w:r>
      <w:r>
        <w:rPr>
          <w:rFonts w:ascii="宋体" w:hAnsi="宋体" w:cs="宋体" w:eastAsia="宋体" w:hint="default"/>
          <w:w w:val="100"/>
        </w:rPr>
        <w:t>1</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w w:val="100"/>
        </w:rPr>
        <w:t>28</w:t>
      </w:r>
      <w:r>
        <w:rPr>
          <w:rFonts w:ascii="宋体" w:hAnsi="宋体" w:cs="宋体" w:eastAsia="宋体" w:hint="default"/>
          <w:spacing w:val="-58"/>
          <w:w w:val="100"/>
        </w:rPr>
        <w:t> </w:t>
      </w:r>
      <w:r>
        <w:rPr>
          <w:spacing w:val="-9"/>
          <w:w w:val="100"/>
        </w:rPr>
        <w:t>日公司第六届董事会、</w:t>
      </w:r>
      <w:r>
        <w:rPr>
          <w:rFonts w:ascii="宋体" w:hAnsi="宋体" w:cs="宋体" w:eastAsia="宋体" w:hint="default"/>
          <w:spacing w:val="-9"/>
          <w:w w:val="100"/>
        </w:rPr>
        <w:t>2016</w:t>
      </w:r>
      <w:r>
        <w:rPr>
          <w:rFonts w:ascii="宋体" w:hAnsi="宋体" w:cs="宋体" w:eastAsia="宋体" w:hint="default"/>
          <w:spacing w:val="-58"/>
          <w:w w:val="100"/>
        </w:rPr>
        <w:t> </w:t>
      </w:r>
      <w:r>
        <w:rPr>
          <w:w w:val="100"/>
        </w:rPr>
        <w:t>年</w:t>
      </w:r>
      <w:r>
        <w:rPr>
          <w:spacing w:val="-55"/>
          <w:w w:val="100"/>
        </w:rPr>
        <w:t> </w:t>
      </w:r>
      <w:r>
        <w:rPr>
          <w:rFonts w:ascii="宋体" w:hAnsi="宋体" w:cs="宋体" w:eastAsia="宋体" w:hint="default"/>
          <w:w w:val="100"/>
        </w:rPr>
        <w:t>2</w:t>
      </w:r>
      <w:r>
        <w:rPr>
          <w:rFonts w:ascii="宋体" w:hAnsi="宋体" w:cs="宋体" w:eastAsia="宋体" w:hint="default"/>
          <w:spacing w:val="-58"/>
          <w:w w:val="100"/>
        </w:rPr>
        <w:t> </w:t>
      </w:r>
      <w:r>
        <w:rPr>
          <w:w w:val="100"/>
        </w:rPr>
        <w:t>月</w:t>
      </w:r>
      <w:r>
        <w:rPr>
          <w:spacing w:val="-55"/>
          <w:w w:val="100"/>
        </w:rPr>
        <w:t> </w:t>
      </w:r>
      <w:r>
        <w:rPr>
          <w:rFonts w:ascii="宋体" w:hAnsi="宋体" w:cs="宋体" w:eastAsia="宋体" w:hint="default"/>
          <w:w w:val="100"/>
        </w:rPr>
        <w:t>23</w:t>
      </w:r>
      <w:r>
        <w:rPr>
          <w:rFonts w:ascii="宋体" w:hAnsi="宋体" w:cs="宋体" w:eastAsia="宋体" w:hint="default"/>
          <w:spacing w:val="-58"/>
          <w:w w:val="100"/>
        </w:rPr>
        <w:t> </w:t>
      </w:r>
      <w:r>
        <w:rPr>
          <w:w w:val="100"/>
        </w:rPr>
        <w:t>日</w:t>
      </w:r>
      <w:r>
        <w:rPr>
          <w:spacing w:val="-55"/>
          <w:w w:val="100"/>
        </w:rPr>
        <w:t> </w:t>
      </w:r>
      <w:r>
        <w:rPr>
          <w:rFonts w:ascii="宋体" w:hAnsi="宋体" w:cs="宋体" w:eastAsia="宋体" w:hint="default"/>
          <w:w w:val="100"/>
        </w:rPr>
        <w:t>2016</w:t>
      </w:r>
      <w:r>
        <w:rPr>
          <w:rFonts w:ascii="宋体" w:hAnsi="宋体" w:cs="宋体" w:eastAsia="宋体" w:hint="default"/>
          <w:spacing w:val="-55"/>
          <w:w w:val="100"/>
        </w:rPr>
        <w:t> </w:t>
      </w:r>
      <w:r>
        <w:rPr>
          <w:spacing w:val="-1"/>
          <w:w w:val="100"/>
        </w:rPr>
        <w:t>年度第一次临时股东大会审议，</w:t>
      </w:r>
      <w:r>
        <w:rPr>
          <w:w w:val="100"/>
        </w:rPr>
        <w:t> </w:t>
      </w:r>
      <w:r>
        <w:rPr>
          <w:spacing w:val="-3"/>
          <w:w w:val="100"/>
        </w:rPr>
        <w:t>同意公司与中电财务重新签订《全面金融合作协议》，由中电财务为本公司及本公司下</w:t>
      </w:r>
      <w:r>
        <w:rPr>
          <w:spacing w:val="-83"/>
          <w:w w:val="100"/>
        </w:rPr>
        <w:t> </w:t>
      </w:r>
      <w:r>
        <w:rPr>
          <w:spacing w:val="-83"/>
          <w:w w:val="100"/>
        </w:rPr>
      </w:r>
      <w:r>
        <w:rPr>
          <w:spacing w:val="-3"/>
        </w:rPr>
        <w:t>属公司提供资金结算、授信融资、资金管理、银行承兑汇票贴现等金融服务，其中办理</w:t>
      </w:r>
      <w:r>
        <w:rPr>
          <w:spacing w:val="-55"/>
        </w:rPr>
        <w:t> </w:t>
      </w:r>
      <w:r>
        <w:rPr>
          <w:spacing w:val="-55"/>
        </w:rPr>
      </w:r>
      <w:r>
        <w:rPr>
          <w:spacing w:val="-1"/>
          <w:w w:val="100"/>
        </w:rPr>
        <w:t>资金结算日存款余额最高不超过人民币</w:t>
      </w:r>
      <w:r>
        <w:rPr>
          <w:spacing w:val="-42"/>
          <w:w w:val="100"/>
        </w:rPr>
        <w:t> </w:t>
      </w:r>
      <w:r>
        <w:rPr>
          <w:rFonts w:ascii="宋体" w:hAnsi="宋体" w:cs="宋体" w:eastAsia="宋体" w:hint="default"/>
          <w:w w:val="100"/>
        </w:rPr>
        <w:t>7</w:t>
      </w:r>
      <w:r>
        <w:rPr>
          <w:rFonts w:ascii="宋体" w:hAnsi="宋体" w:cs="宋体" w:eastAsia="宋体" w:hint="default"/>
          <w:spacing w:val="-40"/>
          <w:w w:val="100"/>
        </w:rPr>
        <w:t> </w:t>
      </w:r>
      <w:r>
        <w:rPr>
          <w:spacing w:val="-1"/>
          <w:w w:val="100"/>
        </w:rPr>
        <w:t>亿元（原协议</w:t>
      </w:r>
      <w:r>
        <w:rPr>
          <w:spacing w:val="-39"/>
          <w:w w:val="100"/>
        </w:rPr>
        <w:t> </w:t>
      </w:r>
      <w:r>
        <w:rPr>
          <w:rFonts w:ascii="宋体" w:hAnsi="宋体" w:cs="宋体" w:eastAsia="宋体" w:hint="default"/>
          <w:w w:val="100"/>
        </w:rPr>
        <w:t>2</w:t>
      </w:r>
      <w:r>
        <w:rPr>
          <w:rFonts w:ascii="宋体" w:hAnsi="宋体" w:cs="宋体" w:eastAsia="宋体" w:hint="default"/>
          <w:spacing w:val="-42"/>
          <w:w w:val="100"/>
        </w:rPr>
        <w:t> </w:t>
      </w:r>
      <w:r>
        <w:rPr>
          <w:spacing w:val="-10"/>
          <w:w w:val="100"/>
        </w:rPr>
        <w:t>亿元），以信用方式取得综合</w:t>
      </w:r>
    </w:p>
    <w:p>
      <w:pPr>
        <w:pStyle w:val="Heading7"/>
        <w:spacing w:line="240" w:lineRule="auto" w:before="26"/>
        <w:ind w:right="0"/>
        <w:jc w:val="left"/>
      </w:pPr>
      <w:r>
        <w:rPr>
          <w:w w:val="100"/>
        </w:rPr>
        <w:t>授信额</w:t>
      </w:r>
      <w:r>
        <w:rPr>
          <w:spacing w:val="-3"/>
          <w:w w:val="100"/>
        </w:rPr>
        <w:t>度</w:t>
      </w:r>
      <w:r>
        <w:rPr>
          <w:w w:val="100"/>
        </w:rPr>
        <w:t>不超</w:t>
      </w:r>
      <w:r>
        <w:rPr>
          <w:spacing w:val="-3"/>
          <w:w w:val="100"/>
        </w:rPr>
        <w:t>过</w:t>
      </w:r>
      <w:r>
        <w:rPr>
          <w:w w:val="100"/>
        </w:rPr>
        <w:t>人</w:t>
      </w:r>
      <w:r>
        <w:rPr>
          <w:spacing w:val="-3"/>
          <w:w w:val="100"/>
        </w:rPr>
        <w:t>民</w:t>
      </w:r>
      <w:r>
        <w:rPr>
          <w:w w:val="100"/>
        </w:rPr>
        <w:t>币</w:t>
      </w:r>
      <w:r>
        <w:rPr>
          <w:spacing w:val="-40"/>
        </w:rPr>
        <w:t> </w:t>
      </w:r>
      <w:r>
        <w:rPr>
          <w:rFonts w:ascii="宋体" w:hAnsi="宋体" w:cs="宋体" w:eastAsia="宋体" w:hint="default"/>
          <w:w w:val="100"/>
        </w:rPr>
        <w:t>7</w:t>
      </w:r>
      <w:r>
        <w:rPr>
          <w:rFonts w:ascii="宋体" w:hAnsi="宋体" w:cs="宋体" w:eastAsia="宋体" w:hint="default"/>
          <w:spacing w:val="-43"/>
        </w:rPr>
        <w:t> </w:t>
      </w:r>
      <w:r>
        <w:rPr>
          <w:w w:val="100"/>
        </w:rPr>
        <w:t>亿元（</w:t>
      </w:r>
      <w:r>
        <w:rPr>
          <w:spacing w:val="-3"/>
          <w:w w:val="100"/>
        </w:rPr>
        <w:t>原</w:t>
      </w:r>
      <w:r>
        <w:rPr>
          <w:w w:val="100"/>
        </w:rPr>
        <w:t>协议</w:t>
      </w:r>
      <w:r>
        <w:rPr>
          <w:spacing w:val="-43"/>
        </w:rPr>
        <w:t> </w:t>
      </w:r>
      <w:r>
        <w:rPr>
          <w:rFonts w:ascii="宋体" w:hAnsi="宋体" w:cs="宋体" w:eastAsia="宋体" w:hint="default"/>
          <w:w w:val="100"/>
        </w:rPr>
        <w:t>4</w:t>
      </w:r>
      <w:r>
        <w:rPr>
          <w:rFonts w:ascii="宋体" w:hAnsi="宋体" w:cs="宋体" w:eastAsia="宋体" w:hint="default"/>
          <w:spacing w:val="-41"/>
        </w:rPr>
        <w:t> </w:t>
      </w:r>
      <w:r>
        <w:rPr>
          <w:w w:val="100"/>
        </w:rPr>
        <w:t>亿元</w:t>
      </w:r>
      <w:r>
        <w:rPr>
          <w:spacing w:val="-113"/>
          <w:w w:val="100"/>
        </w:rPr>
        <w:t>）</w:t>
      </w:r>
      <w:r>
        <w:rPr>
          <w:spacing w:val="-3"/>
          <w:w w:val="100"/>
        </w:rPr>
        <w:t>。</w:t>
      </w:r>
      <w:r>
        <w:rPr>
          <w:w w:val="100"/>
        </w:rPr>
        <w:t>新协议</w:t>
      </w:r>
      <w:r>
        <w:rPr>
          <w:spacing w:val="-3"/>
          <w:w w:val="100"/>
        </w:rPr>
        <w:t>自</w:t>
      </w:r>
      <w:r>
        <w:rPr>
          <w:w w:val="100"/>
        </w:rPr>
        <w:t>公司</w:t>
      </w:r>
      <w:r>
        <w:rPr>
          <w:spacing w:val="-3"/>
          <w:w w:val="100"/>
        </w:rPr>
        <w:t>股</w:t>
      </w:r>
      <w:r>
        <w:rPr>
          <w:w w:val="100"/>
        </w:rPr>
        <w:t>东大</w:t>
      </w:r>
      <w:r>
        <w:rPr>
          <w:spacing w:val="-3"/>
          <w:w w:val="100"/>
        </w:rPr>
        <w:t>会批</w:t>
      </w:r>
      <w:r>
        <w:rPr>
          <w:w w:val="100"/>
        </w:rPr>
        <w:t>准之日</w:t>
      </w:r>
      <w:r>
        <w:rPr>
          <w:spacing w:val="-3"/>
          <w:w w:val="100"/>
        </w:rPr>
        <w:t>起</w:t>
      </w:r>
      <w:r>
        <w:rPr>
          <w:w w:val="100"/>
        </w:rPr>
        <w:t>替</w:t>
      </w:r>
    </w:p>
    <w:p>
      <w:pPr>
        <w:spacing w:after="0" w:line="240" w:lineRule="auto"/>
        <w:jc w:val="left"/>
        <w:sectPr>
          <w:pgSz w:w="11910" w:h="16840"/>
          <w:pgMar w:header="0"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88" w:lineRule="auto" w:before="0"/>
        <w:ind w:left="559" w:right="3772" w:hanging="440"/>
        <w:jc w:val="left"/>
      </w:pPr>
      <w:r>
        <w:rPr>
          <w:spacing w:val="-1"/>
        </w:rPr>
        <w:t>代旧协议，有效期三年，其他协议条款不变。</w:t>
      </w:r>
      <w:r>
        <w:rPr>
          <w:spacing w:val="-92"/>
        </w:rPr>
        <w:t> </w:t>
      </w:r>
      <w:r>
        <w:rPr>
          <w:spacing w:val="-92"/>
        </w:rPr>
      </w:r>
      <w:r>
        <w:rPr>
          <w:rFonts w:ascii="宋体" w:hAnsi="宋体" w:cs="宋体" w:eastAsia="宋体" w:hint="default"/>
        </w:rPr>
        <w:t>5</w:t>
      </w:r>
      <w:r>
        <w:rPr/>
        <w:t>、董事变动</w:t>
      </w:r>
    </w:p>
    <w:p>
      <w:pPr>
        <w:pStyle w:val="Heading7"/>
        <w:spacing w:line="326" w:lineRule="auto" w:before="43"/>
        <w:ind w:right="370" w:firstLine="439"/>
        <w:jc w:val="left"/>
      </w:pP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9"/>
        </w:rPr>
        <w:t> </w:t>
      </w:r>
      <w:r>
        <w:rPr>
          <w:rFonts w:ascii="宋体" w:hAnsi="宋体" w:cs="宋体" w:eastAsia="宋体" w:hint="default"/>
        </w:rPr>
        <w:t>15</w:t>
      </w:r>
      <w:r>
        <w:rPr>
          <w:rFonts w:ascii="宋体" w:hAnsi="宋体" w:cs="宋体" w:eastAsia="宋体" w:hint="default"/>
          <w:spacing w:val="-56"/>
        </w:rPr>
        <w:t> </w:t>
      </w:r>
      <w:r>
        <w:rPr/>
        <w:t>日，公司董事钟际民先生因退休原因辞去公司董事及董事会提名委</w:t>
      </w:r>
      <w:r>
        <w:rPr>
          <w:w w:val="100"/>
        </w:rPr>
        <w:t> </w:t>
      </w:r>
      <w:r>
        <w:rPr/>
        <w:t>员会委员、审计委员会委员职务。钟际民先生辞职后不再担任公司其他职务。</w:t>
      </w:r>
    </w:p>
    <w:p>
      <w:pPr>
        <w:pStyle w:val="Heading7"/>
        <w:spacing w:line="326" w:lineRule="auto" w:before="101"/>
        <w:ind w:right="0" w:firstLine="439"/>
        <w:jc w:val="left"/>
      </w:pPr>
      <w:r>
        <w:rPr>
          <w:spacing w:val="-3"/>
        </w:rPr>
        <w:t>同日，公司董事会提名张志勇先生为公司第六届董事会董事候选人，任期同第六届</w:t>
      </w:r>
      <w:r>
        <w:rPr>
          <w:w w:val="100"/>
        </w:rPr>
        <w:t> </w:t>
      </w:r>
      <w:r>
        <w:rPr/>
        <w:t>董事会。此议案尚需提交公司股东大会审议。</w:t>
      </w:r>
    </w:p>
    <w:p>
      <w:pPr>
        <w:pStyle w:val="Heading7"/>
        <w:spacing w:line="240" w:lineRule="auto" w:before="98"/>
        <w:ind w:left="559" w:right="0"/>
        <w:jc w:val="left"/>
      </w:pPr>
      <w:r>
        <w:rPr>
          <w:rFonts w:ascii="宋体" w:hAnsi="宋体" w:cs="宋体" w:eastAsia="宋体" w:hint="default"/>
        </w:rPr>
        <w:t>6</w:t>
      </w:r>
      <w:r>
        <w:rPr/>
        <w:t>、子公司冠捷科技相关事项</w:t>
      </w:r>
    </w:p>
    <w:p>
      <w:pPr>
        <w:pStyle w:val="Heading7"/>
        <w:spacing w:line="391" w:lineRule="auto" w:before="180"/>
        <w:ind w:left="559" w:right="0"/>
        <w:jc w:val="left"/>
      </w:pPr>
      <w:r>
        <w:rPr/>
        <w:t>（</w:t>
      </w:r>
      <w:r>
        <w:rPr>
          <w:rFonts w:ascii="宋体" w:hAnsi="宋体" w:cs="宋体" w:eastAsia="宋体" w:hint="default"/>
        </w:rPr>
        <w:t>1</w:t>
      </w:r>
      <w:r>
        <w:rPr/>
        <w:t>）冠捷科技部分业务整合</w:t>
      </w:r>
      <w:r>
        <w:rPr>
          <w:w w:val="100"/>
        </w:rPr>
        <w:t> </w:t>
      </w:r>
      <w:r>
        <w:rPr/>
        <w:t>冠捷科技根据实际经营情况对其巴西及比利时部分业务进行整合</w:t>
      </w:r>
      <w:r>
        <w:rPr>
          <w:w w:val="100"/>
        </w:rPr>
        <w:t> </w:t>
      </w:r>
      <w:r>
        <w:rPr>
          <w:rFonts w:ascii="宋体" w:hAnsi="宋体" w:cs="宋体" w:eastAsia="宋体" w:hint="default"/>
        </w:rPr>
        <w:t>1</w:t>
      </w:r>
      <w:r>
        <w:rPr/>
        <w:t>）巴西业务：计划将位于圣保罗州容迪亚伊（</w:t>
      </w:r>
      <w:r>
        <w:rPr>
          <w:rFonts w:ascii="宋体" w:hAnsi="宋体" w:cs="宋体" w:eastAsia="宋体" w:hint="default"/>
        </w:rPr>
        <w:t>Jundia</w:t>
      </w:r>
      <w:r>
        <w:rPr/>
        <w:t>）的资讯科技产品的生产营</w:t>
      </w:r>
    </w:p>
    <w:p>
      <w:pPr>
        <w:pStyle w:val="Heading7"/>
        <w:spacing w:line="253" w:lineRule="exact" w:before="0"/>
        <w:ind w:right="0"/>
        <w:jc w:val="left"/>
      </w:pPr>
      <w:r>
        <w:rPr>
          <w:spacing w:val="-3"/>
        </w:rPr>
        <w:t>运转移至亚马逊州玛瑙斯（</w:t>
      </w:r>
      <w:r>
        <w:rPr>
          <w:rFonts w:ascii="宋体" w:hAnsi="宋体" w:cs="宋体" w:eastAsia="宋体" w:hint="default"/>
          <w:spacing w:val="-3"/>
        </w:rPr>
        <w:t>Manaus</w:t>
      </w:r>
      <w:r>
        <w:rPr>
          <w:spacing w:val="-3"/>
        </w:rPr>
        <w:t>）现有厂房。因该次业务整合，冠捷科技预计将削减</w:t>
      </w:r>
    </w:p>
    <w:p>
      <w:pPr>
        <w:pStyle w:val="Heading7"/>
        <w:spacing w:line="388" w:lineRule="auto" w:before="103"/>
        <w:ind w:left="559" w:right="0" w:hanging="440"/>
        <w:jc w:val="left"/>
      </w:pPr>
      <w:r>
        <w:rPr/>
        <w:t>约</w:t>
      </w:r>
      <w:r>
        <w:rPr>
          <w:spacing w:val="-56"/>
        </w:rPr>
        <w:t> </w:t>
      </w:r>
      <w:r>
        <w:rPr>
          <w:rFonts w:ascii="宋体" w:hAnsi="宋体" w:cs="宋体" w:eastAsia="宋体" w:hint="default"/>
        </w:rPr>
        <w:t>430</w:t>
      </w:r>
      <w:r>
        <w:rPr>
          <w:rFonts w:ascii="宋体" w:hAnsi="宋体" w:cs="宋体" w:eastAsia="宋体" w:hint="default"/>
          <w:spacing w:val="-56"/>
        </w:rPr>
        <w:t> </w:t>
      </w:r>
      <w:r>
        <w:rPr/>
        <w:t>个职位，并需于</w:t>
      </w:r>
      <w:r>
        <w:rPr>
          <w:spacing w:val="-58"/>
        </w:rPr>
        <w:t> </w:t>
      </w:r>
      <w:r>
        <w:rPr>
          <w:rFonts w:ascii="宋体" w:hAnsi="宋体" w:cs="宋体" w:eastAsia="宋体" w:hint="default"/>
        </w:rPr>
        <w:t>2016</w:t>
      </w:r>
      <w:r>
        <w:rPr>
          <w:rFonts w:ascii="宋体" w:hAnsi="宋体" w:cs="宋体" w:eastAsia="宋体" w:hint="default"/>
          <w:spacing w:val="-56"/>
        </w:rPr>
        <w:t> </w:t>
      </w:r>
      <w:r>
        <w:rPr/>
        <w:t>年上半年拨备相应的整合成本约</w:t>
      </w:r>
      <w:r>
        <w:rPr>
          <w:spacing w:val="-56"/>
        </w:rPr>
        <w:t> </w:t>
      </w:r>
      <w:r>
        <w:rPr>
          <w:rFonts w:ascii="宋体" w:hAnsi="宋体" w:cs="宋体" w:eastAsia="宋体" w:hint="default"/>
        </w:rPr>
        <w:t>600</w:t>
      </w:r>
      <w:r>
        <w:rPr>
          <w:rFonts w:ascii="宋体" w:hAnsi="宋体" w:cs="宋体" w:eastAsia="宋体" w:hint="default"/>
          <w:spacing w:val="-59"/>
        </w:rPr>
        <w:t> </w:t>
      </w:r>
      <w:r>
        <w:rPr/>
        <w:t>万美元。</w:t>
      </w:r>
      <w:r>
        <w:rPr>
          <w:w w:val="100"/>
        </w:rPr>
        <w:t> </w:t>
      </w:r>
      <w:r>
        <w:rPr>
          <w:rFonts w:ascii="宋体" w:hAnsi="宋体" w:cs="宋体" w:eastAsia="宋体" w:hint="default"/>
        </w:rPr>
        <w:t>2</w:t>
      </w:r>
      <w:r>
        <w:rPr/>
        <w:t>）比利时业务：冠捷科技计划将其位于比利时根特的创新发展中心转型为创新发</w:t>
      </w:r>
    </w:p>
    <w:p>
      <w:pPr>
        <w:pStyle w:val="Heading7"/>
        <w:spacing w:line="255" w:lineRule="exact" w:before="0"/>
        <w:ind w:right="0"/>
        <w:jc w:val="left"/>
      </w:pPr>
      <w:r>
        <w:rPr>
          <w:spacing w:val="-3"/>
        </w:rPr>
        <w:t>展与技术支持中心，同时将根特中心现有的若干业务转移至其于中国内地及台湾的现有</w:t>
      </w:r>
    </w:p>
    <w:p>
      <w:pPr>
        <w:pStyle w:val="Heading7"/>
        <w:spacing w:line="240" w:lineRule="auto" w:before="103"/>
        <w:ind w:right="0"/>
        <w:jc w:val="left"/>
        <w:rPr>
          <w:rFonts w:ascii="宋体" w:hAnsi="宋体" w:cs="宋体" w:eastAsia="宋体" w:hint="default"/>
        </w:rPr>
      </w:pPr>
      <w:r>
        <w:rPr>
          <w:spacing w:val="-4"/>
        </w:rPr>
        <w:t>创新发展中心。因该次业务整合，冠捷科技预计将有约</w:t>
      </w:r>
      <w:r>
        <w:rPr>
          <w:spacing w:val="-43"/>
        </w:rPr>
        <w:t> </w:t>
      </w:r>
      <w:r>
        <w:rPr>
          <w:rFonts w:ascii="宋体" w:hAnsi="宋体" w:cs="宋体" w:eastAsia="宋体" w:hint="default"/>
        </w:rPr>
        <w:t>180</w:t>
      </w:r>
      <w:r>
        <w:rPr>
          <w:rFonts w:ascii="宋体" w:hAnsi="宋体" w:cs="宋体" w:eastAsia="宋体" w:hint="default"/>
          <w:spacing w:val="-48"/>
        </w:rPr>
        <w:t> </w:t>
      </w:r>
      <w:r>
        <w:rPr>
          <w:spacing w:val="-5"/>
        </w:rPr>
        <w:t>名雇员受影响，并需于</w:t>
      </w:r>
      <w:r>
        <w:rPr>
          <w:spacing w:val="-45"/>
        </w:rPr>
        <w:t> </w:t>
      </w:r>
      <w:r>
        <w:rPr>
          <w:rFonts w:ascii="宋体" w:hAnsi="宋体" w:cs="宋体" w:eastAsia="宋体" w:hint="default"/>
        </w:rPr>
        <w:t>2016</w:t>
      </w:r>
    </w:p>
    <w:p>
      <w:pPr>
        <w:pStyle w:val="Heading7"/>
        <w:spacing w:line="240" w:lineRule="auto" w:before="101"/>
        <w:ind w:right="0"/>
        <w:jc w:val="left"/>
      </w:pPr>
      <w:r>
        <w:rPr/>
        <w:t>年上半年拨备相应的整合成本约</w:t>
      </w:r>
      <w:r>
        <w:rPr>
          <w:spacing w:val="-57"/>
        </w:rPr>
        <w:t> </w:t>
      </w:r>
      <w:r>
        <w:rPr>
          <w:rFonts w:ascii="宋体" w:hAnsi="宋体" w:cs="宋体" w:eastAsia="宋体" w:hint="default"/>
        </w:rPr>
        <w:t>4,700</w:t>
      </w:r>
      <w:r>
        <w:rPr>
          <w:rFonts w:ascii="宋体" w:hAnsi="宋体" w:cs="宋体" w:eastAsia="宋体" w:hint="default"/>
          <w:spacing w:val="-57"/>
        </w:rPr>
        <w:t> </w:t>
      </w:r>
      <w:r>
        <w:rPr/>
        <w:t>万美元。</w:t>
      </w:r>
    </w:p>
    <w:p>
      <w:pPr>
        <w:pStyle w:val="Heading7"/>
        <w:spacing w:line="240" w:lineRule="auto" w:before="180"/>
        <w:ind w:left="559" w:right="0"/>
        <w:jc w:val="left"/>
      </w:pPr>
      <w:r>
        <w:rPr/>
        <w:t>上述事项经</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13</w:t>
      </w:r>
      <w:r>
        <w:rPr>
          <w:rFonts w:ascii="宋体" w:hAnsi="宋体" w:cs="宋体" w:eastAsia="宋体" w:hint="default"/>
          <w:spacing w:val="-53"/>
        </w:rPr>
        <w:t> </w:t>
      </w:r>
      <w:r>
        <w:rPr>
          <w:spacing w:val="-5"/>
        </w:rPr>
        <w:t>日公司第六届董事会审议通过，并于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23</w:t>
      </w:r>
      <w:r>
        <w:rPr>
          <w:rFonts w:ascii="宋体" w:hAnsi="宋体" w:cs="宋体" w:eastAsia="宋体" w:hint="default"/>
          <w:spacing w:val="-53"/>
        </w:rPr>
        <w:t> </w:t>
      </w:r>
      <w:r>
        <w:rPr/>
        <w:t>日</w:t>
      </w:r>
    </w:p>
    <w:p>
      <w:pPr>
        <w:pStyle w:val="Heading7"/>
        <w:spacing w:line="240" w:lineRule="auto" w:before="103"/>
        <w:ind w:right="0"/>
        <w:jc w:val="left"/>
      </w:pPr>
      <w:r>
        <w:rPr/>
        <w:t>获得公司</w:t>
      </w:r>
      <w:r>
        <w:rPr>
          <w:spacing w:val="-58"/>
        </w:rPr>
        <w:t> </w:t>
      </w:r>
      <w:r>
        <w:rPr>
          <w:rFonts w:ascii="宋体" w:hAnsi="宋体" w:cs="宋体" w:eastAsia="宋体" w:hint="default"/>
        </w:rPr>
        <w:t>2016</w:t>
      </w:r>
      <w:r>
        <w:rPr>
          <w:rFonts w:ascii="宋体" w:hAnsi="宋体" w:cs="宋体" w:eastAsia="宋体" w:hint="default"/>
          <w:spacing w:val="-55"/>
        </w:rPr>
        <w:t> </w:t>
      </w:r>
      <w:r>
        <w:rPr/>
        <w:t>年度第一次临时股东大会的同意。</w:t>
      </w:r>
    </w:p>
    <w:p>
      <w:pPr>
        <w:pStyle w:val="Heading7"/>
        <w:spacing w:line="240" w:lineRule="auto" w:before="178"/>
        <w:ind w:left="559" w:right="0"/>
        <w:jc w:val="left"/>
      </w:pPr>
      <w:r>
        <w:rPr/>
        <w:t>（</w:t>
      </w:r>
      <w:r>
        <w:rPr>
          <w:rFonts w:ascii="宋体" w:hAnsi="宋体" w:cs="宋体" w:eastAsia="宋体" w:hint="default"/>
        </w:rPr>
        <w:t>2</w:t>
      </w:r>
      <w:r>
        <w:rPr/>
        <w:t>）延长商标许可协议</w:t>
      </w:r>
    </w:p>
    <w:p>
      <w:pPr>
        <w:pStyle w:val="Heading7"/>
        <w:spacing w:line="240" w:lineRule="auto" w:before="180"/>
        <w:ind w:left="559" w:right="0"/>
        <w:jc w:val="left"/>
      </w:pPr>
      <w:r>
        <w:rPr>
          <w:rFonts w:ascii="宋体" w:hAnsi="宋体" w:cs="宋体" w:eastAsia="宋体" w:hint="default"/>
          <w:w w:val="100"/>
        </w:rPr>
        <w:t>2015</w:t>
      </w:r>
      <w:r>
        <w:rPr>
          <w:rFonts w:ascii="宋体" w:hAnsi="宋体" w:cs="宋体" w:eastAsia="宋体" w:hint="default"/>
          <w:spacing w:val="-55"/>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24</w:t>
      </w:r>
      <w:r>
        <w:rPr>
          <w:rFonts w:ascii="宋体" w:hAnsi="宋体" w:cs="宋体" w:eastAsia="宋体" w:hint="default"/>
          <w:spacing w:val="-58"/>
        </w:rPr>
        <w:t> </w:t>
      </w:r>
      <w:r>
        <w:rPr>
          <w:w w:val="100"/>
        </w:rPr>
        <w:t>日</w:t>
      </w:r>
      <w:r>
        <w:rPr>
          <w:spacing w:val="-111"/>
          <w:w w:val="100"/>
        </w:rPr>
        <w:t>，</w:t>
      </w:r>
      <w:r>
        <w:rPr>
          <w:w w:val="100"/>
        </w:rPr>
        <w:t>冠</w:t>
      </w:r>
      <w:r>
        <w:rPr>
          <w:spacing w:val="-3"/>
          <w:w w:val="100"/>
        </w:rPr>
        <w:t>捷</w:t>
      </w:r>
      <w:r>
        <w:rPr>
          <w:w w:val="100"/>
        </w:rPr>
        <w:t>科技的</w:t>
      </w:r>
      <w:r>
        <w:rPr>
          <w:spacing w:val="-3"/>
          <w:w w:val="100"/>
        </w:rPr>
        <w:t>全</w:t>
      </w:r>
      <w:r>
        <w:rPr>
          <w:w w:val="100"/>
        </w:rPr>
        <w:t>资子</w:t>
      </w:r>
      <w:r>
        <w:rPr>
          <w:spacing w:val="-3"/>
          <w:w w:val="100"/>
        </w:rPr>
        <w:t>公</w:t>
      </w:r>
      <w:r>
        <w:rPr>
          <w:w w:val="100"/>
        </w:rPr>
        <w:t>司艾</w:t>
      </w:r>
      <w:r>
        <w:rPr>
          <w:spacing w:val="-3"/>
          <w:w w:val="100"/>
        </w:rPr>
        <w:t>德蒙</w:t>
      </w:r>
      <w:r>
        <w:rPr>
          <w:w w:val="100"/>
        </w:rPr>
        <w:t>控股有</w:t>
      </w:r>
      <w:r>
        <w:rPr>
          <w:spacing w:val="-3"/>
          <w:w w:val="100"/>
        </w:rPr>
        <w:t>限</w:t>
      </w:r>
      <w:r>
        <w:rPr>
          <w:w w:val="100"/>
        </w:rPr>
        <w:t>公</w:t>
      </w:r>
      <w:r>
        <w:rPr>
          <w:spacing w:val="-111"/>
          <w:w w:val="100"/>
        </w:rPr>
        <w:t>司</w:t>
      </w:r>
      <w:r>
        <w:rPr>
          <w:w w:val="100"/>
        </w:rPr>
        <w:t>（</w:t>
      </w:r>
      <w:r>
        <w:rPr>
          <w:spacing w:val="-3"/>
          <w:w w:val="100"/>
        </w:rPr>
        <w:t>以</w:t>
      </w:r>
      <w:r>
        <w:rPr>
          <w:w w:val="100"/>
        </w:rPr>
        <w:t>下简</w:t>
      </w:r>
      <w:r>
        <w:rPr>
          <w:spacing w:val="-3"/>
          <w:w w:val="100"/>
        </w:rPr>
        <w:t>称</w:t>
      </w:r>
      <w:r>
        <w:rPr>
          <w:w w:val="100"/>
        </w:rPr>
        <w:t>艾德蒙）</w:t>
      </w:r>
    </w:p>
    <w:p>
      <w:pPr>
        <w:pStyle w:val="Heading7"/>
        <w:spacing w:line="240" w:lineRule="auto" w:before="103"/>
        <w:ind w:right="0"/>
        <w:jc w:val="left"/>
      </w:pPr>
      <w:r>
        <w:rPr/>
        <w:t>与飞利浦订立协议，以修订日期为</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0"/>
        </w:rPr>
        <w:t> </w:t>
      </w:r>
      <w:r>
        <w:rPr>
          <w:rFonts w:ascii="宋体" w:hAnsi="宋体" w:cs="宋体" w:eastAsia="宋体" w:hint="default"/>
        </w:rPr>
        <w:t>9</w:t>
      </w:r>
      <w:r>
        <w:rPr>
          <w:rFonts w:ascii="宋体" w:hAnsi="宋体" w:cs="宋体" w:eastAsia="宋体" w:hint="default"/>
          <w:spacing w:val="-50"/>
        </w:rPr>
        <w:t> </w:t>
      </w:r>
      <w:r>
        <w:rPr/>
        <w:t>月</w:t>
      </w:r>
      <w:r>
        <w:rPr>
          <w:spacing w:val="-53"/>
        </w:rPr>
        <w:t> </w:t>
      </w:r>
      <w:r>
        <w:rPr>
          <w:rFonts w:ascii="宋体" w:hAnsi="宋体" w:cs="宋体" w:eastAsia="宋体" w:hint="default"/>
        </w:rPr>
        <w:t>29</w:t>
      </w:r>
      <w:r>
        <w:rPr>
          <w:rFonts w:ascii="宋体" w:hAnsi="宋体" w:cs="宋体" w:eastAsia="宋体" w:hint="default"/>
          <w:spacing w:val="-52"/>
        </w:rPr>
        <w:t> </w:t>
      </w:r>
      <w:r>
        <w:rPr/>
        <w:t>日并将于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日到期的</w:t>
      </w:r>
    </w:p>
    <w:p>
      <w:pPr>
        <w:pStyle w:val="Heading7"/>
        <w:spacing w:line="324" w:lineRule="auto" w:before="103"/>
        <w:ind w:right="376"/>
        <w:jc w:val="both"/>
      </w:pPr>
      <w:r>
        <w:rPr/>
        <w:t>商标许可协议的条款。此协议已由</w:t>
      </w:r>
      <w:r>
        <w:rPr>
          <w:spacing w:val="-47"/>
        </w:rPr>
        <w:t> </w:t>
      </w:r>
      <w:r>
        <w:rPr>
          <w:rFonts w:ascii="宋体" w:hAnsi="宋体" w:cs="宋体" w:eastAsia="宋体" w:hint="default"/>
        </w:rPr>
        <w:t>2016</w:t>
      </w:r>
      <w:r>
        <w:rPr>
          <w:rFonts w:ascii="宋体" w:hAnsi="宋体" w:cs="宋体" w:eastAsia="宋体" w:hint="default"/>
          <w:spacing w:val="-48"/>
        </w:rPr>
        <w:t> </w:t>
      </w:r>
      <w:r>
        <w:rPr/>
        <w:t>年</w:t>
      </w:r>
      <w:r>
        <w:rPr>
          <w:spacing w:val="-46"/>
        </w:rPr>
        <w:t> </w:t>
      </w:r>
      <w:r>
        <w:rPr>
          <w:rFonts w:ascii="宋体" w:hAnsi="宋体" w:cs="宋体" w:eastAsia="宋体" w:hint="default"/>
        </w:rPr>
        <w:t>1</w:t>
      </w:r>
      <w:r>
        <w:rPr>
          <w:rFonts w:ascii="宋体" w:hAnsi="宋体" w:cs="宋体" w:eastAsia="宋体" w:hint="default"/>
          <w:spacing w:val="-48"/>
        </w:rPr>
        <w:t> </w:t>
      </w:r>
      <w:r>
        <w:rPr/>
        <w:t>月</w:t>
      </w:r>
      <w:r>
        <w:rPr>
          <w:spacing w:val="-46"/>
        </w:rPr>
        <w:t> </w:t>
      </w:r>
      <w:r>
        <w:rPr>
          <w:rFonts w:ascii="宋体" w:hAnsi="宋体" w:cs="宋体" w:eastAsia="宋体" w:hint="default"/>
        </w:rPr>
        <w:t>1</w:t>
      </w:r>
      <w:r>
        <w:rPr>
          <w:rFonts w:ascii="宋体" w:hAnsi="宋体" w:cs="宋体" w:eastAsia="宋体" w:hint="default"/>
          <w:spacing w:val="-48"/>
        </w:rPr>
        <w:t> </w:t>
      </w:r>
      <w:r>
        <w:rPr/>
        <w:t>日起生效。主要修订包括修订商标许</w:t>
      </w:r>
      <w:r>
        <w:rPr>
          <w:w w:val="100"/>
        </w:rPr>
        <w:t> </w:t>
      </w:r>
      <w:r>
        <w:rPr>
          <w:spacing w:val="-3"/>
        </w:rPr>
        <w:t>可协议项下的应付许可使用费及年度最低保证许可使用费、有关客户关怀服务的若干变</w:t>
      </w:r>
      <w:r>
        <w:rPr>
          <w:spacing w:val="-58"/>
        </w:rPr>
        <w:t> </w:t>
      </w:r>
      <w:r>
        <w:rPr>
          <w:spacing w:val="-58"/>
        </w:rPr>
      </w:r>
      <w:r>
        <w:rPr/>
        <w:t>动以及延长商标许可协议的年期至</w:t>
      </w:r>
      <w:r>
        <w:rPr>
          <w:spacing w:val="-48"/>
        </w:rPr>
        <w:t> </w:t>
      </w:r>
      <w:r>
        <w:rPr>
          <w:rFonts w:ascii="宋体" w:hAnsi="宋体" w:cs="宋体" w:eastAsia="宋体" w:hint="default"/>
        </w:rPr>
        <w:t>2020</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t>日。延长商标许可协议使艾德蒙及</w:t>
      </w:r>
      <w:r>
        <w:rPr>
          <w:w w:val="100"/>
        </w:rPr>
        <w:t> </w:t>
      </w:r>
      <w:r>
        <w:rPr>
          <w:spacing w:val="-3"/>
        </w:rPr>
        <w:t>其附属公司有权在另一个五年期间内，通过每年支付许可使用费，就于中国制造及销售</w:t>
      </w:r>
      <w:r>
        <w:rPr>
          <w:spacing w:val="-58"/>
        </w:rPr>
        <w:t> </w:t>
      </w:r>
      <w:r>
        <w:rPr>
          <w:spacing w:val="-58"/>
        </w:rPr>
      </w:r>
      <w:r>
        <w:rPr/>
        <w:t>电视使用飞利浦的商标。冠捷科技董事预期于 </w:t>
      </w:r>
      <w:r>
        <w:rPr>
          <w:rFonts w:ascii="宋体" w:hAnsi="宋体" w:cs="宋体" w:eastAsia="宋体" w:hint="default"/>
        </w:rPr>
        <w:t>2016</w:t>
      </w:r>
      <w:r>
        <w:rPr>
          <w:rFonts w:ascii="宋体" w:hAnsi="宋体" w:cs="宋体" w:eastAsia="宋体" w:hint="default"/>
          <w:spacing w:val="-63"/>
        </w:rPr>
        <w:t> </w:t>
      </w:r>
      <w:r>
        <w:rPr/>
        <w:t>年度确认无形资产及应付许可使用</w:t>
      </w:r>
      <w:r>
        <w:rPr>
          <w:spacing w:val="-3"/>
          <w:w w:val="100"/>
        </w:rPr>
        <w:t> </w:t>
      </w:r>
      <w:r>
        <w:rPr/>
        <w:t>费。</w:t>
      </w:r>
    </w:p>
    <w:p>
      <w:pPr>
        <w:pStyle w:val="Heading7"/>
        <w:spacing w:line="391" w:lineRule="auto" w:before="103"/>
        <w:ind w:left="559" w:right="5204"/>
        <w:jc w:val="left"/>
      </w:pP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57"/>
        </w:rPr>
        <w:t> </w:t>
      </w:r>
      <w:r>
        <w:rPr/>
        <w:t>年度税后利润分配方案</w:t>
      </w:r>
      <w:r>
        <w:rPr>
          <w:w w:val="100"/>
        </w:rPr>
        <w:t> </w:t>
      </w:r>
      <w:r>
        <w:rPr/>
        <w:t>本公司：</w:t>
      </w:r>
    </w:p>
    <w:p>
      <w:pPr>
        <w:pStyle w:val="Heading7"/>
        <w:spacing w:line="326" w:lineRule="auto" w:before="41"/>
        <w:ind w:right="367" w:firstLine="439"/>
        <w:jc w:val="left"/>
      </w:pPr>
      <w:r>
        <w:rPr>
          <w:spacing w:val="5"/>
        </w:rPr>
        <w:t>根据信永中和会计师事务所（特殊普通合伙）审计，</w:t>
      </w:r>
      <w:r>
        <w:rPr>
          <w:rFonts w:ascii="宋体" w:hAnsi="宋体" w:cs="宋体" w:eastAsia="宋体" w:hint="default"/>
          <w:spacing w:val="5"/>
        </w:rPr>
        <w:t>2015</w:t>
      </w:r>
      <w:r>
        <w:rPr>
          <w:rFonts w:ascii="宋体" w:hAnsi="宋体" w:cs="宋体" w:eastAsia="宋体" w:hint="default"/>
          <w:spacing w:val="84"/>
        </w:rPr>
        <w:t> </w:t>
      </w:r>
      <w:r>
        <w:rPr>
          <w:spacing w:val="5"/>
        </w:rPr>
        <w:t>年度本公司净利润为</w:t>
      </w:r>
      <w:r>
        <w:rPr>
          <w:w w:val="100"/>
        </w:rPr>
        <w:t> </w:t>
      </w:r>
      <w:r>
        <w:rPr>
          <w:rFonts w:ascii="宋体" w:hAnsi="宋体" w:cs="宋体" w:eastAsia="宋体" w:hint="default"/>
        </w:rPr>
        <w:t>7,261,575.77</w:t>
      </w:r>
      <w:r>
        <w:rPr>
          <w:rFonts w:ascii="宋体" w:hAnsi="宋体" w:cs="宋体" w:eastAsia="宋体" w:hint="default"/>
          <w:spacing w:val="-44"/>
        </w:rPr>
        <w:t> </w:t>
      </w:r>
      <w:r>
        <w:rPr/>
        <w:t>元，按</w:t>
      </w:r>
      <w:r>
        <w:rPr>
          <w:spacing w:val="-44"/>
        </w:rPr>
        <w:t> </w:t>
      </w:r>
      <w:r>
        <w:rPr>
          <w:rFonts w:ascii="宋体" w:hAnsi="宋体" w:cs="宋体" w:eastAsia="宋体" w:hint="default"/>
        </w:rPr>
        <w:t>10%</w:t>
      </w:r>
      <w:r>
        <w:rPr/>
        <w:t>计提盈余公积共计</w:t>
      </w:r>
      <w:r>
        <w:rPr>
          <w:spacing w:val="-42"/>
        </w:rPr>
        <w:t> </w:t>
      </w:r>
      <w:r>
        <w:rPr>
          <w:rFonts w:ascii="宋体" w:hAnsi="宋体" w:cs="宋体" w:eastAsia="宋体" w:hint="default"/>
        </w:rPr>
        <w:t>726,157.58</w:t>
      </w:r>
      <w:r>
        <w:rPr>
          <w:rFonts w:ascii="宋体" w:hAnsi="宋体" w:cs="宋体" w:eastAsia="宋体" w:hint="default"/>
          <w:spacing w:val="-41"/>
        </w:rPr>
        <w:t> </w:t>
      </w:r>
      <w:r>
        <w:rPr/>
        <w:t>元，年末本公司未分配利润为</w:t>
      </w:r>
    </w:p>
    <w:p>
      <w:pPr>
        <w:pStyle w:val="Heading7"/>
        <w:spacing w:line="240" w:lineRule="auto" w:before="21"/>
        <w:ind w:right="0"/>
        <w:jc w:val="left"/>
      </w:pPr>
      <w:r>
        <w:rPr>
          <w:rFonts w:ascii="宋体" w:hAnsi="宋体" w:cs="宋体" w:eastAsia="宋体" w:hint="default"/>
        </w:rPr>
        <w:t>-67,286,056.61</w:t>
      </w:r>
      <w:r>
        <w:rPr>
          <w:rFonts w:ascii="宋体" w:hAnsi="宋体" w:cs="宋体" w:eastAsia="宋体" w:hint="default"/>
          <w:spacing w:val="-54"/>
        </w:rPr>
        <w:t> </w:t>
      </w:r>
      <w:r>
        <w:rPr/>
        <w:t>元。</w:t>
      </w:r>
    </w:p>
    <w:p>
      <w:pPr>
        <w:spacing w:after="0" w:line="240" w:lineRule="auto"/>
        <w:jc w:val="left"/>
        <w:sectPr>
          <w:pgSz w:w="11910" w:h="16840"/>
          <w:pgMar w:header="0" w:footer="980" w:top="1600" w:bottom="1160" w:left="168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left="260" w:right="368" w:firstLine="439"/>
        <w:jc w:val="left"/>
      </w:pPr>
      <w:r>
        <w:rPr>
          <w:spacing w:val="-15"/>
          <w:w w:val="100"/>
        </w:rPr>
        <w:t>根据《公司法》、《公司章程》、《公司股东回报规划（</w:t>
      </w:r>
      <w:r>
        <w:rPr>
          <w:rFonts w:ascii="宋体" w:hAnsi="宋体" w:cs="宋体" w:eastAsia="宋体" w:hint="default"/>
          <w:spacing w:val="-15"/>
          <w:w w:val="100"/>
        </w:rPr>
        <w:t>2015-2017</w:t>
      </w:r>
      <w:r>
        <w:rPr>
          <w:spacing w:val="-15"/>
          <w:w w:val="100"/>
        </w:rPr>
        <w:t>）》之有关规定及本</w:t>
      </w:r>
      <w:r>
        <w:rPr>
          <w:w w:val="100"/>
        </w:rPr>
        <w:t> </w:t>
      </w:r>
      <w:r>
        <w:rPr/>
        <w:t>公司</w:t>
      </w:r>
      <w:r>
        <w:rPr>
          <w:spacing w:val="-43"/>
        </w:rPr>
        <w:t> </w:t>
      </w:r>
      <w:r>
        <w:rPr>
          <w:rFonts w:ascii="宋体" w:hAnsi="宋体" w:cs="宋体" w:eastAsia="宋体" w:hint="default"/>
        </w:rPr>
        <w:t>2015</w:t>
      </w:r>
      <w:r>
        <w:rPr>
          <w:rFonts w:ascii="宋体" w:hAnsi="宋体" w:cs="宋体" w:eastAsia="宋体" w:hint="default"/>
          <w:spacing w:val="-47"/>
        </w:rPr>
        <w:t> </w:t>
      </w:r>
      <w:r>
        <w:rPr>
          <w:spacing w:val="-4"/>
        </w:rPr>
        <w:t>年度的经营情况，鉴于</w:t>
      </w:r>
      <w:r>
        <w:rPr>
          <w:spacing w:val="-42"/>
        </w:rPr>
        <w:t> </w:t>
      </w:r>
      <w:r>
        <w:rPr>
          <w:rFonts w:ascii="宋体" w:hAnsi="宋体" w:cs="宋体" w:eastAsia="宋体" w:hint="default"/>
        </w:rPr>
        <w:t>2015</w:t>
      </w:r>
      <w:r>
        <w:rPr>
          <w:rFonts w:ascii="宋体" w:hAnsi="宋体" w:cs="宋体" w:eastAsia="宋体" w:hint="default"/>
          <w:spacing w:val="-47"/>
        </w:rPr>
        <w:t> </w:t>
      </w:r>
      <w:r>
        <w:rPr>
          <w:spacing w:val="-3"/>
        </w:rPr>
        <w:t>年度本公司可供分配利润仍为负数，基于公司长</w:t>
      </w:r>
    </w:p>
    <w:p>
      <w:pPr>
        <w:pStyle w:val="Heading7"/>
        <w:spacing w:line="324" w:lineRule="auto" w:before="24"/>
        <w:ind w:left="260" w:right="367"/>
        <w:jc w:val="left"/>
      </w:pPr>
      <w:r>
        <w:rPr/>
        <w:t>远发展考虑，公司 </w:t>
      </w:r>
      <w:r>
        <w:rPr>
          <w:rFonts w:ascii="宋体" w:hAnsi="宋体" w:cs="宋体" w:eastAsia="宋体" w:hint="default"/>
        </w:rPr>
        <w:t>2015</w:t>
      </w:r>
      <w:r>
        <w:rPr>
          <w:rFonts w:ascii="宋体" w:hAnsi="宋体" w:cs="宋体" w:eastAsia="宋体" w:hint="default"/>
          <w:spacing w:val="-61"/>
        </w:rPr>
        <w:t> </w:t>
      </w:r>
      <w:r>
        <w:rPr/>
        <w:t>年度拟不进行利润分配，即不实施现金分红、不派送红股及不</w:t>
      </w:r>
      <w:r>
        <w:rPr>
          <w:w w:val="100"/>
        </w:rPr>
        <w:t> </w:t>
      </w:r>
      <w:r>
        <w:rPr/>
        <w:t>以公积金转增股本。</w:t>
      </w:r>
    </w:p>
    <w:p>
      <w:pPr>
        <w:pStyle w:val="Heading7"/>
        <w:spacing w:line="240" w:lineRule="auto" w:before="103"/>
        <w:ind w:left="699" w:right="276"/>
        <w:jc w:val="left"/>
      </w:pPr>
      <w:r>
        <w:rPr/>
        <w:t>本公司之子公司冠捷科技：</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589"/>
        <w:gridCol w:w="4962"/>
      </w:tblGrid>
      <w:tr>
        <w:trPr>
          <w:trHeight w:val="389" w:hRule="exact"/>
        </w:trPr>
        <w:tc>
          <w:tcPr>
            <w:tcW w:w="35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9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r>
      <w:tr>
        <w:trPr>
          <w:trHeight w:val="672" w:hRule="exact"/>
        </w:trPr>
        <w:tc>
          <w:tcPr>
            <w:tcW w:w="3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期末每股普通股分红</w:t>
            </w:r>
            <w:r>
              <w:rPr>
                <w:rFonts w:ascii="宋体" w:hAnsi="宋体" w:cs="宋体" w:eastAsia="宋体" w:hint="default"/>
                <w:spacing w:val="-44"/>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2</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pacing w:val="-3"/>
                <w:sz w:val="18"/>
                <w:szCs w:val="18"/>
              </w:rPr>
              <w:t>美</w:t>
            </w:r>
            <w:r>
              <w:rPr>
                <w:rFonts w:ascii="宋体" w:hAnsi="宋体" w:cs="宋体" w:eastAsia="宋体" w:hint="default"/>
                <w:sz w:val="18"/>
                <w:szCs w:val="18"/>
              </w:rPr>
              <w:t>分</w:t>
            </w:r>
            <w:r>
              <w:rPr>
                <w:rFonts w:ascii="宋体" w:hAnsi="宋体" w:cs="宋体" w:eastAsia="宋体" w:hint="default"/>
                <w:spacing w:val="-1"/>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年同期</w:t>
            </w:r>
            <w:r>
              <w:rPr>
                <w:rFonts w:ascii="宋体" w:hAnsi="宋体" w:cs="宋体" w:eastAsia="宋体" w:hint="default"/>
                <w:spacing w:val="-47"/>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2</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美分</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47"/>
                <w:sz w:val="18"/>
                <w:szCs w:val="18"/>
              </w:rPr>
              <w:t> </w:t>
            </w:r>
            <w:r>
              <w:rPr>
                <w:rFonts w:ascii="宋体" w:hAnsi="宋体" w:cs="宋体" w:eastAsia="宋体" w:hint="default"/>
                <w:sz w:val="18"/>
                <w:szCs w:val="18"/>
              </w:rPr>
              <w:t>3,002,000.00</w:t>
            </w:r>
            <w:r>
              <w:rPr>
                <w:rFonts w:ascii="宋体" w:hAnsi="宋体" w:cs="宋体" w:eastAsia="宋体" w:hint="default"/>
                <w:spacing w:val="-45"/>
                <w:sz w:val="18"/>
                <w:szCs w:val="18"/>
              </w:rPr>
              <w:t> </w:t>
            </w:r>
            <w:r>
              <w:rPr>
                <w:rFonts w:ascii="宋体" w:hAnsi="宋体" w:cs="宋体" w:eastAsia="宋体" w:hint="default"/>
                <w:sz w:val="18"/>
                <w:szCs w:val="18"/>
              </w:rPr>
              <w:t>美元。</w:t>
            </w:r>
          </w:p>
        </w:tc>
      </w:tr>
      <w:tr>
        <w:trPr>
          <w:trHeight w:val="391" w:hRule="exact"/>
        </w:trPr>
        <w:tc>
          <w:tcPr>
            <w:tcW w:w="35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6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326" w:lineRule="auto"/>
        <w:ind w:left="260" w:right="373" w:firstLine="439"/>
        <w:jc w:val="both"/>
      </w:pPr>
      <w:r>
        <w:rPr/>
        <w:t>冠捷科技于</w:t>
      </w:r>
      <w:r>
        <w:rPr>
          <w:spacing w:val="-55"/>
        </w:rPr>
        <w:t> </w:t>
      </w:r>
      <w:r>
        <w:rPr>
          <w:rFonts w:ascii="宋体" w:hAnsi="宋体" w:cs="宋体" w:eastAsia="宋体" w:hint="default"/>
        </w:rPr>
        <w:t>2016</w:t>
      </w:r>
      <w:r>
        <w:rPr>
          <w:rFonts w:ascii="宋体" w:hAnsi="宋体" w:cs="宋体" w:eastAsia="宋体" w:hint="default"/>
          <w:spacing w:val="-57"/>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8"/>
        </w:rPr>
        <w:t> </w:t>
      </w:r>
      <w:r>
        <w:rPr>
          <w:rFonts w:ascii="宋体" w:hAnsi="宋体" w:cs="宋体" w:eastAsia="宋体" w:hint="default"/>
        </w:rPr>
        <w:t>17</w:t>
      </w:r>
      <w:r>
        <w:rPr>
          <w:rFonts w:ascii="宋体" w:hAnsi="宋体" w:cs="宋体" w:eastAsia="宋体" w:hint="default"/>
          <w:spacing w:val="-55"/>
        </w:rPr>
        <w:t> </w:t>
      </w:r>
      <w:r>
        <w:rPr/>
        <w:t>日，董事会建议向普通股股东派发期末股息每股</w:t>
      </w:r>
      <w:r>
        <w:rPr>
          <w:spacing w:val="-54"/>
        </w:rPr>
        <w:t> </w:t>
      </w:r>
      <w:r>
        <w:rPr>
          <w:rFonts w:ascii="宋体" w:hAnsi="宋体" w:cs="宋体" w:eastAsia="宋体" w:hint="default"/>
        </w:rPr>
        <w:t>0.128</w:t>
      </w:r>
      <w:r>
        <w:rPr>
          <w:rFonts w:ascii="宋体" w:hAnsi="宋体" w:cs="宋体" w:eastAsia="宋体" w:hint="default"/>
          <w:w w:val="100"/>
        </w:rPr>
        <w:t> </w:t>
      </w:r>
      <w:r>
        <w:rPr>
          <w:spacing w:val="-1"/>
          <w:w w:val="100"/>
        </w:rPr>
        <w:t>美分（</w:t>
      </w:r>
      <w:r>
        <w:rPr>
          <w:rFonts w:ascii="宋体" w:hAnsi="宋体" w:cs="宋体" w:eastAsia="宋体" w:hint="default"/>
          <w:spacing w:val="-1"/>
          <w:w w:val="100"/>
        </w:rPr>
        <w:t>2014</w:t>
      </w:r>
      <w:r>
        <w:rPr>
          <w:rFonts w:ascii="宋体" w:hAnsi="宋体" w:cs="宋体" w:eastAsia="宋体" w:hint="default"/>
          <w:spacing w:val="-50"/>
          <w:w w:val="100"/>
        </w:rPr>
        <w:t> </w:t>
      </w:r>
      <w:r>
        <w:rPr>
          <w:spacing w:val="-1"/>
          <w:w w:val="100"/>
        </w:rPr>
        <w:t>年同期</w:t>
      </w:r>
      <w:r>
        <w:rPr>
          <w:spacing w:val="-50"/>
          <w:w w:val="100"/>
        </w:rPr>
        <w:t> </w:t>
      </w:r>
      <w:r>
        <w:rPr>
          <w:rFonts w:ascii="宋体" w:hAnsi="宋体" w:cs="宋体" w:eastAsia="宋体" w:hint="default"/>
          <w:spacing w:val="-1"/>
          <w:w w:val="100"/>
        </w:rPr>
        <w:t>0.128</w:t>
      </w:r>
      <w:r>
        <w:rPr>
          <w:rFonts w:ascii="宋体" w:hAnsi="宋体" w:cs="宋体" w:eastAsia="宋体" w:hint="default"/>
          <w:spacing w:val="-50"/>
          <w:w w:val="100"/>
        </w:rPr>
        <w:t> </w:t>
      </w:r>
      <w:r>
        <w:rPr>
          <w:spacing w:val="-7"/>
          <w:w w:val="100"/>
        </w:rPr>
        <w:t>美分），该建议需待冠捷科技股东大会批准。</w:t>
      </w:r>
    </w:p>
    <w:p>
      <w:pPr>
        <w:pStyle w:val="Heading7"/>
        <w:spacing w:line="326" w:lineRule="auto" w:before="98"/>
        <w:ind w:left="260" w:right="375" w:firstLine="439"/>
        <w:jc w:val="both"/>
      </w:pPr>
      <w:r>
        <w:rPr>
          <w:rFonts w:ascii="宋体" w:hAnsi="宋体" w:cs="宋体" w:eastAsia="宋体" w:hint="default"/>
        </w:rPr>
        <w:t>8</w:t>
      </w:r>
      <w:r>
        <w:rPr/>
        <w:t>、除存在上述资产负债表日后事项披露事项外，本集团无其他重大资产负债表日</w:t>
      </w:r>
      <w:r>
        <w:rPr>
          <w:w w:val="100"/>
        </w:rPr>
        <w:t> </w:t>
      </w:r>
      <w:r>
        <w:rPr/>
        <w:t>后事项。</w:t>
      </w:r>
    </w:p>
    <w:p>
      <w:pPr>
        <w:spacing w:line="240" w:lineRule="auto" w:before="9"/>
        <w:rPr>
          <w:rFonts w:ascii="宋体" w:hAnsi="宋体" w:cs="宋体" w:eastAsia="宋体" w:hint="default"/>
          <w:sz w:val="16"/>
          <w:szCs w:val="16"/>
        </w:rPr>
      </w:pPr>
    </w:p>
    <w:p>
      <w:pPr>
        <w:spacing w:line="422" w:lineRule="auto" w:before="0"/>
        <w:ind w:left="699" w:right="6237" w:firstLine="2"/>
        <w:jc w:val="left"/>
        <w:rPr>
          <w:rFonts w:ascii="宋体" w:hAnsi="宋体" w:cs="宋体" w:eastAsia="宋体" w:hint="default"/>
          <w:sz w:val="22"/>
          <w:szCs w:val="22"/>
        </w:rPr>
      </w:pPr>
      <w:r>
        <w:rPr>
          <w:rFonts w:ascii="宋体" w:hAnsi="宋体" w:cs="宋体" w:eastAsia="宋体" w:hint="default"/>
          <w:b/>
          <w:bCs/>
          <w:sz w:val="22"/>
          <w:szCs w:val="22"/>
        </w:rPr>
        <w:t>十六、其他重要事项</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、年金计划</w:t>
      </w:r>
    </w:p>
    <w:p>
      <w:pPr>
        <w:pStyle w:val="Heading7"/>
        <w:spacing w:line="240" w:lineRule="auto" w:before="13"/>
        <w:ind w:left="699" w:right="276"/>
        <w:jc w:val="left"/>
      </w:pPr>
      <w:r>
        <w:rPr>
          <w:spacing w:val="-5"/>
        </w:rPr>
        <w:t>（</w:t>
      </w:r>
      <w:r>
        <w:rPr>
          <w:rFonts w:ascii="宋体" w:hAnsi="宋体" w:cs="宋体" w:eastAsia="宋体" w:hint="default"/>
          <w:spacing w:val="-5"/>
        </w:rPr>
        <w:t>1</w:t>
      </w:r>
      <w:r>
        <w:rPr>
          <w:spacing w:val="-5"/>
        </w:rPr>
        <w:t>）自 </w:t>
      </w:r>
      <w:r>
        <w:rPr>
          <w:rFonts w:ascii="宋体" w:hAnsi="宋体" w:cs="宋体" w:eastAsia="宋体" w:hint="default"/>
        </w:rPr>
        <w:t>2003</w:t>
      </w:r>
      <w:r>
        <w:rPr>
          <w:rFonts w:ascii="宋体" w:hAnsi="宋体" w:cs="宋体" w:eastAsia="宋体" w:hint="default"/>
          <w:spacing w:val="-54"/>
        </w:rPr>
        <w:t> </w:t>
      </w:r>
      <w:r>
        <w:rPr>
          <w:spacing w:val="-3"/>
        </w:rPr>
        <w:t>年开始实施企业年金计划，其企业年金计划实施范围限于：试用期满</w:t>
      </w:r>
    </w:p>
    <w:p>
      <w:pPr>
        <w:pStyle w:val="Heading7"/>
        <w:spacing w:line="324" w:lineRule="auto" w:before="103"/>
        <w:ind w:left="260" w:right="372"/>
        <w:jc w:val="left"/>
      </w:pPr>
      <w:r>
        <w:rPr/>
        <w:t>且为本企业连续服务超过</w:t>
      </w:r>
      <w:r>
        <w:rPr>
          <w:spacing w:val="-36"/>
        </w:rPr>
        <w:t> </w:t>
      </w:r>
      <w:r>
        <w:rPr>
          <w:rFonts w:ascii="宋体" w:hAnsi="宋体" w:cs="宋体" w:eastAsia="宋体" w:hint="default"/>
        </w:rPr>
        <w:t>1</w:t>
      </w:r>
      <w:r>
        <w:rPr>
          <w:rFonts w:ascii="宋体" w:hAnsi="宋体" w:cs="宋体" w:eastAsia="宋体" w:hint="default"/>
          <w:spacing w:val="-36"/>
        </w:rPr>
        <w:t> </w:t>
      </w:r>
      <w:r>
        <w:rPr>
          <w:spacing w:val="-4"/>
        </w:rPr>
        <w:t>年并与本企业签订了劳动合同的在岗文职类员工；同时参加</w:t>
      </w:r>
      <w:r>
        <w:rPr>
          <w:spacing w:val="-105"/>
        </w:rPr>
        <w:t> </w:t>
      </w:r>
      <w:r>
        <w:rPr>
          <w:spacing w:val="-105"/>
        </w:rPr>
      </w:r>
      <w:r>
        <w:rPr/>
        <w:t>了基本养老保险；已退休职工（含内退人员）不办理本企业年金。</w:t>
      </w:r>
    </w:p>
    <w:p>
      <w:pPr>
        <w:pStyle w:val="Heading7"/>
        <w:spacing w:line="324" w:lineRule="auto" w:before="103"/>
        <w:ind w:left="260" w:right="377" w:firstLine="439"/>
        <w:jc w:val="both"/>
      </w:pPr>
      <w:r>
        <w:rPr>
          <w:spacing w:val="-3"/>
        </w:rPr>
        <w:t>本公司年金采取个人账户方式，不设共济基金，全部由本公司负担，员工个人无需</w:t>
      </w:r>
      <w:r>
        <w:rPr>
          <w:w w:val="100"/>
        </w:rPr>
        <w:t> </w:t>
      </w:r>
      <w:r>
        <w:rPr>
          <w:spacing w:val="-3"/>
        </w:rPr>
        <w:t>缴纳。年金以转账方式向深圳市企业年金管理中心缴纳，每月缴纳一次，效益性企业年</w:t>
      </w:r>
      <w:r>
        <w:rPr>
          <w:spacing w:val="-59"/>
        </w:rPr>
        <w:t> </w:t>
      </w:r>
      <w:r>
        <w:rPr>
          <w:spacing w:val="-59"/>
        </w:rPr>
      </w:r>
      <w:r>
        <w:rPr/>
        <w:t>金和奖励性企业年金根据企业效益情况在年初或年底一次性缴。</w:t>
      </w:r>
    </w:p>
    <w:p>
      <w:pPr>
        <w:pStyle w:val="Heading7"/>
        <w:spacing w:line="240" w:lineRule="auto" w:before="103"/>
        <w:ind w:left="699" w:right="276"/>
        <w:jc w:val="left"/>
      </w:pPr>
      <w:r>
        <w:rPr>
          <w:rFonts w:ascii="宋体" w:hAnsi="宋体" w:cs="宋体" w:eastAsia="宋体" w:hint="default"/>
        </w:rPr>
        <w:t>2015</w:t>
      </w:r>
      <w:r>
        <w:rPr>
          <w:rFonts w:ascii="宋体" w:hAnsi="宋体" w:cs="宋体" w:eastAsia="宋体" w:hint="default"/>
          <w:spacing w:val="-54"/>
        </w:rPr>
        <w:t> </w:t>
      </w:r>
      <w:r>
        <w:rPr/>
        <w:t>年本公司已缴纳企业年金</w:t>
      </w:r>
      <w:r>
        <w:rPr>
          <w:spacing w:val="-54"/>
        </w:rPr>
        <w:t> </w:t>
      </w:r>
      <w:r>
        <w:rPr>
          <w:rFonts w:ascii="宋体" w:hAnsi="宋体" w:cs="宋体" w:eastAsia="宋体" w:hint="default"/>
        </w:rPr>
        <w:t>5,864,271.57</w:t>
      </w:r>
      <w:r>
        <w:rPr>
          <w:rFonts w:ascii="宋体" w:hAnsi="宋体" w:cs="宋体" w:eastAsia="宋体" w:hint="default"/>
          <w:spacing w:val="-54"/>
        </w:rPr>
        <w:t> </w:t>
      </w:r>
      <w:r>
        <w:rPr>
          <w:spacing w:val="-10"/>
        </w:rPr>
        <w:t>元，</w:t>
      </w:r>
      <w:r>
        <w:rPr>
          <w:rFonts w:ascii="宋体" w:hAnsi="宋体" w:cs="宋体" w:eastAsia="宋体" w:hint="default"/>
          <w:spacing w:val="-10"/>
        </w:rPr>
        <w:t>2014</w:t>
      </w:r>
      <w:r>
        <w:rPr>
          <w:rFonts w:ascii="宋体" w:hAnsi="宋体" w:cs="宋体" w:eastAsia="宋体" w:hint="default"/>
          <w:spacing w:val="-54"/>
        </w:rPr>
        <w:t> </w:t>
      </w:r>
      <w:r>
        <w:rPr/>
        <w:t>年本公司共计缴纳企业年金</w:t>
      </w:r>
    </w:p>
    <w:p>
      <w:pPr>
        <w:pStyle w:val="Heading7"/>
        <w:spacing w:line="240" w:lineRule="auto" w:before="103"/>
        <w:ind w:left="260" w:right="276"/>
        <w:jc w:val="left"/>
      </w:pPr>
      <w:r>
        <w:rPr>
          <w:rFonts w:ascii="宋体" w:hAnsi="宋体" w:cs="宋体" w:eastAsia="宋体" w:hint="default"/>
        </w:rPr>
        <w:t>6,195,323.94</w:t>
      </w:r>
      <w:r>
        <w:rPr>
          <w:rFonts w:ascii="宋体" w:hAnsi="宋体" w:cs="宋体" w:eastAsia="宋体" w:hint="default"/>
          <w:spacing w:val="-57"/>
        </w:rPr>
        <w:t> </w:t>
      </w:r>
      <w:r>
        <w:rPr/>
        <w:t>元，全部计入当年相关成本费用。</w:t>
      </w:r>
    </w:p>
    <w:p>
      <w:pPr>
        <w:pStyle w:val="Heading7"/>
        <w:spacing w:line="326" w:lineRule="auto" w:before="177"/>
        <w:ind w:left="260" w:right="371" w:firstLine="439"/>
        <w:jc w:val="both"/>
      </w:pPr>
      <w:r>
        <w:rPr/>
        <w:t>（</w:t>
      </w:r>
      <w:r>
        <w:rPr>
          <w:rFonts w:ascii="宋体" w:hAnsi="宋体" w:cs="宋体" w:eastAsia="宋体" w:hint="default"/>
        </w:rPr>
        <w:t>2</w:t>
      </w:r>
      <w:r>
        <w:rPr/>
        <w:t>）冠捷科技根据当地法规对其台湾及欧洲雇员介界定福利计划承诺的责任。界</w:t>
      </w:r>
      <w:r>
        <w:rPr>
          <w:w w:val="100"/>
        </w:rPr>
        <w:t> </w:t>
      </w:r>
      <w:r>
        <w:rPr>
          <w:spacing w:val="-3"/>
        </w:rPr>
        <w:t>定福利计划的资产及负债由独立受托管理基金持有，主要界定福利计划由合资格独立精</w:t>
      </w:r>
      <w:r>
        <w:rPr>
          <w:spacing w:val="-58"/>
        </w:rPr>
        <w:t> </w:t>
      </w:r>
      <w:r>
        <w:rPr>
          <w:spacing w:val="-58"/>
        </w:rPr>
      </w:r>
      <w:r>
        <w:rPr/>
        <w:t>算师</w:t>
      </w:r>
      <w:r>
        <w:rPr>
          <w:spacing w:val="-55"/>
        </w:rPr>
        <w:t> </w:t>
      </w:r>
      <w:r>
        <w:rPr>
          <w:rFonts w:ascii="宋体" w:hAnsi="宋体" w:cs="宋体" w:eastAsia="宋体" w:hint="default"/>
        </w:rPr>
        <w:t>Actuarial</w:t>
      </w:r>
      <w:r>
        <w:rPr>
          <w:rFonts w:ascii="宋体" w:hAnsi="宋体" w:cs="宋体" w:eastAsia="宋体" w:hint="default"/>
          <w:spacing w:val="1"/>
        </w:rPr>
        <w:t> </w:t>
      </w:r>
      <w:r>
        <w:rPr>
          <w:rFonts w:ascii="宋体" w:hAnsi="宋体" w:cs="宋体" w:eastAsia="宋体" w:hint="default"/>
        </w:rPr>
        <w:t>Consulting</w:t>
      </w:r>
      <w:r>
        <w:rPr>
          <w:rFonts w:ascii="宋体" w:hAnsi="宋体" w:cs="宋体" w:eastAsia="宋体" w:hint="default"/>
          <w:spacing w:val="1"/>
        </w:rPr>
        <w:t> </w:t>
      </w:r>
      <w:r>
        <w:rPr>
          <w:rFonts w:ascii="宋体" w:hAnsi="宋体" w:cs="宋体" w:eastAsia="宋体" w:hint="default"/>
        </w:rPr>
        <w:t>Co.,</w:t>
      </w:r>
      <w:r>
        <w:rPr>
          <w:rFonts w:ascii="宋体" w:hAnsi="宋体" w:cs="宋体" w:eastAsia="宋体" w:hint="default"/>
          <w:spacing w:val="-2"/>
        </w:rPr>
        <w:t> </w:t>
      </w:r>
      <w:r>
        <w:rPr>
          <w:rFonts w:ascii="宋体" w:hAnsi="宋体" w:cs="宋体" w:eastAsia="宋体" w:hint="default"/>
        </w:rPr>
        <w:t>Ltd.</w:t>
      </w:r>
      <w:r>
        <w:rPr/>
        <w:t>及</w:t>
      </w:r>
      <w:r>
        <w:rPr>
          <w:spacing w:val="-58"/>
        </w:rPr>
        <w:t> </w:t>
      </w:r>
      <w:r>
        <w:rPr>
          <w:rFonts w:ascii="宋体" w:hAnsi="宋体" w:cs="宋体" w:eastAsia="宋体" w:hint="default"/>
        </w:rPr>
        <w:t>Mercer</w:t>
      </w:r>
      <w:r>
        <w:rPr>
          <w:rFonts w:ascii="宋体" w:hAnsi="宋体" w:cs="宋体" w:eastAsia="宋体" w:hint="default"/>
          <w:spacing w:val="-2"/>
        </w:rPr>
        <w:t> </w:t>
      </w:r>
      <w:r>
        <w:rPr>
          <w:rFonts w:ascii="宋体" w:hAnsi="宋体" w:cs="宋体" w:eastAsia="宋体" w:hint="default"/>
        </w:rPr>
        <w:t>(Hong</w:t>
      </w:r>
      <w:r>
        <w:rPr>
          <w:rFonts w:ascii="宋体" w:hAnsi="宋体" w:cs="宋体" w:eastAsia="宋体" w:hint="default"/>
          <w:spacing w:val="1"/>
        </w:rPr>
        <w:t> </w:t>
      </w:r>
      <w:r>
        <w:rPr>
          <w:rFonts w:ascii="宋体" w:hAnsi="宋体" w:cs="宋体" w:eastAsia="宋体" w:hint="default"/>
        </w:rPr>
        <w:t>Kong)</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57"/>
        </w:rPr>
        <w:t> </w:t>
      </w:r>
      <w:r>
        <w:rPr/>
        <w:t>采用预计单位</w:t>
      </w:r>
      <w:r>
        <w:rPr>
          <w:w w:val="100"/>
        </w:rPr>
        <w:t> </w:t>
      </w:r>
      <w:r>
        <w:rPr/>
        <w:t>贷款法每年进行估值。</w:t>
      </w:r>
    </w:p>
    <w:p>
      <w:pPr>
        <w:pStyle w:val="Heading7"/>
        <w:spacing w:line="240" w:lineRule="auto" w:before="101"/>
        <w:ind w:left="699" w:right="276"/>
        <w:jc w:val="left"/>
      </w:pPr>
      <w:r>
        <w:rPr/>
        <w:t>所采纳的主要精算假设如下：</w:t>
      </w:r>
    </w:p>
    <w:p>
      <w:pPr>
        <w:spacing w:line="240" w:lineRule="auto" w:before="8"/>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3896"/>
        <w:gridCol w:w="2482"/>
        <w:gridCol w:w="2160"/>
      </w:tblGrid>
      <w:tr>
        <w:trPr>
          <w:trHeight w:val="362" w:hRule="exact"/>
        </w:trPr>
        <w:tc>
          <w:tcPr>
            <w:tcW w:w="38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5" w:right="0"/>
              <w:jc w:val="center"/>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53" w:hRule="exact"/>
        </w:trPr>
        <w:tc>
          <w:tcPr>
            <w:tcW w:w="3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1.70% -</w:t>
            </w:r>
            <w:r>
              <w:rPr>
                <w:rFonts w:ascii="宋体"/>
                <w:spacing w:val="-1"/>
                <w:sz w:val="18"/>
              </w:rPr>
              <w:t> </w:t>
            </w:r>
            <w:r>
              <w:rPr>
                <w:rFonts w:ascii="宋体"/>
                <w:sz w:val="18"/>
              </w:rPr>
              <w:t>2.20%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1.90% - 2.44%</w:t>
            </w:r>
          </w:p>
        </w:tc>
      </w:tr>
      <w:tr>
        <w:trPr>
          <w:trHeight w:val="362" w:hRule="exact"/>
        </w:trPr>
        <w:tc>
          <w:tcPr>
            <w:tcW w:w="38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未来薪酬的预期增长率</w:t>
            </w:r>
          </w:p>
        </w:tc>
        <w:tc>
          <w:tcPr>
            <w:tcW w:w="24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2.55% -</w:t>
            </w:r>
            <w:r>
              <w:rPr>
                <w:rFonts w:ascii="宋体"/>
                <w:spacing w:val="-1"/>
                <w:sz w:val="18"/>
              </w:rPr>
              <w:t> </w:t>
            </w:r>
            <w:r>
              <w:rPr>
                <w:rFonts w:ascii="宋体"/>
                <w:sz w:val="18"/>
              </w:rPr>
              <w:t>3.50%</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3.03% - 3.50%</w:t>
            </w:r>
          </w:p>
        </w:tc>
      </w:tr>
    </w:tbl>
    <w:p>
      <w:pPr>
        <w:spacing w:line="240" w:lineRule="auto" w:before="8"/>
        <w:rPr>
          <w:rFonts w:ascii="宋体" w:hAnsi="宋体" w:cs="宋体" w:eastAsia="宋体" w:hint="default"/>
          <w:sz w:val="4"/>
          <w:szCs w:val="4"/>
        </w:rPr>
      </w:pPr>
    </w:p>
    <w:p>
      <w:pPr>
        <w:pStyle w:val="Heading7"/>
        <w:spacing w:line="326" w:lineRule="auto"/>
        <w:ind w:left="260" w:right="373" w:firstLine="439"/>
        <w:jc w:val="left"/>
      </w:pPr>
      <w:r>
        <w:rPr>
          <w:rFonts w:ascii="宋体" w:hAnsi="宋体" w:cs="宋体" w:eastAsia="宋体" w:hint="default"/>
        </w:rPr>
        <w:t>2015</w:t>
      </w:r>
      <w:r>
        <w:rPr>
          <w:rFonts w:ascii="宋体" w:hAnsi="宋体" w:cs="宋体" w:eastAsia="宋体" w:hint="default"/>
          <w:spacing w:val="-41"/>
        </w:rPr>
        <w:t> </w:t>
      </w:r>
      <w:r>
        <w:rPr/>
        <w:t>年和</w:t>
      </w:r>
      <w:r>
        <w:rPr>
          <w:spacing w:val="-45"/>
        </w:rPr>
        <w:t> </w:t>
      </w:r>
      <w:r>
        <w:rPr>
          <w:rFonts w:ascii="宋体" w:hAnsi="宋体" w:cs="宋体" w:eastAsia="宋体" w:hint="default"/>
        </w:rPr>
        <w:t>2014</w:t>
      </w:r>
      <w:r>
        <w:rPr>
          <w:rFonts w:ascii="宋体" w:hAnsi="宋体" w:cs="宋体" w:eastAsia="宋体" w:hint="default"/>
          <w:spacing w:val="-45"/>
        </w:rPr>
        <w:t> </w:t>
      </w:r>
      <w:r>
        <w:rPr>
          <w:spacing w:val="-5"/>
        </w:rPr>
        <w:t>年同期经确认的退休金责任数额详见本附注“六、</w:t>
      </w:r>
      <w:r>
        <w:rPr>
          <w:rFonts w:ascii="宋体" w:hAnsi="宋体" w:cs="宋体" w:eastAsia="宋体" w:hint="default"/>
          <w:spacing w:val="-5"/>
        </w:rPr>
        <w:t>36.</w:t>
      </w:r>
      <w:r>
        <w:rPr>
          <w:spacing w:val="-5"/>
        </w:rPr>
        <w:t>长期应付职工</w:t>
      </w:r>
      <w:r>
        <w:rPr>
          <w:w w:val="100"/>
        </w:rPr>
        <w:t> </w:t>
      </w:r>
      <w:r>
        <w:rPr/>
        <w:t>薪酬”相关内容。</w:t>
      </w:r>
    </w:p>
    <w:p>
      <w:pPr>
        <w:spacing w:after="0" w:line="326" w:lineRule="auto"/>
        <w:jc w:val="left"/>
        <w:sectPr>
          <w:pgSz w:w="11910" w:h="16840"/>
          <w:pgMar w:header="0" w:footer="980" w:top="1600" w:bottom="1160" w:left="1540" w:right="1420"/>
        </w:sectPr>
      </w:pP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559" w:right="0"/>
        <w:jc w:val="left"/>
      </w:pPr>
      <w:r>
        <w:rPr>
          <w:rFonts w:ascii="宋体" w:hAnsi="宋体" w:cs="宋体" w:eastAsia="宋体" w:hint="default"/>
        </w:rPr>
        <w:t>2</w:t>
      </w:r>
      <w:r>
        <w:rPr/>
        <w:t>、分部信息</w:t>
      </w:r>
    </w:p>
    <w:p>
      <w:pPr>
        <w:pStyle w:val="Heading7"/>
        <w:spacing w:line="391" w:lineRule="auto" w:before="180"/>
        <w:ind w:left="559" w:right="0"/>
        <w:jc w:val="left"/>
      </w:pPr>
      <w:r>
        <w:rPr/>
        <w:t>（</w:t>
      </w:r>
      <w:r>
        <w:rPr>
          <w:rFonts w:ascii="宋体" w:hAnsi="宋体" w:cs="宋体" w:eastAsia="宋体" w:hint="default"/>
        </w:rPr>
        <w:t>1</w:t>
      </w:r>
      <w:r>
        <w:rPr/>
        <w:t>）报告分部的确定依据与会计政策</w:t>
      </w:r>
      <w:r>
        <w:rPr>
          <w:w w:val="100"/>
        </w:rPr>
        <w:t> </w:t>
      </w:r>
      <w:r>
        <w:rPr>
          <w:spacing w:val="-3"/>
        </w:rPr>
        <w:t>根据本公司的内部组织结构、管理要求及内部报告制度，本集团的经营业务划分为</w:t>
      </w:r>
    </w:p>
    <w:p>
      <w:pPr>
        <w:pStyle w:val="Heading7"/>
        <w:spacing w:line="253" w:lineRule="exact" w:before="0"/>
        <w:ind w:right="0"/>
        <w:jc w:val="both"/>
      </w:pPr>
      <w:r>
        <w:rPr>
          <w:rFonts w:ascii="宋体" w:hAnsi="宋体" w:cs="宋体" w:eastAsia="宋体" w:hint="default"/>
        </w:rPr>
        <w:t>6</w:t>
      </w:r>
      <w:r>
        <w:rPr>
          <w:rFonts w:ascii="宋体" w:hAnsi="宋体" w:cs="宋体" w:eastAsia="宋体" w:hint="default"/>
          <w:spacing w:val="-61"/>
        </w:rPr>
        <w:t> </w:t>
      </w:r>
      <w:r>
        <w:rPr/>
        <w:t>个报告分部，这些报告分部是以主要产品类型为基础确定的。本公司的管理层定期评</w:t>
      </w:r>
    </w:p>
    <w:p>
      <w:pPr>
        <w:pStyle w:val="Heading7"/>
        <w:spacing w:line="324" w:lineRule="auto" w:before="103"/>
        <w:ind w:right="375"/>
        <w:jc w:val="both"/>
      </w:pPr>
      <w:r>
        <w:rPr>
          <w:spacing w:val="-3"/>
        </w:rPr>
        <w:t>价这些报告分部的经营成果，以决定向其分配资源及评价其业绩。本公司各个报告分部</w:t>
      </w:r>
      <w:r>
        <w:rPr>
          <w:spacing w:val="-59"/>
        </w:rPr>
        <w:t> </w:t>
      </w:r>
      <w:r>
        <w:rPr>
          <w:spacing w:val="-59"/>
        </w:rPr>
      </w:r>
      <w:r>
        <w:rPr>
          <w:spacing w:val="-3"/>
        </w:rPr>
        <w:t>提供的主要产品及劳务分别为液晶电视、计算机及外设、耗材及其他、物业租赁、逆变</w:t>
      </w:r>
      <w:r>
        <w:rPr>
          <w:spacing w:val="-55"/>
        </w:rPr>
        <w:t> </w:t>
      </w:r>
      <w:r>
        <w:rPr>
          <w:spacing w:val="-55"/>
        </w:rPr>
      </w:r>
      <w:r>
        <w:rPr/>
        <w:t>器及家用电器电源。</w:t>
      </w:r>
    </w:p>
    <w:p>
      <w:pPr>
        <w:pStyle w:val="Heading7"/>
        <w:spacing w:line="326" w:lineRule="auto" w:before="100"/>
        <w:ind w:right="0" w:firstLine="439"/>
        <w:jc w:val="left"/>
      </w:pPr>
      <w:r>
        <w:rPr>
          <w:spacing w:val="-3"/>
        </w:rPr>
        <w:t>分部报告信息根据各分部向管理层报告时采用的会计政策及计量标准披露，这些计</w:t>
      </w:r>
      <w:r>
        <w:rPr>
          <w:w w:val="100"/>
        </w:rPr>
        <w:t> </w:t>
      </w:r>
      <w:r>
        <w:rPr/>
        <w:t>量基础与编制财务报表时的会计与计量基础保持一致。</w:t>
      </w:r>
    </w:p>
    <w:p>
      <w:pPr>
        <w:spacing w:after="0" w:line="326" w:lineRule="auto"/>
        <w:jc w:val="left"/>
        <w:sectPr>
          <w:pgSz w:w="11910" w:h="16840"/>
          <w:pgMar w:header="0" w:footer="980" w:top="1600" w:bottom="1160" w:left="1680" w:right="1420"/>
        </w:sectPr>
      </w:pPr>
    </w:p>
    <w:p>
      <w:pPr>
        <w:pStyle w:val="Heading6"/>
        <w:spacing w:line="240" w:lineRule="auto" w:before="7"/>
        <w:ind w:left="180" w:right="8810"/>
        <w:jc w:val="left"/>
        <w:rPr>
          <w:b w:val="0"/>
          <w:bCs w:val="0"/>
        </w:rPr>
      </w:pPr>
      <w:r>
        <w:rPr/>
        <w:t>中国长城计算机深圳股份有限公司财务报表附注</w:t>
      </w:r>
      <w:r>
        <w:rPr>
          <w:b w:val="0"/>
          <w:bCs w:val="0"/>
        </w:rPr>
      </w:r>
    </w:p>
    <w:p>
      <w:pPr>
        <w:pStyle w:val="BodyText"/>
        <w:spacing w:line="234" w:lineRule="exact" w:before="4"/>
        <w:ind w:left="180" w:right="881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180" w:right="881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3"/>
          <w:szCs w:val="3"/>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8,8e" filled="false" stroked="true" strokeweight=".75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5"/>
          <w:szCs w:val="15"/>
        </w:rPr>
      </w:pPr>
    </w:p>
    <w:p>
      <w:pPr>
        <w:pStyle w:val="Heading7"/>
        <w:spacing w:line="240" w:lineRule="auto"/>
        <w:ind w:left="619" w:right="8810"/>
        <w:jc w:val="left"/>
      </w:pPr>
      <w:r>
        <w:rPr/>
        <w:t>（</w:t>
      </w:r>
      <w:r>
        <w:rPr>
          <w:rFonts w:ascii="宋体" w:hAnsi="宋体" w:cs="宋体" w:eastAsia="宋体" w:hint="default"/>
        </w:rPr>
        <w:t>2</w:t>
      </w:r>
      <w:r>
        <w:rPr/>
        <w:t>）本年报告分部的财务信息</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983"/>
        <w:gridCol w:w="1610"/>
        <w:gridCol w:w="1611"/>
        <w:gridCol w:w="1519"/>
        <w:gridCol w:w="1522"/>
        <w:gridCol w:w="1339"/>
        <w:gridCol w:w="1519"/>
        <w:gridCol w:w="1342"/>
        <w:gridCol w:w="1610"/>
      </w:tblGrid>
      <w:tr>
        <w:trPr>
          <w:trHeight w:val="398" w:hRule="exact"/>
        </w:trPr>
        <w:tc>
          <w:tcPr>
            <w:tcW w:w="1983"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b/>
                <w:bCs/>
                <w:sz w:val="18"/>
                <w:szCs w:val="18"/>
              </w:rPr>
              <w:t>液晶电视</w:t>
            </w:r>
            <w:r>
              <w:rPr>
                <w:rFonts w:ascii="宋体" w:hAnsi="宋体" w:cs="宋体" w:eastAsia="宋体" w:hint="default"/>
                <w:sz w:val="18"/>
                <w:szCs w:val="18"/>
              </w:rPr>
            </w:r>
          </w:p>
        </w:tc>
        <w:tc>
          <w:tcPr>
            <w:tcW w:w="161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b/>
                <w:bCs/>
                <w:sz w:val="18"/>
                <w:szCs w:val="18"/>
              </w:rPr>
              <w:t>计算机及外设</w:t>
            </w:r>
            <w:r>
              <w:rPr>
                <w:rFonts w:ascii="宋体" w:hAnsi="宋体" w:cs="宋体" w:eastAsia="宋体" w:hint="default"/>
                <w:sz w:val="18"/>
                <w:szCs w:val="18"/>
              </w:rPr>
            </w:r>
          </w:p>
        </w:tc>
        <w:tc>
          <w:tcPr>
            <w:tcW w:w="151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b/>
                <w:bCs/>
                <w:sz w:val="18"/>
                <w:szCs w:val="18"/>
              </w:rPr>
              <w:t>耗材及其他</w:t>
            </w:r>
            <w:r>
              <w:rPr>
                <w:rFonts w:ascii="宋体" w:hAnsi="宋体" w:cs="宋体" w:eastAsia="宋体" w:hint="default"/>
                <w:sz w:val="18"/>
                <w:szCs w:val="18"/>
              </w:rPr>
            </w:r>
          </w:p>
        </w:tc>
        <w:tc>
          <w:tcPr>
            <w:tcW w:w="152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b/>
                <w:bCs/>
                <w:sz w:val="18"/>
                <w:szCs w:val="18"/>
              </w:rPr>
              <w:t>物业租赁</w:t>
            </w:r>
            <w:r>
              <w:rPr>
                <w:rFonts w:ascii="宋体" w:hAnsi="宋体" w:cs="宋体" w:eastAsia="宋体" w:hint="default"/>
                <w:sz w:val="18"/>
                <w:szCs w:val="18"/>
              </w:rPr>
            </w:r>
          </w:p>
        </w:tc>
        <w:tc>
          <w:tcPr>
            <w:tcW w:w="133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b/>
                <w:bCs/>
                <w:sz w:val="18"/>
                <w:szCs w:val="18"/>
              </w:rPr>
              <w:t>逆变器</w:t>
            </w:r>
            <w:r>
              <w:rPr>
                <w:rFonts w:ascii="宋体" w:hAnsi="宋体" w:cs="宋体" w:eastAsia="宋体" w:hint="default"/>
                <w:sz w:val="18"/>
                <w:szCs w:val="18"/>
              </w:rPr>
            </w:r>
          </w:p>
        </w:tc>
        <w:tc>
          <w:tcPr>
            <w:tcW w:w="151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b/>
                <w:bCs/>
                <w:sz w:val="18"/>
                <w:szCs w:val="18"/>
              </w:rPr>
              <w:t>家用电器电源</w:t>
            </w:r>
            <w:r>
              <w:rPr>
                <w:rFonts w:ascii="宋体" w:hAnsi="宋体" w:cs="宋体" w:eastAsia="宋体" w:hint="default"/>
                <w:sz w:val="18"/>
                <w:szCs w:val="18"/>
              </w:rPr>
            </w:r>
          </w:p>
        </w:tc>
        <w:tc>
          <w:tcPr>
            <w:tcW w:w="134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61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79"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31,368,326,453.50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32,426,848,066.56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7,940,016,047.09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186,990,443.14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76,961,620.50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1,232,905,217.09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296,196,197.43</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72,935,851,650.45</w:t>
            </w:r>
          </w:p>
        </w:tc>
      </w:tr>
      <w:tr>
        <w:trPr>
          <w:trHeight w:val="379"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31,368,326,453.50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32,425,440,227.57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7,674,870,474.24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158,078,191.35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76,231,086.70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1,232,905,217.09</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72,935,851,650.45</w:t>
            </w:r>
          </w:p>
        </w:tc>
      </w:tr>
      <w:tr>
        <w:trPr>
          <w:trHeight w:val="382"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1,407,838.99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265,145,572.85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28,912,251.79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730,533.80</w:t>
            </w:r>
          </w:p>
        </w:tc>
        <w:tc>
          <w:tcPr>
            <w:tcW w:w="15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296,196,197.43</w:t>
            </w: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32,120,940,076.85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31,705,092,453.93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8,182,336,539.66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145,162,804.54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95,940,152.57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1,174,398,104.92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312,572,817.72</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73,111,297,314.75</w:t>
            </w:r>
          </w:p>
        </w:tc>
      </w:tr>
      <w:tr>
        <w:trPr>
          <w:trHeight w:val="379"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营业利润（亏损）</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-752,613,623.35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721,755,612.63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-242,320,492.57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41,827,638.60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-18,978,532.07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58,507,112.17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-16,376,620.29</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-175,445,664.30</w:t>
            </w:r>
          </w:p>
        </w:tc>
      </w:tr>
      <w:tr>
        <w:trPr>
          <w:trHeight w:val="379"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16,680,681,756.80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16,991,584,755.32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4,508,018,404.72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1,179,111,162.35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spacing w:val="-1"/>
                <w:sz w:val="18"/>
              </w:rPr>
              <w:t>176,806,519.42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627,176,361.92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707,311,732.13</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39,456,067,228.40</w:t>
            </w:r>
          </w:p>
        </w:tc>
      </w:tr>
      <w:tr>
        <w:trPr>
          <w:trHeight w:val="382"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14,524,660,061.18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12,790,286,197.77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3,508,482,364.09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29,581,233.25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right"/>
              <w:rPr>
                <w:rFonts w:ascii="宋体" w:hAnsi="宋体" w:cs="宋体" w:eastAsia="宋体" w:hint="default"/>
                <w:sz w:val="18"/>
                <w:szCs w:val="18"/>
              </w:rPr>
            </w:pPr>
            <w:r>
              <w:rPr>
                <w:rFonts w:ascii="宋体"/>
                <w:spacing w:val="-1"/>
                <w:sz w:val="18"/>
              </w:rPr>
              <w:t>290,607,940.49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329,891,667.12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720,592,515.31</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30,752,916,948.59</w:t>
            </w:r>
          </w:p>
        </w:tc>
      </w:tr>
      <w:tr>
        <w:trPr>
          <w:trHeight w:val="379"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b/>
                <w:bCs/>
                <w:sz w:val="18"/>
                <w:szCs w:val="18"/>
              </w:rPr>
              <w:t>补充信息</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649,890,836.25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296,399,939.42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61,094,042.05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35,181,311.59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1,998,815.05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15,370,040.66</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1,059,934,985.02</w:t>
            </w:r>
          </w:p>
        </w:tc>
      </w:tr>
      <w:tr>
        <w:trPr>
          <w:trHeight w:val="380" w:hRule="exact"/>
        </w:trPr>
        <w:tc>
          <w:tcPr>
            <w:tcW w:w="1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566,764,466.00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445,483,646.59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-27,964,180.19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125,369,740.63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48,356,625.54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23,618,161.71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1,181,628,460.28</w:t>
            </w:r>
          </w:p>
        </w:tc>
      </w:tr>
      <w:tr>
        <w:trPr>
          <w:trHeight w:val="691" w:hRule="exact"/>
        </w:trPr>
        <w:tc>
          <w:tcPr>
            <w:tcW w:w="1983" w:type="dxa"/>
            <w:tcBorders>
              <w:top w:val="single" w:sz="4" w:space="0" w:color="000000"/>
              <w:left w:val="nil" w:sz="6" w:space="0" w:color="auto"/>
              <w:bottom w:val="single" w:sz="17" w:space="0" w:color="000000"/>
              <w:right w:val="single" w:sz="4" w:space="0" w:color="000000"/>
            </w:tcBorders>
          </w:tcPr>
          <w:p>
            <w:pPr>
              <w:pStyle w:val="TableParagraph"/>
              <w:spacing w:line="297" w:lineRule="auto" w:before="49"/>
              <w:ind w:left="55" w:right="24"/>
              <w:jc w:val="left"/>
              <w:rPr>
                <w:rFonts w:ascii="宋体" w:hAnsi="宋体" w:cs="宋体" w:eastAsia="宋体" w:hint="default"/>
                <w:sz w:val="18"/>
                <w:szCs w:val="18"/>
              </w:rPr>
            </w:pPr>
            <w:r>
              <w:rPr>
                <w:rFonts w:ascii="宋体" w:hAnsi="宋体" w:cs="宋体" w:eastAsia="宋体" w:hint="default"/>
                <w:spacing w:val="9"/>
                <w:sz w:val="18"/>
                <w:szCs w:val="18"/>
              </w:rPr>
              <w:t>折旧和摊销以外的非现 </w:t>
            </w:r>
            <w:r>
              <w:rPr>
                <w:rFonts w:ascii="宋体" w:hAnsi="宋体" w:cs="宋体" w:eastAsia="宋体" w:hint="default"/>
                <w:sz w:val="18"/>
                <w:szCs w:val="18"/>
              </w:rPr>
              <w:t>金费用</w:t>
            </w:r>
          </w:p>
        </w:tc>
        <w:tc>
          <w:tcPr>
            <w:tcW w:w="1610" w:type="dxa"/>
            <w:tcBorders>
              <w:top w:val="single" w:sz="4" w:space="0" w:color="000000"/>
              <w:left w:val="single" w:sz="4" w:space="0" w:color="000000"/>
              <w:bottom w:val="single" w:sz="17" w:space="0" w:color="000000"/>
              <w:right w:val="single" w:sz="4" w:space="0" w:color="000000"/>
            </w:tcBorders>
          </w:tcPr>
          <w:p>
            <w:pPr/>
          </w:p>
        </w:tc>
        <w:tc>
          <w:tcPr>
            <w:tcW w:w="1611" w:type="dxa"/>
            <w:tcBorders>
              <w:top w:val="single" w:sz="4" w:space="0" w:color="000000"/>
              <w:left w:val="single" w:sz="4" w:space="0" w:color="000000"/>
              <w:bottom w:val="single" w:sz="17" w:space="0" w:color="000000"/>
              <w:right w:val="single" w:sz="4" w:space="0" w:color="000000"/>
            </w:tcBorders>
          </w:tcPr>
          <w:p>
            <w:pPr/>
          </w:p>
        </w:tc>
        <w:tc>
          <w:tcPr>
            <w:tcW w:w="1519" w:type="dxa"/>
            <w:tcBorders>
              <w:top w:val="single" w:sz="4" w:space="0" w:color="000000"/>
              <w:left w:val="single" w:sz="4" w:space="0" w:color="000000"/>
              <w:bottom w:val="single" w:sz="17" w:space="0" w:color="000000"/>
              <w:right w:val="single" w:sz="4" w:space="0" w:color="000000"/>
            </w:tcBorders>
          </w:tcPr>
          <w:p>
            <w:pPr/>
          </w:p>
        </w:tc>
        <w:tc>
          <w:tcPr>
            <w:tcW w:w="1522" w:type="dxa"/>
            <w:tcBorders>
              <w:top w:val="single" w:sz="4" w:space="0" w:color="000000"/>
              <w:left w:val="single" w:sz="4" w:space="0" w:color="000000"/>
              <w:bottom w:val="single" w:sz="17" w:space="0" w:color="000000"/>
              <w:right w:val="single" w:sz="4" w:space="0" w:color="000000"/>
            </w:tcBorders>
          </w:tcPr>
          <w:p>
            <w:pPr/>
          </w:p>
        </w:tc>
        <w:tc>
          <w:tcPr>
            <w:tcW w:w="1339" w:type="dxa"/>
            <w:tcBorders>
              <w:top w:val="single" w:sz="4" w:space="0" w:color="000000"/>
              <w:left w:val="single" w:sz="4" w:space="0" w:color="000000"/>
              <w:bottom w:val="single" w:sz="17" w:space="0" w:color="000000"/>
              <w:right w:val="single" w:sz="4" w:space="0" w:color="000000"/>
            </w:tcBorders>
          </w:tcPr>
          <w:p>
            <w:pPr/>
          </w:p>
        </w:tc>
        <w:tc>
          <w:tcPr>
            <w:tcW w:w="1519" w:type="dxa"/>
            <w:tcBorders>
              <w:top w:val="single" w:sz="4" w:space="0" w:color="000000"/>
              <w:left w:val="single" w:sz="4" w:space="0" w:color="000000"/>
              <w:bottom w:val="single" w:sz="17" w:space="0" w:color="000000"/>
              <w:right w:val="single" w:sz="4" w:space="0" w:color="000000"/>
            </w:tcBorders>
          </w:tcPr>
          <w:p>
            <w:pPr/>
          </w:p>
        </w:tc>
        <w:tc>
          <w:tcPr>
            <w:tcW w:w="1342" w:type="dxa"/>
            <w:tcBorders>
              <w:top w:val="single" w:sz="4" w:space="0" w:color="000000"/>
              <w:left w:val="single" w:sz="4" w:space="0" w:color="000000"/>
              <w:bottom w:val="single" w:sz="17" w:space="0" w:color="000000"/>
              <w:right w:val="single" w:sz="4" w:space="0" w:color="000000"/>
            </w:tcBorders>
          </w:tcPr>
          <w:p>
            <w:pPr/>
          </w:p>
        </w:tc>
        <w:tc>
          <w:tcPr>
            <w:tcW w:w="1610" w:type="dxa"/>
            <w:tcBorders>
              <w:top w:val="single" w:sz="4" w:space="0" w:color="000000"/>
              <w:left w:val="single" w:sz="4" w:space="0" w:color="000000"/>
              <w:bottom w:val="single" w:sz="17"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391" w:lineRule="auto"/>
        <w:ind w:left="619" w:right="8810"/>
        <w:jc w:val="left"/>
      </w:pPr>
      <w:r>
        <w:rPr>
          <w:rFonts w:ascii="宋体" w:hAnsi="宋体" w:cs="宋体" w:eastAsia="宋体" w:hint="default"/>
          <w:spacing w:val="-1"/>
        </w:rPr>
        <w:t>3</w:t>
      </w:r>
      <w:r>
        <w:rPr>
          <w:spacing w:val="-1"/>
        </w:rPr>
        <w:t>、其他对投资者决策有影响的重要交易和事项</w:t>
      </w:r>
      <w:r>
        <w:rPr>
          <w:spacing w:val="-88"/>
        </w:rPr>
        <w:t> </w:t>
      </w:r>
      <w:r>
        <w:rPr>
          <w:spacing w:val="-88"/>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76"/>
        <w:ind w:left="7008" w:right="7019"/>
        <w:jc w:val="center"/>
        <w:rPr>
          <w:rFonts w:ascii="Times New Roman" w:hAnsi="Times New Roman" w:cs="Times New Roman" w:eastAsia="Times New Roman" w:hint="default"/>
        </w:rPr>
      </w:pPr>
      <w:r>
        <w:rPr>
          <w:rFonts w:ascii="Times New Roman"/>
        </w:rPr>
        <w:t>107</w:t>
      </w:r>
    </w:p>
    <w:p>
      <w:pPr>
        <w:spacing w:after="0" w:line="240" w:lineRule="auto"/>
        <w:jc w:val="center"/>
        <w:rPr>
          <w:rFonts w:ascii="Times New Roman" w:hAnsi="Times New Roman" w:cs="Times New Roman" w:eastAsia="Times New Roman" w:hint="default"/>
        </w:rPr>
        <w:sectPr>
          <w:headerReference w:type="default" r:id="rId70"/>
          <w:footerReference w:type="default" r:id="rId71"/>
          <w:pgSz w:w="16840" w:h="11910" w:orient="landscape"/>
          <w:pgMar w:header="0" w:footer="0" w:top="800" w:bottom="280" w:left="1260" w:right="1240"/>
        </w:sectPr>
      </w:pPr>
    </w:p>
    <w:p>
      <w:pPr>
        <w:spacing w:line="240" w:lineRule="auto" w:before="8"/>
        <w:rPr>
          <w:rFonts w:ascii="Times New Roman" w:hAnsi="Times New Roman" w:cs="Times New Roman" w:eastAsia="Times New Roman" w:hint="default"/>
          <w:sz w:val="3"/>
          <w:szCs w:val="3"/>
        </w:rPr>
      </w:pPr>
    </w:p>
    <w:p>
      <w:pPr>
        <w:spacing w:line="20" w:lineRule="exact"/>
        <w:ind w:left="4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2"/>
          <w:szCs w:val="12"/>
        </w:rPr>
      </w:pPr>
    </w:p>
    <w:p>
      <w:pPr>
        <w:spacing w:line="422" w:lineRule="auto" w:before="32"/>
        <w:ind w:left="839" w:right="4731" w:firstLine="2"/>
        <w:jc w:val="left"/>
        <w:rPr>
          <w:rFonts w:ascii="宋体" w:hAnsi="宋体" w:cs="宋体" w:eastAsia="宋体" w:hint="default"/>
          <w:sz w:val="22"/>
          <w:szCs w:val="22"/>
        </w:rPr>
      </w:pPr>
      <w:r>
        <w:rPr>
          <w:rFonts w:ascii="宋体" w:hAnsi="宋体" w:cs="宋体" w:eastAsia="宋体" w:hint="default"/>
          <w:b/>
          <w:bCs/>
          <w:sz w:val="22"/>
          <w:szCs w:val="22"/>
        </w:rPr>
        <w:t>十七、母公司财务报表主要项目注释</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、应收账款</w:t>
      </w:r>
    </w:p>
    <w:p>
      <w:pPr>
        <w:pStyle w:val="Heading7"/>
        <w:spacing w:line="240" w:lineRule="auto" w:before="13"/>
        <w:ind w:left="839" w:right="4731"/>
        <w:jc w:val="left"/>
      </w:pPr>
      <w:r>
        <w:rPr/>
        <w:t>（</w:t>
      </w:r>
      <w:r>
        <w:rPr>
          <w:rFonts w:ascii="宋体" w:hAnsi="宋体" w:cs="宋体" w:eastAsia="宋体" w:hint="default"/>
        </w:rPr>
        <w:t>1</w:t>
      </w:r>
      <w:r>
        <w:rPr/>
        <w:t>）应收账款分类</w:t>
      </w:r>
    </w:p>
    <w:p>
      <w:pPr>
        <w:spacing w:line="240" w:lineRule="auto" w:before="8"/>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391"/>
        <w:gridCol w:w="1560"/>
        <w:gridCol w:w="1133"/>
        <w:gridCol w:w="1418"/>
        <w:gridCol w:w="922"/>
        <w:gridCol w:w="1441"/>
      </w:tblGrid>
      <w:tr>
        <w:trPr>
          <w:trHeight w:val="358" w:hRule="exact"/>
        </w:trPr>
        <w:tc>
          <w:tcPr>
            <w:tcW w:w="239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74"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8"/>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6" w:hRule="exact"/>
        </w:trPr>
        <w:tc>
          <w:tcPr>
            <w:tcW w:w="2391"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41"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626" w:hRule="exact"/>
        </w:trPr>
        <w:tc>
          <w:tcPr>
            <w:tcW w:w="2391"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40"/>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41" w:type="dxa"/>
            <w:vMerge/>
            <w:tcBorders>
              <w:left w:val="single" w:sz="4" w:space="0" w:color="000000"/>
              <w:bottom w:val="single" w:sz="4" w:space="0" w:color="000000"/>
              <w:right w:val="nil" w:sz="6" w:space="0" w:color="auto"/>
            </w:tcBorders>
          </w:tcPr>
          <w:p>
            <w:pPr/>
          </w:p>
        </w:tc>
      </w:tr>
      <w:tr>
        <w:trPr>
          <w:trHeight w:val="626"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83" w:lineRule="auto" w:before="27"/>
              <w:ind w:left="52" w:right="26"/>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 </w:t>
            </w:r>
            <w:r>
              <w:rPr>
                <w:rFonts w:ascii="宋体" w:hAnsi="宋体" w:cs="宋体" w:eastAsia="宋体" w:hint="default"/>
                <w:sz w:val="18"/>
                <w:szCs w:val="18"/>
              </w:rPr>
              <w:t>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45,493,385.80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12.96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42,510,097.16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93.44</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2,983,288.64</w:t>
            </w:r>
          </w:p>
        </w:tc>
      </w:tr>
      <w:tr>
        <w:trPr>
          <w:trHeight w:val="625"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80" w:lineRule="auto" w:before="27"/>
              <w:ind w:left="52" w:right="25"/>
              <w:jc w:val="left"/>
              <w:rPr>
                <w:rFonts w:ascii="宋体" w:hAnsi="宋体" w:cs="宋体" w:eastAsia="宋体" w:hint="default"/>
                <w:sz w:val="18"/>
                <w:szCs w:val="18"/>
              </w:rPr>
            </w:pPr>
            <w:r>
              <w:rPr>
                <w:rFonts w:ascii="宋体" w:hAnsi="宋体" w:cs="宋体" w:eastAsia="宋体" w:hint="default"/>
                <w:spacing w:val="12"/>
                <w:sz w:val="18"/>
                <w:szCs w:val="18"/>
              </w:rPr>
              <w:t>按信用风险特征组合计提坏 </w:t>
            </w:r>
            <w:r>
              <w:rPr>
                <w:rFonts w:ascii="宋体" w:hAnsi="宋体" w:cs="宋体" w:eastAsia="宋体" w:hint="default"/>
                <w:sz w:val="18"/>
                <w:szCs w:val="18"/>
              </w:rPr>
              <w:t>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278,555,022.37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79.38</w:t>
            </w:r>
          </w:p>
        </w:tc>
        <w:tc>
          <w:tcPr>
            <w:tcW w:w="141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278,555,022.37</w:t>
            </w:r>
          </w:p>
        </w:tc>
      </w:tr>
      <w:tr>
        <w:trPr>
          <w:trHeight w:val="626"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83" w:lineRule="auto" w:before="27"/>
              <w:ind w:left="52" w:right="25"/>
              <w:jc w:val="left"/>
              <w:rPr>
                <w:rFonts w:ascii="宋体" w:hAnsi="宋体" w:cs="宋体" w:eastAsia="宋体" w:hint="default"/>
                <w:sz w:val="18"/>
                <w:szCs w:val="18"/>
              </w:rPr>
            </w:pPr>
            <w:r>
              <w:rPr>
                <w:rFonts w:ascii="宋体" w:hAnsi="宋体" w:cs="宋体" w:eastAsia="宋体" w:hint="default"/>
                <w:spacing w:val="12"/>
                <w:sz w:val="18"/>
                <w:szCs w:val="18"/>
              </w:rPr>
              <w:t>单项金额不重大但单项计提 </w:t>
            </w:r>
            <w:r>
              <w:rPr>
                <w:rFonts w:ascii="宋体" w:hAnsi="宋体" w:cs="宋体" w:eastAsia="宋体" w:hint="default"/>
                <w:sz w:val="18"/>
                <w:szCs w:val="18"/>
              </w:rPr>
              <w:t>坏账准备的应收账款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26,877,001.96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7.66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25,499,753.62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94.88</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1,377,248.34</w:t>
            </w:r>
          </w:p>
        </w:tc>
      </w:tr>
      <w:tr>
        <w:trPr>
          <w:trHeight w:val="358" w:hRule="exact"/>
        </w:trPr>
        <w:tc>
          <w:tcPr>
            <w:tcW w:w="23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b/>
                <w:w w:val="95"/>
                <w:sz w:val="18"/>
              </w:rPr>
              <w:t>350,925,410.13</w:t>
            </w:r>
            <w:r>
              <w:rPr>
                <w:rFonts w:ascii="宋体"/>
                <w:sz w:val="18"/>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b/>
                <w:sz w:val="18"/>
              </w:rPr>
              <w:t>100.00</w:t>
            </w:r>
            <w:r>
              <w:rPr>
                <w:rFonts w:ascii="宋体"/>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b/>
                <w:w w:val="95"/>
                <w:sz w:val="18"/>
              </w:rPr>
              <w:t>68,009,850.78</w:t>
            </w:r>
            <w:r>
              <w:rPr>
                <w:rFonts w:ascii="宋体"/>
                <w:sz w:val="18"/>
              </w:rPr>
            </w:r>
          </w:p>
        </w:tc>
        <w:tc>
          <w:tcPr>
            <w:tcW w:w="922" w:type="dxa"/>
            <w:tcBorders>
              <w:top w:val="single" w:sz="4" w:space="0" w:color="000000"/>
              <w:left w:val="single" w:sz="4" w:space="0" w:color="000000"/>
              <w:bottom w:val="single" w:sz="12" w:space="0" w:color="000000"/>
              <w:right w:val="single" w:sz="4" w:space="0" w:color="000000"/>
            </w:tcBorders>
          </w:tcPr>
          <w:p>
            <w:pPr/>
          </w:p>
        </w:tc>
        <w:tc>
          <w:tcPr>
            <w:tcW w:w="14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39"/>
              <w:jc w:val="right"/>
              <w:rPr>
                <w:rFonts w:ascii="宋体" w:hAnsi="宋体" w:cs="宋体" w:eastAsia="宋体" w:hint="default"/>
                <w:sz w:val="18"/>
                <w:szCs w:val="18"/>
              </w:rPr>
            </w:pPr>
            <w:r>
              <w:rPr>
                <w:rFonts w:ascii="宋体"/>
                <w:b/>
                <w:w w:val="95"/>
                <w:sz w:val="18"/>
              </w:rPr>
              <w:t>282,915,559.35</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839" w:right="4731"/>
        <w:jc w:val="left"/>
      </w:pPr>
      <w:r>
        <w:rPr/>
        <w:t>续表：</w:t>
      </w:r>
    </w:p>
    <w:p>
      <w:pPr>
        <w:spacing w:line="240" w:lineRule="auto" w:before="8"/>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384"/>
        <w:gridCol w:w="1567"/>
        <w:gridCol w:w="1133"/>
        <w:gridCol w:w="1440"/>
        <w:gridCol w:w="900"/>
        <w:gridCol w:w="1441"/>
      </w:tblGrid>
      <w:tr>
        <w:trPr>
          <w:trHeight w:val="358" w:hRule="exact"/>
        </w:trPr>
        <w:tc>
          <w:tcPr>
            <w:tcW w:w="238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8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2384"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41"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624" w:hRule="exact"/>
        </w:trPr>
        <w:tc>
          <w:tcPr>
            <w:tcW w:w="2384" w:type="dxa"/>
            <w:vMerge/>
            <w:tcBorders>
              <w:left w:val="nil" w:sz="6" w:space="0" w:color="auto"/>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41" w:type="dxa"/>
            <w:vMerge/>
            <w:tcBorders>
              <w:left w:val="single" w:sz="4" w:space="0" w:color="000000"/>
              <w:bottom w:val="single" w:sz="4" w:space="0" w:color="000000"/>
              <w:right w:val="nil" w:sz="6" w:space="0" w:color="auto"/>
            </w:tcBorders>
          </w:tcPr>
          <w:p>
            <w:pPr/>
          </w:p>
        </w:tc>
      </w:tr>
      <w:tr>
        <w:trPr>
          <w:trHeight w:val="626"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83" w:lineRule="auto" w:before="27"/>
              <w:ind w:left="52" w:right="2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 </w:t>
            </w:r>
            <w:r>
              <w:rPr>
                <w:rFonts w:ascii="宋体" w:hAnsi="宋体" w:cs="宋体" w:eastAsia="宋体" w:hint="default"/>
                <w:sz w:val="18"/>
                <w:szCs w:val="18"/>
              </w:rPr>
              <w:t>账准备的应收账款</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75,862,766.32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16.25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63,183,635.54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83.29</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12,679,130.78</w:t>
            </w:r>
          </w:p>
        </w:tc>
      </w:tr>
      <w:tr>
        <w:trPr>
          <w:trHeight w:val="624"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80" w:lineRule="auto" w:before="27"/>
              <w:ind w:left="52" w:right="20"/>
              <w:jc w:val="left"/>
              <w:rPr>
                <w:rFonts w:ascii="宋体" w:hAnsi="宋体" w:cs="宋体" w:eastAsia="宋体" w:hint="default"/>
                <w:sz w:val="18"/>
                <w:szCs w:val="18"/>
              </w:rPr>
            </w:pPr>
            <w:r>
              <w:rPr>
                <w:rFonts w:ascii="宋体" w:hAnsi="宋体" w:cs="宋体" w:eastAsia="宋体" w:hint="default"/>
                <w:spacing w:val="12"/>
                <w:sz w:val="18"/>
                <w:szCs w:val="18"/>
              </w:rPr>
              <w:t>按信用风险特征组合计提坏 </w:t>
            </w:r>
            <w:r>
              <w:rPr>
                <w:rFonts w:ascii="宋体" w:hAnsi="宋体" w:cs="宋体" w:eastAsia="宋体" w:hint="default"/>
                <w:sz w:val="18"/>
                <w:szCs w:val="18"/>
              </w:rPr>
              <w:t>账准备的应收账款</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335,378,037.74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71.80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856,072.00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0.26</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334,521,965.74</w:t>
            </w:r>
          </w:p>
        </w:tc>
      </w:tr>
      <w:tr>
        <w:trPr>
          <w:trHeight w:val="626"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83" w:lineRule="auto" w:before="27"/>
              <w:ind w:left="52" w:right="20"/>
              <w:jc w:val="left"/>
              <w:rPr>
                <w:rFonts w:ascii="宋体" w:hAnsi="宋体" w:cs="宋体" w:eastAsia="宋体" w:hint="default"/>
                <w:sz w:val="18"/>
                <w:szCs w:val="18"/>
              </w:rPr>
            </w:pPr>
            <w:r>
              <w:rPr>
                <w:rFonts w:ascii="宋体" w:hAnsi="宋体" w:cs="宋体" w:eastAsia="宋体" w:hint="default"/>
                <w:spacing w:val="12"/>
                <w:sz w:val="18"/>
                <w:szCs w:val="18"/>
              </w:rPr>
              <w:t>单项金额不重大但单项计提 </w:t>
            </w:r>
            <w:r>
              <w:rPr>
                <w:rFonts w:ascii="宋体" w:hAnsi="宋体" w:cs="宋体" w:eastAsia="宋体" w:hint="default"/>
                <w:sz w:val="18"/>
                <w:szCs w:val="18"/>
              </w:rPr>
              <w:t>坏账准备的应收账款</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55,828,087.41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11.95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53,800,964.99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96.37</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2,027,122.42</w:t>
            </w:r>
          </w:p>
        </w:tc>
      </w:tr>
      <w:tr>
        <w:trPr>
          <w:trHeight w:val="358" w:hRule="exact"/>
        </w:trPr>
        <w:tc>
          <w:tcPr>
            <w:tcW w:w="23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b/>
                <w:w w:val="95"/>
                <w:sz w:val="18"/>
              </w:rPr>
              <w:t>467,068,891.47</w:t>
            </w:r>
            <w:r>
              <w:rPr>
                <w:rFonts w:ascii="宋体"/>
                <w:sz w:val="18"/>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b/>
                <w:sz w:val="18"/>
              </w:rPr>
              <w:t>100.00</w:t>
            </w:r>
            <w:r>
              <w:rPr>
                <w:rFonts w:ascii="宋体"/>
                <w:sz w:val="18"/>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b/>
                <w:w w:val="95"/>
                <w:sz w:val="18"/>
              </w:rPr>
              <w:t>117,840,672.53</w:t>
            </w:r>
            <w:r>
              <w:rPr>
                <w:rFonts w:ascii="宋体"/>
                <w:sz w:val="18"/>
              </w:rPr>
            </w:r>
          </w:p>
        </w:tc>
        <w:tc>
          <w:tcPr>
            <w:tcW w:w="900" w:type="dxa"/>
            <w:tcBorders>
              <w:top w:val="single" w:sz="4" w:space="0" w:color="000000"/>
              <w:left w:val="single" w:sz="4" w:space="0" w:color="000000"/>
              <w:bottom w:val="single" w:sz="12" w:space="0" w:color="000000"/>
              <w:right w:val="single" w:sz="4" w:space="0" w:color="000000"/>
            </w:tcBorders>
          </w:tcPr>
          <w:p>
            <w:pPr/>
          </w:p>
        </w:tc>
        <w:tc>
          <w:tcPr>
            <w:tcW w:w="14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39"/>
              <w:jc w:val="right"/>
              <w:rPr>
                <w:rFonts w:ascii="宋体" w:hAnsi="宋体" w:cs="宋体" w:eastAsia="宋体" w:hint="default"/>
                <w:sz w:val="18"/>
                <w:szCs w:val="18"/>
              </w:rPr>
            </w:pPr>
            <w:r>
              <w:rPr>
                <w:rFonts w:ascii="宋体"/>
                <w:b/>
                <w:w w:val="95"/>
                <w:sz w:val="18"/>
              </w:rPr>
              <w:t>349,228,218.94</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839" w:right="0"/>
        <w:jc w:val="left"/>
      </w:pPr>
      <w:r>
        <w:rPr>
          <w:rFonts w:ascii="宋体" w:hAnsi="宋体" w:cs="宋体" w:eastAsia="宋体" w:hint="default"/>
        </w:rPr>
        <w:t>1</w:t>
      </w:r>
      <w:r>
        <w:rPr/>
        <w:t>）年末单项金额重大并单独计提坏账准备的应收账款</w:t>
      </w:r>
    </w:p>
    <w:p>
      <w:pPr>
        <w:spacing w:line="240" w:lineRule="auto" w:before="8"/>
        <w:rPr>
          <w:rFonts w:ascii="宋体" w:hAnsi="宋体" w:cs="宋体" w:eastAsia="宋体" w:hint="default"/>
          <w:sz w:val="6"/>
          <w:szCs w:val="6"/>
        </w:rPr>
      </w:pPr>
    </w:p>
    <w:tbl>
      <w:tblPr>
        <w:tblW w:w="0" w:type="auto"/>
        <w:jc w:val="left"/>
        <w:tblInd w:w="263" w:type="dxa"/>
        <w:tblLayout w:type="fixed"/>
        <w:tblCellMar>
          <w:top w:w="0" w:type="dxa"/>
          <w:left w:w="0" w:type="dxa"/>
          <w:bottom w:w="0" w:type="dxa"/>
          <w:right w:w="0" w:type="dxa"/>
        </w:tblCellMar>
        <w:tblLook w:val="01E0"/>
      </w:tblPr>
      <w:tblGrid>
        <w:gridCol w:w="2962"/>
        <w:gridCol w:w="1260"/>
        <w:gridCol w:w="1275"/>
        <w:gridCol w:w="926"/>
        <w:gridCol w:w="2113"/>
      </w:tblGrid>
      <w:tr>
        <w:trPr>
          <w:trHeight w:val="348" w:hRule="exact"/>
        </w:trPr>
        <w:tc>
          <w:tcPr>
            <w:tcW w:w="2962"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57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612" w:hRule="exact"/>
        </w:trPr>
        <w:tc>
          <w:tcPr>
            <w:tcW w:w="2962" w:type="dxa"/>
            <w:vMerge/>
            <w:tcBorders>
              <w:left w:val="nil" w:sz="6" w:space="0" w:color="auto"/>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36"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11,861,278.00</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spacing w:val="-1"/>
                <w:sz w:val="18"/>
              </w:rPr>
              <w:t>11,861,278.00</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100.00</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6"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sz w:val="18"/>
              </w:rPr>
              <w:t>Big Lots,</w:t>
            </w:r>
            <w:r>
              <w:rPr>
                <w:rFonts w:ascii="宋体"/>
                <w:spacing w:val="-5"/>
                <w:sz w:val="18"/>
              </w:rPr>
              <w:t> </w:t>
            </w:r>
            <w:r>
              <w:rPr>
                <w:rFonts w:ascii="宋体"/>
                <w:sz w:val="18"/>
              </w:rPr>
              <w:t>Inc.</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9,603,378.71</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spacing w:val="-1"/>
                <w:sz w:val="18"/>
              </w:rPr>
              <w:t>9,603,378.71</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100.00</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9"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55" w:right="0"/>
              <w:jc w:val="left"/>
              <w:rPr>
                <w:rFonts w:ascii="宋体" w:hAnsi="宋体" w:cs="宋体" w:eastAsia="宋体" w:hint="default"/>
                <w:sz w:val="18"/>
                <w:szCs w:val="18"/>
              </w:rPr>
            </w:pPr>
            <w:r>
              <w:rPr>
                <w:rFonts w:ascii="宋体" w:hAnsi="宋体" w:cs="宋体" w:eastAsia="宋体" w:hint="default"/>
                <w:sz w:val="18"/>
                <w:szCs w:val="18"/>
              </w:rPr>
              <w:t>深圳市广鑫融进出口贸易有限公司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6,288,540.00</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6"/>
              <w:jc w:val="right"/>
              <w:rPr>
                <w:rFonts w:ascii="宋体" w:hAnsi="宋体" w:cs="宋体" w:eastAsia="宋体" w:hint="default"/>
                <w:sz w:val="18"/>
                <w:szCs w:val="18"/>
              </w:rPr>
            </w:pPr>
            <w:r>
              <w:rPr>
                <w:rFonts w:ascii="宋体"/>
                <w:spacing w:val="-1"/>
                <w:sz w:val="18"/>
              </w:rPr>
              <w:t>6,288,540.00</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100.00</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6"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sz w:val="18"/>
              </w:rPr>
              <w:t>Diablotek International</w:t>
            </w:r>
            <w:r>
              <w:rPr>
                <w:rFonts w:ascii="宋体"/>
                <w:spacing w:val="-12"/>
                <w:sz w:val="18"/>
              </w:rPr>
              <w:t> </w:t>
            </w:r>
            <w:r>
              <w:rPr>
                <w:rFonts w:ascii="宋体"/>
                <w:sz w:val="18"/>
              </w:rPr>
              <w:t>Inc.</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5,604,756.39</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spacing w:val="-1"/>
                <w:sz w:val="18"/>
              </w:rPr>
              <w:t>5,604,756.39</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100.00</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6"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广东德豪锐拓显示技术有限公司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4,840,875.40</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spacing w:val="-1"/>
                <w:sz w:val="18"/>
              </w:rPr>
              <w:t>3,025,293.70</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62.49</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预计可收回金额低于原值</w:t>
            </w:r>
          </w:p>
        </w:tc>
      </w:tr>
      <w:tr>
        <w:trPr>
          <w:trHeight w:val="336"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2,746,556.94</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spacing w:val="-1"/>
                <w:sz w:val="18"/>
              </w:rPr>
              <w:t>1,578,850.00</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57.48</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预计可收回金额低于原值</w:t>
            </w:r>
          </w:p>
        </w:tc>
      </w:tr>
      <w:tr>
        <w:trPr>
          <w:trHeight w:val="336"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sz w:val="18"/>
              </w:rPr>
              <w:t>Best Buy Company</w:t>
            </w:r>
            <w:r>
              <w:rPr>
                <w:rFonts w:ascii="宋体"/>
                <w:spacing w:val="-7"/>
                <w:sz w:val="18"/>
              </w:rPr>
              <w:t> </w:t>
            </w:r>
            <w:r>
              <w:rPr>
                <w:rFonts w:ascii="宋体"/>
                <w:sz w:val="18"/>
              </w:rPr>
              <w:t>Inc.</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2,417,471.82</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spacing w:val="-1"/>
                <w:sz w:val="18"/>
              </w:rPr>
              <w:t>2,417,471.82</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100.00</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36" w:hRule="exact"/>
        </w:trPr>
        <w:tc>
          <w:tcPr>
            <w:tcW w:w="2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5" w:right="0"/>
              <w:jc w:val="left"/>
              <w:rPr>
                <w:rFonts w:ascii="宋体" w:hAnsi="宋体" w:cs="宋体" w:eastAsia="宋体" w:hint="default"/>
                <w:sz w:val="18"/>
                <w:szCs w:val="18"/>
              </w:rPr>
            </w:pPr>
            <w:r>
              <w:rPr>
                <w:rFonts w:ascii="宋体"/>
                <w:sz w:val="18"/>
              </w:rPr>
              <w:t>Pro Com Products</w:t>
            </w:r>
            <w:r>
              <w:rPr>
                <w:rFonts w:ascii="宋体"/>
                <w:spacing w:val="-7"/>
                <w:sz w:val="18"/>
              </w:rPr>
              <w:t> </w:t>
            </w:r>
            <w:r>
              <w:rPr>
                <w:rFonts w:ascii="宋体"/>
                <w:sz w:val="18"/>
              </w:rPr>
              <w:t>Inc.</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2,130,528.54</w:t>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spacing w:val="-1"/>
                <w:sz w:val="18"/>
              </w:rPr>
              <w:t>2,130,528.54</w:t>
            </w:r>
          </w:p>
        </w:tc>
        <w:tc>
          <w:tcPr>
            <w:tcW w:w="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33"/>
              <w:jc w:val="right"/>
              <w:rPr>
                <w:rFonts w:ascii="宋体" w:hAnsi="宋体" w:cs="宋体" w:eastAsia="宋体" w:hint="default"/>
                <w:sz w:val="18"/>
                <w:szCs w:val="18"/>
              </w:rPr>
            </w:pPr>
            <w:r>
              <w:rPr>
                <w:rFonts w:ascii="宋体"/>
                <w:spacing w:val="-1"/>
                <w:sz w:val="18"/>
              </w:rPr>
              <w:t>100.00</w:t>
            </w:r>
          </w:p>
        </w:tc>
        <w:tc>
          <w:tcPr>
            <w:tcW w:w="2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50" w:hRule="exact"/>
        </w:trPr>
        <w:tc>
          <w:tcPr>
            <w:tcW w:w="29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34"/>
              <w:jc w:val="right"/>
              <w:rPr>
                <w:rFonts w:ascii="宋体" w:hAnsi="宋体" w:cs="宋体" w:eastAsia="宋体" w:hint="default"/>
                <w:sz w:val="18"/>
                <w:szCs w:val="18"/>
              </w:rPr>
            </w:pPr>
            <w:r>
              <w:rPr>
                <w:rFonts w:ascii="宋体"/>
                <w:b/>
                <w:w w:val="95"/>
                <w:sz w:val="18"/>
              </w:rPr>
              <w:t>45,493,385.80</w:t>
            </w:r>
            <w:r>
              <w:rPr>
                <w:rFonts w:ascii="宋体"/>
                <w:sz w:val="18"/>
              </w:rPr>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36"/>
              <w:jc w:val="right"/>
              <w:rPr>
                <w:rFonts w:ascii="宋体" w:hAnsi="宋体" w:cs="宋体" w:eastAsia="宋体" w:hint="default"/>
                <w:sz w:val="18"/>
                <w:szCs w:val="18"/>
              </w:rPr>
            </w:pPr>
            <w:r>
              <w:rPr>
                <w:rFonts w:ascii="宋体"/>
                <w:b/>
                <w:w w:val="95"/>
                <w:sz w:val="18"/>
              </w:rPr>
              <w:t>42,510,097.16</w:t>
            </w:r>
            <w:r>
              <w:rPr>
                <w:rFonts w:ascii="宋体"/>
                <w:sz w:val="18"/>
              </w:rPr>
            </w:r>
          </w:p>
        </w:tc>
        <w:tc>
          <w:tcPr>
            <w:tcW w:w="926" w:type="dxa"/>
            <w:tcBorders>
              <w:top w:val="single" w:sz="2" w:space="0" w:color="000000"/>
              <w:left w:val="single" w:sz="2" w:space="0" w:color="000000"/>
              <w:bottom w:val="single" w:sz="12" w:space="0" w:color="000000"/>
              <w:right w:val="single" w:sz="2" w:space="0" w:color="000000"/>
            </w:tcBorders>
          </w:tcPr>
          <w:p>
            <w:pPr/>
          </w:p>
        </w:tc>
        <w:tc>
          <w:tcPr>
            <w:tcW w:w="2113"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72"/>
          <w:pgSz w:w="11910" w:h="16840"/>
          <w:pgMar w:footer="980" w:header="0" w:top="1600" w:bottom="1160" w:left="1400" w:right="1380"/>
          <w:pgNumType w:start="108"/>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699" w:right="276"/>
        <w:jc w:val="left"/>
      </w:pPr>
      <w:r>
        <w:rPr>
          <w:rFonts w:ascii="宋体" w:hAnsi="宋体" w:cs="宋体" w:eastAsia="宋体" w:hint="default"/>
        </w:rPr>
        <w:t>2</w:t>
      </w:r>
      <w:r>
        <w:rPr/>
        <w:t>）组合中，按账龄分析法计提坏账准备的应收账款</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909"/>
        <w:gridCol w:w="1940"/>
        <w:gridCol w:w="1843"/>
        <w:gridCol w:w="1858"/>
      </w:tblGrid>
      <w:tr>
        <w:trPr>
          <w:trHeight w:val="391"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64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9" w:hRule="exact"/>
        </w:trPr>
        <w:tc>
          <w:tcPr>
            <w:tcW w:w="2909"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79"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sz w:val="18"/>
              </w:rPr>
              <w:t>278,555,022.37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nil" w:sz="6" w:space="0" w:color="auto"/>
            </w:tcBorders>
          </w:tcPr>
          <w:p>
            <w:pPr/>
          </w:p>
        </w:tc>
      </w:tr>
      <w:tr>
        <w:trPr>
          <w:trHeight w:val="391"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b/>
                <w:sz w:val="18"/>
              </w:rPr>
              <w:t>278,555,022.37</w:t>
            </w:r>
            <w:r>
              <w:rPr>
                <w:rFonts w:ascii="宋体"/>
                <w:sz w:val="18"/>
              </w:rPr>
            </w:r>
          </w:p>
        </w:tc>
        <w:tc>
          <w:tcPr>
            <w:tcW w:w="1843" w:type="dxa"/>
            <w:tcBorders>
              <w:top w:val="single" w:sz="4" w:space="0" w:color="000000"/>
              <w:left w:val="single" w:sz="4" w:space="0" w:color="000000"/>
              <w:bottom w:val="single" w:sz="12" w:space="0" w:color="000000"/>
              <w:right w:val="single" w:sz="4" w:space="0" w:color="000000"/>
            </w:tcBorders>
          </w:tcPr>
          <w:p>
            <w:pPr/>
          </w:p>
        </w:tc>
        <w:tc>
          <w:tcPr>
            <w:tcW w:w="185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t>（</w:t>
      </w:r>
      <w:r>
        <w:rPr>
          <w:rFonts w:ascii="宋体" w:hAnsi="宋体" w:cs="宋体" w:eastAsia="宋体" w:hint="default"/>
        </w:rPr>
        <w:t>2</w:t>
      </w:r>
      <w:r>
        <w:rPr/>
        <w:t>）本年计提、转回（或收回）的坏账准备情况</w:t>
      </w:r>
    </w:p>
    <w:p>
      <w:pPr>
        <w:pStyle w:val="Heading7"/>
        <w:spacing w:line="326" w:lineRule="auto" w:before="180"/>
        <w:ind w:left="260" w:right="276" w:firstLine="439"/>
        <w:jc w:val="left"/>
      </w:pPr>
      <w:r>
        <w:rPr/>
        <w:t>本</w:t>
      </w:r>
      <w:r>
        <w:rPr>
          <w:spacing w:val="-81"/>
        </w:rPr>
        <w:t> </w:t>
      </w:r>
      <w:r>
        <w:rPr/>
        <w:t>年</w:t>
      </w:r>
      <w:r>
        <w:rPr>
          <w:spacing w:val="-81"/>
        </w:rPr>
        <w:t> </w:t>
      </w:r>
      <w:r>
        <w:rPr>
          <w:spacing w:val="12"/>
        </w:rPr>
        <w:t>计提</w:t>
      </w:r>
      <w:r>
        <w:rPr>
          <w:spacing w:val="-81"/>
        </w:rPr>
        <w:t> </w:t>
      </w:r>
      <w:r>
        <w:rPr/>
        <w:t>坏</w:t>
      </w:r>
      <w:r>
        <w:rPr>
          <w:spacing w:val="-81"/>
        </w:rPr>
        <w:t> </w:t>
      </w:r>
      <w:r>
        <w:rPr>
          <w:spacing w:val="12"/>
        </w:rPr>
        <w:t>账准</w:t>
      </w:r>
      <w:r>
        <w:rPr>
          <w:spacing w:val="-81"/>
        </w:rPr>
        <w:t> </w:t>
      </w:r>
      <w:r>
        <w:rPr>
          <w:spacing w:val="16"/>
        </w:rPr>
        <w:t>备金额</w:t>
      </w:r>
      <w:r>
        <w:rPr>
          <w:spacing w:val="38"/>
        </w:rPr>
        <w:t> </w:t>
      </w:r>
      <w:r>
        <w:rPr>
          <w:rFonts w:ascii="宋体" w:hAnsi="宋体" w:cs="宋体" w:eastAsia="宋体" w:hint="default"/>
        </w:rPr>
        <w:t>17,182,210.61</w:t>
      </w:r>
      <w:r>
        <w:rPr>
          <w:rFonts w:ascii="宋体" w:hAnsi="宋体" w:cs="宋体" w:eastAsia="宋体" w:hint="default"/>
          <w:spacing w:val="36"/>
        </w:rPr>
        <w:t> </w:t>
      </w:r>
      <w:r>
        <w:rPr>
          <w:spacing w:val="12"/>
        </w:rPr>
        <w:t>元；</w:t>
      </w:r>
      <w:r>
        <w:rPr>
          <w:spacing w:val="-83"/>
        </w:rPr>
        <w:t> </w:t>
      </w:r>
      <w:r>
        <w:rPr/>
        <w:t>本</w:t>
      </w:r>
      <w:r>
        <w:rPr>
          <w:spacing w:val="-81"/>
        </w:rPr>
        <w:t> </w:t>
      </w:r>
      <w:r>
        <w:rPr/>
        <w:t>年</w:t>
      </w:r>
      <w:r>
        <w:rPr>
          <w:spacing w:val="-81"/>
        </w:rPr>
        <w:t> </w:t>
      </w:r>
      <w:r>
        <w:rPr>
          <w:spacing w:val="12"/>
        </w:rPr>
        <w:t>收回</w:t>
      </w:r>
      <w:r>
        <w:rPr>
          <w:spacing w:val="-81"/>
        </w:rPr>
        <w:t> </w:t>
      </w:r>
      <w:r>
        <w:rPr/>
        <w:t>或</w:t>
      </w:r>
      <w:r>
        <w:rPr>
          <w:spacing w:val="-81"/>
        </w:rPr>
        <w:t> </w:t>
      </w:r>
      <w:r>
        <w:rPr>
          <w:spacing w:val="12"/>
        </w:rPr>
        <w:t>转回</w:t>
      </w:r>
      <w:r>
        <w:rPr>
          <w:spacing w:val="-81"/>
        </w:rPr>
        <w:t> </w:t>
      </w:r>
      <w:r>
        <w:rPr>
          <w:spacing w:val="16"/>
        </w:rPr>
        <w:t>坏账准</w:t>
      </w:r>
      <w:r>
        <w:rPr>
          <w:spacing w:val="-81"/>
        </w:rPr>
        <w:t> </w:t>
      </w:r>
      <w:r>
        <w:rPr/>
        <w:t>备</w:t>
      </w:r>
      <w:r>
        <w:rPr>
          <w:spacing w:val="-81"/>
        </w:rPr>
        <w:t> </w:t>
      </w:r>
      <w:r>
        <w:rPr/>
        <w:t>金</w:t>
      </w:r>
      <w:r>
        <w:rPr>
          <w:spacing w:val="-81"/>
        </w:rPr>
        <w:t> </w:t>
      </w:r>
      <w:r>
        <w:rPr/>
        <w:t>额</w:t>
      </w:r>
      <w:r>
        <w:rPr>
          <w:w w:val="100"/>
        </w:rPr>
        <w:t> </w:t>
      </w:r>
      <w:r>
        <w:rPr>
          <w:rFonts w:ascii="宋体" w:hAnsi="宋体" w:cs="宋体" w:eastAsia="宋体" w:hint="default"/>
        </w:rPr>
        <w:t>8,060,247.87</w:t>
      </w:r>
      <w:r>
        <w:rPr>
          <w:rFonts w:ascii="宋体" w:hAnsi="宋体" w:cs="宋体" w:eastAsia="宋体" w:hint="default"/>
          <w:spacing w:val="-59"/>
        </w:rPr>
        <w:t> </w:t>
      </w:r>
      <w:r>
        <w:rPr/>
        <w:t>元。其中本年重要的坏账准备收回或转回情况如下：</w:t>
      </w:r>
    </w:p>
    <w:p>
      <w:pPr>
        <w:spacing w:before="85"/>
        <w:ind w:left="0" w:right="369" w:firstLine="0"/>
        <w:jc w:val="right"/>
        <w:rPr>
          <w:rFonts w:ascii="宋体" w:hAnsi="宋体" w:cs="宋体" w:eastAsia="宋体" w:hint="default"/>
          <w:sz w:val="18"/>
          <w:szCs w:val="18"/>
        </w:rPr>
      </w:pPr>
      <w:r>
        <w:rPr/>
        <w:pict>
          <v:shape style="position:absolute;margin-left:90.863998pt;margin-top:.361699pt;width:413.75pt;height:204.7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7"/>
                    <w:gridCol w:w="1673"/>
                    <w:gridCol w:w="1882"/>
                    <w:gridCol w:w="1539"/>
                  </w:tblGrid>
                  <w:tr>
                    <w:trPr>
                      <w:trHeight w:val="679" w:hRule="exact"/>
                    </w:trPr>
                    <w:tc>
                      <w:tcPr>
                        <w:tcW w:w="31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73" w:type="dxa"/>
                        <w:tcBorders>
                          <w:top w:val="single" w:sz="12" w:space="0" w:color="000000"/>
                          <w:left w:val="single" w:sz="2" w:space="0" w:color="000000"/>
                          <w:bottom w:val="single" w:sz="2" w:space="0" w:color="000000"/>
                          <w:right w:val="single" w:sz="2" w:space="0" w:color="000000"/>
                        </w:tcBorders>
                      </w:tcPr>
                      <w:p>
                        <w:pPr>
                          <w:pStyle w:val="TableParagraph"/>
                          <w:spacing w:line="295" w:lineRule="auto" w:before="49"/>
                          <w:ind w:left="650" w:right="3" w:hanging="615"/>
                          <w:jc w:val="left"/>
                          <w:rPr>
                            <w:rFonts w:ascii="宋体" w:hAnsi="宋体" w:cs="宋体" w:eastAsia="宋体" w:hint="default"/>
                            <w:sz w:val="18"/>
                            <w:szCs w:val="18"/>
                          </w:rPr>
                        </w:pPr>
                        <w:r>
                          <w:rPr>
                            <w:rFonts w:ascii="宋体" w:hAnsi="宋体" w:cs="宋体" w:eastAsia="宋体" w:hint="default"/>
                            <w:b/>
                            <w:bCs/>
                            <w:sz w:val="18"/>
                            <w:szCs w:val="18"/>
                          </w:rPr>
                          <w:t>本年转回（或收回）</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8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c>
                      <w:tcPr>
                        <w:tcW w:w="1539"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49"/>
                          <w:ind w:left="586" w:right="127" w:hanging="548"/>
                          <w:jc w:val="left"/>
                          <w:rPr>
                            <w:rFonts w:ascii="宋体" w:hAnsi="宋体" w:cs="宋体" w:eastAsia="宋体" w:hint="default"/>
                            <w:sz w:val="18"/>
                            <w:szCs w:val="18"/>
                          </w:rPr>
                        </w:pPr>
                        <w:r>
                          <w:rPr>
                            <w:rFonts w:ascii="宋体" w:hAnsi="宋体" w:cs="宋体" w:eastAsia="宋体" w:hint="default"/>
                            <w:b/>
                            <w:bCs/>
                            <w:spacing w:val="-10"/>
                            <w:w w:val="99"/>
                            <w:sz w:val="18"/>
                            <w:szCs w:val="18"/>
                          </w:rPr>
                          <w:t>本年转回（或收回</w:t>
                        </w:r>
                        <w:r>
                          <w:rPr>
                            <w:rFonts w:ascii="宋体" w:hAnsi="宋体" w:cs="宋体" w:eastAsia="宋体" w:hint="default"/>
                            <w:b/>
                            <w:bCs/>
                            <w:spacing w:val="-83"/>
                            <w:w w:val="99"/>
                            <w:sz w:val="18"/>
                            <w:szCs w:val="18"/>
                          </w:rPr>
                          <w:t> </w:t>
                        </w:r>
                        <w:r>
                          <w:rPr>
                            <w:rFonts w:ascii="宋体" w:hAnsi="宋体" w:cs="宋体" w:eastAsia="宋体" w:hint="default"/>
                            <w:b/>
                            <w:bCs/>
                            <w:spacing w:val="-83"/>
                            <w:w w:val="99"/>
                            <w:sz w:val="18"/>
                            <w:szCs w:val="18"/>
                          </w:rPr>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375"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焦作市宏瑞教育投资有限公司</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3,367,219.00</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衡水市安平县卫民街安平中学</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1,988,269.57</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保定市职业技术教育中心</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1,000,000.00</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芜湖德豪润达光电科技有限公司</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656,202.50</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7"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深圳市邦贝尔电子有限公司</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pacing w:val="-1"/>
                            <w:sz w:val="18"/>
                          </w:rPr>
                          <w:t>493,361.80</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深圳市锐拓显示技术有限公司</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358,603.00</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杨凌区卫生局</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160,392.00</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74" w:hRule="exact"/>
                    </w:trPr>
                    <w:tc>
                      <w:tcPr>
                        <w:tcW w:w="3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缙云县职业中等专业学校</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spacing w:val="-1"/>
                            <w:sz w:val="18"/>
                          </w:rPr>
                          <w:t>36,200.00</w:t>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收回货款</w:t>
                        </w:r>
                      </w:p>
                    </w:tc>
                  </w:tr>
                  <w:tr>
                    <w:trPr>
                      <w:trHeight w:val="389" w:hRule="exact"/>
                    </w:trPr>
                    <w:tc>
                      <w:tcPr>
                        <w:tcW w:w="31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36"/>
                          <w:jc w:val="right"/>
                          <w:rPr>
                            <w:rFonts w:ascii="宋体" w:hAnsi="宋体" w:cs="宋体" w:eastAsia="宋体" w:hint="default"/>
                            <w:sz w:val="18"/>
                            <w:szCs w:val="18"/>
                          </w:rPr>
                        </w:pPr>
                        <w:r>
                          <w:rPr>
                            <w:rFonts w:ascii="宋体"/>
                            <w:b/>
                            <w:w w:val="95"/>
                            <w:sz w:val="18"/>
                          </w:rPr>
                          <w:t>8,060,247.87</w:t>
                        </w:r>
                        <w:r>
                          <w:rPr>
                            <w:rFonts w:ascii="宋体"/>
                            <w:sz w:val="18"/>
                          </w:rPr>
                        </w:r>
                      </w:p>
                    </w:tc>
                    <w:tc>
                      <w:tcPr>
                        <w:tcW w:w="1882" w:type="dxa"/>
                        <w:tcBorders>
                          <w:top w:val="single" w:sz="2" w:space="0" w:color="000000"/>
                          <w:left w:val="single" w:sz="2" w:space="0" w:color="000000"/>
                          <w:bottom w:val="single" w:sz="12" w:space="0" w:color="000000"/>
                          <w:right w:val="single" w:sz="2" w:space="0" w:color="000000"/>
                        </w:tcBorders>
                      </w:tcPr>
                      <w:p>
                        <w:pPr/>
                      </w:p>
                    </w:tc>
                    <w:tc>
                      <w:tcPr>
                        <w:tcW w:w="1539"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b/>
          <w:bCs/>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7"/>
        <w:spacing w:line="240" w:lineRule="auto" w:before="0"/>
        <w:ind w:left="699" w:right="276"/>
        <w:jc w:val="left"/>
      </w:pPr>
      <w:r>
        <w:rPr/>
        <w:t>（</w:t>
      </w:r>
      <w:r>
        <w:rPr>
          <w:rFonts w:ascii="宋体" w:hAnsi="宋体" w:cs="宋体" w:eastAsia="宋体" w:hint="default"/>
        </w:rPr>
        <w:t>3</w:t>
      </w:r>
      <w:r>
        <w:rPr/>
        <w:t>）本年度实际核销的应收账款</w:t>
      </w:r>
    </w:p>
    <w:p>
      <w:pPr>
        <w:spacing w:line="240" w:lineRule="auto" w:before="9"/>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453"/>
        <w:gridCol w:w="4098"/>
      </w:tblGrid>
      <w:tr>
        <w:trPr>
          <w:trHeight w:val="386" w:hRule="exact"/>
        </w:trPr>
        <w:tc>
          <w:tcPr>
            <w:tcW w:w="44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389" w:hRule="exact"/>
        </w:trPr>
        <w:tc>
          <w:tcPr>
            <w:tcW w:w="44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0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58,952,784.49</w:t>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t>其中重要的应收账款核销情况：</w:t>
      </w:r>
    </w:p>
    <w:p>
      <w:pPr>
        <w:spacing w:line="240" w:lineRule="auto" w:before="8"/>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2614"/>
        <w:gridCol w:w="970"/>
        <w:gridCol w:w="1522"/>
        <w:gridCol w:w="1109"/>
        <w:gridCol w:w="1256"/>
        <w:gridCol w:w="1068"/>
      </w:tblGrid>
      <w:tr>
        <w:trPr>
          <w:trHeight w:val="972" w:hRule="exact"/>
        </w:trPr>
        <w:tc>
          <w:tcPr>
            <w:tcW w:w="26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9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5" w:lineRule="auto"/>
              <w:ind w:left="300" w:right="120" w:hanging="18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5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exact"/>
              <w:ind w:left="575" w:right="574"/>
              <w:jc w:val="center"/>
              <w:rPr>
                <w:rFonts w:ascii="宋体" w:hAnsi="宋体" w:cs="宋体" w:eastAsia="宋体" w:hint="default"/>
                <w:sz w:val="18"/>
                <w:szCs w:val="18"/>
              </w:rPr>
            </w:pPr>
            <w:r>
              <w:rPr>
                <w:rFonts w:ascii="宋体" w:hAnsi="宋体" w:cs="宋体" w:eastAsia="宋体" w:hint="default"/>
                <w:b/>
                <w:bCs/>
                <w:sz w:val="18"/>
                <w:szCs w:val="18"/>
              </w:rPr>
              <w:t>核销</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2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5" w:lineRule="auto"/>
              <w:ind w:left="443" w:right="174" w:hanging="272"/>
              <w:jc w:val="left"/>
              <w:rPr>
                <w:rFonts w:ascii="宋体" w:hAnsi="宋体" w:cs="宋体" w:eastAsia="宋体" w:hint="default"/>
                <w:sz w:val="18"/>
                <w:szCs w:val="18"/>
              </w:rPr>
            </w:pPr>
            <w:r>
              <w:rPr>
                <w:rFonts w:ascii="宋体" w:hAnsi="宋体" w:cs="宋体" w:eastAsia="宋体" w:hint="default"/>
                <w:b/>
                <w:bCs/>
                <w:sz w:val="18"/>
                <w:szCs w:val="18"/>
              </w:rPr>
              <w:t>履行的核销</w:t>
            </w:r>
            <w:r>
              <w:rPr>
                <w:rFonts w:ascii="宋体" w:hAnsi="宋体" w:cs="宋体" w:eastAsia="宋体" w:hint="default"/>
                <w:b/>
                <w:bCs/>
                <w:w w:val="99"/>
                <w:sz w:val="18"/>
                <w:szCs w:val="18"/>
              </w:rPr>
              <w:t> </w:t>
            </w:r>
            <w:r>
              <w:rPr>
                <w:rFonts w:ascii="宋体" w:hAnsi="宋体" w:cs="宋体" w:eastAsia="宋体" w:hint="default"/>
                <w:b/>
                <w:bCs/>
                <w:sz w:val="18"/>
                <w:szCs w:val="18"/>
              </w:rPr>
              <w:t>程序</w:t>
            </w:r>
            <w:r>
              <w:rPr>
                <w:rFonts w:ascii="宋体" w:hAnsi="宋体" w:cs="宋体" w:eastAsia="宋体" w:hint="default"/>
                <w:sz w:val="18"/>
                <w:szCs w:val="18"/>
              </w:rPr>
            </w:r>
          </w:p>
        </w:tc>
        <w:tc>
          <w:tcPr>
            <w:tcW w:w="1068" w:type="dxa"/>
            <w:tcBorders>
              <w:top w:val="single" w:sz="12" w:space="0" w:color="000000"/>
              <w:left w:val="single" w:sz="2" w:space="0" w:color="000000"/>
              <w:bottom w:val="single" w:sz="2" w:space="0" w:color="000000"/>
              <w:right w:val="nil" w:sz="6" w:space="0" w:color="auto"/>
            </w:tcBorders>
          </w:tcPr>
          <w:p>
            <w:pPr>
              <w:pStyle w:val="TableParagraph"/>
              <w:spacing w:line="295" w:lineRule="auto" w:before="51"/>
              <w:ind w:left="170" w:right="171"/>
              <w:jc w:val="both"/>
              <w:rPr>
                <w:rFonts w:ascii="宋体" w:hAnsi="宋体" w:cs="宋体" w:eastAsia="宋体" w:hint="default"/>
                <w:sz w:val="18"/>
                <w:szCs w:val="18"/>
              </w:rPr>
            </w:pPr>
            <w:r>
              <w:rPr>
                <w:rFonts w:ascii="宋体" w:hAnsi="宋体" w:cs="宋体" w:eastAsia="宋体" w:hint="default"/>
                <w:b/>
                <w:bCs/>
                <w:sz w:val="18"/>
                <w:szCs w:val="18"/>
              </w:rPr>
              <w:t>款项是否</w:t>
            </w:r>
            <w:r>
              <w:rPr>
                <w:rFonts w:ascii="宋体" w:hAnsi="宋体" w:cs="宋体" w:eastAsia="宋体" w:hint="default"/>
                <w:b/>
                <w:bCs/>
                <w:w w:val="99"/>
                <w:sz w:val="18"/>
                <w:szCs w:val="18"/>
              </w:rPr>
              <w:t> </w:t>
            </w:r>
            <w:r>
              <w:rPr>
                <w:rFonts w:ascii="宋体" w:hAnsi="宋体" w:cs="宋体" w:eastAsia="宋体" w:hint="default"/>
                <w:b/>
                <w:bCs/>
                <w:sz w:val="18"/>
                <w:szCs w:val="18"/>
              </w:rPr>
              <w:t>由关联交</w:t>
            </w:r>
            <w:r>
              <w:rPr>
                <w:rFonts w:ascii="宋体" w:hAnsi="宋体" w:cs="宋体" w:eastAsia="宋体" w:hint="default"/>
                <w:b/>
                <w:bCs/>
                <w:w w:val="99"/>
                <w:sz w:val="18"/>
                <w:szCs w:val="18"/>
              </w:rPr>
              <w:t> </w:t>
            </w:r>
            <w:r>
              <w:rPr>
                <w:rFonts w:ascii="宋体" w:hAnsi="宋体" w:cs="宋体" w:eastAsia="宋体" w:hint="default"/>
                <w:b/>
                <w:bCs/>
                <w:sz w:val="18"/>
                <w:szCs w:val="18"/>
              </w:rPr>
              <w:t>易产生</w:t>
            </w:r>
            <w:r>
              <w:rPr>
                <w:rFonts w:ascii="宋体" w:hAnsi="宋体" w:cs="宋体" w:eastAsia="宋体" w:hint="default"/>
                <w:sz w:val="18"/>
                <w:szCs w:val="18"/>
              </w:rPr>
            </w:r>
          </w:p>
        </w:tc>
      </w:tr>
      <w:tr>
        <w:trPr>
          <w:trHeight w:val="374"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北京工商管理专修学院</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9,417,754.61</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北京长空租赁有限公司</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5,546,517.48</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湖南新蓝科技有限责任公司</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3,359,717.68</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5"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湖北机械公司（计委）</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3,226,123.81</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7"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3,106,000.00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青岛教委</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2,714,061.00</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霆望有限公司</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2,674,102.59</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2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中央粮库项目</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2,071,437.08</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9" w:hRule="exact"/>
        </w:trPr>
        <w:tc>
          <w:tcPr>
            <w:tcW w:w="26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70" w:type="dxa"/>
            <w:tcBorders>
              <w:top w:val="single" w:sz="2" w:space="0" w:color="000000"/>
              <w:left w:val="single" w:sz="2" w:space="0" w:color="000000"/>
              <w:bottom w:val="single" w:sz="12" w:space="0" w:color="000000"/>
              <w:right w:val="single" w:sz="2" w:space="0" w:color="000000"/>
            </w:tcBorders>
          </w:tcPr>
          <w:p>
            <w:pP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32,115,714.25</w:t>
            </w:r>
            <w:r>
              <w:rPr>
                <w:rFonts w:ascii="宋体"/>
                <w:sz w:val="18"/>
              </w:rPr>
            </w:r>
          </w:p>
        </w:tc>
        <w:tc>
          <w:tcPr>
            <w:tcW w:w="1109" w:type="dxa"/>
            <w:tcBorders>
              <w:top w:val="single" w:sz="2" w:space="0" w:color="000000"/>
              <w:left w:val="single" w:sz="2" w:space="0" w:color="000000"/>
              <w:bottom w:val="single" w:sz="12" w:space="0" w:color="000000"/>
              <w:right w:val="single" w:sz="2" w:space="0" w:color="000000"/>
            </w:tcBorders>
          </w:tcPr>
          <w:p>
            <w:pPr/>
          </w:p>
        </w:tc>
        <w:tc>
          <w:tcPr>
            <w:tcW w:w="1256" w:type="dxa"/>
            <w:tcBorders>
              <w:top w:val="single" w:sz="2" w:space="0" w:color="000000"/>
              <w:left w:val="single" w:sz="2" w:space="0" w:color="000000"/>
              <w:bottom w:val="single" w:sz="12" w:space="0" w:color="000000"/>
              <w:right w:val="single" w:sz="2" w:space="0" w:color="000000"/>
            </w:tcBorders>
          </w:tcPr>
          <w:p>
            <w:pPr/>
          </w:p>
        </w:tc>
        <w:tc>
          <w:tcPr>
            <w:tcW w:w="106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980" w:top="1600" w:bottom="1160" w:left="1540" w:right="1420"/>
        </w:sectPr>
      </w:pPr>
    </w:p>
    <w:p>
      <w:pPr>
        <w:spacing w:line="240" w:lineRule="auto" w:before="3"/>
        <w:rPr>
          <w:rFonts w:ascii="宋体" w:hAnsi="宋体" w:cs="宋体" w:eastAsia="宋体" w:hint="default"/>
          <w:sz w:val="3"/>
          <w:szCs w:val="3"/>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240" w:lineRule="auto" w:before="0"/>
        <w:ind w:left="779" w:right="0"/>
        <w:jc w:val="left"/>
      </w:pPr>
      <w:r>
        <w:rPr/>
        <w:t>（</w:t>
      </w:r>
      <w:r>
        <w:rPr>
          <w:rFonts w:ascii="宋体" w:hAnsi="宋体" w:cs="宋体" w:eastAsia="宋体" w:hint="default"/>
        </w:rPr>
        <w:t>4</w:t>
      </w:r>
      <w:r>
        <w:rPr/>
        <w:t>）按欠款方归集的年末余额前五名的应收账款情况</w:t>
      </w:r>
    </w:p>
    <w:p>
      <w:pPr>
        <w:spacing w:line="240" w:lineRule="auto" w:before="8"/>
        <w:rPr>
          <w:rFonts w:ascii="宋体" w:hAnsi="宋体" w:cs="宋体" w:eastAsia="宋体" w:hint="default"/>
          <w:sz w:val="6"/>
          <w:szCs w:val="6"/>
        </w:rPr>
      </w:pPr>
    </w:p>
    <w:tbl>
      <w:tblPr>
        <w:tblW w:w="0" w:type="auto"/>
        <w:jc w:val="left"/>
        <w:tblInd w:w="218" w:type="dxa"/>
        <w:tblLayout w:type="fixed"/>
        <w:tblCellMar>
          <w:top w:w="0" w:type="dxa"/>
          <w:left w:w="0" w:type="dxa"/>
          <w:bottom w:w="0" w:type="dxa"/>
          <w:right w:w="0" w:type="dxa"/>
        </w:tblCellMar>
        <w:tblLook w:val="01E0"/>
      </w:tblPr>
      <w:tblGrid>
        <w:gridCol w:w="3289"/>
        <w:gridCol w:w="1416"/>
        <w:gridCol w:w="994"/>
        <w:gridCol w:w="1702"/>
        <w:gridCol w:w="1109"/>
      </w:tblGrid>
      <w:tr>
        <w:trPr>
          <w:trHeight w:val="718" w:hRule="exact"/>
        </w:trPr>
        <w:tc>
          <w:tcPr>
            <w:tcW w:w="32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65"/>
              <w:ind w:left="36" w:right="128" w:firstLine="86"/>
              <w:jc w:val="left"/>
              <w:rPr>
                <w:rFonts w:ascii="宋体" w:hAnsi="宋体" w:cs="宋体" w:eastAsia="宋体" w:hint="default"/>
                <w:sz w:val="18"/>
                <w:szCs w:val="18"/>
              </w:rPr>
            </w:pPr>
            <w:r>
              <w:rPr>
                <w:rFonts w:ascii="宋体" w:hAnsi="宋体" w:cs="宋体" w:eastAsia="宋体" w:hint="default"/>
                <w:b/>
                <w:bCs/>
                <w:sz w:val="18"/>
                <w:szCs w:val="18"/>
              </w:rPr>
              <w:t>占应收账款年末余</w:t>
            </w:r>
            <w:r>
              <w:rPr>
                <w:rFonts w:ascii="宋体" w:hAnsi="宋体" w:cs="宋体" w:eastAsia="宋体" w:hint="default"/>
                <w:b/>
                <w:bCs/>
                <w:w w:val="99"/>
                <w:sz w:val="18"/>
                <w:szCs w:val="18"/>
              </w:rPr>
              <w:t> </w:t>
            </w:r>
            <w:r>
              <w:rPr>
                <w:rFonts w:ascii="宋体" w:hAnsi="宋体" w:cs="宋体" w:eastAsia="宋体" w:hint="default"/>
                <w:b/>
                <w:bCs/>
                <w:w w:val="95"/>
                <w:sz w:val="18"/>
                <w:szCs w:val="18"/>
              </w:rPr>
              <w:t>额合计数的比例（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1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b/>
                <w:bCs/>
                <w:sz w:val="18"/>
                <w:szCs w:val="18"/>
              </w:rPr>
              <w:t>坏账准备年</w:t>
            </w:r>
            <w:r>
              <w:rPr>
                <w:rFonts w:ascii="宋体" w:hAnsi="宋体" w:cs="宋体" w:eastAsia="宋体" w:hint="default"/>
                <w:sz w:val="18"/>
                <w:szCs w:val="18"/>
              </w:rPr>
            </w:r>
          </w:p>
          <w:p>
            <w:pPr>
              <w:pStyle w:val="TableParagraph"/>
              <w:tabs>
                <w:tab w:pos="278" w:val="left" w:leader="none"/>
              </w:tabs>
              <w:spacing w:line="240" w:lineRule="auto" w:before="67"/>
              <w:ind w:left="-135" w:right="0"/>
              <w:jc w:val="left"/>
              <w:rPr>
                <w:rFonts w:ascii="宋体" w:hAnsi="宋体" w:cs="宋体" w:eastAsia="宋体" w:hint="default"/>
                <w:sz w:val="18"/>
                <w:szCs w:val="18"/>
              </w:rPr>
            </w:pPr>
            <w:r>
              <w:rPr>
                <w:rFonts w:ascii="宋体" w:hAnsi="宋体" w:cs="宋体" w:eastAsia="宋体" w:hint="default"/>
                <w:b/>
                <w:bCs/>
                <w:w w:val="95"/>
                <w:sz w:val="18"/>
                <w:szCs w:val="18"/>
              </w:rPr>
              <w:t>）</w:t>
              <w:tab/>
            </w: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403"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55" w:right="0"/>
              <w:jc w:val="left"/>
              <w:rPr>
                <w:rFonts w:ascii="宋体" w:hAnsi="宋体" w:cs="宋体" w:eastAsia="宋体" w:hint="default"/>
                <w:sz w:val="18"/>
                <w:szCs w:val="18"/>
              </w:rPr>
            </w:pPr>
            <w:r>
              <w:rPr>
                <w:rFonts w:ascii="宋体" w:hAnsi="宋体" w:cs="宋体" w:eastAsia="宋体" w:hint="default"/>
                <w:sz w:val="18"/>
                <w:szCs w:val="18"/>
              </w:rPr>
              <w:t>湖南中兴网信科技有限公司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3"/>
              <w:jc w:val="right"/>
              <w:rPr>
                <w:rFonts w:ascii="宋体" w:hAnsi="宋体" w:cs="宋体" w:eastAsia="宋体" w:hint="default"/>
                <w:sz w:val="18"/>
                <w:szCs w:val="18"/>
              </w:rPr>
            </w:pPr>
            <w:r>
              <w:rPr>
                <w:rFonts w:ascii="宋体"/>
                <w:spacing w:val="-1"/>
                <w:sz w:val="18"/>
              </w:rPr>
              <w:t>34,512,679.44</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8"/>
              <w:jc w:val="right"/>
              <w:rPr>
                <w:rFonts w:ascii="宋体" w:hAnsi="宋体" w:cs="宋体" w:eastAsia="宋体" w:hint="default"/>
                <w:sz w:val="18"/>
                <w:szCs w:val="18"/>
              </w:rPr>
            </w:pPr>
            <w:r>
              <w:rPr>
                <w:rFonts w:ascii="宋体"/>
                <w:sz w:val="18"/>
              </w:rPr>
              <w:t>9.84</w:t>
            </w:r>
          </w:p>
        </w:tc>
        <w:tc>
          <w:tcPr>
            <w:tcW w:w="1109"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曙光信息产业股份有限公司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pacing w:val="-1"/>
                <w:sz w:val="18"/>
              </w:rPr>
              <w:t>31,984,225.26</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z w:val="18"/>
              </w:rPr>
              <w:t>9.11</w:t>
            </w:r>
          </w:p>
        </w:tc>
        <w:tc>
          <w:tcPr>
            <w:tcW w:w="1109"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pacing w:val="-1"/>
                <w:sz w:val="18"/>
              </w:rPr>
              <w:t>29,784,500.00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z w:val="18"/>
              </w:rPr>
              <w:t>8.49</w:t>
            </w:r>
          </w:p>
        </w:tc>
        <w:tc>
          <w:tcPr>
            <w:tcW w:w="1109"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高州市教育局</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pacing w:val="-1"/>
                <w:sz w:val="18"/>
              </w:rPr>
              <w:t>16,328,252.80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z w:val="18"/>
              </w:rPr>
              <w:t>4.65</w:t>
            </w:r>
          </w:p>
        </w:tc>
        <w:tc>
          <w:tcPr>
            <w:tcW w:w="1109"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pacing w:val="-1"/>
                <w:sz w:val="18"/>
              </w:rPr>
              <w:t>13,141,166.32</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sz w:val="18"/>
              </w:rPr>
              <w:t>3.74</w:t>
            </w:r>
          </w:p>
        </w:tc>
        <w:tc>
          <w:tcPr>
            <w:tcW w:w="1109" w:type="dxa"/>
            <w:tcBorders>
              <w:top w:val="single" w:sz="2" w:space="0" w:color="000000"/>
              <w:left w:val="single" w:sz="2" w:space="0" w:color="000000"/>
              <w:bottom w:val="single" w:sz="2" w:space="0" w:color="000000"/>
              <w:right w:val="nil" w:sz="6" w:space="0" w:color="auto"/>
            </w:tcBorders>
          </w:tcPr>
          <w:p>
            <w:pPr/>
          </w:p>
        </w:tc>
      </w:tr>
      <w:tr>
        <w:trPr>
          <w:trHeight w:val="482" w:hRule="exact"/>
        </w:trPr>
        <w:tc>
          <w:tcPr>
            <w:tcW w:w="32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34"/>
              <w:jc w:val="right"/>
              <w:rPr>
                <w:rFonts w:ascii="宋体" w:hAnsi="宋体" w:cs="宋体" w:eastAsia="宋体" w:hint="default"/>
                <w:sz w:val="18"/>
                <w:szCs w:val="18"/>
              </w:rPr>
            </w:pPr>
            <w:r>
              <w:rPr>
                <w:rFonts w:ascii="宋体"/>
                <w:b/>
                <w:w w:val="95"/>
                <w:sz w:val="18"/>
              </w:rPr>
              <w:t>125,750,823.82</w:t>
            </w:r>
            <w:r>
              <w:rPr>
                <w:rFonts w:ascii="宋体"/>
                <w:sz w:val="18"/>
              </w:rPr>
            </w:r>
          </w:p>
        </w:tc>
        <w:tc>
          <w:tcPr>
            <w:tcW w:w="994"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38"/>
              <w:jc w:val="right"/>
              <w:rPr>
                <w:rFonts w:ascii="宋体" w:hAnsi="宋体" w:cs="宋体" w:eastAsia="宋体" w:hint="default"/>
                <w:sz w:val="18"/>
                <w:szCs w:val="18"/>
              </w:rPr>
            </w:pPr>
            <w:r>
              <w:rPr>
                <w:rFonts w:ascii="宋体"/>
                <w:b/>
                <w:sz w:val="18"/>
              </w:rPr>
              <w:t>35.83</w:t>
            </w:r>
            <w:r>
              <w:rPr>
                <w:rFonts w:ascii="宋体"/>
                <w:sz w:val="18"/>
              </w:rPr>
            </w:r>
          </w:p>
        </w:tc>
        <w:tc>
          <w:tcPr>
            <w:tcW w:w="110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rFonts w:ascii="宋体" w:hAnsi="宋体" w:cs="宋体" w:eastAsia="宋体" w:hint="default"/>
        </w:rPr>
        <w:t>2</w:t>
      </w:r>
      <w:r>
        <w:rPr/>
        <w:t>、其他应收款</w:t>
      </w:r>
    </w:p>
    <w:p>
      <w:pPr>
        <w:pStyle w:val="Heading7"/>
        <w:spacing w:line="240" w:lineRule="auto" w:before="180"/>
        <w:ind w:left="779" w:right="0"/>
        <w:jc w:val="left"/>
      </w:pPr>
      <w:r>
        <w:rPr/>
        <w:t>（</w:t>
      </w:r>
      <w:r>
        <w:rPr>
          <w:rFonts w:ascii="宋体" w:hAnsi="宋体" w:cs="宋体" w:eastAsia="宋体" w:hint="default"/>
        </w:rPr>
        <w:t>1</w:t>
      </w:r>
      <w:r>
        <w:rPr/>
        <w:t>）其他应收款分类</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249"/>
        <w:gridCol w:w="1702"/>
        <w:gridCol w:w="850"/>
        <w:gridCol w:w="1702"/>
        <w:gridCol w:w="850"/>
        <w:gridCol w:w="1388"/>
      </w:tblGrid>
      <w:tr>
        <w:trPr>
          <w:trHeight w:val="415" w:hRule="exact"/>
        </w:trPr>
        <w:tc>
          <w:tcPr>
            <w:tcW w:w="22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9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8" w:hRule="exact"/>
        </w:trPr>
        <w:tc>
          <w:tcPr>
            <w:tcW w:w="2249"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8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10" w:hRule="exact"/>
        </w:trPr>
        <w:tc>
          <w:tcPr>
            <w:tcW w:w="2249"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88" w:type="dxa"/>
            <w:vMerge/>
            <w:tcBorders>
              <w:left w:val="single" w:sz="4" w:space="0" w:color="000000"/>
              <w:bottom w:val="single" w:sz="4" w:space="0" w:color="000000"/>
              <w:right w:val="nil" w:sz="6" w:space="0" w:color="auto"/>
            </w:tcBorders>
          </w:tcPr>
          <w:p>
            <w:pPr/>
          </w:p>
        </w:tc>
      </w:tr>
      <w:tr>
        <w:trPr>
          <w:trHeight w:val="70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63"/>
              <w:ind w:left="55" w:right="36"/>
              <w:jc w:val="left"/>
              <w:rPr>
                <w:rFonts w:ascii="宋体" w:hAnsi="宋体" w:cs="宋体" w:eastAsia="宋体" w:hint="default"/>
                <w:sz w:val="18"/>
                <w:szCs w:val="18"/>
              </w:rPr>
            </w:pPr>
            <w:r>
              <w:rPr>
                <w:rFonts w:ascii="宋体" w:hAnsi="宋体" w:cs="宋体" w:eastAsia="宋体" w:hint="default"/>
                <w:spacing w:val="15"/>
                <w:sz w:val="18"/>
                <w:szCs w:val="18"/>
              </w:rPr>
              <w:t>单项金额重大并单项计提</w:t>
            </w:r>
            <w:r>
              <w:rPr>
                <w:rFonts w:ascii="宋体" w:hAnsi="宋体" w:cs="宋体" w:eastAsia="宋体" w:hint="default"/>
                <w:sz w:val="18"/>
                <w:szCs w:val="18"/>
              </w:rPr>
              <w:t> 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7,815,311.39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7.08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7,815,311.39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100.00</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65"/>
              <w:ind w:left="55" w:right="36"/>
              <w:jc w:val="left"/>
              <w:rPr>
                <w:rFonts w:ascii="宋体" w:hAnsi="宋体" w:cs="宋体" w:eastAsia="宋体" w:hint="default"/>
                <w:sz w:val="18"/>
                <w:szCs w:val="18"/>
              </w:rPr>
            </w:pPr>
            <w:r>
              <w:rPr>
                <w:rFonts w:ascii="宋体" w:hAnsi="宋体" w:cs="宋体" w:eastAsia="宋体" w:hint="default"/>
                <w:spacing w:val="15"/>
                <w:sz w:val="18"/>
                <w:szCs w:val="18"/>
              </w:rPr>
              <w:t>按信用风险特征组合计提</w:t>
            </w:r>
            <w:r>
              <w:rPr>
                <w:rFonts w:ascii="宋体" w:hAnsi="宋体" w:cs="宋体" w:eastAsia="宋体" w:hint="default"/>
                <w:sz w:val="18"/>
                <w:szCs w:val="18"/>
              </w:rPr>
              <w:t> 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5"/>
              <w:jc w:val="right"/>
              <w:rPr>
                <w:rFonts w:ascii="宋体" w:hAnsi="宋体" w:cs="宋体" w:eastAsia="宋体" w:hint="default"/>
                <w:sz w:val="18"/>
                <w:szCs w:val="18"/>
              </w:rPr>
            </w:pPr>
            <w:r>
              <w:rPr>
                <w:rFonts w:ascii="宋体"/>
                <w:spacing w:val="-1"/>
                <w:sz w:val="18"/>
              </w:rPr>
              <w:t>101,004,344.07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91.45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sz w:val="18"/>
              </w:rPr>
              <w:t>101,004,344.07</w:t>
            </w:r>
          </w:p>
        </w:tc>
      </w:tr>
      <w:tr>
        <w:trPr>
          <w:trHeight w:val="71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309" w:lineRule="auto" w:before="63"/>
              <w:ind w:left="55" w:right="36"/>
              <w:jc w:val="left"/>
              <w:rPr>
                <w:rFonts w:ascii="宋体" w:hAnsi="宋体" w:cs="宋体" w:eastAsia="宋体" w:hint="default"/>
                <w:sz w:val="18"/>
                <w:szCs w:val="18"/>
              </w:rPr>
            </w:pPr>
            <w:r>
              <w:rPr>
                <w:rFonts w:ascii="宋体" w:hAnsi="宋体" w:cs="宋体" w:eastAsia="宋体" w:hint="default"/>
                <w:spacing w:val="15"/>
                <w:sz w:val="18"/>
                <w:szCs w:val="18"/>
              </w:rPr>
              <w:t>单项金额不重大但单项计</w:t>
            </w:r>
            <w:r>
              <w:rPr>
                <w:rFonts w:ascii="宋体" w:hAnsi="宋体" w:cs="宋体" w:eastAsia="宋体" w:hint="default"/>
                <w:sz w:val="18"/>
                <w:szCs w:val="18"/>
              </w:rPr>
              <w:t> 提坏账准备的其他应收款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1,623,600.79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1,623,600.79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100.00</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2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34"/>
              <w:jc w:val="right"/>
              <w:rPr>
                <w:rFonts w:ascii="宋体" w:hAnsi="宋体" w:cs="宋体" w:eastAsia="宋体" w:hint="default"/>
                <w:sz w:val="18"/>
                <w:szCs w:val="18"/>
              </w:rPr>
            </w:pPr>
            <w:r>
              <w:rPr>
                <w:rFonts w:ascii="宋体"/>
                <w:b/>
                <w:w w:val="95"/>
                <w:sz w:val="18"/>
              </w:rPr>
              <w:t>110,443,256.25</w:t>
            </w:r>
            <w:r>
              <w:rPr>
                <w:rFonts w:ascii="宋体"/>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29"/>
              <w:jc w:val="right"/>
              <w:rPr>
                <w:rFonts w:ascii="宋体" w:hAnsi="宋体" w:cs="宋体" w:eastAsia="宋体" w:hint="default"/>
                <w:sz w:val="18"/>
                <w:szCs w:val="18"/>
              </w:rPr>
            </w:pPr>
            <w:r>
              <w:rPr>
                <w:rFonts w:ascii="宋体"/>
                <w:b/>
                <w:sz w:val="18"/>
              </w:rPr>
              <w:t>100.00</w:t>
            </w:r>
            <w:r>
              <w:rPr>
                <w:rFonts w:ascii="宋体"/>
                <w:sz w:val="18"/>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34"/>
              <w:jc w:val="right"/>
              <w:rPr>
                <w:rFonts w:ascii="宋体" w:hAnsi="宋体" w:cs="宋体" w:eastAsia="宋体" w:hint="default"/>
                <w:sz w:val="18"/>
                <w:szCs w:val="18"/>
              </w:rPr>
            </w:pPr>
            <w:r>
              <w:rPr>
                <w:rFonts w:ascii="宋体"/>
                <w:b/>
                <w:w w:val="95"/>
                <w:sz w:val="18"/>
              </w:rPr>
              <w:t>9,438,912.18</w:t>
            </w:r>
            <w:r>
              <w:rPr>
                <w:rFonts w:ascii="宋体"/>
                <w:sz w:val="18"/>
              </w:rPr>
            </w:r>
          </w:p>
        </w:tc>
        <w:tc>
          <w:tcPr>
            <w:tcW w:w="850" w:type="dxa"/>
            <w:tcBorders>
              <w:top w:val="single" w:sz="4" w:space="0" w:color="000000"/>
              <w:left w:val="single" w:sz="4"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left="30" w:right="0"/>
              <w:jc w:val="center"/>
              <w:rPr>
                <w:rFonts w:ascii="宋体" w:hAnsi="宋体" w:cs="宋体" w:eastAsia="宋体" w:hint="default"/>
                <w:sz w:val="18"/>
                <w:szCs w:val="18"/>
              </w:rPr>
            </w:pPr>
            <w:r>
              <w:rPr>
                <w:rFonts w:ascii="宋体"/>
                <w:b/>
                <w:sz w:val="18"/>
              </w:rPr>
              <w:t>101,004,344.07</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t>续表：</w:t>
      </w:r>
    </w:p>
    <w:p>
      <w:pPr>
        <w:spacing w:line="240" w:lineRule="auto" w:before="8"/>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249"/>
        <w:gridCol w:w="1702"/>
        <w:gridCol w:w="850"/>
        <w:gridCol w:w="1702"/>
        <w:gridCol w:w="922"/>
        <w:gridCol w:w="1316"/>
      </w:tblGrid>
      <w:tr>
        <w:trPr>
          <w:trHeight w:val="418" w:hRule="exact"/>
        </w:trPr>
        <w:tc>
          <w:tcPr>
            <w:tcW w:w="22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9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6" w:hRule="exact"/>
        </w:trPr>
        <w:tc>
          <w:tcPr>
            <w:tcW w:w="2249"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10" w:hRule="exact"/>
        </w:trPr>
        <w:tc>
          <w:tcPr>
            <w:tcW w:w="2249"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16" w:type="dxa"/>
            <w:vMerge/>
            <w:tcBorders>
              <w:left w:val="single" w:sz="4" w:space="0" w:color="000000"/>
              <w:bottom w:val="single" w:sz="4" w:space="0" w:color="000000"/>
              <w:right w:val="nil" w:sz="6" w:space="0" w:color="auto"/>
            </w:tcBorders>
          </w:tcPr>
          <w:p>
            <w:pPr/>
          </w:p>
        </w:tc>
      </w:tr>
      <w:tr>
        <w:trPr>
          <w:trHeight w:val="70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63"/>
              <w:ind w:left="55" w:right="36"/>
              <w:jc w:val="left"/>
              <w:rPr>
                <w:rFonts w:ascii="宋体" w:hAnsi="宋体" w:cs="宋体" w:eastAsia="宋体" w:hint="default"/>
                <w:sz w:val="18"/>
                <w:szCs w:val="18"/>
              </w:rPr>
            </w:pPr>
            <w:r>
              <w:rPr>
                <w:rFonts w:ascii="宋体" w:hAnsi="宋体" w:cs="宋体" w:eastAsia="宋体" w:hint="default"/>
                <w:spacing w:val="15"/>
                <w:sz w:val="18"/>
                <w:szCs w:val="18"/>
              </w:rPr>
              <w:t>单项金额重大并单项计提</w:t>
            </w:r>
            <w:r>
              <w:rPr>
                <w:rFonts w:ascii="宋体" w:hAnsi="宋体" w:cs="宋体" w:eastAsia="宋体" w:hint="default"/>
                <w:sz w:val="18"/>
                <w:szCs w:val="18"/>
              </w:rPr>
              <w:t> 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7,815,311.39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10.65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7,815,311.39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100.00</w:t>
            </w: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66"/>
              <w:ind w:left="55" w:right="36"/>
              <w:jc w:val="left"/>
              <w:rPr>
                <w:rFonts w:ascii="宋体" w:hAnsi="宋体" w:cs="宋体" w:eastAsia="宋体" w:hint="default"/>
                <w:sz w:val="18"/>
                <w:szCs w:val="18"/>
              </w:rPr>
            </w:pPr>
            <w:r>
              <w:rPr>
                <w:rFonts w:ascii="宋体" w:hAnsi="宋体" w:cs="宋体" w:eastAsia="宋体" w:hint="default"/>
                <w:spacing w:val="15"/>
                <w:sz w:val="18"/>
                <w:szCs w:val="18"/>
              </w:rPr>
              <w:t>按信用风险特征组合计提</w:t>
            </w:r>
            <w:r>
              <w:rPr>
                <w:rFonts w:ascii="宋体" w:hAnsi="宋体" w:cs="宋体" w:eastAsia="宋体" w:hint="default"/>
                <w:sz w:val="18"/>
                <w:szCs w:val="18"/>
              </w:rPr>
              <w:t> 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63,238,539.53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86.20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12,785.35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z w:val="18"/>
              </w:rPr>
              <w:t>0.02</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 w:right="0"/>
              <w:jc w:val="center"/>
              <w:rPr>
                <w:rFonts w:ascii="宋体" w:hAnsi="宋体" w:cs="宋体" w:eastAsia="宋体" w:hint="default"/>
                <w:sz w:val="18"/>
                <w:szCs w:val="18"/>
              </w:rPr>
            </w:pPr>
            <w:r>
              <w:rPr>
                <w:rFonts w:ascii="宋体"/>
                <w:sz w:val="18"/>
              </w:rPr>
              <w:t>63,225,754.18</w:t>
            </w:r>
          </w:p>
        </w:tc>
      </w:tr>
      <w:tr>
        <w:trPr>
          <w:trHeight w:val="71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309" w:lineRule="auto" w:before="63"/>
              <w:ind w:left="55" w:right="36"/>
              <w:jc w:val="left"/>
              <w:rPr>
                <w:rFonts w:ascii="宋体" w:hAnsi="宋体" w:cs="宋体" w:eastAsia="宋体" w:hint="default"/>
                <w:sz w:val="18"/>
                <w:szCs w:val="18"/>
              </w:rPr>
            </w:pPr>
            <w:r>
              <w:rPr>
                <w:rFonts w:ascii="宋体" w:hAnsi="宋体" w:cs="宋体" w:eastAsia="宋体" w:hint="default"/>
                <w:spacing w:val="15"/>
                <w:sz w:val="18"/>
                <w:szCs w:val="18"/>
              </w:rPr>
              <w:t>单项金额不重大但单项计</w:t>
            </w:r>
            <w:r>
              <w:rPr>
                <w:rFonts w:ascii="宋体" w:hAnsi="宋体" w:cs="宋体" w:eastAsia="宋体" w:hint="default"/>
                <w:sz w:val="18"/>
                <w:szCs w:val="18"/>
              </w:rPr>
              <w:t> 提坏账准备的其他应收款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2,312,204.61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sz w:val="18"/>
              </w:rPr>
              <w:t>3.15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2,312,204.61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100.00</w:t>
            </w: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2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53"/>
              <w:jc w:val="right"/>
              <w:rPr>
                <w:rFonts w:ascii="宋体" w:hAnsi="宋体" w:cs="宋体" w:eastAsia="宋体" w:hint="default"/>
                <w:sz w:val="18"/>
                <w:szCs w:val="18"/>
              </w:rPr>
            </w:pPr>
            <w:r>
              <w:rPr>
                <w:rFonts w:ascii="宋体"/>
                <w:b/>
                <w:w w:val="95"/>
                <w:sz w:val="18"/>
              </w:rPr>
              <w:t>73,366,055.53</w:t>
            </w:r>
            <w:r>
              <w:rPr>
                <w:rFonts w:ascii="宋体"/>
                <w:sz w:val="18"/>
              </w:rPr>
            </w:r>
          </w:p>
        </w:tc>
        <w:tc>
          <w:tcPr>
            <w:tcW w:w="850"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34"/>
              <w:jc w:val="right"/>
              <w:rPr>
                <w:rFonts w:ascii="宋体" w:hAnsi="宋体" w:cs="宋体" w:eastAsia="宋体" w:hint="default"/>
                <w:sz w:val="18"/>
                <w:szCs w:val="18"/>
              </w:rPr>
            </w:pPr>
            <w:r>
              <w:rPr>
                <w:rFonts w:ascii="宋体"/>
                <w:b/>
                <w:w w:val="95"/>
                <w:sz w:val="18"/>
              </w:rPr>
              <w:t>10,140,301.35</w:t>
            </w:r>
            <w:r>
              <w:rPr>
                <w:rFonts w:ascii="宋体"/>
                <w:sz w:val="18"/>
              </w:rPr>
            </w:r>
          </w:p>
        </w:tc>
        <w:tc>
          <w:tcPr>
            <w:tcW w:w="922" w:type="dxa"/>
            <w:tcBorders>
              <w:top w:val="single" w:sz="4" w:space="0" w:color="000000"/>
              <w:left w:val="single" w:sz="4" w:space="0" w:color="000000"/>
              <w:bottom w:val="single" w:sz="12" w:space="0" w:color="000000"/>
              <w:right w:val="single" w:sz="4" w:space="0" w:color="000000"/>
            </w:tcBorders>
          </w:tcPr>
          <w:p>
            <w:pPr/>
          </w:p>
        </w:tc>
        <w:tc>
          <w:tcPr>
            <w:tcW w:w="13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left="50" w:right="0"/>
              <w:jc w:val="center"/>
              <w:rPr>
                <w:rFonts w:ascii="宋体" w:hAnsi="宋体" w:cs="宋体" w:eastAsia="宋体" w:hint="default"/>
                <w:sz w:val="18"/>
                <w:szCs w:val="18"/>
              </w:rPr>
            </w:pPr>
            <w:r>
              <w:rPr>
                <w:rFonts w:ascii="宋体"/>
                <w:b/>
                <w:sz w:val="18"/>
              </w:rPr>
              <w:t>63,225,754.18</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79" w:right="0"/>
        <w:jc w:val="left"/>
      </w:pPr>
      <w:r>
        <w:rPr>
          <w:rFonts w:ascii="宋体" w:hAnsi="宋体" w:cs="宋体" w:eastAsia="宋体" w:hint="default"/>
        </w:rPr>
        <w:t>1</w:t>
      </w:r>
      <w:r>
        <w:rPr/>
        <w:t>）年末单项金额重大并单独计提坏账准备的其他应收款</w:t>
      </w:r>
    </w:p>
    <w:p>
      <w:pPr>
        <w:spacing w:after="0" w:line="240" w:lineRule="auto"/>
        <w:jc w:val="left"/>
        <w:sectPr>
          <w:footerReference w:type="default" r:id="rId73"/>
          <w:pgSz w:w="11910" w:h="16840"/>
          <w:pgMar w:footer="980" w:header="0" w:top="1600" w:bottom="1160" w:left="1460" w:right="1420"/>
          <w:pgNumType w:start="110"/>
        </w:sectPr>
      </w:pPr>
    </w:p>
    <w:p>
      <w:pPr>
        <w:spacing w:line="240" w:lineRule="auto" w:before="3"/>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3277"/>
        <w:gridCol w:w="1406"/>
        <w:gridCol w:w="1306"/>
        <w:gridCol w:w="1063"/>
        <w:gridCol w:w="1646"/>
      </w:tblGrid>
      <w:tr>
        <w:trPr>
          <w:trHeight w:val="413" w:hRule="exact"/>
        </w:trPr>
        <w:tc>
          <w:tcPr>
            <w:tcW w:w="327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42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right="16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706" w:hRule="exact"/>
        </w:trPr>
        <w:tc>
          <w:tcPr>
            <w:tcW w:w="3277" w:type="dxa"/>
            <w:vMerge/>
            <w:tcBorders>
              <w:left w:val="nil" w:sz="6" w:space="0" w:color="auto"/>
              <w:bottom w:val="single" w:sz="2" w:space="0" w:color="000000"/>
              <w:right w:val="single" w:sz="2" w:space="0" w:color="000000"/>
            </w:tcBorders>
          </w:tcPr>
          <w:p>
            <w:pP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59"/>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1" w:hRule="exact"/>
        </w:trPr>
        <w:tc>
          <w:tcPr>
            <w:tcW w:w="32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北京科迪迅通科技有限公司</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15" w:right="0"/>
              <w:jc w:val="left"/>
              <w:rPr>
                <w:rFonts w:ascii="宋体" w:hAnsi="宋体" w:cs="宋体" w:eastAsia="宋体" w:hint="default"/>
                <w:sz w:val="18"/>
                <w:szCs w:val="18"/>
              </w:rPr>
            </w:pPr>
            <w:r>
              <w:rPr>
                <w:rFonts w:ascii="宋体"/>
                <w:sz w:val="18"/>
              </w:rPr>
              <w:t>4,583,849.40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sz w:val="18"/>
              </w:rPr>
              <w:t>4,583,849.40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6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3" w:hRule="exact"/>
        </w:trPr>
        <w:tc>
          <w:tcPr>
            <w:tcW w:w="32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深圳市桑夏高科技股份有限公司</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215" w:right="0"/>
              <w:jc w:val="left"/>
              <w:rPr>
                <w:rFonts w:ascii="宋体" w:hAnsi="宋体" w:cs="宋体" w:eastAsia="宋体" w:hint="default"/>
                <w:sz w:val="18"/>
                <w:szCs w:val="18"/>
              </w:rPr>
            </w:pPr>
            <w:r>
              <w:rPr>
                <w:rFonts w:ascii="宋体"/>
                <w:sz w:val="18"/>
              </w:rPr>
              <w:t>2,035,219.99</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0" w:right="0"/>
              <w:jc w:val="center"/>
              <w:rPr>
                <w:rFonts w:ascii="宋体" w:hAnsi="宋体" w:cs="宋体" w:eastAsia="宋体" w:hint="default"/>
                <w:sz w:val="18"/>
                <w:szCs w:val="18"/>
              </w:rPr>
            </w:pPr>
            <w:r>
              <w:rPr>
                <w:rFonts w:ascii="宋体"/>
                <w:sz w:val="18"/>
              </w:rPr>
              <w:t>2,035,219.99</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pacing w:val="-1"/>
                <w:sz w:val="18"/>
              </w:rPr>
              <w:t>100.00</w:t>
            </w: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6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1" w:hRule="exact"/>
        </w:trPr>
        <w:tc>
          <w:tcPr>
            <w:tcW w:w="32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山西三益网立信信息有限责任公司</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215" w:right="0"/>
              <w:jc w:val="left"/>
              <w:rPr>
                <w:rFonts w:ascii="宋体" w:hAnsi="宋体" w:cs="宋体" w:eastAsia="宋体" w:hint="default"/>
                <w:sz w:val="18"/>
                <w:szCs w:val="18"/>
              </w:rPr>
            </w:pPr>
            <w:r>
              <w:rPr>
                <w:rFonts w:ascii="宋体"/>
                <w:sz w:val="18"/>
              </w:rPr>
              <w:t>1,196,242.00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sz w:val="18"/>
              </w:rPr>
              <w:t>1,196,242.00</w:t>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pacing w:val="-1"/>
                <w:sz w:val="18"/>
              </w:rPr>
              <w:t>100.00</w:t>
            </w: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60"/>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15" w:hRule="exact"/>
        </w:trPr>
        <w:tc>
          <w:tcPr>
            <w:tcW w:w="32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left="206" w:right="0"/>
              <w:jc w:val="left"/>
              <w:rPr>
                <w:rFonts w:ascii="宋体" w:hAnsi="宋体" w:cs="宋体" w:eastAsia="宋体" w:hint="default"/>
                <w:sz w:val="18"/>
                <w:szCs w:val="18"/>
              </w:rPr>
            </w:pPr>
            <w:r>
              <w:rPr>
                <w:rFonts w:ascii="宋体"/>
                <w:b/>
                <w:sz w:val="18"/>
              </w:rPr>
              <w:t>7,815,311.39</w:t>
            </w:r>
            <w:r>
              <w:rPr>
                <w:rFonts w:ascii="宋体"/>
                <w:sz w:val="18"/>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b/>
                <w:sz w:val="18"/>
              </w:rPr>
              <w:t>7,815,311.39</w:t>
            </w:r>
            <w:r>
              <w:rPr>
                <w:rFonts w:ascii="宋体"/>
                <w:sz w:val="18"/>
              </w:rPr>
            </w:r>
          </w:p>
        </w:tc>
        <w:tc>
          <w:tcPr>
            <w:tcW w:w="1063" w:type="dxa"/>
            <w:tcBorders>
              <w:top w:val="single" w:sz="2" w:space="0" w:color="000000"/>
              <w:left w:val="single" w:sz="2" w:space="0" w:color="000000"/>
              <w:bottom w:val="single" w:sz="12" w:space="0" w:color="000000"/>
              <w:right w:val="single" w:sz="2" w:space="0" w:color="000000"/>
            </w:tcBorders>
          </w:tcPr>
          <w:p>
            <w:pPr/>
          </w:p>
        </w:tc>
        <w:tc>
          <w:tcPr>
            <w:tcW w:w="164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99" w:right="0"/>
        <w:jc w:val="left"/>
      </w:pPr>
      <w:r>
        <w:rPr>
          <w:rFonts w:ascii="宋体" w:hAnsi="宋体" w:cs="宋体" w:eastAsia="宋体" w:hint="default"/>
        </w:rPr>
        <w:t>2</w:t>
      </w:r>
      <w:r>
        <w:rPr/>
        <w:t>）组合中，按账龄分析法计提坏账准备的其他应收款</w:t>
      </w:r>
    </w:p>
    <w:p>
      <w:pPr>
        <w:spacing w:line="240" w:lineRule="auto" w:before="8"/>
        <w:rPr>
          <w:rFonts w:ascii="宋体" w:hAnsi="宋体" w:cs="宋体" w:eastAsia="宋体" w:hint="default"/>
          <w:sz w:val="6"/>
          <w:szCs w:val="6"/>
        </w:rPr>
      </w:pPr>
    </w:p>
    <w:tbl>
      <w:tblPr>
        <w:tblW w:w="0" w:type="auto"/>
        <w:jc w:val="left"/>
        <w:tblInd w:w="223" w:type="dxa"/>
        <w:tblLayout w:type="fixed"/>
        <w:tblCellMar>
          <w:top w:w="0" w:type="dxa"/>
          <w:left w:w="0" w:type="dxa"/>
          <w:bottom w:w="0" w:type="dxa"/>
          <w:right w:w="0" w:type="dxa"/>
        </w:tblCellMar>
        <w:tblLook w:val="01E0"/>
      </w:tblPr>
      <w:tblGrid>
        <w:gridCol w:w="2897"/>
        <w:gridCol w:w="1940"/>
        <w:gridCol w:w="1846"/>
        <w:gridCol w:w="1856"/>
      </w:tblGrid>
      <w:tr>
        <w:trPr>
          <w:trHeight w:val="418" w:hRule="exact"/>
        </w:trPr>
        <w:tc>
          <w:tcPr>
            <w:tcW w:w="2897"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564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6" w:hRule="exact"/>
        </w:trPr>
        <w:tc>
          <w:tcPr>
            <w:tcW w:w="2897"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3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6"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6" w:right="0"/>
              <w:jc w:val="left"/>
              <w:rPr>
                <w:rFonts w:ascii="宋体" w:hAnsi="宋体" w:cs="宋体" w:eastAsia="宋体" w:hint="default"/>
                <w:sz w:val="18"/>
                <w:szCs w:val="18"/>
              </w:rPr>
            </w:pPr>
            <w:r>
              <w:rPr>
                <w:rFonts w:ascii="宋体"/>
                <w:sz w:val="18"/>
              </w:rPr>
              <w:t>101,004,344.07</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8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left="556" w:right="0"/>
              <w:jc w:val="left"/>
              <w:rPr>
                <w:rFonts w:ascii="宋体" w:hAnsi="宋体" w:cs="宋体" w:eastAsia="宋体" w:hint="default"/>
                <w:sz w:val="18"/>
                <w:szCs w:val="18"/>
              </w:rPr>
            </w:pPr>
            <w:r>
              <w:rPr>
                <w:rFonts w:ascii="宋体"/>
                <w:b/>
                <w:sz w:val="18"/>
              </w:rPr>
              <w:t>101,004,344.07</w:t>
            </w:r>
            <w:r>
              <w:rPr>
                <w:rFonts w:ascii="宋体"/>
                <w:sz w:val="18"/>
              </w:rPr>
            </w:r>
          </w:p>
        </w:tc>
        <w:tc>
          <w:tcPr>
            <w:tcW w:w="1846" w:type="dxa"/>
            <w:tcBorders>
              <w:top w:val="single" w:sz="4" w:space="0" w:color="000000"/>
              <w:left w:val="single" w:sz="4" w:space="0" w:color="000000"/>
              <w:bottom w:val="single" w:sz="12" w:space="0" w:color="000000"/>
              <w:right w:val="single" w:sz="4" w:space="0" w:color="000000"/>
            </w:tcBorders>
          </w:tcPr>
          <w:p>
            <w:pPr/>
          </w:p>
        </w:tc>
        <w:tc>
          <w:tcPr>
            <w:tcW w:w="18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99" w:right="0"/>
        <w:jc w:val="left"/>
      </w:pPr>
      <w:r>
        <w:rPr/>
        <w:t>（</w:t>
      </w:r>
      <w:r>
        <w:rPr>
          <w:rFonts w:ascii="宋体" w:hAnsi="宋体" w:cs="宋体" w:eastAsia="宋体" w:hint="default"/>
        </w:rPr>
        <w:t>2</w:t>
      </w:r>
      <w:r>
        <w:rPr/>
        <w:t>）本年计提、转回（或收回）坏账准备情况</w:t>
      </w:r>
    </w:p>
    <w:p>
      <w:pPr>
        <w:pStyle w:val="Heading7"/>
        <w:spacing w:line="326" w:lineRule="auto" w:before="180"/>
        <w:ind w:left="360" w:right="382" w:firstLine="439"/>
        <w:jc w:val="left"/>
      </w:pPr>
      <w:r>
        <w:rPr/>
        <w:t>本年计提坏账准备金额</w:t>
      </w:r>
      <w:r>
        <w:rPr>
          <w:spacing w:val="-54"/>
        </w:rPr>
        <w:t> </w:t>
      </w:r>
      <w:r>
        <w:rPr>
          <w:rFonts w:ascii="宋体" w:hAnsi="宋体" w:cs="宋体" w:eastAsia="宋体" w:hint="default"/>
        </w:rPr>
        <w:t>130,000.00</w:t>
      </w:r>
      <w:r>
        <w:rPr>
          <w:rFonts w:ascii="宋体" w:hAnsi="宋体" w:cs="宋体" w:eastAsia="宋体" w:hint="default"/>
          <w:spacing w:val="-57"/>
        </w:rPr>
        <w:t> </w:t>
      </w:r>
      <w:r>
        <w:rPr/>
        <w:t>元；本年收回或转回坏账准备金额</w:t>
      </w:r>
      <w:r>
        <w:rPr>
          <w:spacing w:val="-54"/>
        </w:rPr>
        <w:t> </w:t>
      </w:r>
      <w:r>
        <w:rPr>
          <w:rFonts w:ascii="宋体" w:hAnsi="宋体" w:cs="宋体" w:eastAsia="宋体" w:hint="default"/>
        </w:rPr>
        <w:t>831,389.17</w:t>
      </w:r>
      <w:r>
        <w:rPr>
          <w:rFonts w:ascii="宋体" w:hAnsi="宋体" w:cs="宋体" w:eastAsia="宋体" w:hint="default"/>
          <w:w w:val="100"/>
        </w:rPr>
        <w:t> </w:t>
      </w:r>
      <w:r>
        <w:rPr/>
        <w:t>元。</w:t>
      </w:r>
    </w:p>
    <w:p>
      <w:pPr>
        <w:pStyle w:val="Heading7"/>
        <w:spacing w:line="240" w:lineRule="auto" w:before="101"/>
        <w:ind w:left="799" w:right="0"/>
        <w:jc w:val="left"/>
      </w:pPr>
      <w:r>
        <w:rPr/>
        <w:t>其中本年坏账准备转回或收回金额重要的：</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003"/>
        <w:gridCol w:w="2549"/>
        <w:gridCol w:w="1416"/>
        <w:gridCol w:w="1798"/>
      </w:tblGrid>
      <w:tr>
        <w:trPr>
          <w:trHeight w:val="718" w:hRule="exact"/>
        </w:trPr>
        <w:tc>
          <w:tcPr>
            <w:tcW w:w="30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本年转回（或收回）金额</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c>
          <w:tcPr>
            <w:tcW w:w="1798"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63"/>
              <w:ind w:left="715" w:right="61" w:hanging="611"/>
              <w:jc w:val="left"/>
              <w:rPr>
                <w:rFonts w:ascii="宋体" w:hAnsi="宋体" w:cs="宋体" w:eastAsia="宋体" w:hint="default"/>
                <w:sz w:val="18"/>
                <w:szCs w:val="18"/>
              </w:rPr>
            </w:pPr>
            <w:r>
              <w:rPr>
                <w:rFonts w:ascii="宋体" w:hAnsi="宋体" w:cs="宋体" w:eastAsia="宋体" w:hint="default"/>
                <w:b/>
                <w:bCs/>
                <w:sz w:val="18"/>
                <w:szCs w:val="18"/>
              </w:rPr>
              <w:t>本年转回（或收回）</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01"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深圳市纳维德科技有限公司</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617,018.64</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45"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535" w:right="0"/>
              <w:jc w:val="left"/>
              <w:rPr>
                <w:rFonts w:ascii="宋体" w:hAnsi="宋体" w:cs="宋体" w:eastAsia="宋体" w:hint="default"/>
                <w:sz w:val="18"/>
                <w:szCs w:val="18"/>
              </w:rPr>
            </w:pPr>
            <w:r>
              <w:rPr>
                <w:rFonts w:ascii="宋体" w:hAnsi="宋体" w:cs="宋体" w:eastAsia="宋体" w:hint="default"/>
                <w:sz w:val="18"/>
                <w:szCs w:val="18"/>
              </w:rPr>
              <w:t>诉讼收回</w:t>
            </w:r>
          </w:p>
        </w:tc>
      </w:tr>
      <w:tr>
        <w:trPr>
          <w:trHeight w:val="401" w:hRule="exact"/>
        </w:trPr>
        <w:tc>
          <w:tcPr>
            <w:tcW w:w="30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杭州华奕通讯有限公司</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214,370.53</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345" w:right="0"/>
              <w:jc w:val="left"/>
              <w:rPr>
                <w:rFonts w:ascii="宋体" w:hAnsi="宋体" w:cs="宋体" w:eastAsia="宋体" w:hint="default"/>
                <w:sz w:val="18"/>
                <w:szCs w:val="18"/>
              </w:rPr>
            </w:pPr>
            <w:r>
              <w:rPr>
                <w:rFonts w:ascii="宋体" w:hAnsi="宋体" w:cs="宋体" w:eastAsia="宋体" w:hint="default"/>
                <w:sz w:val="18"/>
                <w:szCs w:val="18"/>
              </w:rPr>
              <w:t>银行收款</w:t>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left="535" w:right="0"/>
              <w:jc w:val="left"/>
              <w:rPr>
                <w:rFonts w:ascii="宋体" w:hAnsi="宋体" w:cs="宋体" w:eastAsia="宋体" w:hint="default"/>
                <w:sz w:val="18"/>
                <w:szCs w:val="18"/>
              </w:rPr>
            </w:pPr>
            <w:r>
              <w:rPr>
                <w:rFonts w:ascii="宋体" w:hAnsi="宋体" w:cs="宋体" w:eastAsia="宋体" w:hint="default"/>
                <w:sz w:val="18"/>
                <w:szCs w:val="18"/>
              </w:rPr>
              <w:t>诉讼收回</w:t>
            </w:r>
          </w:p>
        </w:tc>
      </w:tr>
      <w:tr>
        <w:trPr>
          <w:trHeight w:val="415" w:hRule="exact"/>
        </w:trPr>
        <w:tc>
          <w:tcPr>
            <w:tcW w:w="30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b/>
                <w:w w:val="95"/>
                <w:sz w:val="18"/>
              </w:rPr>
              <w:t>831,389.17</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179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7"/>
        <w:spacing w:line="240" w:lineRule="auto"/>
        <w:ind w:left="799" w:right="0"/>
        <w:jc w:val="left"/>
      </w:pPr>
      <w:r>
        <w:rPr/>
        <w:t>注：原确定坏账的原因主要为预计客户无法支付货款。</w:t>
      </w:r>
    </w:p>
    <w:p>
      <w:pPr>
        <w:pStyle w:val="Heading7"/>
        <w:spacing w:line="240" w:lineRule="auto" w:before="180"/>
        <w:ind w:left="799" w:right="0"/>
        <w:jc w:val="left"/>
      </w:pPr>
      <w:r>
        <w:rPr/>
        <w:t>（</w:t>
      </w:r>
      <w:r>
        <w:rPr>
          <w:rFonts w:ascii="宋体" w:hAnsi="宋体" w:cs="宋体" w:eastAsia="宋体" w:hint="default"/>
        </w:rPr>
        <w:t>3</w:t>
      </w:r>
      <w:r>
        <w:rPr/>
        <w:t>）本年度无实际核销的其他应收款。</w:t>
      </w:r>
    </w:p>
    <w:p>
      <w:pPr>
        <w:pStyle w:val="Heading7"/>
        <w:spacing w:line="240" w:lineRule="auto" w:before="180"/>
        <w:ind w:left="799" w:right="0"/>
        <w:jc w:val="left"/>
      </w:pPr>
      <w:r>
        <w:rPr/>
        <w:t>（</w:t>
      </w:r>
      <w:r>
        <w:rPr>
          <w:rFonts w:ascii="宋体" w:hAnsi="宋体" w:cs="宋体" w:eastAsia="宋体" w:hint="default"/>
        </w:rPr>
        <w:t>4</w:t>
      </w:r>
      <w:r>
        <w:rPr/>
        <w:t>）其他应收款按款项性质分类情况</w:t>
      </w:r>
    </w:p>
    <w:p>
      <w:pPr>
        <w:spacing w:line="240" w:lineRule="auto" w:before="8"/>
        <w:rPr>
          <w:rFonts w:ascii="宋体" w:hAnsi="宋体" w:cs="宋体" w:eastAsia="宋体" w:hint="default"/>
          <w:sz w:val="6"/>
          <w:szCs w:val="6"/>
        </w:rPr>
      </w:pPr>
    </w:p>
    <w:tbl>
      <w:tblPr>
        <w:tblW w:w="0" w:type="auto"/>
        <w:jc w:val="left"/>
        <w:tblInd w:w="223" w:type="dxa"/>
        <w:tblLayout w:type="fixed"/>
        <w:tblCellMar>
          <w:top w:w="0" w:type="dxa"/>
          <w:left w:w="0" w:type="dxa"/>
          <w:bottom w:w="0" w:type="dxa"/>
          <w:right w:w="0" w:type="dxa"/>
        </w:tblCellMar>
        <w:tblLook w:val="01E0"/>
      </w:tblPr>
      <w:tblGrid>
        <w:gridCol w:w="2938"/>
        <w:gridCol w:w="2849"/>
        <w:gridCol w:w="2751"/>
      </w:tblGrid>
      <w:tr>
        <w:trPr>
          <w:trHeight w:val="415" w:hRule="exact"/>
        </w:trPr>
        <w:tc>
          <w:tcPr>
            <w:tcW w:w="29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8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5"/>
              <w:ind w:left="878"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27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5"/>
              <w:ind w:left="830"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401" w:hRule="exact"/>
        </w:trPr>
        <w:tc>
          <w:tcPr>
            <w:tcW w:w="29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73,788,385.11</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37,799,212.51</w:t>
            </w:r>
          </w:p>
        </w:tc>
      </w:tr>
      <w:tr>
        <w:trPr>
          <w:trHeight w:val="401" w:hRule="exact"/>
        </w:trPr>
        <w:tc>
          <w:tcPr>
            <w:tcW w:w="29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9,536,918.82</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3,548,316.14</w:t>
            </w:r>
          </w:p>
        </w:tc>
      </w:tr>
      <w:tr>
        <w:trPr>
          <w:trHeight w:val="404" w:hRule="exact"/>
        </w:trPr>
        <w:tc>
          <w:tcPr>
            <w:tcW w:w="29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5,278,300.96</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6"/>
              <w:jc w:val="right"/>
              <w:rPr>
                <w:rFonts w:ascii="宋体" w:hAnsi="宋体" w:cs="宋体" w:eastAsia="宋体" w:hint="default"/>
                <w:sz w:val="18"/>
                <w:szCs w:val="18"/>
              </w:rPr>
            </w:pPr>
            <w:r>
              <w:rPr>
                <w:rFonts w:ascii="宋体"/>
                <w:spacing w:val="-1"/>
                <w:sz w:val="18"/>
              </w:rPr>
              <w:t>8,048,586.00</w:t>
            </w:r>
          </w:p>
        </w:tc>
      </w:tr>
      <w:tr>
        <w:trPr>
          <w:trHeight w:val="401" w:hRule="exact"/>
        </w:trPr>
        <w:tc>
          <w:tcPr>
            <w:tcW w:w="29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租赁款</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4,429,070.72</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5,835,464.88</w:t>
            </w:r>
          </w:p>
        </w:tc>
      </w:tr>
      <w:tr>
        <w:trPr>
          <w:trHeight w:val="401" w:hRule="exact"/>
        </w:trPr>
        <w:tc>
          <w:tcPr>
            <w:tcW w:w="29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556,890.00</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380,890.00</w:t>
            </w:r>
          </w:p>
        </w:tc>
      </w:tr>
      <w:tr>
        <w:trPr>
          <w:trHeight w:val="401" w:hRule="exact"/>
        </w:trPr>
        <w:tc>
          <w:tcPr>
            <w:tcW w:w="29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其他业务往来</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03"/>
              <w:jc w:val="right"/>
              <w:rPr>
                <w:rFonts w:ascii="宋体" w:hAnsi="宋体" w:cs="宋体" w:eastAsia="宋体" w:hint="default"/>
                <w:sz w:val="18"/>
                <w:szCs w:val="18"/>
              </w:rPr>
            </w:pPr>
            <w:r>
              <w:rPr>
                <w:rFonts w:ascii="宋体"/>
                <w:spacing w:val="-1"/>
                <w:sz w:val="18"/>
              </w:rPr>
              <w:t>16,853,690.64</w:t>
            </w:r>
          </w:p>
        </w:tc>
        <w:tc>
          <w:tcPr>
            <w:tcW w:w="2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spacing w:val="-1"/>
                <w:sz w:val="18"/>
              </w:rPr>
              <w:t>17,753,586.00</w:t>
            </w:r>
          </w:p>
        </w:tc>
      </w:tr>
      <w:tr>
        <w:trPr>
          <w:trHeight w:val="415" w:hRule="exact"/>
        </w:trPr>
        <w:tc>
          <w:tcPr>
            <w:tcW w:w="29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b/>
                <w:w w:val="95"/>
                <w:sz w:val="18"/>
              </w:rPr>
              <w:t>110,443,256.25</w:t>
            </w:r>
            <w:r>
              <w:rPr>
                <w:rFonts w:ascii="宋体"/>
                <w:sz w:val="18"/>
              </w:rPr>
            </w:r>
          </w:p>
        </w:tc>
        <w:tc>
          <w:tcPr>
            <w:tcW w:w="27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106"/>
              <w:jc w:val="right"/>
              <w:rPr>
                <w:rFonts w:ascii="宋体" w:hAnsi="宋体" w:cs="宋体" w:eastAsia="宋体" w:hint="default"/>
                <w:sz w:val="18"/>
                <w:szCs w:val="18"/>
              </w:rPr>
            </w:pPr>
            <w:r>
              <w:rPr>
                <w:rFonts w:ascii="宋体"/>
                <w:b/>
                <w:w w:val="95"/>
                <w:sz w:val="18"/>
              </w:rPr>
              <w:t>73,366,055.53</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799" w:right="0"/>
        <w:jc w:val="left"/>
      </w:pPr>
      <w:r>
        <w:rPr/>
        <w:t>（</w:t>
      </w:r>
      <w:r>
        <w:rPr>
          <w:rFonts w:ascii="宋体" w:hAnsi="宋体" w:cs="宋体" w:eastAsia="宋体" w:hint="default"/>
        </w:rPr>
        <w:t>5</w:t>
      </w:r>
      <w:r>
        <w:rPr/>
        <w:t>）按欠款方归集的年末余额前五名的其他应收款情况：</w:t>
      </w:r>
    </w:p>
    <w:p>
      <w:pPr>
        <w:spacing w:after="0" w:line="240" w:lineRule="auto"/>
        <w:jc w:val="left"/>
        <w:sectPr>
          <w:footerReference w:type="default" r:id="rId74"/>
          <w:pgSz w:w="11910" w:h="16840"/>
          <w:pgMar w:footer="980" w:header="0" w:top="1600" w:bottom="1160" w:left="1440" w:right="1400"/>
          <w:pgNumType w:start="111"/>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895"/>
        <w:gridCol w:w="1082"/>
        <w:gridCol w:w="1352"/>
        <w:gridCol w:w="991"/>
        <w:gridCol w:w="1385"/>
        <w:gridCol w:w="1236"/>
      </w:tblGrid>
      <w:tr>
        <w:trPr>
          <w:trHeight w:val="1014" w:hRule="exact"/>
        </w:trPr>
        <w:tc>
          <w:tcPr>
            <w:tcW w:w="289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3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0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85" w:type="dxa"/>
            <w:tcBorders>
              <w:top w:val="single" w:sz="12" w:space="0" w:color="000000"/>
              <w:left w:val="single" w:sz="2" w:space="0" w:color="000000"/>
              <w:bottom w:val="single" w:sz="2" w:space="0" w:color="000000"/>
              <w:right w:val="single" w:sz="2" w:space="0" w:color="000000"/>
            </w:tcBorders>
          </w:tcPr>
          <w:p>
            <w:pPr>
              <w:pStyle w:val="TableParagraph"/>
              <w:spacing w:line="309" w:lineRule="auto" w:before="57"/>
              <w:ind w:left="57" w:right="56"/>
              <w:jc w:val="center"/>
              <w:rPr>
                <w:rFonts w:ascii="宋体" w:hAnsi="宋体" w:cs="宋体" w:eastAsia="宋体" w:hint="default"/>
                <w:sz w:val="18"/>
                <w:szCs w:val="18"/>
              </w:rPr>
            </w:pPr>
            <w:r>
              <w:rPr>
                <w:rFonts w:ascii="宋体" w:hAnsi="宋体" w:cs="宋体" w:eastAsia="宋体" w:hint="default"/>
                <w:b/>
                <w:bCs/>
                <w:sz w:val="18"/>
                <w:szCs w:val="18"/>
              </w:rPr>
              <w:t>占其他应收款年</w:t>
            </w:r>
            <w:r>
              <w:rPr>
                <w:rFonts w:ascii="宋体" w:hAnsi="宋体" w:cs="宋体" w:eastAsia="宋体" w:hint="default"/>
                <w:b/>
                <w:bCs/>
                <w:w w:val="99"/>
                <w:sz w:val="18"/>
                <w:szCs w:val="18"/>
              </w:rPr>
              <w:t> </w:t>
            </w:r>
            <w:r>
              <w:rPr>
                <w:rFonts w:ascii="宋体" w:hAnsi="宋体" w:cs="宋体" w:eastAsia="宋体" w:hint="default"/>
                <w:b/>
                <w:bCs/>
                <w:sz w:val="18"/>
                <w:szCs w:val="18"/>
              </w:rPr>
              <w:t>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7" w:lineRule="auto"/>
              <w:ind w:left="434" w:right="75" w:hanging="363"/>
              <w:jc w:val="left"/>
              <w:rPr>
                <w:rFonts w:ascii="宋体" w:hAnsi="宋体" w:cs="宋体" w:eastAsia="宋体" w:hint="default"/>
                <w:sz w:val="18"/>
                <w:szCs w:val="18"/>
              </w:rPr>
            </w:pPr>
            <w:r>
              <w:rPr>
                <w:rFonts w:ascii="宋体" w:hAnsi="宋体" w:cs="宋体" w:eastAsia="宋体" w:hint="default"/>
                <w:b/>
                <w:bCs/>
                <w:sz w:val="18"/>
                <w:szCs w:val="18"/>
              </w:rPr>
              <w:t>坏账准备年末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403"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8,625,521.12</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t>7.81</w:t>
            </w:r>
          </w:p>
        </w:tc>
        <w:tc>
          <w:tcPr>
            <w:tcW w:w="1236"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北京科迪迅通科技有限公司</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4,583,849.40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t>4.15</w:t>
            </w:r>
          </w:p>
        </w:tc>
        <w:tc>
          <w:tcPr>
            <w:tcW w:w="12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4,583,849.40</w:t>
            </w:r>
          </w:p>
        </w:tc>
      </w:tr>
      <w:tr>
        <w:trPr>
          <w:trHeight w:val="401"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沃尔玛（中国）投资有限公司</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设备租赁款</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3,383,978.19</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t>3.07</w:t>
            </w:r>
          </w:p>
        </w:tc>
        <w:tc>
          <w:tcPr>
            <w:tcW w:w="1236"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深圳市桑夏高科技股份有限公司</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2,035,219.99</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33"/>
              <w:jc w:val="right"/>
              <w:rPr>
                <w:rFonts w:ascii="宋体" w:hAnsi="宋体" w:cs="宋体" w:eastAsia="宋体" w:hint="default"/>
                <w:sz w:val="18"/>
                <w:szCs w:val="18"/>
              </w:rPr>
            </w:pPr>
            <w:r>
              <w:rPr>
                <w:rFonts w:ascii="宋体"/>
                <w:sz w:val="18"/>
              </w:rPr>
              <w:t>1.84</w:t>
            </w:r>
          </w:p>
        </w:tc>
        <w:tc>
          <w:tcPr>
            <w:tcW w:w="12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38"/>
              <w:jc w:val="right"/>
              <w:rPr>
                <w:rFonts w:ascii="宋体" w:hAnsi="宋体" w:cs="宋体" w:eastAsia="宋体" w:hint="default"/>
                <w:sz w:val="18"/>
                <w:szCs w:val="18"/>
              </w:rPr>
            </w:pPr>
            <w:r>
              <w:rPr>
                <w:rFonts w:ascii="宋体"/>
                <w:spacing w:val="-1"/>
                <w:sz w:val="18"/>
              </w:rPr>
              <w:t>2,035,219.99</w:t>
            </w:r>
          </w:p>
        </w:tc>
      </w:tr>
      <w:tr>
        <w:trPr>
          <w:trHeight w:val="403" w:hRule="exact"/>
        </w:trPr>
        <w:tc>
          <w:tcPr>
            <w:tcW w:w="28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5"/>
              <w:ind w:left="55" w:right="0"/>
              <w:jc w:val="left"/>
              <w:rPr>
                <w:rFonts w:ascii="宋体" w:hAnsi="宋体" w:cs="宋体" w:eastAsia="宋体" w:hint="default"/>
                <w:sz w:val="18"/>
                <w:szCs w:val="18"/>
              </w:rPr>
            </w:pPr>
            <w:r>
              <w:rPr>
                <w:rFonts w:ascii="宋体" w:hAnsi="宋体" w:cs="宋体" w:eastAsia="宋体" w:hint="default"/>
                <w:sz w:val="18"/>
                <w:szCs w:val="18"/>
              </w:rPr>
              <w:t>山西三益网立信信息有限责任公司</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6"/>
              <w:jc w:val="right"/>
              <w:rPr>
                <w:rFonts w:ascii="宋体" w:hAnsi="宋体" w:cs="宋体" w:eastAsia="宋体" w:hint="default"/>
                <w:sz w:val="18"/>
                <w:szCs w:val="18"/>
              </w:rPr>
            </w:pPr>
            <w:r>
              <w:rPr>
                <w:rFonts w:ascii="宋体"/>
                <w:spacing w:val="-1"/>
                <w:sz w:val="18"/>
              </w:rPr>
              <w:t>1,196,242.00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1.08</w:t>
            </w:r>
          </w:p>
        </w:tc>
        <w:tc>
          <w:tcPr>
            <w:tcW w:w="12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38"/>
              <w:jc w:val="right"/>
              <w:rPr>
                <w:rFonts w:ascii="宋体" w:hAnsi="宋体" w:cs="宋体" w:eastAsia="宋体" w:hint="default"/>
                <w:sz w:val="18"/>
                <w:szCs w:val="18"/>
              </w:rPr>
            </w:pPr>
            <w:r>
              <w:rPr>
                <w:rFonts w:ascii="宋体"/>
                <w:spacing w:val="-1"/>
                <w:sz w:val="18"/>
              </w:rPr>
              <w:t>1,196,242.00</w:t>
            </w:r>
          </w:p>
        </w:tc>
      </w:tr>
      <w:tr>
        <w:trPr>
          <w:trHeight w:val="415" w:hRule="exact"/>
        </w:trPr>
        <w:tc>
          <w:tcPr>
            <w:tcW w:w="28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82" w:type="dxa"/>
            <w:tcBorders>
              <w:top w:val="single" w:sz="2" w:space="0" w:color="000000"/>
              <w:left w:val="single" w:sz="2" w:space="0" w:color="000000"/>
              <w:bottom w:val="single" w:sz="12" w:space="0" w:color="000000"/>
              <w:right w:val="single" w:sz="2" w:space="0" w:color="000000"/>
            </w:tcBorders>
          </w:tcPr>
          <w:p>
            <w:pPr/>
          </w:p>
        </w:tc>
        <w:tc>
          <w:tcPr>
            <w:tcW w:w="13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b/>
                <w:w w:val="95"/>
                <w:sz w:val="18"/>
              </w:rPr>
              <w:t>19,824,810.70</w:t>
            </w:r>
            <w:r>
              <w:rPr>
                <w:rFonts w:ascii="宋体"/>
                <w:sz w:val="18"/>
              </w:rPr>
            </w:r>
          </w:p>
        </w:tc>
        <w:tc>
          <w:tcPr>
            <w:tcW w:w="991"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3"/>
              <w:ind w:right="32"/>
              <w:jc w:val="right"/>
              <w:rPr>
                <w:rFonts w:ascii="宋体" w:hAnsi="宋体" w:cs="宋体" w:eastAsia="宋体" w:hint="default"/>
                <w:sz w:val="18"/>
                <w:szCs w:val="18"/>
              </w:rPr>
            </w:pPr>
            <w:r>
              <w:rPr>
                <w:rFonts w:ascii="宋体"/>
                <w:b/>
                <w:sz w:val="18"/>
              </w:rPr>
              <w:t>17.95</w:t>
            </w:r>
            <w:r>
              <w:rPr>
                <w:rFonts w:ascii="宋体"/>
                <w:sz w:val="18"/>
              </w:rPr>
            </w:r>
          </w:p>
        </w:tc>
        <w:tc>
          <w:tcPr>
            <w:tcW w:w="12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3"/>
              <w:ind w:right="38"/>
              <w:jc w:val="right"/>
              <w:rPr>
                <w:rFonts w:ascii="宋体" w:hAnsi="宋体" w:cs="宋体" w:eastAsia="宋体" w:hint="default"/>
                <w:sz w:val="18"/>
                <w:szCs w:val="18"/>
              </w:rPr>
            </w:pPr>
            <w:r>
              <w:rPr>
                <w:rFonts w:ascii="宋体"/>
                <w:b/>
                <w:w w:val="95"/>
                <w:sz w:val="18"/>
              </w:rPr>
              <w:t>7,815,311.39</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80" w:top="1600" w:bottom="1160" w:left="1360" w:right="1340"/>
        </w:sectPr>
      </w:pPr>
    </w:p>
    <w:p>
      <w:pPr>
        <w:spacing w:line="240" w:lineRule="auto" w:before="8"/>
        <w:rPr>
          <w:rFonts w:ascii="Times New Roman" w:hAnsi="Times New Roman" w:cs="Times New Roman" w:eastAsia="Times New Roman" w:hint="default"/>
          <w:sz w:val="17"/>
          <w:szCs w:val="17"/>
        </w:rPr>
      </w:pPr>
    </w:p>
    <w:p>
      <w:pPr>
        <w:pStyle w:val="Heading7"/>
        <w:spacing w:line="240" w:lineRule="auto"/>
        <w:ind w:left="599" w:right="0"/>
        <w:jc w:val="left"/>
      </w:pPr>
      <w:r>
        <w:rPr>
          <w:rFonts w:ascii="宋体" w:hAnsi="宋体" w:cs="宋体" w:eastAsia="宋体" w:hint="default"/>
        </w:rPr>
        <w:t>3</w:t>
      </w:r>
      <w:r>
        <w:rPr/>
        <w:t>、长期股权投资</w:t>
      </w:r>
    </w:p>
    <w:p>
      <w:pPr>
        <w:pStyle w:val="Heading7"/>
        <w:spacing w:line="240" w:lineRule="auto" w:before="180"/>
        <w:ind w:left="599" w:right="0"/>
        <w:jc w:val="left"/>
      </w:pPr>
      <w:r>
        <w:rPr/>
        <w:t>（</w:t>
      </w:r>
      <w:r>
        <w:rPr>
          <w:rFonts w:ascii="宋体" w:hAnsi="宋体" w:cs="宋体" w:eastAsia="宋体" w:hint="default"/>
        </w:rPr>
        <w:t>1</w:t>
      </w:r>
      <w:r>
        <w:rPr/>
        <w:t>）长期股权投资分类</w:t>
      </w:r>
    </w:p>
    <w:p>
      <w:pPr>
        <w:spacing w:line="240" w:lineRule="auto" w:before="8"/>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566"/>
        <w:gridCol w:w="2127"/>
        <w:gridCol w:w="1985"/>
        <w:gridCol w:w="1841"/>
        <w:gridCol w:w="1987"/>
        <w:gridCol w:w="1733"/>
        <w:gridCol w:w="1771"/>
      </w:tblGrid>
      <w:tr>
        <w:trPr>
          <w:trHeight w:val="523" w:hRule="exact"/>
        </w:trPr>
        <w:tc>
          <w:tcPr>
            <w:tcW w:w="256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95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549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23"/>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11" w:hRule="exact"/>
        </w:trPr>
        <w:tc>
          <w:tcPr>
            <w:tcW w:w="2566" w:type="dxa"/>
            <w:vMerge/>
            <w:tcBorders>
              <w:left w:val="nil" w:sz="6" w:space="0" w:color="auto"/>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69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628"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55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62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50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7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left="52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12"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4"/>
              <w:jc w:val="right"/>
              <w:rPr>
                <w:rFonts w:ascii="宋体" w:hAnsi="宋体" w:cs="宋体" w:eastAsia="宋体" w:hint="default"/>
                <w:sz w:val="18"/>
                <w:szCs w:val="18"/>
              </w:rPr>
            </w:pPr>
            <w:r>
              <w:rPr>
                <w:rFonts w:ascii="宋体"/>
                <w:spacing w:val="-1"/>
                <w:sz w:val="18"/>
              </w:rPr>
              <w:t>2,024,297,942.49</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614" w:right="0"/>
              <w:jc w:val="left"/>
              <w:rPr>
                <w:rFonts w:ascii="宋体" w:hAnsi="宋体" w:cs="宋体" w:eastAsia="宋体" w:hint="default"/>
                <w:sz w:val="18"/>
                <w:szCs w:val="18"/>
              </w:rPr>
            </w:pPr>
            <w:r>
              <w:rPr>
                <w:rFonts w:ascii="宋体"/>
                <w:sz w:val="18"/>
              </w:rPr>
              <w:t>150,290,281.63</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23"/>
              <w:jc w:val="right"/>
              <w:rPr>
                <w:rFonts w:ascii="宋体" w:hAnsi="宋体" w:cs="宋体" w:eastAsia="宋体" w:hint="default"/>
                <w:sz w:val="18"/>
                <w:szCs w:val="18"/>
              </w:rPr>
            </w:pPr>
            <w:r>
              <w:rPr>
                <w:rFonts w:ascii="宋体"/>
                <w:spacing w:val="-1"/>
                <w:sz w:val="18"/>
              </w:rPr>
              <w:t>1,874,007,660.86</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宋体" w:hAnsi="宋体" w:cs="宋体" w:eastAsia="宋体" w:hint="default"/>
                <w:sz w:val="18"/>
                <w:szCs w:val="18"/>
              </w:rPr>
            </w:pPr>
            <w:r>
              <w:rPr>
                <w:rFonts w:ascii="宋体"/>
                <w:spacing w:val="-1"/>
                <w:sz w:val="18"/>
              </w:rPr>
              <w:t>2,536,350,120.56</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23"/>
              <w:jc w:val="right"/>
              <w:rPr>
                <w:rFonts w:ascii="宋体" w:hAnsi="宋体" w:cs="宋体" w:eastAsia="宋体" w:hint="default"/>
                <w:sz w:val="18"/>
                <w:szCs w:val="18"/>
              </w:rPr>
            </w:pPr>
            <w:r>
              <w:rPr>
                <w:rFonts w:ascii="宋体"/>
                <w:spacing w:val="-1"/>
                <w:sz w:val="18"/>
              </w:rPr>
              <w:t>150,290,281.63</w:t>
            </w:r>
          </w:p>
        </w:tc>
        <w:tc>
          <w:tcPr>
            <w:tcW w:w="17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25"/>
              <w:jc w:val="right"/>
              <w:rPr>
                <w:rFonts w:ascii="宋体" w:hAnsi="宋体" w:cs="宋体" w:eastAsia="宋体" w:hint="default"/>
                <w:sz w:val="18"/>
                <w:szCs w:val="18"/>
              </w:rPr>
            </w:pPr>
            <w:r>
              <w:rPr>
                <w:rFonts w:ascii="宋体"/>
                <w:spacing w:val="-1"/>
                <w:sz w:val="18"/>
              </w:rPr>
              <w:t>2,386,059,838.93</w:t>
            </w:r>
          </w:p>
        </w:tc>
      </w:tr>
      <w:tr>
        <w:trPr>
          <w:trHeight w:val="511"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pacing w:val="-1"/>
                <w:sz w:val="18"/>
              </w:rPr>
              <w:t>38,686,017.78</w:t>
            </w:r>
          </w:p>
        </w:tc>
        <w:tc>
          <w:tcPr>
            <w:tcW w:w="1985"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38,686,017.78</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5"/>
              <w:jc w:val="right"/>
              <w:rPr>
                <w:rFonts w:ascii="宋体" w:hAnsi="宋体" w:cs="宋体" w:eastAsia="宋体" w:hint="default"/>
                <w:sz w:val="18"/>
                <w:szCs w:val="18"/>
              </w:rPr>
            </w:pPr>
            <w:r>
              <w:rPr>
                <w:rFonts w:ascii="宋体"/>
                <w:spacing w:val="-1"/>
                <w:sz w:val="18"/>
              </w:rPr>
              <w:t>50,867,577.46</w:t>
            </w:r>
          </w:p>
        </w:tc>
        <w:tc>
          <w:tcPr>
            <w:tcW w:w="1733"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105"/>
              <w:jc w:val="right"/>
              <w:rPr>
                <w:rFonts w:ascii="宋体" w:hAnsi="宋体" w:cs="宋体" w:eastAsia="宋体" w:hint="default"/>
                <w:sz w:val="18"/>
                <w:szCs w:val="18"/>
              </w:rPr>
            </w:pPr>
            <w:r>
              <w:rPr>
                <w:rFonts w:ascii="宋体"/>
                <w:spacing w:val="-1"/>
                <w:sz w:val="18"/>
              </w:rPr>
              <w:t>50,867,577.46</w:t>
            </w:r>
          </w:p>
        </w:tc>
      </w:tr>
      <w:tr>
        <w:trPr>
          <w:trHeight w:val="526" w:hRule="exact"/>
        </w:trPr>
        <w:tc>
          <w:tcPr>
            <w:tcW w:w="25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3"/>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b/>
                <w:w w:val="95"/>
                <w:sz w:val="18"/>
              </w:rPr>
              <w:t>2,062,983,960.27</w:t>
            </w:r>
            <w:r>
              <w:rPr>
                <w:rFonts w:ascii="宋体"/>
                <w:sz w:val="18"/>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left="604" w:right="0"/>
              <w:jc w:val="left"/>
              <w:rPr>
                <w:rFonts w:ascii="宋体" w:hAnsi="宋体" w:cs="宋体" w:eastAsia="宋体" w:hint="default"/>
                <w:sz w:val="18"/>
                <w:szCs w:val="18"/>
              </w:rPr>
            </w:pPr>
            <w:r>
              <w:rPr>
                <w:rFonts w:ascii="宋体"/>
                <w:b/>
                <w:sz w:val="18"/>
              </w:rPr>
              <w:t>150,290,281.63</w:t>
            </w:r>
            <w:r>
              <w:rPr>
                <w:rFonts w:ascii="宋体"/>
                <w:sz w:val="18"/>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02"/>
              <w:jc w:val="right"/>
              <w:rPr>
                <w:rFonts w:ascii="宋体" w:hAnsi="宋体" w:cs="宋体" w:eastAsia="宋体" w:hint="default"/>
                <w:sz w:val="18"/>
                <w:szCs w:val="18"/>
              </w:rPr>
            </w:pPr>
            <w:r>
              <w:rPr>
                <w:rFonts w:ascii="宋体"/>
                <w:b/>
                <w:w w:val="95"/>
                <w:sz w:val="18"/>
              </w:rPr>
              <w:t>1,912,693,678.64</w:t>
            </w:r>
            <w:r>
              <w:rPr>
                <w:rFonts w:ascii="宋体"/>
                <w:sz w:val="18"/>
              </w:rPr>
            </w:r>
          </w:p>
        </w:tc>
        <w:tc>
          <w:tcPr>
            <w:tcW w:w="19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06"/>
              <w:jc w:val="right"/>
              <w:rPr>
                <w:rFonts w:ascii="宋体" w:hAnsi="宋体" w:cs="宋体" w:eastAsia="宋体" w:hint="default"/>
                <w:sz w:val="18"/>
                <w:szCs w:val="18"/>
              </w:rPr>
            </w:pPr>
            <w:r>
              <w:rPr>
                <w:rFonts w:ascii="宋体"/>
                <w:b/>
                <w:w w:val="95"/>
                <w:sz w:val="18"/>
              </w:rPr>
              <w:t>2,587,217,698.02</w:t>
            </w:r>
            <w:r>
              <w:rPr>
                <w:rFonts w:ascii="宋体"/>
                <w:sz w:val="18"/>
              </w:rPr>
            </w:r>
          </w:p>
        </w:tc>
        <w:tc>
          <w:tcPr>
            <w:tcW w:w="17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b/>
                <w:w w:val="95"/>
                <w:sz w:val="18"/>
              </w:rPr>
              <w:t>150,290,281.63</w:t>
            </w:r>
            <w:r>
              <w:rPr>
                <w:rFonts w:ascii="宋体"/>
                <w:sz w:val="18"/>
              </w:rPr>
            </w:r>
          </w:p>
        </w:tc>
        <w:tc>
          <w:tcPr>
            <w:tcW w:w="17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3"/>
              <w:ind w:right="106"/>
              <w:jc w:val="right"/>
              <w:rPr>
                <w:rFonts w:ascii="宋体" w:hAnsi="宋体" w:cs="宋体" w:eastAsia="宋体" w:hint="default"/>
                <w:sz w:val="18"/>
                <w:szCs w:val="18"/>
              </w:rPr>
            </w:pPr>
            <w:r>
              <w:rPr>
                <w:rFonts w:ascii="宋体"/>
                <w:b/>
                <w:w w:val="95"/>
                <w:sz w:val="18"/>
              </w:rPr>
              <w:t>2,436,927,416.39</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599" w:right="0"/>
        <w:jc w:val="left"/>
      </w:pPr>
      <w:r>
        <w:rPr/>
        <w:t>（</w:t>
      </w:r>
      <w:r>
        <w:rPr>
          <w:rFonts w:ascii="宋体" w:hAnsi="宋体" w:cs="宋体" w:eastAsia="宋体" w:hint="default"/>
        </w:rPr>
        <w:t>2</w:t>
      </w:r>
      <w:r>
        <w:rPr/>
        <w:t>）对子公司投资</w:t>
      </w:r>
    </w:p>
    <w:p>
      <w:pPr>
        <w:spacing w:line="240" w:lineRule="auto" w:before="8"/>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843"/>
        <w:gridCol w:w="1700"/>
        <w:gridCol w:w="1418"/>
        <w:gridCol w:w="1558"/>
        <w:gridCol w:w="1560"/>
        <w:gridCol w:w="1937"/>
        <w:gridCol w:w="1994"/>
      </w:tblGrid>
      <w:tr>
        <w:trPr>
          <w:trHeight w:val="523" w:hRule="exact"/>
        </w:trPr>
        <w:tc>
          <w:tcPr>
            <w:tcW w:w="38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3"/>
              <w:ind w:left="14"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3"/>
              <w:ind w:left="48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3"/>
              <w:ind w:left="4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3"/>
              <w:ind w:left="242"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9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3"/>
              <w:ind w:left="271"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512"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30,000,000.00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3"/>
              <w:jc w:val="right"/>
              <w:rPr>
                <w:rFonts w:ascii="宋体" w:hAnsi="宋体" w:cs="宋体" w:eastAsia="宋体" w:hint="default"/>
                <w:sz w:val="18"/>
                <w:szCs w:val="18"/>
              </w:rPr>
            </w:pPr>
            <w:r>
              <w:rPr>
                <w:rFonts w:ascii="宋体"/>
                <w:spacing w:val="-1"/>
                <w:sz w:val="18"/>
              </w:rPr>
              <w:t>30,000,000.00</w:t>
            </w:r>
          </w:p>
        </w:tc>
        <w:tc>
          <w:tcPr>
            <w:tcW w:w="1937"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511"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11,130,000.00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3"/>
              <w:jc w:val="right"/>
              <w:rPr>
                <w:rFonts w:ascii="宋体" w:hAnsi="宋体" w:cs="宋体" w:eastAsia="宋体" w:hint="default"/>
                <w:sz w:val="18"/>
                <w:szCs w:val="18"/>
              </w:rPr>
            </w:pPr>
            <w:r>
              <w:rPr>
                <w:rFonts w:ascii="宋体"/>
                <w:spacing w:val="-1"/>
                <w:sz w:val="18"/>
              </w:rPr>
              <w:t>11,130,000.00</w:t>
            </w:r>
          </w:p>
        </w:tc>
        <w:tc>
          <w:tcPr>
            <w:tcW w:w="1937"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511"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7"/>
              <w:jc w:val="right"/>
              <w:rPr>
                <w:rFonts w:ascii="宋体" w:hAnsi="宋体" w:cs="宋体" w:eastAsia="宋体" w:hint="default"/>
                <w:sz w:val="18"/>
                <w:szCs w:val="18"/>
              </w:rPr>
            </w:pPr>
            <w:r>
              <w:rPr>
                <w:rFonts w:ascii="宋体"/>
                <w:spacing w:val="-1"/>
                <w:sz w:val="18"/>
              </w:rPr>
              <w:t>1,205,691,351.99</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40" w:right="0"/>
              <w:jc w:val="center"/>
              <w:rPr>
                <w:rFonts w:ascii="宋体" w:hAnsi="宋体" w:cs="宋体" w:eastAsia="宋体" w:hint="default"/>
                <w:sz w:val="18"/>
                <w:szCs w:val="18"/>
              </w:rPr>
            </w:pPr>
            <w:r>
              <w:rPr>
                <w:rFonts w:ascii="宋体"/>
                <w:sz w:val="18"/>
              </w:rPr>
              <w:t>1,157,629,023.73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3"/>
              <w:jc w:val="right"/>
              <w:rPr>
                <w:rFonts w:ascii="宋体" w:hAnsi="宋体" w:cs="宋体" w:eastAsia="宋体" w:hint="default"/>
                <w:sz w:val="18"/>
                <w:szCs w:val="18"/>
              </w:rPr>
            </w:pPr>
            <w:r>
              <w:rPr>
                <w:rFonts w:ascii="宋体"/>
                <w:spacing w:val="-1"/>
                <w:sz w:val="18"/>
              </w:rPr>
              <w:t>48,062,328.26</w:t>
            </w:r>
          </w:p>
        </w:tc>
        <w:tc>
          <w:tcPr>
            <w:tcW w:w="1937"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511"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冠捷科技有限公司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7"/>
              <w:jc w:val="right"/>
              <w:rPr>
                <w:rFonts w:ascii="宋体" w:hAnsi="宋体" w:cs="宋体" w:eastAsia="宋体" w:hint="default"/>
                <w:sz w:val="18"/>
                <w:szCs w:val="18"/>
              </w:rPr>
            </w:pPr>
            <w:r>
              <w:rPr>
                <w:rFonts w:ascii="宋体"/>
                <w:spacing w:val="-1"/>
                <w:sz w:val="18"/>
              </w:rPr>
              <w:t>1,123,238,486.94</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76" w:right="0"/>
              <w:jc w:val="center"/>
              <w:rPr>
                <w:rFonts w:ascii="宋体" w:hAnsi="宋体" w:cs="宋体" w:eastAsia="宋体" w:hint="default"/>
                <w:sz w:val="18"/>
                <w:szCs w:val="18"/>
              </w:rPr>
            </w:pPr>
            <w:r>
              <w:rPr>
                <w:rFonts w:ascii="宋体"/>
                <w:sz w:val="18"/>
              </w:rPr>
              <w:t>645,576,845.66</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4"/>
              <w:jc w:val="right"/>
              <w:rPr>
                <w:rFonts w:ascii="宋体" w:hAnsi="宋体" w:cs="宋体" w:eastAsia="宋体" w:hint="default"/>
                <w:sz w:val="18"/>
                <w:szCs w:val="18"/>
              </w:rPr>
            </w:pPr>
            <w:r>
              <w:rPr>
                <w:rFonts w:ascii="宋体"/>
                <w:spacing w:val="-1"/>
                <w:sz w:val="18"/>
              </w:rPr>
              <w:t>1,768,815,332.60</w:t>
            </w:r>
          </w:p>
        </w:tc>
        <w:tc>
          <w:tcPr>
            <w:tcW w:w="1937"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511"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8"/>
              <w:jc w:val="right"/>
              <w:rPr>
                <w:rFonts w:ascii="宋体" w:hAnsi="宋体" w:cs="宋体" w:eastAsia="宋体" w:hint="default"/>
                <w:sz w:val="18"/>
                <w:szCs w:val="18"/>
              </w:rPr>
            </w:pPr>
            <w:r>
              <w:rPr>
                <w:rFonts w:ascii="宋体"/>
                <w:spacing w:val="-1"/>
                <w:sz w:val="18"/>
              </w:rPr>
              <w:t>150,290,281.63</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5"/>
              <w:jc w:val="right"/>
              <w:rPr>
                <w:rFonts w:ascii="宋体" w:hAnsi="宋体" w:cs="宋体" w:eastAsia="宋体" w:hint="default"/>
                <w:sz w:val="18"/>
                <w:szCs w:val="18"/>
              </w:rPr>
            </w:pPr>
            <w:r>
              <w:rPr>
                <w:rFonts w:ascii="宋体"/>
                <w:spacing w:val="-1"/>
                <w:sz w:val="18"/>
              </w:rPr>
              <w:t>150,290,281.63</w:t>
            </w:r>
          </w:p>
        </w:tc>
        <w:tc>
          <w:tcPr>
            <w:tcW w:w="1937"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3"/>
              <w:ind w:right="38"/>
              <w:jc w:val="right"/>
              <w:rPr>
                <w:rFonts w:ascii="宋体" w:hAnsi="宋体" w:cs="宋体" w:eastAsia="宋体" w:hint="default"/>
                <w:sz w:val="18"/>
                <w:szCs w:val="18"/>
              </w:rPr>
            </w:pPr>
            <w:r>
              <w:rPr>
                <w:rFonts w:ascii="宋体"/>
                <w:spacing w:val="-1"/>
                <w:sz w:val="18"/>
              </w:rPr>
              <w:t>150,290,281.63</w:t>
            </w:r>
          </w:p>
        </w:tc>
      </w:tr>
      <w:tr>
        <w:trPr>
          <w:trHeight w:val="512"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55"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36"/>
              <w:jc w:val="right"/>
              <w:rPr>
                <w:rFonts w:ascii="宋体" w:hAnsi="宋体" w:cs="宋体" w:eastAsia="宋体" w:hint="default"/>
                <w:sz w:val="18"/>
                <w:szCs w:val="18"/>
              </w:rPr>
            </w:pPr>
            <w:r>
              <w:rPr>
                <w:rFonts w:ascii="宋体"/>
                <w:spacing w:val="-1"/>
                <w:sz w:val="18"/>
              </w:rPr>
              <w:t>16,000,000.00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33"/>
              <w:jc w:val="right"/>
              <w:rPr>
                <w:rFonts w:ascii="宋体" w:hAnsi="宋体" w:cs="宋体" w:eastAsia="宋体" w:hint="default"/>
                <w:sz w:val="18"/>
                <w:szCs w:val="18"/>
              </w:rPr>
            </w:pPr>
            <w:r>
              <w:rPr>
                <w:rFonts w:ascii="宋体"/>
                <w:spacing w:val="-1"/>
                <w:sz w:val="18"/>
              </w:rPr>
              <w:t>16,000,000.00</w:t>
            </w:r>
          </w:p>
        </w:tc>
        <w:tc>
          <w:tcPr>
            <w:tcW w:w="1937" w:type="dxa"/>
            <w:tcBorders>
              <w:top w:val="single" w:sz="2" w:space="0" w:color="000000"/>
              <w:left w:val="single" w:sz="2" w:space="0" w:color="000000"/>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nil" w:sz="6" w:space="0" w:color="auto"/>
            </w:tcBorders>
          </w:tcPr>
          <w:p>
            <w:pPr/>
          </w:p>
        </w:tc>
      </w:tr>
      <w:tr>
        <w:trPr>
          <w:trHeight w:val="526" w:hRule="exact"/>
        </w:trPr>
        <w:tc>
          <w:tcPr>
            <w:tcW w:w="38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3"/>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37"/>
              <w:jc w:val="right"/>
              <w:rPr>
                <w:rFonts w:ascii="宋体" w:hAnsi="宋体" w:cs="宋体" w:eastAsia="宋体" w:hint="default"/>
                <w:sz w:val="18"/>
                <w:szCs w:val="18"/>
              </w:rPr>
            </w:pPr>
            <w:r>
              <w:rPr>
                <w:rFonts w:ascii="宋体"/>
                <w:b/>
                <w:w w:val="95"/>
                <w:sz w:val="18"/>
              </w:rPr>
              <w:t>2,536,350,120.56</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left="66" w:right="0"/>
              <w:jc w:val="center"/>
              <w:rPr>
                <w:rFonts w:ascii="宋体" w:hAnsi="宋体" w:cs="宋体" w:eastAsia="宋体" w:hint="default"/>
                <w:sz w:val="18"/>
                <w:szCs w:val="18"/>
              </w:rPr>
            </w:pPr>
            <w:r>
              <w:rPr>
                <w:rFonts w:ascii="宋体"/>
                <w:b/>
                <w:sz w:val="18"/>
              </w:rPr>
              <w:t>645,576,845.66</w:t>
            </w:r>
            <w:r>
              <w:rPr>
                <w:rFonts w:ascii="宋体"/>
                <w:sz w:val="18"/>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left="27" w:right="0"/>
              <w:jc w:val="center"/>
              <w:rPr>
                <w:rFonts w:ascii="宋体" w:hAnsi="宋体" w:cs="宋体" w:eastAsia="宋体" w:hint="default"/>
                <w:sz w:val="18"/>
                <w:szCs w:val="18"/>
              </w:rPr>
            </w:pPr>
            <w:r>
              <w:rPr>
                <w:rFonts w:ascii="宋体"/>
                <w:b/>
                <w:sz w:val="18"/>
              </w:rPr>
              <w:t>1,157,629,023.73</w:t>
            </w:r>
            <w:r>
              <w:rPr>
                <w:rFonts w:ascii="宋体"/>
                <w:sz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34"/>
              <w:jc w:val="right"/>
              <w:rPr>
                <w:rFonts w:ascii="宋体" w:hAnsi="宋体" w:cs="宋体" w:eastAsia="宋体" w:hint="default"/>
                <w:sz w:val="18"/>
                <w:szCs w:val="18"/>
              </w:rPr>
            </w:pPr>
            <w:r>
              <w:rPr>
                <w:rFonts w:ascii="宋体"/>
                <w:b/>
                <w:w w:val="95"/>
                <w:sz w:val="18"/>
              </w:rPr>
              <w:t>2,024,297,942.49</w:t>
            </w:r>
            <w:r>
              <w:rPr>
                <w:rFonts w:ascii="宋体"/>
                <w:sz w:val="18"/>
              </w:rPr>
            </w:r>
          </w:p>
        </w:tc>
        <w:tc>
          <w:tcPr>
            <w:tcW w:w="1937" w:type="dxa"/>
            <w:tcBorders>
              <w:top w:val="single" w:sz="2" w:space="0" w:color="000000"/>
              <w:left w:val="single" w:sz="2" w:space="0" w:color="000000"/>
              <w:bottom w:val="single" w:sz="12" w:space="0" w:color="000000"/>
              <w:right w:val="single" w:sz="2" w:space="0" w:color="000000"/>
            </w:tcBorders>
          </w:tcPr>
          <w:p>
            <w:pPr/>
          </w:p>
        </w:tc>
        <w:tc>
          <w:tcPr>
            <w:tcW w:w="19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3"/>
              <w:ind w:right="39"/>
              <w:jc w:val="right"/>
              <w:rPr>
                <w:rFonts w:ascii="宋体" w:hAnsi="宋体" w:cs="宋体" w:eastAsia="宋体" w:hint="default"/>
                <w:sz w:val="18"/>
                <w:szCs w:val="18"/>
              </w:rPr>
            </w:pPr>
            <w:r>
              <w:rPr>
                <w:rFonts w:ascii="宋体"/>
                <w:b/>
                <w:w w:val="95"/>
                <w:sz w:val="18"/>
              </w:rPr>
              <w:t>150,290,281.63</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75"/>
          <w:footerReference w:type="default" r:id="rId76"/>
          <w:pgSz w:w="16840" w:h="11910" w:orient="landscape"/>
          <w:pgMar w:header="881" w:footer="980" w:top="1640" w:bottom="1160" w:left="1280" w:right="1280"/>
          <w:pgNumType w:start="113"/>
        </w:sectPr>
      </w:pPr>
    </w:p>
    <w:p>
      <w:pPr>
        <w:spacing w:line="240" w:lineRule="auto" w:before="9"/>
        <w:rPr>
          <w:rFonts w:ascii="宋体" w:hAnsi="宋体" w:cs="宋体" w:eastAsia="宋体" w:hint="default"/>
          <w:sz w:val="9"/>
          <w:szCs w:val="9"/>
        </w:rPr>
      </w:pPr>
    </w:p>
    <w:p>
      <w:pPr>
        <w:pStyle w:val="Heading7"/>
        <w:spacing w:line="240" w:lineRule="auto"/>
        <w:ind w:left="599" w:right="0"/>
        <w:jc w:val="left"/>
      </w:pPr>
      <w:r>
        <w:rPr/>
        <w:t>（</w:t>
      </w:r>
      <w:r>
        <w:rPr>
          <w:rFonts w:ascii="宋体" w:hAnsi="宋体" w:cs="宋体" w:eastAsia="宋体" w:hint="default"/>
        </w:rPr>
        <w:t>3</w:t>
      </w:r>
      <w:r>
        <w:rPr/>
        <w:t>）对联营、合营企业投资</w:t>
      </w:r>
    </w:p>
    <w:p>
      <w:pPr>
        <w:spacing w:line="240" w:lineRule="auto" w:before="6"/>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192"/>
        <w:gridCol w:w="1359"/>
        <w:gridCol w:w="566"/>
        <w:gridCol w:w="1418"/>
        <w:gridCol w:w="1416"/>
        <w:gridCol w:w="711"/>
        <w:gridCol w:w="708"/>
        <w:gridCol w:w="924"/>
        <w:gridCol w:w="960"/>
        <w:gridCol w:w="632"/>
        <w:gridCol w:w="1344"/>
        <w:gridCol w:w="780"/>
      </w:tblGrid>
      <w:tr>
        <w:trPr>
          <w:trHeight w:val="526" w:hRule="exact"/>
        </w:trPr>
        <w:tc>
          <w:tcPr>
            <w:tcW w:w="319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5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7335"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34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780"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44"/>
              <w:ind w:left="115" w:right="118"/>
              <w:jc w:val="both"/>
              <w:rPr>
                <w:rFonts w:ascii="宋体" w:hAnsi="宋体" w:cs="宋体" w:eastAsia="宋体" w:hint="default"/>
                <w:sz w:val="18"/>
                <w:szCs w:val="18"/>
              </w:rPr>
            </w:pPr>
            <w:r>
              <w:rPr>
                <w:rFonts w:ascii="宋体" w:hAnsi="宋体" w:cs="宋体" w:eastAsia="宋体" w:hint="default"/>
                <w:b/>
                <w:bCs/>
                <w:sz w:val="18"/>
                <w:szCs w:val="18"/>
              </w:rPr>
              <w:t>减值准</w:t>
            </w:r>
            <w:r>
              <w:rPr>
                <w:rFonts w:ascii="宋体" w:hAnsi="宋体" w:cs="宋体" w:eastAsia="宋体" w:hint="default"/>
                <w:b/>
                <w:bCs/>
                <w:w w:val="99"/>
                <w:sz w:val="18"/>
                <w:szCs w:val="18"/>
              </w:rPr>
              <w:t> </w:t>
            </w:r>
            <w:r>
              <w:rPr>
                <w:rFonts w:ascii="宋体" w:hAnsi="宋体" w:cs="宋体" w:eastAsia="宋体" w:hint="default"/>
                <w:b/>
                <w:bCs/>
                <w:sz w:val="18"/>
                <w:szCs w:val="18"/>
              </w:rPr>
              <w:t>备年末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1213" w:hRule="exact"/>
        </w:trPr>
        <w:tc>
          <w:tcPr>
            <w:tcW w:w="3192" w:type="dxa"/>
            <w:vMerge/>
            <w:tcBorders>
              <w:left w:val="nil" w:sz="6" w:space="0" w:color="auto"/>
              <w:bottom w:val="single" w:sz="2" w:space="0" w:color="000000"/>
              <w:right w:val="single" w:sz="2" w:space="0" w:color="000000"/>
            </w:tcBorders>
          </w:tcPr>
          <w:p>
            <w:pPr/>
          </w:p>
        </w:tc>
        <w:tc>
          <w:tcPr>
            <w:tcW w:w="1359" w:type="dxa"/>
            <w:vMerge/>
            <w:tcBorders>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57" w:lineRule="auto"/>
              <w:ind w:left="98" w:right="96"/>
              <w:jc w:val="left"/>
              <w:rPr>
                <w:rFonts w:ascii="宋体" w:hAnsi="宋体" w:cs="宋体" w:eastAsia="宋体" w:hint="default"/>
                <w:sz w:val="18"/>
                <w:szCs w:val="18"/>
              </w:rPr>
            </w:pPr>
            <w:r>
              <w:rPr>
                <w:rFonts w:ascii="宋体" w:hAnsi="宋体" w:cs="宋体" w:eastAsia="宋体" w:hint="default"/>
                <w:b/>
                <w:bCs/>
                <w:sz w:val="18"/>
                <w:szCs w:val="18"/>
              </w:rPr>
              <w:t>追加</w:t>
            </w:r>
            <w:r>
              <w:rPr>
                <w:rFonts w:ascii="宋体" w:hAnsi="宋体" w:cs="宋体" w:eastAsia="宋体" w:hint="default"/>
                <w:b/>
                <w:bCs/>
                <w:spacing w:val="-8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57" w:lineRule="auto"/>
              <w:ind w:left="343" w:right="72" w:hanging="272"/>
              <w:jc w:val="left"/>
              <w:rPr>
                <w:rFonts w:ascii="宋体" w:hAnsi="宋体" w:cs="宋体" w:eastAsia="宋体" w:hint="default"/>
                <w:sz w:val="18"/>
                <w:szCs w:val="18"/>
              </w:rPr>
            </w:pPr>
            <w:r>
              <w:rPr>
                <w:rFonts w:ascii="宋体" w:hAnsi="宋体" w:cs="宋体" w:eastAsia="宋体" w:hint="default"/>
                <w:b/>
                <w:bCs/>
                <w:sz w:val="18"/>
                <w:szCs w:val="18"/>
              </w:rPr>
              <w:t>权益法下确认的</w:t>
            </w:r>
            <w:r>
              <w:rPr>
                <w:rFonts w:ascii="宋体" w:hAnsi="宋体" w:cs="宋体" w:eastAsia="宋体" w:hint="default"/>
                <w:b/>
                <w:bCs/>
                <w:w w:val="99"/>
                <w:sz w:val="18"/>
                <w:szCs w:val="18"/>
              </w:rPr>
              <w:t> </w:t>
            </w:r>
            <w:r>
              <w:rPr>
                <w:rFonts w:ascii="宋体" w:hAnsi="宋体" w:cs="宋体" w:eastAsia="宋体" w:hint="default"/>
                <w:b/>
                <w:bCs/>
                <w:sz w:val="18"/>
                <w:szCs w:val="18"/>
              </w:rPr>
              <w:t>投资损益</w:t>
            </w:r>
            <w:r>
              <w:rPr>
                <w:rFonts w:ascii="宋体" w:hAnsi="宋体" w:cs="宋体" w:eastAsia="宋体" w:hint="default"/>
                <w:sz w:val="18"/>
                <w:szCs w:val="18"/>
              </w:rPr>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357" w:lineRule="auto" w:before="123"/>
              <w:ind w:left="82" w:right="79"/>
              <w:jc w:val="both"/>
              <w:rPr>
                <w:rFonts w:ascii="宋体" w:hAnsi="宋体" w:cs="宋体" w:eastAsia="宋体" w:hint="default"/>
                <w:sz w:val="18"/>
                <w:szCs w:val="18"/>
              </w:rPr>
            </w:pPr>
            <w:r>
              <w:rPr>
                <w:rFonts w:ascii="宋体" w:hAnsi="宋体" w:cs="宋体" w:eastAsia="宋体" w:hint="default"/>
                <w:b/>
                <w:bCs/>
                <w:sz w:val="18"/>
                <w:szCs w:val="18"/>
              </w:rPr>
              <w:t>其他综</w:t>
            </w:r>
            <w:r>
              <w:rPr>
                <w:rFonts w:ascii="宋体" w:hAnsi="宋体" w:cs="宋体" w:eastAsia="宋体" w:hint="default"/>
                <w:b/>
                <w:bCs/>
                <w:w w:val="99"/>
                <w:sz w:val="18"/>
                <w:szCs w:val="18"/>
              </w:rPr>
              <w:t> </w:t>
            </w:r>
            <w:r>
              <w:rPr>
                <w:rFonts w:ascii="宋体" w:hAnsi="宋体" w:cs="宋体" w:eastAsia="宋体" w:hint="default"/>
                <w:b/>
                <w:bCs/>
                <w:sz w:val="18"/>
                <w:szCs w:val="18"/>
              </w:rPr>
              <w:t>合收益</w:t>
            </w:r>
            <w:r>
              <w:rPr>
                <w:rFonts w:ascii="宋体" w:hAnsi="宋体" w:cs="宋体" w:eastAsia="宋体" w:hint="default"/>
                <w:b/>
                <w:bCs/>
                <w:w w:val="99"/>
                <w:sz w:val="18"/>
                <w:szCs w:val="18"/>
              </w:rPr>
              <w:t> </w:t>
            </w:r>
            <w:r>
              <w:rPr>
                <w:rFonts w:ascii="宋体" w:hAnsi="宋体" w:cs="宋体" w:eastAsia="宋体" w:hint="default"/>
                <w:b/>
                <w:bCs/>
                <w:sz w:val="18"/>
                <w:szCs w:val="18"/>
              </w:rPr>
              <w:t>调整</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57" w:lineRule="auto"/>
              <w:ind w:left="79" w:right="79"/>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357" w:lineRule="auto" w:before="123"/>
              <w:ind w:left="98" w:right="96"/>
              <w:jc w:val="both"/>
              <w:rPr>
                <w:rFonts w:ascii="宋体" w:hAnsi="宋体" w:cs="宋体" w:eastAsia="宋体" w:hint="default"/>
                <w:sz w:val="18"/>
                <w:szCs w:val="18"/>
              </w:rPr>
            </w:pPr>
            <w:r>
              <w:rPr>
                <w:rFonts w:ascii="宋体" w:hAnsi="宋体" w:cs="宋体" w:eastAsia="宋体" w:hint="default"/>
                <w:b/>
                <w:bCs/>
                <w:sz w:val="18"/>
                <w:szCs w:val="18"/>
              </w:rPr>
              <w:t>宣告发放</w:t>
            </w:r>
            <w:r>
              <w:rPr>
                <w:rFonts w:ascii="宋体" w:hAnsi="宋体" w:cs="宋体" w:eastAsia="宋体" w:hint="default"/>
                <w:b/>
                <w:bCs/>
                <w:w w:val="99"/>
                <w:sz w:val="18"/>
                <w:szCs w:val="18"/>
              </w:rPr>
              <w:t> </w:t>
            </w:r>
            <w:r>
              <w:rPr>
                <w:rFonts w:ascii="宋体" w:hAnsi="宋体" w:cs="宋体" w:eastAsia="宋体" w:hint="default"/>
                <w:b/>
                <w:bCs/>
                <w:sz w:val="18"/>
                <w:szCs w:val="18"/>
              </w:rPr>
              <w:t>现金股利</w:t>
            </w:r>
            <w:r>
              <w:rPr>
                <w:rFonts w:ascii="宋体" w:hAnsi="宋体" w:cs="宋体" w:eastAsia="宋体" w:hint="default"/>
                <w:b/>
                <w:bCs/>
                <w:w w:val="99"/>
                <w:sz w:val="18"/>
                <w:szCs w:val="18"/>
              </w:rPr>
              <w:t> </w:t>
            </w:r>
            <w:r>
              <w:rPr>
                <w:rFonts w:ascii="宋体" w:hAnsi="宋体" w:cs="宋体" w:eastAsia="宋体" w:hint="default"/>
                <w:b/>
                <w:bCs/>
                <w:sz w:val="18"/>
                <w:szCs w:val="18"/>
              </w:rPr>
              <w:t>或利润</w:t>
            </w:r>
            <w:r>
              <w:rPr>
                <w:rFonts w:ascii="宋体" w:hAnsi="宋体" w:cs="宋体" w:eastAsia="宋体" w:hint="default"/>
                <w:sz w:val="18"/>
                <w:szCs w:val="18"/>
              </w:rPr>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57" w:lineRule="auto"/>
              <w:ind w:left="297" w:right="113" w:hanging="18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44" w:type="dxa"/>
            <w:vMerge/>
            <w:tcBorders>
              <w:left w:val="single" w:sz="2" w:space="0" w:color="000000"/>
              <w:bottom w:val="single" w:sz="2" w:space="0" w:color="000000"/>
              <w:right w:val="single" w:sz="2" w:space="0" w:color="000000"/>
            </w:tcBorders>
          </w:tcPr>
          <w:p>
            <w:pPr/>
          </w:p>
        </w:tc>
        <w:tc>
          <w:tcPr>
            <w:tcW w:w="780" w:type="dxa"/>
            <w:vMerge/>
            <w:tcBorders>
              <w:left w:val="single" w:sz="2" w:space="0" w:color="000000"/>
              <w:bottom w:val="single" w:sz="2" w:space="0" w:color="000000"/>
              <w:right w:val="nil" w:sz="6" w:space="0" w:color="auto"/>
            </w:tcBorders>
          </w:tcPr>
          <w:p>
            <w:pPr/>
          </w:p>
        </w:tc>
      </w:tr>
      <w:tr>
        <w:trPr>
          <w:trHeight w:val="511"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359"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632"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780" w:type="dxa"/>
            <w:tcBorders>
              <w:top w:val="single" w:sz="2" w:space="0" w:color="000000"/>
              <w:left w:val="single" w:sz="2" w:space="0" w:color="000000"/>
              <w:bottom w:val="single" w:sz="2" w:space="0" w:color="000000"/>
              <w:right w:val="nil" w:sz="6" w:space="0" w:color="auto"/>
            </w:tcBorders>
          </w:tcPr>
          <w:p>
            <w:pPr/>
          </w:p>
        </w:tc>
      </w:tr>
      <w:tr>
        <w:trPr>
          <w:trHeight w:val="511"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9"/>
              <w:jc w:val="right"/>
              <w:rPr>
                <w:rFonts w:ascii="宋体" w:hAnsi="宋体" w:cs="宋体" w:eastAsia="宋体" w:hint="default"/>
                <w:sz w:val="18"/>
                <w:szCs w:val="18"/>
              </w:rPr>
            </w:pPr>
            <w:r>
              <w:rPr>
                <w:rFonts w:ascii="宋体"/>
                <w:spacing w:val="-1"/>
                <w:sz w:val="18"/>
              </w:rPr>
              <w:t>135,962.58</w:t>
            </w:r>
          </w:p>
        </w:tc>
        <w:tc>
          <w:tcPr>
            <w:tcW w:w="56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5"/>
              <w:jc w:val="right"/>
              <w:rPr>
                <w:rFonts w:ascii="宋体" w:hAnsi="宋体" w:cs="宋体" w:eastAsia="宋体" w:hint="default"/>
                <w:sz w:val="18"/>
                <w:szCs w:val="18"/>
              </w:rPr>
            </w:pPr>
            <w:r>
              <w:rPr>
                <w:rFonts w:ascii="宋体"/>
                <w:spacing w:val="-1"/>
                <w:sz w:val="18"/>
              </w:rPr>
              <w:t>17,495.89</w:t>
            </w:r>
          </w:p>
        </w:tc>
        <w:tc>
          <w:tcPr>
            <w:tcW w:w="71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632"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153,458.47</w:t>
            </w:r>
          </w:p>
        </w:tc>
        <w:tc>
          <w:tcPr>
            <w:tcW w:w="780" w:type="dxa"/>
            <w:tcBorders>
              <w:top w:val="single" w:sz="2" w:space="0" w:color="000000"/>
              <w:left w:val="single" w:sz="2" w:space="0" w:color="000000"/>
              <w:bottom w:val="single" w:sz="2" w:space="0" w:color="000000"/>
              <w:right w:val="nil" w:sz="6" w:space="0" w:color="auto"/>
            </w:tcBorders>
          </w:tcPr>
          <w:p>
            <w:pPr/>
          </w:p>
        </w:tc>
      </w:tr>
      <w:tr>
        <w:trPr>
          <w:trHeight w:val="511"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9"/>
              <w:jc w:val="right"/>
              <w:rPr>
                <w:rFonts w:ascii="宋体" w:hAnsi="宋体" w:cs="宋体" w:eastAsia="宋体" w:hint="default"/>
                <w:sz w:val="18"/>
                <w:szCs w:val="18"/>
              </w:rPr>
            </w:pPr>
            <w:r>
              <w:rPr>
                <w:rFonts w:ascii="宋体"/>
                <w:spacing w:val="-1"/>
                <w:sz w:val="18"/>
              </w:rPr>
              <w:t>14,866,069.65</w:t>
            </w:r>
          </w:p>
        </w:tc>
        <w:tc>
          <w:tcPr>
            <w:tcW w:w="56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479,266.33</w:t>
            </w:r>
          </w:p>
        </w:tc>
        <w:tc>
          <w:tcPr>
            <w:tcW w:w="71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632"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15,345,335.98</w:t>
            </w:r>
          </w:p>
        </w:tc>
        <w:tc>
          <w:tcPr>
            <w:tcW w:w="780" w:type="dxa"/>
            <w:tcBorders>
              <w:top w:val="single" w:sz="2" w:space="0" w:color="000000"/>
              <w:left w:val="single" w:sz="2" w:space="0" w:color="000000"/>
              <w:bottom w:val="single" w:sz="2" w:space="0" w:color="000000"/>
              <w:right w:val="nil" w:sz="6" w:space="0" w:color="auto"/>
            </w:tcBorders>
          </w:tcPr>
          <w:p>
            <w:pPr/>
          </w:p>
        </w:tc>
      </w:tr>
      <w:tr>
        <w:trPr>
          <w:trHeight w:val="511"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9"/>
              <w:jc w:val="right"/>
              <w:rPr>
                <w:rFonts w:ascii="宋体" w:hAnsi="宋体" w:cs="宋体" w:eastAsia="宋体" w:hint="default"/>
                <w:sz w:val="18"/>
                <w:szCs w:val="18"/>
              </w:rPr>
            </w:pPr>
            <w:r>
              <w:rPr>
                <w:rFonts w:ascii="宋体"/>
                <w:spacing w:val="-1"/>
                <w:sz w:val="18"/>
              </w:rPr>
              <w:t>6,324,672.66</w:t>
            </w:r>
          </w:p>
        </w:tc>
        <w:tc>
          <w:tcPr>
            <w:tcW w:w="56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-3,108,184.13</w:t>
            </w:r>
          </w:p>
        </w:tc>
        <w:tc>
          <w:tcPr>
            <w:tcW w:w="71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632"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3,216,488.53</w:t>
            </w:r>
          </w:p>
        </w:tc>
        <w:tc>
          <w:tcPr>
            <w:tcW w:w="780" w:type="dxa"/>
            <w:tcBorders>
              <w:top w:val="single" w:sz="2" w:space="0" w:color="000000"/>
              <w:left w:val="single" w:sz="2" w:space="0" w:color="000000"/>
              <w:bottom w:val="single" w:sz="2" w:space="0" w:color="000000"/>
              <w:right w:val="nil" w:sz="6" w:space="0" w:color="auto"/>
            </w:tcBorders>
          </w:tcPr>
          <w:p>
            <w:pPr/>
          </w:p>
        </w:tc>
      </w:tr>
      <w:tr>
        <w:trPr>
          <w:trHeight w:val="512"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3"/>
              <w:ind w:left="55" w:right="0"/>
              <w:jc w:val="left"/>
              <w:rPr>
                <w:rFonts w:ascii="宋体" w:hAnsi="宋体" w:cs="宋体" w:eastAsia="宋体" w:hint="default"/>
                <w:sz w:val="18"/>
                <w:szCs w:val="18"/>
              </w:rPr>
            </w:pPr>
            <w:r>
              <w:rPr>
                <w:rFonts w:ascii="宋体" w:hAnsi="宋体" w:cs="宋体" w:eastAsia="宋体" w:hint="default"/>
                <w:sz w:val="18"/>
                <w:szCs w:val="18"/>
              </w:rPr>
              <w:t>广州鼎甲计算机科技有限公司</w:t>
            </w:r>
          </w:p>
        </w:tc>
        <w:tc>
          <w:tcPr>
            <w:tcW w:w="1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9"/>
              <w:jc w:val="right"/>
              <w:rPr>
                <w:rFonts w:ascii="宋体" w:hAnsi="宋体" w:cs="宋体" w:eastAsia="宋体" w:hint="default"/>
                <w:sz w:val="18"/>
                <w:szCs w:val="18"/>
              </w:rPr>
            </w:pPr>
            <w:r>
              <w:rPr>
                <w:rFonts w:ascii="宋体"/>
                <w:spacing w:val="-1"/>
                <w:sz w:val="18"/>
              </w:rPr>
              <w:t>29,540,872.57</w:t>
            </w:r>
          </w:p>
        </w:tc>
        <w:tc>
          <w:tcPr>
            <w:tcW w:w="56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left="295" w:right="0"/>
              <w:jc w:val="left"/>
              <w:rPr>
                <w:rFonts w:ascii="宋体" w:hAnsi="宋体" w:cs="宋体" w:eastAsia="宋体" w:hint="default"/>
                <w:sz w:val="18"/>
                <w:szCs w:val="18"/>
              </w:rPr>
            </w:pPr>
            <w:r>
              <w:rPr>
                <w:rFonts w:ascii="宋体"/>
                <w:sz w:val="18"/>
              </w:rPr>
              <w:t>2,810,994.52</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-6,759,143.25</w:t>
            </w:r>
          </w:p>
        </w:tc>
        <w:tc>
          <w:tcPr>
            <w:tcW w:w="711"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632"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spacing w:val="-1"/>
                <w:sz w:val="18"/>
              </w:rPr>
              <w:t>19,970,734.80</w:t>
            </w:r>
          </w:p>
        </w:tc>
        <w:tc>
          <w:tcPr>
            <w:tcW w:w="780" w:type="dxa"/>
            <w:tcBorders>
              <w:top w:val="single" w:sz="2" w:space="0" w:color="000000"/>
              <w:left w:val="single" w:sz="2" w:space="0" w:color="000000"/>
              <w:bottom w:val="single" w:sz="2" w:space="0" w:color="000000"/>
              <w:right w:val="nil" w:sz="6" w:space="0" w:color="auto"/>
            </w:tcBorders>
          </w:tcPr>
          <w:p>
            <w:pPr/>
          </w:p>
        </w:tc>
      </w:tr>
      <w:tr>
        <w:trPr>
          <w:trHeight w:val="523" w:hRule="exact"/>
        </w:trPr>
        <w:tc>
          <w:tcPr>
            <w:tcW w:w="31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3"/>
              <w:ind w:left="1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39"/>
              <w:jc w:val="right"/>
              <w:rPr>
                <w:rFonts w:ascii="宋体" w:hAnsi="宋体" w:cs="宋体" w:eastAsia="宋体" w:hint="default"/>
                <w:sz w:val="18"/>
                <w:szCs w:val="18"/>
              </w:rPr>
            </w:pPr>
            <w:r>
              <w:rPr>
                <w:rFonts w:ascii="宋体"/>
                <w:b/>
                <w:w w:val="95"/>
                <w:sz w:val="18"/>
              </w:rPr>
              <w:t>50,867,577.46</w:t>
            </w:r>
            <w:r>
              <w:rPr>
                <w:rFonts w:ascii="宋体"/>
                <w:sz w:val="18"/>
              </w:rPr>
            </w:r>
          </w:p>
        </w:tc>
        <w:tc>
          <w:tcPr>
            <w:tcW w:w="566"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left="285" w:right="0"/>
              <w:jc w:val="left"/>
              <w:rPr>
                <w:rFonts w:ascii="宋体" w:hAnsi="宋体" w:cs="宋体" w:eastAsia="宋体" w:hint="default"/>
                <w:sz w:val="18"/>
                <w:szCs w:val="18"/>
              </w:rPr>
            </w:pPr>
            <w:r>
              <w:rPr>
                <w:rFonts w:ascii="宋体"/>
                <w:b/>
                <w:sz w:val="18"/>
              </w:rPr>
              <w:t>2,810,994.52</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b/>
                <w:w w:val="95"/>
                <w:sz w:val="18"/>
              </w:rPr>
              <w:t>-9,370,565.16</w:t>
            </w:r>
            <w:r>
              <w:rPr>
                <w:rFonts w:ascii="宋体"/>
                <w:sz w:val="18"/>
              </w:rPr>
            </w:r>
          </w:p>
        </w:tc>
        <w:tc>
          <w:tcPr>
            <w:tcW w:w="711"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924" w:type="dxa"/>
            <w:tcBorders>
              <w:top w:val="single" w:sz="2" w:space="0" w:color="000000"/>
              <w:left w:val="single" w:sz="2" w:space="0" w:color="000000"/>
              <w:bottom w:val="single" w:sz="12" w:space="0" w:color="000000"/>
              <w:right w:val="single" w:sz="2" w:space="0" w:color="000000"/>
            </w:tcBorders>
          </w:tcPr>
          <w:p>
            <w:pPr/>
          </w:p>
        </w:tc>
        <w:tc>
          <w:tcPr>
            <w:tcW w:w="960" w:type="dxa"/>
            <w:tcBorders>
              <w:top w:val="single" w:sz="2" w:space="0" w:color="000000"/>
              <w:left w:val="single" w:sz="2" w:space="0" w:color="000000"/>
              <w:bottom w:val="single" w:sz="12" w:space="0" w:color="000000"/>
              <w:right w:val="single" w:sz="2" w:space="0" w:color="000000"/>
            </w:tcBorders>
          </w:tcPr>
          <w:p>
            <w:pPr/>
          </w:p>
        </w:tc>
        <w:tc>
          <w:tcPr>
            <w:tcW w:w="632"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3"/>
              <w:ind w:right="36"/>
              <w:jc w:val="right"/>
              <w:rPr>
                <w:rFonts w:ascii="宋体" w:hAnsi="宋体" w:cs="宋体" w:eastAsia="宋体" w:hint="default"/>
                <w:sz w:val="18"/>
                <w:szCs w:val="18"/>
              </w:rPr>
            </w:pPr>
            <w:r>
              <w:rPr>
                <w:rFonts w:ascii="宋体"/>
                <w:b/>
                <w:w w:val="95"/>
                <w:sz w:val="18"/>
              </w:rPr>
              <w:t>38,686,017.78</w:t>
            </w:r>
            <w:r>
              <w:rPr>
                <w:rFonts w:ascii="宋体"/>
                <w:sz w:val="18"/>
              </w:rPr>
            </w:r>
          </w:p>
        </w:tc>
        <w:tc>
          <w:tcPr>
            <w:tcW w:w="780"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81" w:footer="980" w:top="1640" w:bottom="1160" w:left="1280" w:right="1280"/>
        </w:sectPr>
      </w:pPr>
    </w:p>
    <w:p>
      <w:pPr>
        <w:pStyle w:val="Heading7"/>
        <w:spacing w:line="240" w:lineRule="auto" w:before="123"/>
        <w:ind w:left="699" w:right="276"/>
        <w:jc w:val="left"/>
      </w:pPr>
      <w:r>
        <w:rPr>
          <w:rFonts w:ascii="宋体" w:hAnsi="宋体" w:cs="宋体" w:eastAsia="宋体" w:hint="default"/>
        </w:rPr>
        <w:t>4</w:t>
      </w:r>
      <w:r>
        <w:rPr/>
        <w:t>、营业收入和营业成本</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447"/>
        <w:gridCol w:w="1844"/>
        <w:gridCol w:w="1700"/>
        <w:gridCol w:w="1843"/>
        <w:gridCol w:w="1716"/>
      </w:tblGrid>
      <w:tr>
        <w:trPr>
          <w:trHeight w:val="386" w:hRule="exact"/>
        </w:trPr>
        <w:tc>
          <w:tcPr>
            <w:tcW w:w="1447"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4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6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7" w:hRule="exact"/>
        </w:trPr>
        <w:tc>
          <w:tcPr>
            <w:tcW w:w="1447" w:type="dxa"/>
            <w:vMerge/>
            <w:tcBorders>
              <w:left w:val="nil" w:sz="6" w:space="0" w:color="auto"/>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74"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2,141,788,692.62</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1,871,767,549.72</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2,048,051,024.14</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1,817,286,806.64</w:t>
            </w:r>
          </w:p>
        </w:tc>
      </w:tr>
      <w:tr>
        <w:trPr>
          <w:trHeight w:val="374" w:hRule="exact"/>
        </w:trPr>
        <w:tc>
          <w:tcPr>
            <w:tcW w:w="1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245,714,630.42</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165,935,698.34</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241,807,399.34</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160,716,366.01</w:t>
            </w:r>
          </w:p>
        </w:tc>
      </w:tr>
      <w:tr>
        <w:trPr>
          <w:trHeight w:val="389" w:hRule="exact"/>
        </w:trPr>
        <w:tc>
          <w:tcPr>
            <w:tcW w:w="14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2,387,503,323.04</w:t>
            </w:r>
            <w:r>
              <w:rPr>
                <w:rFonts w:ascii="宋体"/>
                <w:sz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2,037,703,248.06</w:t>
            </w:r>
            <w:r>
              <w:rPr>
                <w:rFonts w:ascii="宋体"/>
                <w:sz w:val="18"/>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b/>
                <w:w w:val="95"/>
                <w:sz w:val="18"/>
              </w:rPr>
              <w:t>2,289,858,423.48</w:t>
            </w:r>
            <w:r>
              <w:rPr>
                <w:rFonts w:ascii="宋体"/>
                <w:sz w:val="18"/>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1,978,003,172.65</w:t>
            </w:r>
            <w:r>
              <w:rPr>
                <w:rFonts w:ascii="宋体"/>
                <w:sz w:val="18"/>
              </w:rPr>
            </w:r>
          </w:p>
        </w:tc>
      </w:tr>
    </w:tbl>
    <w:p>
      <w:pPr>
        <w:spacing w:line="240" w:lineRule="auto" w:before="8"/>
        <w:rPr>
          <w:rFonts w:ascii="宋体" w:hAnsi="宋体" w:cs="宋体" w:eastAsia="宋体" w:hint="default"/>
          <w:sz w:val="4"/>
          <w:szCs w:val="4"/>
        </w:rPr>
      </w:pPr>
    </w:p>
    <w:p>
      <w:pPr>
        <w:pStyle w:val="Heading7"/>
        <w:spacing w:line="240" w:lineRule="auto"/>
        <w:ind w:left="699" w:right="276"/>
        <w:jc w:val="left"/>
      </w:pPr>
      <w:r>
        <w:rPr>
          <w:rFonts w:ascii="宋体" w:hAnsi="宋体" w:cs="宋体" w:eastAsia="宋体" w:hint="default"/>
        </w:rPr>
        <w:t>5</w:t>
      </w:r>
      <w:r>
        <w:rPr/>
        <w:t>、投资收益</w:t>
      </w:r>
    </w:p>
    <w:p>
      <w:pPr>
        <w:spacing w:line="240" w:lineRule="auto" w:before="8"/>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991"/>
        <w:gridCol w:w="1843"/>
        <w:gridCol w:w="1716"/>
      </w:tblGrid>
      <w:tr>
        <w:trPr>
          <w:trHeight w:val="386" w:hRule="exact"/>
        </w:trPr>
        <w:tc>
          <w:tcPr>
            <w:tcW w:w="49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4" w:hRule="exact"/>
        </w:trPr>
        <w:tc>
          <w:tcPr>
            <w:tcW w:w="49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2,676,453.65</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9,162,114.61</w:t>
            </w:r>
          </w:p>
        </w:tc>
      </w:tr>
      <w:tr>
        <w:trPr>
          <w:trHeight w:val="374" w:hRule="exact"/>
        </w:trPr>
        <w:tc>
          <w:tcPr>
            <w:tcW w:w="49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-9,370,565.16</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-3,827,280.86</w:t>
            </w:r>
          </w:p>
        </w:tc>
      </w:tr>
      <w:tr>
        <w:trPr>
          <w:trHeight w:val="377" w:hRule="exact"/>
        </w:trPr>
        <w:tc>
          <w:tcPr>
            <w:tcW w:w="49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1,259,005.48</w:t>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86" w:hRule="exact"/>
        </w:trPr>
        <w:tc>
          <w:tcPr>
            <w:tcW w:w="49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-5,435,106.03</w:t>
            </w:r>
            <w:r>
              <w:rPr>
                <w:rFonts w:ascii="宋体"/>
                <w:sz w:val="18"/>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b/>
                <w:w w:val="95"/>
                <w:sz w:val="18"/>
              </w:rPr>
              <w:t>5,334,833.75</w:t>
            </w:r>
            <w:r>
              <w:rPr>
                <w:rFonts w:ascii="宋体"/>
                <w:sz w:val="18"/>
              </w:rPr>
            </w:r>
          </w:p>
        </w:tc>
      </w:tr>
    </w:tbl>
    <w:p>
      <w:pPr>
        <w:spacing w:line="240" w:lineRule="auto" w:before="8"/>
        <w:rPr>
          <w:rFonts w:ascii="宋体" w:hAnsi="宋体" w:cs="宋体" w:eastAsia="宋体" w:hint="default"/>
          <w:sz w:val="13"/>
          <w:szCs w:val="13"/>
        </w:rPr>
      </w:pPr>
    </w:p>
    <w:p>
      <w:pPr>
        <w:pStyle w:val="Heading6"/>
        <w:spacing w:line="240" w:lineRule="auto" w:before="32"/>
        <w:ind w:left="701" w:right="276"/>
        <w:jc w:val="left"/>
        <w:rPr>
          <w:b w:val="0"/>
          <w:bCs w:val="0"/>
        </w:rPr>
      </w:pPr>
      <w:r>
        <w:rPr/>
        <w:t>十八、财务报告批准</w:t>
      </w:r>
      <w:r>
        <w:rPr>
          <w:b w:val="0"/>
          <w:bCs w:val="0"/>
        </w:rPr>
      </w:r>
    </w:p>
    <w:p>
      <w:pPr>
        <w:spacing w:line="240" w:lineRule="auto" w:before="9"/>
        <w:rPr>
          <w:rFonts w:ascii="宋体" w:hAnsi="宋体" w:cs="宋体" w:eastAsia="宋体" w:hint="default"/>
          <w:b/>
          <w:bCs/>
          <w:sz w:val="16"/>
          <w:szCs w:val="16"/>
        </w:rPr>
      </w:pPr>
    </w:p>
    <w:p>
      <w:pPr>
        <w:pStyle w:val="Heading7"/>
        <w:spacing w:line="240" w:lineRule="auto" w:before="0"/>
        <w:ind w:left="699" w:right="276"/>
        <w:jc w:val="left"/>
      </w:pPr>
      <w:r>
        <w:rPr/>
        <w:t>本财务报告于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8"/>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t>日由本公司董事会批准报出。</w:t>
      </w:r>
    </w:p>
    <w:p>
      <w:pPr>
        <w:spacing w:after="0" w:line="240" w:lineRule="auto"/>
        <w:jc w:val="left"/>
        <w:sectPr>
          <w:headerReference w:type="default" r:id="rId77"/>
          <w:footerReference w:type="default" r:id="rId78"/>
          <w:pgSz w:w="11910" w:h="16840"/>
          <w:pgMar w:header="881" w:footer="980" w:top="1600" w:bottom="1160" w:left="1540" w:right="1420"/>
          <w:pgNumType w:start="115"/>
        </w:sectPr>
      </w:pPr>
    </w:p>
    <w:p>
      <w:pPr>
        <w:spacing w:line="240" w:lineRule="auto" w:before="7"/>
        <w:rPr>
          <w:rFonts w:ascii="宋体" w:hAnsi="宋体" w:cs="宋体" w:eastAsia="宋体" w:hint="default"/>
          <w:sz w:val="11"/>
          <w:szCs w:val="11"/>
        </w:rPr>
      </w:pPr>
    </w:p>
    <w:p>
      <w:pPr>
        <w:spacing w:line="422" w:lineRule="auto" w:before="32"/>
        <w:ind w:left="719" w:right="5490" w:hanging="440"/>
        <w:jc w:val="left"/>
        <w:rPr>
          <w:rFonts w:ascii="宋体" w:hAnsi="宋体" w:cs="宋体" w:eastAsia="宋体" w:hint="default"/>
          <w:sz w:val="22"/>
          <w:szCs w:val="22"/>
        </w:rPr>
      </w:pPr>
      <w:r>
        <w:rPr>
          <w:rFonts w:ascii="宋体" w:hAnsi="宋体" w:cs="宋体" w:eastAsia="宋体" w:hint="default"/>
          <w:b/>
          <w:bCs/>
          <w:sz w:val="22"/>
          <w:szCs w:val="22"/>
        </w:rPr>
        <w:t>财务报表补充资料</w:t>
      </w:r>
      <w:r>
        <w:rPr>
          <w:rFonts w:ascii="宋体" w:hAnsi="宋体" w:cs="宋体" w:eastAsia="宋体" w:hint="default"/>
          <w:b/>
          <w:bCs/>
          <w:w w:val="99"/>
          <w:sz w:val="22"/>
          <w:szCs w:val="22"/>
        </w:rPr>
        <w:t> </w:t>
      </w:r>
      <w:r>
        <w:rPr>
          <w:rFonts w:ascii="宋体" w:hAnsi="宋体" w:cs="宋体" w:eastAsia="宋体" w:hint="default"/>
          <w:spacing w:val="-1"/>
          <w:sz w:val="22"/>
          <w:szCs w:val="22"/>
        </w:rPr>
        <w:t>1</w:t>
      </w:r>
      <w:r>
        <w:rPr>
          <w:rFonts w:ascii="宋体" w:hAnsi="宋体" w:cs="宋体" w:eastAsia="宋体" w:hint="default"/>
          <w:spacing w:val="-1"/>
          <w:sz w:val="22"/>
          <w:szCs w:val="22"/>
        </w:rPr>
        <w:t>、本年非经常性损益明细表</w:t>
      </w:r>
    </w:p>
    <w:p>
      <w:pPr>
        <w:pStyle w:val="Heading7"/>
        <w:spacing w:line="326" w:lineRule="auto" w:before="13"/>
        <w:ind w:left="280" w:right="370" w:firstLine="439"/>
        <w:jc w:val="left"/>
      </w:pPr>
      <w:r>
        <w:rPr>
          <w:spacing w:val="-4"/>
        </w:rPr>
        <w:t>（</w:t>
      </w:r>
      <w:r>
        <w:rPr>
          <w:rFonts w:ascii="宋体" w:hAnsi="宋体" w:cs="宋体" w:eastAsia="宋体" w:hint="default"/>
          <w:spacing w:val="-4"/>
        </w:rPr>
        <w:t>1</w:t>
      </w:r>
      <w:r>
        <w:rPr>
          <w:spacing w:val="-4"/>
        </w:rPr>
        <w:t>）按照中国证券监督管理委员会《公开发行证券的公司信息披露解释性公告第</w:t>
      </w:r>
      <w:r>
        <w:rPr>
          <w:spacing w:val="-29"/>
        </w:rPr>
        <w:t> </w:t>
      </w:r>
      <w:r>
        <w:rPr>
          <w:rFonts w:ascii="宋体" w:hAnsi="宋体" w:cs="宋体" w:eastAsia="宋体" w:hint="default"/>
        </w:rPr>
        <w:t>1</w:t>
      </w:r>
      <w:r>
        <w:rPr>
          <w:rFonts w:ascii="宋体" w:hAnsi="宋体" w:cs="宋体" w:eastAsia="宋体" w:hint="default"/>
          <w:w w:val="100"/>
        </w:rPr>
        <w:t> </w:t>
      </w:r>
      <w:r>
        <w:rPr>
          <w:spacing w:val="-5"/>
          <w:w w:val="100"/>
        </w:rPr>
        <w:t>号—非经常性损益（</w:t>
      </w:r>
      <w:r>
        <w:rPr>
          <w:rFonts w:ascii="宋体" w:hAnsi="宋体" w:cs="宋体" w:eastAsia="宋体" w:hint="default"/>
          <w:spacing w:val="-5"/>
          <w:w w:val="100"/>
        </w:rPr>
        <w:t>2008</w:t>
      </w:r>
      <w:r>
        <w:rPr>
          <w:spacing w:val="-5"/>
          <w:w w:val="100"/>
        </w:rPr>
        <w:t>）》的规定，本集团本年非经常性损益如下：</w:t>
      </w:r>
    </w:p>
    <w:tbl>
      <w:tblPr>
        <w:tblW w:w="0" w:type="auto"/>
        <w:jc w:val="left"/>
        <w:tblInd w:w="105" w:type="dxa"/>
        <w:tblLayout w:type="fixed"/>
        <w:tblCellMar>
          <w:top w:w="0" w:type="dxa"/>
          <w:left w:w="0" w:type="dxa"/>
          <w:bottom w:w="0" w:type="dxa"/>
          <w:right w:w="0" w:type="dxa"/>
        </w:tblCellMar>
        <w:tblLook w:val="01E0"/>
      </w:tblPr>
      <w:tblGrid>
        <w:gridCol w:w="5120"/>
        <w:gridCol w:w="1841"/>
        <w:gridCol w:w="1654"/>
      </w:tblGrid>
      <w:tr>
        <w:trPr>
          <w:trHeight w:val="389" w:hRule="exact"/>
        </w:trPr>
        <w:tc>
          <w:tcPr>
            <w:tcW w:w="51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36,010,980.11</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276,801,713.26</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122" w:right="107"/>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资时应享有被投资单位可辨认净资产公允价值产生的收益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同一控制下企业合并产生的子公司年初至合并日的本年净损益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-34,808,642.06</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1251"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49"/>
              <w:ind w:left="122" w:right="10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除同公司正常经营业务相关的有效套年保值业务外，持有交易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性金融资产、交易性金融负债产生的公允价值变动损益，以及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处置交易性金融资产、交易性金融负债和可供出售金融资产取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得的投资收益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1,002,122,812.73</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25,666,444.94</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667"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122" w:right="10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95" w:lineRule="auto" w:before="49"/>
              <w:ind w:left="122" w:right="107"/>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根据税收、会计等法律、法规的要求对本年损益进行一次性调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整对本年损益的影响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2,141,502.67</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51,900,159.25</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1,359,834,970.90</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84,031,419.02</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5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936,870,515.21</w:t>
            </w: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89" w:hRule="exact"/>
        </w:trPr>
        <w:tc>
          <w:tcPr>
            <w:tcW w:w="51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w w:val="95"/>
                <w:sz w:val="18"/>
              </w:rPr>
              <w:t>338,933,036.67</w:t>
            </w:r>
            <w:r>
              <w:rPr>
                <w:rFonts w:ascii="宋体"/>
                <w:sz w:val="18"/>
              </w:rPr>
            </w:r>
          </w:p>
        </w:tc>
        <w:tc>
          <w:tcPr>
            <w:tcW w:w="165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81" w:footer="980" w:top="1640" w:bottom="1160" w:left="1520" w:right="1420"/>
        </w:sectPr>
      </w:pPr>
    </w:p>
    <w:p>
      <w:pPr>
        <w:spacing w:line="240" w:lineRule="auto" w:before="3"/>
        <w:rPr>
          <w:rFonts w:ascii="宋体" w:hAnsi="宋体" w:cs="宋体" w:eastAsia="宋体" w:hint="default"/>
          <w:sz w:val="3"/>
          <w:szCs w:val="3"/>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7"/>
        <w:spacing w:line="326" w:lineRule="auto" w:before="0"/>
        <w:ind w:left="260" w:right="276" w:firstLine="439"/>
        <w:jc w:val="left"/>
      </w:pPr>
      <w:r>
        <w:rPr/>
        <w:t>（</w:t>
      </w:r>
      <w:r>
        <w:rPr>
          <w:rFonts w:ascii="宋体" w:hAnsi="宋体" w:cs="宋体" w:eastAsia="宋体" w:hint="default"/>
        </w:rPr>
        <w:t>2</w:t>
      </w:r>
      <w:r>
        <w:rPr/>
        <w:t>）公司对“其他符合非经常性损益定义的损益项目”以及根据自身正常经营业</w:t>
      </w:r>
      <w:r>
        <w:rPr>
          <w:w w:val="100"/>
        </w:rPr>
        <w:t> </w:t>
      </w:r>
      <w:r>
        <w:rPr/>
        <w:t>务的性质和特点将非经常性损益项目界定为经常性损益的项目说明</w:t>
      </w:r>
    </w:p>
    <w:tbl>
      <w:tblPr>
        <w:tblW w:w="0" w:type="auto"/>
        <w:jc w:val="left"/>
        <w:tblInd w:w="116" w:type="dxa"/>
        <w:tblLayout w:type="fixed"/>
        <w:tblCellMar>
          <w:top w:w="0" w:type="dxa"/>
          <w:left w:w="0" w:type="dxa"/>
          <w:bottom w:w="0" w:type="dxa"/>
          <w:right w:w="0" w:type="dxa"/>
        </w:tblCellMar>
        <w:tblLook w:val="01E0"/>
      </w:tblPr>
      <w:tblGrid>
        <w:gridCol w:w="2765"/>
        <w:gridCol w:w="2818"/>
        <w:gridCol w:w="2967"/>
      </w:tblGrid>
      <w:tr>
        <w:trPr>
          <w:trHeight w:val="389" w:hRule="exact"/>
        </w:trPr>
        <w:tc>
          <w:tcPr>
            <w:tcW w:w="27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9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382" w:hRule="exact"/>
        </w:trPr>
        <w:tc>
          <w:tcPr>
            <w:tcW w:w="2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28,449,299.75</w:t>
            </w:r>
          </w:p>
        </w:tc>
        <w:tc>
          <w:tcPr>
            <w:tcW w:w="2967" w:type="dxa"/>
            <w:tcBorders>
              <w:top w:val="single" w:sz="4" w:space="0" w:color="000000"/>
              <w:left w:val="single" w:sz="4" w:space="0" w:color="000000"/>
              <w:bottom w:val="single" w:sz="4" w:space="0" w:color="000000"/>
              <w:right w:val="nil" w:sz="6" w:space="0" w:color="auto"/>
            </w:tcBorders>
          </w:tcPr>
          <w:p>
            <w:pPr/>
          </w:p>
        </w:tc>
      </w:tr>
      <w:tr>
        <w:trPr>
          <w:trHeight w:val="389" w:hRule="exact"/>
        </w:trPr>
        <w:tc>
          <w:tcPr>
            <w:tcW w:w="27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或有对价</w:t>
            </w:r>
          </w:p>
        </w:tc>
        <w:tc>
          <w:tcPr>
            <w:tcW w:w="2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23,450,859.50</w:t>
            </w:r>
          </w:p>
        </w:tc>
        <w:tc>
          <w:tcPr>
            <w:tcW w:w="29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详见本附注“六、</w:t>
            </w:r>
            <w:r>
              <w:rPr>
                <w:rFonts w:ascii="宋体" w:hAnsi="宋体" w:cs="宋体" w:eastAsia="宋体" w:hint="default"/>
                <w:sz w:val="18"/>
                <w:szCs w:val="18"/>
              </w:rPr>
              <w:t>35.</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r>
    </w:tbl>
    <w:p>
      <w:pPr>
        <w:spacing w:line="240" w:lineRule="auto" w:before="3"/>
        <w:rPr>
          <w:rFonts w:ascii="宋体" w:hAnsi="宋体" w:cs="宋体" w:eastAsia="宋体" w:hint="default"/>
          <w:sz w:val="5"/>
          <w:szCs w:val="5"/>
        </w:rPr>
      </w:pPr>
    </w:p>
    <w:p>
      <w:pPr>
        <w:pStyle w:val="Heading7"/>
        <w:spacing w:line="391" w:lineRule="auto"/>
        <w:ind w:left="699" w:right="366"/>
        <w:jc w:val="left"/>
      </w:pPr>
      <w:r>
        <w:rPr>
          <w:rFonts w:ascii="宋体" w:hAnsi="宋体" w:cs="宋体" w:eastAsia="宋体" w:hint="default"/>
        </w:rPr>
        <w:t>2</w:t>
      </w:r>
      <w:r>
        <w:rPr/>
        <w:t>、净资产收益率及每股收益</w:t>
      </w:r>
      <w:r>
        <w:rPr>
          <w:w w:val="100"/>
        </w:rPr>
        <w:t> </w:t>
      </w:r>
      <w:r>
        <w:rPr>
          <w:spacing w:val="-3"/>
        </w:rPr>
        <w:t>按照中国证券监督管理委员会《公开发行证券的公司信息披露编报规则第 </w:t>
      </w:r>
      <w:r>
        <w:rPr>
          <w:rFonts w:ascii="宋体" w:hAnsi="宋体" w:cs="宋体" w:eastAsia="宋体" w:hint="default"/>
        </w:rPr>
        <w:t>9</w:t>
      </w:r>
      <w:r>
        <w:rPr>
          <w:rFonts w:ascii="宋体" w:hAnsi="宋体" w:cs="宋体" w:eastAsia="宋体" w:hint="default"/>
          <w:spacing w:val="-70"/>
        </w:rPr>
        <w:t> </w:t>
      </w:r>
      <w:r>
        <w:rPr/>
        <w:t>号——</w:t>
      </w:r>
    </w:p>
    <w:p>
      <w:pPr>
        <w:pStyle w:val="Heading7"/>
        <w:spacing w:line="253" w:lineRule="exact" w:before="0"/>
        <w:ind w:left="260" w:right="276"/>
        <w:jc w:val="left"/>
      </w:pPr>
      <w:r>
        <w:rPr>
          <w:w w:val="100"/>
        </w:rPr>
        <w:t>净资产</w:t>
      </w:r>
      <w:r>
        <w:rPr>
          <w:spacing w:val="-3"/>
          <w:w w:val="100"/>
        </w:rPr>
        <w:t>收</w:t>
      </w:r>
      <w:r>
        <w:rPr>
          <w:w w:val="100"/>
        </w:rPr>
        <w:t>益率</w:t>
      </w:r>
      <w:r>
        <w:rPr>
          <w:spacing w:val="-3"/>
          <w:w w:val="100"/>
        </w:rPr>
        <w:t>和</w:t>
      </w:r>
      <w:r>
        <w:rPr>
          <w:w w:val="100"/>
        </w:rPr>
        <w:t>每股</w:t>
      </w:r>
      <w:r>
        <w:rPr>
          <w:spacing w:val="-3"/>
          <w:w w:val="100"/>
        </w:rPr>
        <w:t>收益</w:t>
      </w:r>
      <w:r>
        <w:rPr>
          <w:w w:val="100"/>
        </w:rPr>
        <w:t>的计算</w:t>
      </w:r>
      <w:r>
        <w:rPr>
          <w:spacing w:val="-3"/>
          <w:w w:val="100"/>
        </w:rPr>
        <w:t>及</w:t>
      </w:r>
      <w:r>
        <w:rPr>
          <w:w w:val="100"/>
        </w:rPr>
        <w:t>披露（</w:t>
      </w:r>
      <w:r>
        <w:rPr>
          <w:rFonts w:ascii="宋体" w:hAnsi="宋体" w:cs="宋体" w:eastAsia="宋体" w:hint="default"/>
          <w:spacing w:val="-3"/>
          <w:w w:val="100"/>
        </w:rPr>
        <w:t>2</w:t>
      </w:r>
      <w:r>
        <w:rPr>
          <w:rFonts w:ascii="宋体" w:hAnsi="宋体" w:cs="宋体" w:eastAsia="宋体" w:hint="default"/>
          <w:w w:val="100"/>
        </w:rPr>
        <w:t>010</w:t>
      </w:r>
      <w:r>
        <w:rPr>
          <w:rFonts w:ascii="宋体" w:hAnsi="宋体" w:cs="宋体" w:eastAsia="宋体" w:hint="default"/>
          <w:spacing w:val="-55"/>
        </w:rPr>
        <w:t> </w:t>
      </w:r>
      <w:r>
        <w:rPr>
          <w:spacing w:val="-3"/>
          <w:w w:val="100"/>
        </w:rPr>
        <w:t>年</w:t>
      </w:r>
      <w:r>
        <w:rPr>
          <w:w w:val="100"/>
        </w:rPr>
        <w:t>修订</w:t>
      </w:r>
      <w:r>
        <w:rPr>
          <w:spacing w:val="-111"/>
          <w:w w:val="100"/>
        </w:rPr>
        <w:t>）</w:t>
      </w:r>
      <w:r>
        <w:rPr>
          <w:w w:val="100"/>
        </w:rPr>
        <w:t>》</w:t>
      </w:r>
      <w:r>
        <w:rPr>
          <w:spacing w:val="-3"/>
          <w:w w:val="100"/>
        </w:rPr>
        <w:t>的</w:t>
      </w:r>
      <w:r>
        <w:rPr>
          <w:w w:val="100"/>
        </w:rPr>
        <w:t>规定</w:t>
      </w:r>
      <w:r>
        <w:rPr>
          <w:spacing w:val="-3"/>
          <w:w w:val="100"/>
        </w:rPr>
        <w:t>，</w:t>
      </w:r>
      <w:r>
        <w:rPr>
          <w:w w:val="100"/>
        </w:rPr>
        <w:t>本集</w:t>
      </w:r>
      <w:r>
        <w:rPr>
          <w:spacing w:val="-3"/>
          <w:w w:val="100"/>
        </w:rPr>
        <w:t>团</w:t>
      </w:r>
      <w:r>
        <w:rPr>
          <w:w w:val="100"/>
        </w:rPr>
        <w:t>本年加</w:t>
      </w:r>
      <w:r>
        <w:rPr>
          <w:spacing w:val="-3"/>
          <w:w w:val="100"/>
        </w:rPr>
        <w:t>权</w:t>
      </w:r>
      <w:r>
        <w:rPr>
          <w:w w:val="100"/>
        </w:rPr>
        <w:t>平均</w:t>
      </w:r>
    </w:p>
    <w:p>
      <w:pPr>
        <w:pStyle w:val="Heading7"/>
        <w:spacing w:line="240" w:lineRule="auto" w:before="103"/>
        <w:ind w:left="260" w:right="276"/>
        <w:jc w:val="left"/>
      </w:pPr>
      <w:r>
        <w:rPr/>
        <w:t>净资产收益率、基本每股收益和稀释每股收益如下：</w:t>
      </w:r>
    </w:p>
    <w:p>
      <w:pPr>
        <w:spacing w:line="240" w:lineRule="auto" w:before="6"/>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459"/>
        <w:gridCol w:w="1973"/>
        <w:gridCol w:w="1567"/>
        <w:gridCol w:w="1551"/>
      </w:tblGrid>
      <w:tr>
        <w:trPr>
          <w:trHeight w:val="389" w:hRule="exact"/>
        </w:trPr>
        <w:tc>
          <w:tcPr>
            <w:tcW w:w="3459"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报告年利润</w:t>
            </w:r>
            <w:r>
              <w:rPr>
                <w:rFonts w:ascii="宋体" w:hAnsi="宋体" w:cs="宋体" w:eastAsia="宋体" w:hint="default"/>
                <w:sz w:val="18"/>
                <w:szCs w:val="18"/>
              </w:rPr>
            </w:r>
          </w:p>
        </w:tc>
        <w:tc>
          <w:tcPr>
            <w:tcW w:w="1973" w:type="dxa"/>
            <w:vMerge w:val="restart"/>
            <w:tcBorders>
              <w:top w:val="single" w:sz="12" w:space="0" w:color="000000"/>
              <w:left w:val="single" w:sz="2" w:space="0" w:color="000000"/>
              <w:right w:val="single" w:sz="2" w:space="0" w:color="000000"/>
            </w:tcBorders>
          </w:tcPr>
          <w:p>
            <w:pPr>
              <w:pStyle w:val="TableParagraph"/>
              <w:spacing w:line="376" w:lineRule="auto" w:before="53"/>
              <w:ind w:left="216" w:right="215" w:firstLine="405"/>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b/>
                <w:bCs/>
                <w:w w:val="99"/>
                <w:sz w:val="18"/>
                <w:szCs w:val="18"/>
              </w:rPr>
              <w:t> </w:t>
            </w:r>
            <w:r>
              <w:rPr>
                <w:rFonts w:ascii="宋体" w:hAnsi="宋体" w:cs="宋体" w:eastAsia="宋体" w:hint="default"/>
                <w:b/>
                <w:bCs/>
                <w:sz w:val="18"/>
                <w:szCs w:val="18"/>
              </w:rPr>
              <w:t>净资产收益率（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74" w:hRule="exact"/>
        </w:trPr>
        <w:tc>
          <w:tcPr>
            <w:tcW w:w="3459" w:type="dxa"/>
            <w:vMerge/>
            <w:tcBorders>
              <w:left w:val="nil" w:sz="6" w:space="0" w:color="auto"/>
              <w:bottom w:val="single" w:sz="2" w:space="0" w:color="000000"/>
              <w:right w:val="single" w:sz="2" w:space="0" w:color="000000"/>
            </w:tcBorders>
          </w:tcPr>
          <w:p>
            <w:pPr/>
          </w:p>
        </w:tc>
        <w:tc>
          <w:tcPr>
            <w:tcW w:w="1973"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74" w:hRule="exact"/>
        </w:trPr>
        <w:tc>
          <w:tcPr>
            <w:tcW w:w="34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-1.393</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-0.027</w:t>
            </w:r>
          </w:p>
        </w:tc>
        <w:tc>
          <w:tcPr>
            <w:tcW w:w="1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-0.027</w:t>
            </w:r>
          </w:p>
        </w:tc>
      </w:tr>
      <w:tr>
        <w:trPr>
          <w:trHeight w:val="682" w:hRule="exact"/>
        </w:trPr>
        <w:tc>
          <w:tcPr>
            <w:tcW w:w="3459" w:type="dxa"/>
            <w:tcBorders>
              <w:top w:val="single" w:sz="2" w:space="0" w:color="000000"/>
              <w:left w:val="nil" w:sz="6" w:space="0" w:color="auto"/>
              <w:bottom w:val="single" w:sz="12" w:space="0" w:color="000000"/>
              <w:right w:val="single" w:sz="2" w:space="0" w:color="000000"/>
            </w:tcBorders>
          </w:tcPr>
          <w:p>
            <w:pPr>
              <w:pStyle w:val="TableParagraph"/>
              <w:spacing w:line="295" w:lineRule="auto" w:before="49"/>
              <w:ind w:left="122" w:right="112"/>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扣除非经常性损益后归属于母公司股东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的净利润</w:t>
            </w:r>
          </w:p>
        </w:tc>
        <w:tc>
          <w:tcPr>
            <w:tcW w:w="19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-14.630</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-0.283</w:t>
            </w:r>
          </w:p>
        </w:tc>
        <w:tc>
          <w:tcPr>
            <w:tcW w:w="1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-0.283</w:t>
            </w:r>
          </w:p>
        </w:tc>
      </w:tr>
    </w:tbl>
    <w:p>
      <w:pPr>
        <w:spacing w:line="240" w:lineRule="auto" w:before="8"/>
        <w:rPr>
          <w:rFonts w:ascii="宋体" w:hAnsi="宋体" w:cs="宋体" w:eastAsia="宋体" w:hint="default"/>
          <w:sz w:val="4"/>
          <w:szCs w:val="4"/>
        </w:rPr>
      </w:pPr>
    </w:p>
    <w:p>
      <w:pPr>
        <w:pStyle w:val="Heading7"/>
        <w:spacing w:line="391" w:lineRule="auto"/>
        <w:ind w:left="699" w:right="364"/>
        <w:jc w:val="left"/>
      </w:pPr>
      <w:r>
        <w:rPr>
          <w:rFonts w:ascii="宋体" w:hAnsi="宋体" w:cs="宋体" w:eastAsia="宋体" w:hint="default"/>
        </w:rPr>
        <w:t>3</w:t>
      </w:r>
      <w:r>
        <w:rPr/>
        <w:t>、同一控制下企业合并期初数追溯调整相关补充资料</w:t>
      </w:r>
      <w:r>
        <w:rPr>
          <w:w w:val="100"/>
        </w:rPr>
        <w:t> </w:t>
      </w:r>
      <w:r>
        <w:rPr/>
        <w:t>由于本公司及新纳入合并报表范围的桑菲通信同为</w:t>
      </w:r>
      <w:r>
        <w:rPr>
          <w:spacing w:val="-47"/>
        </w:rPr>
        <w:t> </w:t>
      </w:r>
      <w:r>
        <w:rPr>
          <w:rFonts w:ascii="宋体" w:hAnsi="宋体" w:cs="宋体" w:eastAsia="宋体" w:hint="default"/>
        </w:rPr>
        <w:t>CEC</w:t>
      </w:r>
      <w:r>
        <w:rPr>
          <w:rFonts w:ascii="宋体" w:hAnsi="宋体" w:cs="宋体" w:eastAsia="宋体" w:hint="default"/>
          <w:spacing w:val="-48"/>
        </w:rPr>
        <w:t> </w:t>
      </w:r>
      <w:r>
        <w:rPr>
          <w:spacing w:val="-6"/>
        </w:rPr>
        <w:t>实际控制，因此公司按照同</w:t>
      </w:r>
    </w:p>
    <w:p>
      <w:pPr>
        <w:pStyle w:val="Heading7"/>
        <w:spacing w:line="253" w:lineRule="exact" w:before="0"/>
        <w:ind w:left="260" w:right="276"/>
        <w:jc w:val="left"/>
      </w:pPr>
      <w:r>
        <w:rPr/>
        <w:t>一控制下企业合并的相关规定，追溯调整 </w:t>
      </w:r>
      <w:r>
        <w:rPr>
          <w:rFonts w:ascii="宋体" w:hAnsi="宋体" w:cs="宋体" w:eastAsia="宋体" w:hint="default"/>
        </w:rPr>
        <w:t>2015</w:t>
      </w:r>
      <w:r>
        <w:rPr>
          <w:rFonts w:ascii="宋体" w:hAnsi="宋体" w:cs="宋体" w:eastAsia="宋体" w:hint="default"/>
          <w:spacing w:val="-61"/>
        </w:rPr>
        <w:t> </w:t>
      </w:r>
      <w:r>
        <w:rPr/>
        <w:t>年度期初数及上年同期相关财务报表数</w:t>
      </w:r>
    </w:p>
    <w:p>
      <w:pPr>
        <w:pStyle w:val="Heading7"/>
        <w:spacing w:line="240" w:lineRule="auto" w:before="101"/>
        <w:ind w:left="260" w:right="276"/>
        <w:jc w:val="left"/>
      </w:pPr>
      <w:r>
        <w:rPr/>
        <w:t>据如下：</w:t>
      </w:r>
    </w:p>
    <w:p>
      <w:pPr>
        <w:spacing w:after="0" w:line="240" w:lineRule="auto"/>
        <w:jc w:val="left"/>
        <w:sectPr>
          <w:pgSz w:w="11910" w:h="16840"/>
          <w:pgMar w:header="881" w:footer="980" w:top="1600" w:bottom="1160" w:left="1540" w:right="1420"/>
        </w:sectPr>
      </w:pPr>
    </w:p>
    <w:p>
      <w:pPr>
        <w:spacing w:line="240" w:lineRule="auto" w:before="3"/>
        <w:rPr>
          <w:rFonts w:ascii="宋体" w:hAnsi="宋体" w:cs="宋体" w:eastAsia="宋体" w:hint="default"/>
          <w:sz w:val="3"/>
          <w:szCs w:val="3"/>
        </w:rPr>
      </w:pPr>
    </w:p>
    <w:p>
      <w:pPr>
        <w:spacing w:line="20" w:lineRule="exact"/>
        <w:ind w:left="228"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pStyle w:val="Heading3"/>
        <w:spacing w:line="240" w:lineRule="auto"/>
        <w:ind w:right="153"/>
        <w:jc w:val="center"/>
      </w:pPr>
      <w:r>
        <w:rPr/>
        <w:t>合并资产负债表</w:t>
      </w:r>
    </w:p>
    <w:p>
      <w:pPr>
        <w:pStyle w:val="BodyText"/>
        <w:spacing w:line="240" w:lineRule="auto" w:before="182"/>
        <w:ind w:left="0" w:right="153"/>
        <w:jc w:val="center"/>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t>日</w:t>
      </w:r>
    </w:p>
    <w:p>
      <w:pPr>
        <w:pStyle w:val="BodyText"/>
        <w:tabs>
          <w:tab w:pos="7047" w:val="left" w:leader="none"/>
        </w:tabs>
        <w:spacing w:line="240" w:lineRule="auto" w:before="136"/>
        <w:ind w:left="0" w:right="156"/>
        <w:jc w:val="center"/>
      </w:pPr>
      <w:r>
        <w:rPr>
          <w:spacing w:val="-4"/>
        </w:rPr>
        <w:t>编制单位：中国长城计算机深圳股份有限公司</w:t>
        <w:tab/>
      </w:r>
      <w:r>
        <w:rPr/>
        <w:t>单位：人民币元</w:t>
      </w:r>
    </w:p>
    <w:p>
      <w:pPr>
        <w:spacing w:line="240" w:lineRule="auto" w:before="7"/>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749"/>
        <w:gridCol w:w="1592"/>
        <w:gridCol w:w="1591"/>
        <w:gridCol w:w="1592"/>
      </w:tblGrid>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5" w:right="0"/>
              <w:jc w:val="left"/>
              <w:rPr>
                <w:rFonts w:ascii="宋体" w:hAnsi="宋体" w:cs="宋体" w:eastAsia="宋体" w:hint="default"/>
                <w:sz w:val="18"/>
                <w:szCs w:val="18"/>
              </w:rPr>
            </w:pPr>
            <w:r>
              <w:rPr>
                <w:rFonts w:ascii="宋体"/>
                <w:b/>
                <w:sz w:val="18"/>
              </w:rPr>
              <w:t>2015-12-31</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5" w:right="0"/>
              <w:jc w:val="left"/>
              <w:rPr>
                <w:rFonts w:ascii="宋体" w:hAnsi="宋体" w:cs="宋体" w:eastAsia="宋体" w:hint="default"/>
                <w:sz w:val="18"/>
                <w:szCs w:val="18"/>
              </w:rPr>
            </w:pPr>
            <w:r>
              <w:rPr>
                <w:rFonts w:ascii="宋体"/>
                <w:b/>
                <w:sz w:val="18"/>
              </w:rPr>
              <w:t>2014-12-31</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5" w:right="0"/>
              <w:jc w:val="left"/>
              <w:rPr>
                <w:rFonts w:ascii="宋体" w:hAnsi="宋体" w:cs="宋体" w:eastAsia="宋体" w:hint="default"/>
                <w:sz w:val="18"/>
                <w:szCs w:val="18"/>
              </w:rPr>
            </w:pPr>
            <w:r>
              <w:rPr>
                <w:rFonts w:ascii="宋体"/>
                <w:b/>
                <w:sz w:val="18"/>
              </w:rPr>
              <w:t>2013-12-31</w:t>
            </w:r>
            <w:r>
              <w:rPr>
                <w:rFonts w:ascii="宋体"/>
                <w:sz w:val="18"/>
              </w:rPr>
            </w: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3,687,458,528.2</w:t>
            </w:r>
          </w:p>
          <w:p>
            <w:pPr>
              <w:pStyle w:val="TableParagraph"/>
              <w:spacing w:line="240" w:lineRule="auto" w:before="55"/>
              <w:ind w:right="102"/>
              <w:jc w:val="right"/>
              <w:rPr>
                <w:rFonts w:ascii="宋体" w:hAnsi="宋体" w:cs="宋体" w:eastAsia="宋体" w:hint="default"/>
                <w:sz w:val="18"/>
                <w:szCs w:val="18"/>
              </w:rPr>
            </w:pPr>
            <w:r>
              <w:rPr>
                <w:rFonts w:ascii="宋体"/>
                <w:sz w:val="18"/>
              </w:rPr>
              <w:t>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3,640,562,092.6</w:t>
            </w:r>
          </w:p>
          <w:p>
            <w:pPr>
              <w:pStyle w:val="TableParagraph"/>
              <w:spacing w:line="240" w:lineRule="auto" w:before="55"/>
              <w:ind w:right="102"/>
              <w:jc w:val="right"/>
              <w:rPr>
                <w:rFonts w:ascii="宋体" w:hAnsi="宋体" w:cs="宋体" w:eastAsia="宋体" w:hint="default"/>
                <w:sz w:val="18"/>
                <w:szCs w:val="18"/>
              </w:rPr>
            </w:pPr>
            <w:r>
              <w:rPr>
                <w:rFonts w:ascii="宋体"/>
                <w:sz w:val="18"/>
              </w:rPr>
              <w:t>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3,131,343,805.1</w:t>
            </w:r>
          </w:p>
          <w:p>
            <w:pPr>
              <w:pStyle w:val="TableParagraph"/>
              <w:spacing w:line="240" w:lineRule="auto" w:before="55"/>
              <w:ind w:right="102"/>
              <w:jc w:val="right"/>
              <w:rPr>
                <w:rFonts w:ascii="宋体" w:hAnsi="宋体" w:cs="宋体" w:eastAsia="宋体" w:hint="default"/>
                <w:sz w:val="18"/>
                <w:szCs w:val="18"/>
              </w:rPr>
            </w:pPr>
            <w:r>
              <w:rPr>
                <w:rFonts w:ascii="宋体"/>
                <w:sz w:val="18"/>
              </w:rPr>
              <w:t>1</w:t>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49"/>
              <w:ind w:left="103" w:right="94" w:firstLine="359"/>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以公允价值计量且其变动计入当期损益</w:t>
            </w:r>
            <w:r>
              <w:rPr>
                <w:rFonts w:ascii="宋体" w:hAnsi="宋体" w:cs="宋体" w:eastAsia="宋体" w:hint="default"/>
                <w:spacing w:val="7"/>
                <w:sz w:val="18"/>
                <w:szCs w:val="18"/>
              </w:rPr>
              <w:t> </w:t>
            </w:r>
            <w:r>
              <w:rPr>
                <w:rFonts w:ascii="宋体" w:hAnsi="宋体" w:cs="宋体" w:eastAsia="宋体" w:hint="default"/>
                <w:sz w:val="18"/>
                <w:szCs w:val="18"/>
              </w:rPr>
              <w:t>的金融资产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383,960,074.40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13,321,063.00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19,241,816.40</w:t>
            </w:r>
          </w:p>
        </w:tc>
      </w:tr>
      <w:tr>
        <w:trPr>
          <w:trHeight w:val="67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1,106,022,420.0</w:t>
            </w:r>
          </w:p>
          <w:p>
            <w:pPr>
              <w:pStyle w:val="TableParagraph"/>
              <w:spacing w:line="240" w:lineRule="auto" w:before="55"/>
              <w:ind w:right="102"/>
              <w:jc w:val="right"/>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545,202,900.00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267,885,592.20</w:t>
            </w:r>
          </w:p>
        </w:tc>
      </w:tr>
      <w:tr>
        <w:trPr>
          <w:trHeight w:val="670"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3,043,463,763.2</w:t>
            </w:r>
          </w:p>
          <w:p>
            <w:pPr>
              <w:pStyle w:val="TableParagraph"/>
              <w:spacing w:line="240" w:lineRule="auto" w:before="55"/>
              <w:ind w:right="102"/>
              <w:jc w:val="right"/>
              <w:rPr>
                <w:rFonts w:ascii="宋体" w:hAnsi="宋体" w:cs="宋体" w:eastAsia="宋体" w:hint="default"/>
                <w:sz w:val="18"/>
                <w:szCs w:val="18"/>
              </w:rPr>
            </w:pPr>
            <w:r>
              <w:rPr>
                <w:rFonts w:ascii="宋体"/>
                <w:sz w:val="18"/>
              </w:rPr>
              <w:t>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1,641,537,930.7</w:t>
            </w:r>
          </w:p>
          <w:p>
            <w:pPr>
              <w:pStyle w:val="TableParagraph"/>
              <w:spacing w:line="240" w:lineRule="auto" w:before="55"/>
              <w:ind w:right="102"/>
              <w:jc w:val="right"/>
              <w:rPr>
                <w:rFonts w:ascii="宋体" w:hAnsi="宋体" w:cs="宋体" w:eastAsia="宋体" w:hint="default"/>
                <w:sz w:val="18"/>
                <w:szCs w:val="18"/>
              </w:rPr>
            </w:pPr>
            <w:r>
              <w:rPr>
                <w:rFonts w:ascii="宋体"/>
                <w:sz w:val="18"/>
              </w:rPr>
              <w:t>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1,226,913,412.7</w:t>
            </w:r>
          </w:p>
          <w:p>
            <w:pPr>
              <w:pStyle w:val="TableParagraph"/>
              <w:spacing w:line="240" w:lineRule="auto" w:before="55"/>
              <w:ind w:right="102"/>
              <w:jc w:val="right"/>
              <w:rPr>
                <w:rFonts w:ascii="宋体" w:hAnsi="宋体" w:cs="宋体" w:eastAsia="宋体" w:hint="default"/>
                <w:sz w:val="18"/>
                <w:szCs w:val="18"/>
              </w:rPr>
            </w:pPr>
            <w:r>
              <w:rPr>
                <w:rFonts w:ascii="宋体"/>
                <w:sz w:val="18"/>
              </w:rPr>
              <w:t>7</w:t>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11,310,055,768.</w:t>
            </w:r>
          </w:p>
          <w:p>
            <w:pPr>
              <w:pStyle w:val="TableParagraph"/>
              <w:spacing w:line="240" w:lineRule="auto" w:before="55"/>
              <w:ind w:right="98"/>
              <w:jc w:val="right"/>
              <w:rPr>
                <w:rFonts w:ascii="宋体" w:hAnsi="宋体" w:cs="宋体" w:eastAsia="宋体" w:hint="default"/>
                <w:sz w:val="18"/>
                <w:szCs w:val="18"/>
              </w:rPr>
            </w:pPr>
            <w:r>
              <w:rPr>
                <w:rFonts w:ascii="宋体"/>
                <w:sz w:val="18"/>
              </w:rPr>
              <w:t>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12,326,981,442.</w:t>
            </w:r>
          </w:p>
          <w:p>
            <w:pPr>
              <w:pStyle w:val="TableParagraph"/>
              <w:spacing w:line="240" w:lineRule="auto" w:before="55"/>
              <w:ind w:right="98"/>
              <w:jc w:val="right"/>
              <w:rPr>
                <w:rFonts w:ascii="宋体" w:hAnsi="宋体" w:cs="宋体" w:eastAsia="宋体" w:hint="default"/>
                <w:sz w:val="18"/>
                <w:szCs w:val="18"/>
              </w:rPr>
            </w:pPr>
            <w:r>
              <w:rPr>
                <w:rFonts w:ascii="宋体"/>
                <w:sz w:val="18"/>
              </w:rPr>
              <w:t>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13,344,362,474.</w:t>
            </w:r>
          </w:p>
          <w:p>
            <w:pPr>
              <w:pStyle w:val="TableParagraph"/>
              <w:spacing w:line="240" w:lineRule="auto" w:before="55"/>
              <w:ind w:right="98"/>
              <w:jc w:val="right"/>
              <w:rPr>
                <w:rFonts w:ascii="宋体" w:hAnsi="宋体" w:cs="宋体" w:eastAsia="宋体" w:hint="default"/>
                <w:sz w:val="18"/>
                <w:szCs w:val="18"/>
              </w:rPr>
            </w:pPr>
            <w:r>
              <w:rPr>
                <w:rFonts w:ascii="宋体"/>
                <w:sz w:val="18"/>
              </w:rPr>
              <w:t>91</w:t>
            </w: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247,654,836.19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122,838,907.46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136,384,279.10</w:t>
            </w:r>
          </w:p>
        </w:tc>
      </w:tr>
      <w:tr>
        <w:trPr>
          <w:trHeight w:val="38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641,303.06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608,031.22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590,719.60</w:t>
            </w: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593,818,085.77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1,935,536,566.4</w:t>
            </w:r>
          </w:p>
          <w:p>
            <w:pPr>
              <w:pStyle w:val="TableParagraph"/>
              <w:spacing w:line="240" w:lineRule="auto" w:before="55"/>
              <w:ind w:right="102"/>
              <w:jc w:val="right"/>
              <w:rPr>
                <w:rFonts w:ascii="宋体" w:hAnsi="宋体" w:cs="宋体" w:eastAsia="宋体" w:hint="default"/>
                <w:sz w:val="18"/>
                <w:szCs w:val="18"/>
              </w:rPr>
            </w:pPr>
            <w:r>
              <w:rPr>
                <w:rFonts w:ascii="宋体"/>
                <w:sz w:val="18"/>
              </w:rPr>
              <w:t>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2,031,918,344.3</w:t>
            </w:r>
          </w:p>
          <w:p>
            <w:pPr>
              <w:pStyle w:val="TableParagraph"/>
              <w:spacing w:line="240" w:lineRule="auto" w:before="55"/>
              <w:ind w:right="102"/>
              <w:jc w:val="right"/>
              <w:rPr>
                <w:rFonts w:ascii="宋体" w:hAnsi="宋体" w:cs="宋体" w:eastAsia="宋体" w:hint="default"/>
                <w:sz w:val="18"/>
                <w:szCs w:val="18"/>
              </w:rPr>
            </w:pPr>
            <w:r>
              <w:rPr>
                <w:rFonts w:ascii="宋体"/>
                <w:sz w:val="18"/>
              </w:rPr>
              <w:t>8</w:t>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8,685,989,318.3</w:t>
            </w:r>
          </w:p>
          <w:p>
            <w:pPr>
              <w:pStyle w:val="TableParagraph"/>
              <w:spacing w:line="240" w:lineRule="auto" w:before="55"/>
              <w:ind w:right="102"/>
              <w:jc w:val="right"/>
              <w:rPr>
                <w:rFonts w:ascii="宋体" w:hAnsi="宋体" w:cs="宋体" w:eastAsia="宋体" w:hint="default"/>
                <w:sz w:val="18"/>
                <w:szCs w:val="18"/>
              </w:rPr>
            </w:pPr>
            <w:r>
              <w:rPr>
                <w:rFonts w:ascii="宋体"/>
                <w:sz w:val="18"/>
              </w:rPr>
              <w:t>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9,228,909,532.1</w:t>
            </w:r>
          </w:p>
          <w:p>
            <w:pPr>
              <w:pStyle w:val="TableParagraph"/>
              <w:spacing w:line="240" w:lineRule="auto" w:before="55"/>
              <w:ind w:right="102"/>
              <w:jc w:val="right"/>
              <w:rPr>
                <w:rFonts w:ascii="宋体" w:hAnsi="宋体" w:cs="宋体" w:eastAsia="宋体" w:hint="default"/>
                <w:sz w:val="18"/>
                <w:szCs w:val="18"/>
              </w:rPr>
            </w:pPr>
            <w:r>
              <w:rPr>
                <w:rFonts w:ascii="宋体"/>
                <w:sz w:val="18"/>
              </w:rPr>
              <w:t>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8,721,568,997.3</w:t>
            </w:r>
          </w:p>
          <w:p>
            <w:pPr>
              <w:pStyle w:val="TableParagraph"/>
              <w:spacing w:line="240" w:lineRule="auto" w:before="55"/>
              <w:ind w:right="102"/>
              <w:jc w:val="right"/>
              <w:rPr>
                <w:rFonts w:ascii="宋体" w:hAnsi="宋体" w:cs="宋体" w:eastAsia="宋体" w:hint="default"/>
                <w:sz w:val="18"/>
                <w:szCs w:val="18"/>
              </w:rPr>
            </w:pPr>
            <w:r>
              <w:rPr>
                <w:rFonts w:ascii="宋体"/>
                <w:sz w:val="18"/>
              </w:rPr>
              <w:t>4</w:t>
            </w: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94"/>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322,079,684.00</w:t>
            </w: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1,266,349,845.9</w:t>
            </w:r>
          </w:p>
          <w:p>
            <w:pPr>
              <w:pStyle w:val="TableParagraph"/>
              <w:spacing w:line="240" w:lineRule="auto" w:before="55"/>
              <w:ind w:right="102"/>
              <w:jc w:val="right"/>
              <w:rPr>
                <w:rFonts w:ascii="宋体" w:hAnsi="宋体" w:cs="宋体" w:eastAsia="宋体" w:hint="default"/>
                <w:sz w:val="18"/>
                <w:szCs w:val="18"/>
              </w:rPr>
            </w:pPr>
            <w:r>
              <w:rPr>
                <w:rFonts w:ascii="宋体"/>
                <w:sz w:val="18"/>
              </w:rPr>
              <w:t>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1,626,715,822.7</w:t>
            </w:r>
          </w:p>
          <w:p>
            <w:pPr>
              <w:pStyle w:val="TableParagraph"/>
              <w:spacing w:line="240" w:lineRule="auto" w:before="55"/>
              <w:ind w:right="102"/>
              <w:jc w:val="right"/>
              <w:rPr>
                <w:rFonts w:ascii="宋体" w:hAnsi="宋体" w:cs="宋体" w:eastAsia="宋体" w:hint="default"/>
                <w:sz w:val="18"/>
                <w:szCs w:val="18"/>
              </w:rPr>
            </w:pPr>
            <w:r>
              <w:rPr>
                <w:rFonts w:ascii="宋体"/>
                <w:sz w:val="18"/>
              </w:rPr>
              <w:t>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1,740,434,355.0</w:t>
            </w:r>
          </w:p>
          <w:p>
            <w:pPr>
              <w:pStyle w:val="TableParagraph"/>
              <w:spacing w:line="240" w:lineRule="auto" w:before="55"/>
              <w:ind w:right="102"/>
              <w:jc w:val="right"/>
              <w:rPr>
                <w:rFonts w:ascii="宋体" w:hAnsi="宋体" w:cs="宋体" w:eastAsia="宋体" w:hint="default"/>
                <w:sz w:val="18"/>
                <w:szCs w:val="18"/>
              </w:rPr>
            </w:pPr>
            <w:r>
              <w:rPr>
                <w:rFonts w:ascii="宋体"/>
                <w:sz w:val="18"/>
              </w:rPr>
              <w:t>5</w:t>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26"/>
              <w:jc w:val="right"/>
              <w:rPr>
                <w:rFonts w:ascii="宋体" w:hAnsi="宋体" w:cs="宋体" w:eastAsia="宋体" w:hint="default"/>
                <w:sz w:val="18"/>
                <w:szCs w:val="18"/>
              </w:rPr>
            </w:pPr>
            <w:r>
              <w:rPr>
                <w:rFonts w:ascii="宋体" w:hAnsi="宋体" w:cs="宋体" w:eastAsia="宋体" w:hint="default"/>
                <w:b/>
                <w:bCs/>
                <w:w w:val="95"/>
                <w:sz w:val="18"/>
                <w:szCs w:val="18"/>
              </w:rPr>
              <w:t>流动资产合计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30,325,413,944.</w:t>
            </w:r>
            <w:r>
              <w:rPr>
                <w:rFonts w:ascii="宋体"/>
                <w:sz w:val="18"/>
              </w:rPr>
            </w:r>
          </w:p>
          <w:p>
            <w:pPr>
              <w:pStyle w:val="TableParagraph"/>
              <w:spacing w:line="240" w:lineRule="auto" w:before="55"/>
              <w:ind w:right="101"/>
              <w:jc w:val="right"/>
              <w:rPr>
                <w:rFonts w:ascii="宋体" w:hAnsi="宋体" w:cs="宋体" w:eastAsia="宋体" w:hint="default"/>
                <w:sz w:val="18"/>
                <w:szCs w:val="18"/>
              </w:rPr>
            </w:pPr>
            <w:r>
              <w:rPr>
                <w:rFonts w:ascii="宋体"/>
                <w:b/>
                <w:sz w:val="18"/>
              </w:rPr>
              <w:t>07</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31,404,293,972.</w:t>
            </w:r>
            <w:r>
              <w:rPr>
                <w:rFonts w:ascii="宋体"/>
                <w:sz w:val="18"/>
              </w:rPr>
            </w:r>
          </w:p>
          <w:p>
            <w:pPr>
              <w:pStyle w:val="TableParagraph"/>
              <w:spacing w:line="240" w:lineRule="auto" w:before="55"/>
              <w:ind w:right="101"/>
              <w:jc w:val="right"/>
              <w:rPr>
                <w:rFonts w:ascii="宋体" w:hAnsi="宋体" w:cs="宋体" w:eastAsia="宋体" w:hint="default"/>
                <w:sz w:val="18"/>
                <w:szCs w:val="18"/>
              </w:rPr>
            </w:pPr>
            <w:r>
              <w:rPr>
                <w:rFonts w:ascii="宋体"/>
                <w:b/>
                <w:sz w:val="18"/>
              </w:rPr>
              <w:t>61</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30,620,643,796.</w:t>
            </w:r>
            <w:r>
              <w:rPr>
                <w:rFonts w:ascii="宋体"/>
                <w:sz w:val="18"/>
              </w:rPr>
            </w:r>
          </w:p>
          <w:p>
            <w:pPr>
              <w:pStyle w:val="TableParagraph"/>
              <w:spacing w:line="240" w:lineRule="auto" w:before="55"/>
              <w:ind w:right="101"/>
              <w:jc w:val="right"/>
              <w:rPr>
                <w:rFonts w:ascii="宋体" w:hAnsi="宋体" w:cs="宋体" w:eastAsia="宋体" w:hint="default"/>
                <w:sz w:val="18"/>
                <w:szCs w:val="18"/>
              </w:rPr>
            </w:pPr>
            <w:r>
              <w:rPr>
                <w:rFonts w:ascii="宋体"/>
                <w:b/>
                <w:sz w:val="18"/>
              </w:rPr>
              <w:t>86</w:t>
            </w:r>
            <w:r>
              <w:rPr>
                <w:rFonts w:ascii="宋体"/>
                <w:sz w:val="18"/>
              </w:rPr>
            </w: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64,250,836.82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69,820,523.70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55,205,914.66</w:t>
            </w:r>
          </w:p>
        </w:tc>
      </w:tr>
      <w:tr>
        <w:trPr>
          <w:trHeight w:val="38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31,682,274.40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31,237,495.00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360,851,123.40</w:t>
            </w:r>
          </w:p>
        </w:tc>
      </w:tr>
      <w:tr>
        <w:trPr>
          <w:trHeight w:val="380"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445,127,561.40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439,288,253.51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385,645,905.47</w:t>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1,143,886,809.0</w:t>
            </w:r>
          </w:p>
          <w:p>
            <w:pPr>
              <w:pStyle w:val="TableParagraph"/>
              <w:spacing w:line="240" w:lineRule="auto" w:before="55"/>
              <w:ind w:right="102"/>
              <w:jc w:val="right"/>
              <w:rPr>
                <w:rFonts w:ascii="宋体" w:hAnsi="宋体" w:cs="宋体" w:eastAsia="宋体" w:hint="default"/>
                <w:sz w:val="18"/>
                <w:szCs w:val="18"/>
              </w:rPr>
            </w:pPr>
            <w:r>
              <w:rPr>
                <w:rFonts w:ascii="宋体"/>
                <w:sz w:val="18"/>
              </w:rPr>
              <w:t>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1,085,041,202.9</w:t>
            </w:r>
          </w:p>
          <w:p>
            <w:pPr>
              <w:pStyle w:val="TableParagraph"/>
              <w:spacing w:line="240" w:lineRule="auto" w:before="55"/>
              <w:ind w:right="102"/>
              <w:jc w:val="right"/>
              <w:rPr>
                <w:rFonts w:ascii="宋体" w:hAnsi="宋体" w:cs="宋体" w:eastAsia="宋体" w:hint="default"/>
                <w:sz w:val="18"/>
                <w:szCs w:val="18"/>
              </w:rPr>
            </w:pPr>
            <w:r>
              <w:rPr>
                <w:rFonts w:ascii="宋体"/>
                <w:sz w:val="18"/>
              </w:rPr>
              <w:t>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636,800,015.09</w:t>
            </w:r>
          </w:p>
        </w:tc>
      </w:tr>
      <w:tr>
        <w:trPr>
          <w:trHeight w:val="670"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3,656,476,219.8</w:t>
            </w:r>
          </w:p>
          <w:p>
            <w:pPr>
              <w:pStyle w:val="TableParagraph"/>
              <w:spacing w:line="240" w:lineRule="auto" w:before="55"/>
              <w:ind w:right="102"/>
              <w:jc w:val="right"/>
              <w:rPr>
                <w:rFonts w:ascii="宋体" w:hAnsi="宋体" w:cs="宋体" w:eastAsia="宋体" w:hint="default"/>
                <w:sz w:val="18"/>
                <w:szCs w:val="18"/>
              </w:rPr>
            </w:pPr>
            <w:r>
              <w:rPr>
                <w:rFonts w:ascii="宋体"/>
                <w:sz w:val="18"/>
              </w:rPr>
              <w:t>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3,576,611,453.8</w:t>
            </w:r>
          </w:p>
          <w:p>
            <w:pPr>
              <w:pStyle w:val="TableParagraph"/>
              <w:spacing w:line="240" w:lineRule="auto" w:before="55"/>
              <w:ind w:right="102"/>
              <w:jc w:val="right"/>
              <w:rPr>
                <w:rFonts w:ascii="宋体" w:hAnsi="宋体" w:cs="宋体" w:eastAsia="宋体" w:hint="default"/>
                <w:sz w:val="18"/>
                <w:szCs w:val="18"/>
              </w:rPr>
            </w:pPr>
            <w:r>
              <w:rPr>
                <w:rFonts w:ascii="宋体"/>
                <w:sz w:val="18"/>
              </w:rPr>
              <w:t>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3,734,234,363.7</w:t>
            </w:r>
          </w:p>
          <w:p>
            <w:pPr>
              <w:pStyle w:val="TableParagraph"/>
              <w:spacing w:line="240" w:lineRule="auto" w:before="55"/>
              <w:ind w:right="102"/>
              <w:jc w:val="right"/>
              <w:rPr>
                <w:rFonts w:ascii="宋体" w:hAnsi="宋体" w:cs="宋体" w:eastAsia="宋体" w:hint="default"/>
                <w:sz w:val="18"/>
                <w:szCs w:val="18"/>
              </w:rPr>
            </w:pPr>
            <w:r>
              <w:rPr>
                <w:rFonts w:ascii="宋体"/>
                <w:sz w:val="18"/>
              </w:rPr>
              <w:t>7</w:t>
            </w:r>
          </w:p>
        </w:tc>
      </w:tr>
      <w:tr>
        <w:trPr>
          <w:trHeight w:val="38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809,418,296.08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837,385,138.87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931,480,052.78</w:t>
            </w:r>
          </w:p>
        </w:tc>
      </w:tr>
    </w:tbl>
    <w:p>
      <w:pPr>
        <w:spacing w:after="0" w:line="240" w:lineRule="auto"/>
        <w:jc w:val="right"/>
        <w:rPr>
          <w:rFonts w:ascii="宋体" w:hAnsi="宋体" w:cs="宋体" w:eastAsia="宋体" w:hint="default"/>
          <w:sz w:val="18"/>
          <w:szCs w:val="18"/>
        </w:rPr>
        <w:sectPr>
          <w:pgSz w:w="11910" w:h="16840"/>
          <w:pgMar w:header="881" w:footer="980" w:top="1600" w:bottom="1160" w:left="1580" w:right="1420"/>
        </w:sectPr>
      </w:pPr>
    </w:p>
    <w:p>
      <w:pPr>
        <w:spacing w:line="240" w:lineRule="auto" w:before="3"/>
        <w:rPr>
          <w:rFonts w:ascii="宋体" w:hAnsi="宋体" w:cs="宋体" w:eastAsia="宋体" w:hint="default"/>
          <w:sz w:val="3"/>
          <w:szCs w:val="3"/>
        </w:rPr>
      </w:pPr>
      <w:r>
        <w:rPr/>
        <w:pict>
          <v:group style="position:absolute;margin-left:90.800003pt;margin-top:82.499985pt;width:428pt;height:.1pt;mso-position-horizontal-relative:page;mso-position-vertical-relative:page;z-index:-1191568" coordorigin="1816,1650" coordsize="8560,2">
            <v:shape style="position:absolute;left:1816;top:1650;width:8560;height:2" coordorigin="1816,1650" coordsize="8560,0" path="m1816,1650l10376,1650e" filled="false" stroked="true" strokeweight=".75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749"/>
        <w:gridCol w:w="1592"/>
        <w:gridCol w:w="1591"/>
        <w:gridCol w:w="1592"/>
      </w:tblGrid>
      <w:tr>
        <w:trPr>
          <w:trHeight w:val="645" w:hRule="exact"/>
        </w:trPr>
        <w:tc>
          <w:tcPr>
            <w:tcW w:w="37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925,562,508.12</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970,056,770.29</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pacing w:val="-1"/>
                <w:sz w:val="18"/>
              </w:rPr>
              <w:t>1,861,048,255.9</w:t>
            </w:r>
          </w:p>
          <w:p>
            <w:pPr>
              <w:pStyle w:val="TableParagraph"/>
              <w:spacing w:line="240" w:lineRule="auto" w:before="55"/>
              <w:ind w:right="102"/>
              <w:jc w:val="right"/>
              <w:rPr>
                <w:rFonts w:ascii="宋体" w:hAnsi="宋体" w:cs="宋体" w:eastAsia="宋体" w:hint="default"/>
                <w:sz w:val="18"/>
                <w:szCs w:val="18"/>
              </w:rPr>
            </w:pPr>
            <w:r>
              <w:rPr>
                <w:rFonts w:ascii="宋体"/>
                <w:sz w:val="18"/>
              </w:rPr>
              <w:t>1</w:t>
            </w:r>
          </w:p>
        </w:tc>
      </w:tr>
      <w:tr>
        <w:trPr>
          <w:trHeight w:val="38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54,826,807.67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51,647,985.77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51,467,212.43</w:t>
            </w: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370,122,514.13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388,391,458.55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370,515,600.14</w:t>
            </w:r>
          </w:p>
        </w:tc>
      </w:tr>
      <w:tr>
        <w:trPr>
          <w:trHeight w:val="379"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578,418,323.11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584,935,319.65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544,521,461.01</w:t>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1,050,881,133.6</w:t>
            </w:r>
          </w:p>
          <w:p>
            <w:pPr>
              <w:pStyle w:val="TableParagraph"/>
              <w:spacing w:line="240" w:lineRule="auto" w:before="55"/>
              <w:ind w:right="102"/>
              <w:jc w:val="right"/>
              <w:rPr>
                <w:rFonts w:ascii="宋体" w:hAnsi="宋体" w:cs="宋体" w:eastAsia="宋体" w:hint="default"/>
                <w:sz w:val="18"/>
                <w:szCs w:val="18"/>
              </w:rPr>
            </w:pPr>
            <w:r>
              <w:rPr>
                <w:rFonts w:ascii="宋体"/>
                <w:sz w:val="18"/>
              </w:rPr>
              <w:t>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1,113,012,592.4</w:t>
            </w:r>
          </w:p>
          <w:p>
            <w:pPr>
              <w:pStyle w:val="TableParagraph"/>
              <w:spacing w:line="240" w:lineRule="auto" w:before="55"/>
              <w:ind w:right="102"/>
              <w:jc w:val="right"/>
              <w:rPr>
                <w:rFonts w:ascii="宋体" w:hAnsi="宋体" w:cs="宋体" w:eastAsia="宋体" w:hint="default"/>
                <w:sz w:val="18"/>
                <w:szCs w:val="18"/>
              </w:rPr>
            </w:pPr>
            <w:r>
              <w:rPr>
                <w:rFonts w:ascii="宋体"/>
                <w:sz w:val="18"/>
              </w:rPr>
              <w:t>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724,090,284.19</w:t>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35"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9,130,653,284.3</w:t>
            </w:r>
            <w:r>
              <w:rPr>
                <w:rFonts w:ascii="宋体"/>
                <w:sz w:val="18"/>
              </w:rPr>
            </w:r>
          </w:p>
          <w:p>
            <w:pPr>
              <w:pStyle w:val="TableParagraph"/>
              <w:spacing w:line="240" w:lineRule="auto" w:before="55"/>
              <w:ind w:right="102"/>
              <w:jc w:val="right"/>
              <w:rPr>
                <w:rFonts w:ascii="宋体" w:hAnsi="宋体" w:cs="宋体" w:eastAsia="宋体" w:hint="default"/>
                <w:sz w:val="18"/>
                <w:szCs w:val="18"/>
              </w:rPr>
            </w:pPr>
            <w:r>
              <w:rPr>
                <w:rFonts w:ascii="宋体"/>
                <w:b/>
                <w:w w:val="99"/>
                <w:sz w:val="18"/>
              </w:rPr>
              <w:t>3</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9,147,428,194.6</w:t>
            </w:r>
            <w:r>
              <w:rPr>
                <w:rFonts w:ascii="宋体"/>
                <w:sz w:val="18"/>
              </w:rPr>
            </w:r>
          </w:p>
          <w:p>
            <w:pPr>
              <w:pStyle w:val="TableParagraph"/>
              <w:spacing w:line="240" w:lineRule="auto" w:before="55"/>
              <w:ind w:right="102"/>
              <w:jc w:val="right"/>
              <w:rPr>
                <w:rFonts w:ascii="宋体" w:hAnsi="宋体" w:cs="宋体" w:eastAsia="宋体" w:hint="default"/>
                <w:sz w:val="18"/>
                <w:szCs w:val="18"/>
              </w:rPr>
            </w:pPr>
            <w:r>
              <w:rPr>
                <w:rFonts w:ascii="宋体"/>
                <w:b/>
                <w:w w:val="99"/>
                <w:sz w:val="18"/>
              </w:rPr>
              <w:t>1</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9,655,860,188.8</w:t>
            </w:r>
            <w:r>
              <w:rPr>
                <w:rFonts w:ascii="宋体"/>
                <w:sz w:val="18"/>
              </w:rPr>
            </w:r>
          </w:p>
          <w:p>
            <w:pPr>
              <w:pStyle w:val="TableParagraph"/>
              <w:spacing w:line="240" w:lineRule="auto" w:before="55"/>
              <w:ind w:right="102"/>
              <w:jc w:val="right"/>
              <w:rPr>
                <w:rFonts w:ascii="宋体" w:hAnsi="宋体" w:cs="宋体" w:eastAsia="宋体" w:hint="default"/>
                <w:sz w:val="18"/>
                <w:szCs w:val="18"/>
              </w:rPr>
            </w:pPr>
            <w:r>
              <w:rPr>
                <w:rFonts w:ascii="宋体"/>
                <w:b/>
                <w:w w:val="99"/>
                <w:sz w:val="18"/>
              </w:rPr>
              <w:t>5</w:t>
            </w:r>
            <w:r>
              <w:rPr>
                <w:rFonts w:ascii="宋体"/>
                <w:sz w:val="18"/>
              </w:rPr>
            </w:r>
          </w:p>
        </w:tc>
      </w:tr>
      <w:tr>
        <w:trPr>
          <w:trHeight w:val="672"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39,456,067,228.</w:t>
            </w:r>
            <w:r>
              <w:rPr>
                <w:rFonts w:ascii="宋体"/>
                <w:sz w:val="18"/>
              </w:rPr>
            </w:r>
          </w:p>
          <w:p>
            <w:pPr>
              <w:pStyle w:val="TableParagraph"/>
              <w:spacing w:line="240" w:lineRule="auto" w:before="55"/>
              <w:ind w:right="101"/>
              <w:jc w:val="right"/>
              <w:rPr>
                <w:rFonts w:ascii="宋体" w:hAnsi="宋体" w:cs="宋体" w:eastAsia="宋体" w:hint="default"/>
                <w:sz w:val="18"/>
                <w:szCs w:val="18"/>
              </w:rPr>
            </w:pPr>
            <w:r>
              <w:rPr>
                <w:rFonts w:ascii="宋体"/>
                <w:b/>
                <w:sz w:val="18"/>
              </w:rPr>
              <w:t>40</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b/>
                <w:w w:val="95"/>
                <w:sz w:val="18"/>
              </w:rPr>
              <w:t>40,551,722,167.</w:t>
            </w:r>
            <w:r>
              <w:rPr>
                <w:rFonts w:ascii="宋体"/>
                <w:sz w:val="18"/>
              </w:rPr>
            </w:r>
          </w:p>
          <w:p>
            <w:pPr>
              <w:pStyle w:val="TableParagraph"/>
              <w:spacing w:line="240" w:lineRule="auto" w:before="55"/>
              <w:ind w:right="101"/>
              <w:jc w:val="right"/>
              <w:rPr>
                <w:rFonts w:ascii="宋体" w:hAnsi="宋体" w:cs="宋体" w:eastAsia="宋体" w:hint="default"/>
                <w:sz w:val="18"/>
                <w:szCs w:val="18"/>
              </w:rPr>
            </w:pPr>
            <w:r>
              <w:rPr>
                <w:rFonts w:ascii="宋体"/>
                <w:b/>
                <w:sz w:val="18"/>
              </w:rPr>
              <w:t>22</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w w:val="95"/>
                <w:sz w:val="18"/>
              </w:rPr>
              <w:t>40,276,503,985.</w:t>
            </w:r>
            <w:r>
              <w:rPr>
                <w:rFonts w:ascii="宋体"/>
                <w:sz w:val="18"/>
              </w:rPr>
            </w:r>
          </w:p>
          <w:p>
            <w:pPr>
              <w:pStyle w:val="TableParagraph"/>
              <w:spacing w:line="240" w:lineRule="auto" w:before="55"/>
              <w:ind w:right="101"/>
              <w:jc w:val="right"/>
              <w:rPr>
                <w:rFonts w:ascii="宋体" w:hAnsi="宋体" w:cs="宋体" w:eastAsia="宋体" w:hint="default"/>
                <w:sz w:val="18"/>
                <w:szCs w:val="18"/>
              </w:rPr>
            </w:pPr>
            <w:r>
              <w:rPr>
                <w:rFonts w:ascii="宋体"/>
                <w:b/>
                <w:sz w:val="18"/>
              </w:rPr>
              <w:t>71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240" w:lineRule="auto"/>
        <w:ind w:right="155"/>
        <w:jc w:val="center"/>
      </w:pPr>
      <w:r>
        <w:rPr/>
        <w:t>合并资产负债表（续）</w:t>
      </w:r>
    </w:p>
    <w:p>
      <w:pPr>
        <w:pStyle w:val="BodyText"/>
        <w:spacing w:line="240" w:lineRule="auto" w:before="112"/>
        <w:ind w:left="0" w:right="153"/>
        <w:jc w:val="center"/>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t>日</w:t>
      </w:r>
    </w:p>
    <w:p>
      <w:pPr>
        <w:pStyle w:val="BodyText"/>
        <w:tabs>
          <w:tab w:pos="7047" w:val="left" w:leader="none"/>
        </w:tabs>
        <w:spacing w:line="240" w:lineRule="auto" w:before="79"/>
        <w:ind w:left="0" w:right="156"/>
        <w:jc w:val="center"/>
      </w:pPr>
      <w:r>
        <w:rPr>
          <w:spacing w:val="-4"/>
        </w:rPr>
        <w:t>编制单位：中国长城计算机深圳股份有限公司</w:t>
        <w:tab/>
      </w:r>
      <w:r>
        <w:rPr/>
        <w:t>单位：人民币元</w:t>
      </w:r>
    </w:p>
    <w:p>
      <w:pPr>
        <w:spacing w:line="240" w:lineRule="auto" w:before="11"/>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3749"/>
        <w:gridCol w:w="1592"/>
        <w:gridCol w:w="1591"/>
        <w:gridCol w:w="1592"/>
      </w:tblGrid>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5" w:right="0"/>
              <w:jc w:val="left"/>
              <w:rPr>
                <w:rFonts w:ascii="宋体" w:hAnsi="宋体" w:cs="宋体" w:eastAsia="宋体" w:hint="default"/>
                <w:sz w:val="18"/>
                <w:szCs w:val="18"/>
              </w:rPr>
            </w:pPr>
            <w:r>
              <w:rPr>
                <w:rFonts w:ascii="宋体"/>
                <w:b/>
                <w:sz w:val="18"/>
              </w:rPr>
              <w:t>2015-12-31</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5" w:right="0"/>
              <w:jc w:val="left"/>
              <w:rPr>
                <w:rFonts w:ascii="宋体" w:hAnsi="宋体" w:cs="宋体" w:eastAsia="宋体" w:hint="default"/>
                <w:sz w:val="18"/>
                <w:szCs w:val="18"/>
              </w:rPr>
            </w:pPr>
            <w:r>
              <w:rPr>
                <w:rFonts w:ascii="宋体"/>
                <w:b/>
                <w:sz w:val="18"/>
              </w:rPr>
              <w:t>2014-12-31</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5" w:right="0"/>
              <w:jc w:val="left"/>
              <w:rPr>
                <w:rFonts w:ascii="宋体" w:hAnsi="宋体" w:cs="宋体" w:eastAsia="宋体" w:hint="default"/>
                <w:sz w:val="18"/>
                <w:szCs w:val="18"/>
              </w:rPr>
            </w:pPr>
            <w:r>
              <w:rPr>
                <w:rFonts w:ascii="宋体"/>
                <w:b/>
                <w:sz w:val="18"/>
              </w:rPr>
              <w:t>2013-12-31</w:t>
            </w:r>
            <w:r>
              <w:rPr>
                <w:rFonts w:ascii="宋体"/>
                <w:sz w:val="18"/>
              </w:rPr>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1,632,605,222.0</w:t>
            </w:r>
          </w:p>
          <w:p>
            <w:pPr>
              <w:pStyle w:val="TableParagraph"/>
              <w:spacing w:line="240" w:lineRule="auto" w:before="31"/>
              <w:ind w:right="102"/>
              <w:jc w:val="right"/>
              <w:rPr>
                <w:rFonts w:ascii="宋体" w:hAnsi="宋体" w:cs="宋体" w:eastAsia="宋体" w:hint="default"/>
                <w:sz w:val="18"/>
                <w:szCs w:val="18"/>
              </w:rPr>
            </w:pPr>
            <w:r>
              <w:rPr>
                <w:rFonts w:ascii="宋体"/>
                <w:sz w:val="18"/>
              </w:rPr>
              <w:t>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1,350,018,519.0</w:t>
            </w:r>
          </w:p>
          <w:p>
            <w:pPr>
              <w:pStyle w:val="TableParagraph"/>
              <w:spacing w:line="240" w:lineRule="auto" w:before="31"/>
              <w:ind w:right="102"/>
              <w:jc w:val="right"/>
              <w:rPr>
                <w:rFonts w:ascii="宋体" w:hAnsi="宋体" w:cs="宋体" w:eastAsia="宋体" w:hint="default"/>
                <w:sz w:val="18"/>
                <w:szCs w:val="18"/>
              </w:rPr>
            </w:pPr>
            <w:r>
              <w:rPr>
                <w:rFonts w:ascii="宋体"/>
                <w:sz w:val="18"/>
              </w:rPr>
              <w:t>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2,188,148,160.0</w:t>
            </w:r>
          </w:p>
          <w:p>
            <w:pPr>
              <w:pStyle w:val="TableParagraph"/>
              <w:spacing w:line="240" w:lineRule="auto" w:before="31"/>
              <w:ind w:right="102"/>
              <w:jc w:val="right"/>
              <w:rPr>
                <w:rFonts w:ascii="宋体" w:hAnsi="宋体" w:cs="宋体" w:eastAsia="宋体" w:hint="default"/>
                <w:sz w:val="18"/>
                <w:szCs w:val="18"/>
              </w:rPr>
            </w:pPr>
            <w:r>
              <w:rPr>
                <w:rFonts w:ascii="宋体"/>
                <w:sz w:val="18"/>
              </w:rPr>
              <w:t>3</w:t>
            </w:r>
          </w:p>
        </w:tc>
      </w:tr>
      <w:tr>
        <w:trPr>
          <w:trHeight w:val="595"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7"/>
              <w:ind w:left="103" w:right="94" w:firstLine="359"/>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以公允价值计量且其变动计入当期损益</w:t>
            </w:r>
            <w:r>
              <w:rPr>
                <w:rFonts w:ascii="宋体" w:hAnsi="宋体" w:cs="宋体" w:eastAsia="宋体" w:hint="default"/>
                <w:spacing w:val="7"/>
                <w:sz w:val="18"/>
                <w:szCs w:val="18"/>
              </w:rPr>
              <w:t> </w:t>
            </w:r>
            <w:r>
              <w:rPr>
                <w:rFonts w:ascii="宋体" w:hAnsi="宋体" w:cs="宋体" w:eastAsia="宋体" w:hint="default"/>
                <w:sz w:val="18"/>
                <w:szCs w:val="18"/>
              </w:rPr>
              <w:t>的金融负债</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305,950.00</w:t>
            </w: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834,895,139.20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325,867,345.00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418,917,999.00</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1,081,947,774.6</w:t>
            </w:r>
          </w:p>
          <w:p>
            <w:pPr>
              <w:pStyle w:val="TableParagraph"/>
              <w:spacing w:line="240" w:lineRule="auto" w:before="31"/>
              <w:ind w:right="102"/>
              <w:jc w:val="right"/>
              <w:rPr>
                <w:rFonts w:ascii="宋体" w:hAnsi="宋体" w:cs="宋体" w:eastAsia="宋体" w:hint="default"/>
                <w:sz w:val="18"/>
                <w:szCs w:val="18"/>
              </w:rPr>
            </w:pPr>
            <w:r>
              <w:rPr>
                <w:rFonts w:ascii="宋体"/>
                <w:sz w:val="18"/>
              </w:rPr>
              <w:t>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1,059,450,314.6</w:t>
            </w:r>
          </w:p>
          <w:p>
            <w:pPr>
              <w:pStyle w:val="TableParagraph"/>
              <w:spacing w:line="240" w:lineRule="auto" w:before="31"/>
              <w:ind w:right="102"/>
              <w:jc w:val="right"/>
              <w:rPr>
                <w:rFonts w:ascii="宋体" w:hAnsi="宋体" w:cs="宋体" w:eastAsia="宋体" w:hint="default"/>
                <w:sz w:val="18"/>
                <w:szCs w:val="18"/>
              </w:rPr>
            </w:pPr>
            <w:r>
              <w:rPr>
                <w:rFonts w:ascii="宋体"/>
                <w:sz w:val="18"/>
              </w:rPr>
              <w:t>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18"/>
                <w:szCs w:val="18"/>
              </w:rPr>
            </w:pPr>
            <w:r>
              <w:rPr>
                <w:rFonts w:ascii="宋体"/>
                <w:spacing w:val="-1"/>
                <w:sz w:val="18"/>
              </w:rPr>
              <w:t>810,462,984.44</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14,074,331,510.</w:t>
            </w:r>
          </w:p>
          <w:p>
            <w:pPr>
              <w:pStyle w:val="TableParagraph"/>
              <w:spacing w:line="240" w:lineRule="auto" w:before="31"/>
              <w:ind w:right="98"/>
              <w:jc w:val="right"/>
              <w:rPr>
                <w:rFonts w:ascii="宋体" w:hAnsi="宋体" w:cs="宋体" w:eastAsia="宋体" w:hint="default"/>
                <w:sz w:val="18"/>
                <w:szCs w:val="18"/>
              </w:rPr>
            </w:pPr>
            <w:r>
              <w:rPr>
                <w:rFonts w:ascii="宋体"/>
                <w:sz w:val="18"/>
              </w:rPr>
              <w:t>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15,084,250,916.</w:t>
            </w:r>
          </w:p>
          <w:p>
            <w:pPr>
              <w:pStyle w:val="TableParagraph"/>
              <w:spacing w:line="240" w:lineRule="auto" w:before="31"/>
              <w:ind w:right="98"/>
              <w:jc w:val="right"/>
              <w:rPr>
                <w:rFonts w:ascii="宋体" w:hAnsi="宋体" w:cs="宋体" w:eastAsia="宋体" w:hint="default"/>
                <w:sz w:val="18"/>
                <w:szCs w:val="18"/>
              </w:rPr>
            </w:pPr>
            <w:r>
              <w:rPr>
                <w:rFonts w:ascii="宋体"/>
                <w:sz w:val="18"/>
              </w:rPr>
              <w:t>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14,521,456,630.</w:t>
            </w:r>
          </w:p>
          <w:p>
            <w:pPr>
              <w:pStyle w:val="TableParagraph"/>
              <w:spacing w:line="240" w:lineRule="auto" w:before="31"/>
              <w:ind w:right="98"/>
              <w:jc w:val="right"/>
              <w:rPr>
                <w:rFonts w:ascii="宋体" w:hAnsi="宋体" w:cs="宋体" w:eastAsia="宋体" w:hint="default"/>
                <w:sz w:val="18"/>
                <w:szCs w:val="18"/>
              </w:rPr>
            </w:pPr>
            <w:r>
              <w:rPr>
                <w:rFonts w:ascii="宋体"/>
                <w:sz w:val="18"/>
              </w:rPr>
              <w:t>86</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89,630,297.46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177,127,449.36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146,553,361.62</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749,377,567.95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783,892,025.63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805,363,499.46</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513,601,490.35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757,877,160.37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855,839,885.46</w:t>
            </w:r>
          </w:p>
        </w:tc>
      </w:tr>
      <w:tr>
        <w:trPr>
          <w:trHeight w:val="326"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17,118,969.42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29,115,516.56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34,281,438.26</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582,219.40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20,589.51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2,280.07</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5,830,046,253.4</w:t>
            </w:r>
          </w:p>
          <w:p>
            <w:pPr>
              <w:pStyle w:val="TableParagraph"/>
              <w:spacing w:line="240" w:lineRule="auto" w:before="31"/>
              <w:ind w:right="102"/>
              <w:jc w:val="right"/>
              <w:rPr>
                <w:rFonts w:ascii="宋体" w:hAnsi="宋体" w:cs="宋体" w:eastAsia="宋体" w:hint="default"/>
                <w:sz w:val="18"/>
                <w:szCs w:val="18"/>
              </w:rPr>
            </w:pPr>
            <w:r>
              <w:rPr>
                <w:rFonts w:ascii="宋体"/>
                <w:sz w:val="18"/>
              </w:rPr>
              <w:t>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7,260,944,876.3</w:t>
            </w:r>
          </w:p>
          <w:p>
            <w:pPr>
              <w:pStyle w:val="TableParagraph"/>
              <w:spacing w:line="240" w:lineRule="auto" w:before="31"/>
              <w:ind w:right="102"/>
              <w:jc w:val="right"/>
              <w:rPr>
                <w:rFonts w:ascii="宋体" w:hAnsi="宋体" w:cs="宋体" w:eastAsia="宋体" w:hint="default"/>
                <w:sz w:val="18"/>
                <w:szCs w:val="18"/>
              </w:rPr>
            </w:pPr>
            <w:r>
              <w:rPr>
                <w:rFonts w:ascii="宋体"/>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6,414,036,470.3</w:t>
            </w:r>
          </w:p>
          <w:p>
            <w:pPr>
              <w:pStyle w:val="TableParagraph"/>
              <w:spacing w:line="240" w:lineRule="auto" w:before="31"/>
              <w:ind w:right="102"/>
              <w:jc w:val="right"/>
              <w:rPr>
                <w:rFonts w:ascii="宋体" w:hAnsi="宋体" w:cs="宋体" w:eastAsia="宋体" w:hint="default"/>
                <w:sz w:val="18"/>
                <w:szCs w:val="18"/>
              </w:rPr>
            </w:pPr>
            <w:r>
              <w:rPr>
                <w:rFonts w:ascii="宋体"/>
                <w:sz w:val="18"/>
              </w:rPr>
              <w:t>8</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294"/>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573,013,581.05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1,309,655,008.0</w:t>
            </w:r>
          </w:p>
          <w:p>
            <w:pPr>
              <w:pStyle w:val="TableParagraph"/>
              <w:spacing w:line="240" w:lineRule="auto" w:before="31"/>
              <w:ind w:right="102"/>
              <w:jc w:val="right"/>
              <w:rPr>
                <w:rFonts w:ascii="宋体" w:hAnsi="宋体" w:cs="宋体" w:eastAsia="宋体" w:hint="default"/>
                <w:sz w:val="18"/>
                <w:szCs w:val="18"/>
              </w:rPr>
            </w:pPr>
            <w:r>
              <w:rPr>
                <w:rFonts w:ascii="宋体"/>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565,261,889.70</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1,178,051,190.7</w:t>
            </w:r>
          </w:p>
          <w:p>
            <w:pPr>
              <w:pStyle w:val="TableParagraph"/>
              <w:spacing w:line="240" w:lineRule="auto" w:before="31"/>
              <w:ind w:right="102"/>
              <w:jc w:val="right"/>
              <w:rPr>
                <w:rFonts w:ascii="宋体" w:hAnsi="宋体" w:cs="宋体" w:eastAsia="宋体" w:hint="default"/>
                <w:sz w:val="18"/>
                <w:szCs w:val="18"/>
              </w:rPr>
            </w:pPr>
            <w:r>
              <w:rPr>
                <w:rFonts w:ascii="宋体"/>
                <w:sz w:val="18"/>
              </w:rPr>
              <w:t>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869,845,618.97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935,637,345.22</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26"/>
              <w:jc w:val="right"/>
              <w:rPr>
                <w:rFonts w:ascii="宋体" w:hAnsi="宋体" w:cs="宋体" w:eastAsia="宋体" w:hint="default"/>
                <w:sz w:val="18"/>
                <w:szCs w:val="18"/>
              </w:rPr>
            </w:pPr>
            <w:r>
              <w:rPr>
                <w:rFonts w:ascii="宋体" w:hAnsi="宋体" w:cs="宋体" w:eastAsia="宋体" w:hint="default"/>
                <w:b/>
                <w:bCs/>
                <w:w w:val="95"/>
                <w:sz w:val="18"/>
                <w:szCs w:val="18"/>
              </w:rPr>
              <w:t>流动负债合计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26,575,201,215.</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91</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29,008,371,289.</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75</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b/>
                <w:w w:val="95"/>
                <w:sz w:val="18"/>
              </w:rPr>
              <w:t>27,695,961,944.</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50</w:t>
            </w:r>
            <w:r>
              <w:rPr>
                <w:rFonts w:ascii="宋体"/>
                <w:sz w:val="18"/>
              </w:rPr>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26"/>
              <w:jc w:val="right"/>
              <w:rPr>
                <w:rFonts w:ascii="宋体" w:hAnsi="宋体" w:cs="宋体" w:eastAsia="宋体" w:hint="default"/>
                <w:sz w:val="18"/>
                <w:szCs w:val="18"/>
              </w:rPr>
            </w:pPr>
            <w:r>
              <w:rPr>
                <w:rFonts w:ascii="宋体" w:hAnsi="宋体" w:cs="宋体" w:eastAsia="宋体" w:hint="default"/>
                <w:b/>
                <w:bCs/>
                <w:w w:val="95"/>
                <w:sz w:val="18"/>
                <w:szCs w:val="18"/>
              </w:rPr>
              <w:t>非流动负债：</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2,965,203,581.6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1,225,578,467.0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1,606,557,719.3</w:t>
            </w:r>
          </w:p>
        </w:tc>
      </w:tr>
    </w:tbl>
    <w:p>
      <w:pPr>
        <w:spacing w:after="0" w:line="240" w:lineRule="auto"/>
        <w:jc w:val="right"/>
        <w:rPr>
          <w:rFonts w:ascii="宋体" w:hAnsi="宋体" w:cs="宋体" w:eastAsia="宋体" w:hint="default"/>
          <w:sz w:val="18"/>
          <w:szCs w:val="18"/>
        </w:rPr>
        <w:sectPr>
          <w:pgSz w:w="11910" w:h="16840"/>
          <w:pgMar w:header="881" w:footer="980" w:top="1600" w:bottom="1160" w:left="1580" w:right="1420"/>
        </w:sectPr>
      </w:pPr>
    </w:p>
    <w:p>
      <w:pPr>
        <w:spacing w:line="240" w:lineRule="auto" w:before="3"/>
        <w:rPr>
          <w:rFonts w:ascii="宋体" w:hAnsi="宋体" w:cs="宋体" w:eastAsia="宋体" w:hint="default"/>
          <w:sz w:val="3"/>
          <w:szCs w:val="3"/>
        </w:rPr>
      </w:pPr>
      <w:r>
        <w:rPr/>
        <w:pict>
          <v:group style="position:absolute;margin-left:90.800003pt;margin-top:82.499985pt;width:428pt;height:.1pt;mso-position-horizontal-relative:page;mso-position-vertical-relative:page;z-index:-1191544" coordorigin="1816,1650" coordsize="8560,2">
            <v:shape style="position:absolute;left:1816;top:1650;width:8560;height:2" coordorigin="1816,1650" coordsize="8560,0" path="m1816,1650l10376,1650e" filled="false" stroked="true" strokeweight=".75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749"/>
        <w:gridCol w:w="1592"/>
        <w:gridCol w:w="1591"/>
        <w:gridCol w:w="1592"/>
      </w:tblGrid>
      <w:tr>
        <w:trPr>
          <w:trHeight w:val="254" w:hRule="exact"/>
        </w:trPr>
        <w:tc>
          <w:tcPr>
            <w:tcW w:w="3749" w:type="dxa"/>
            <w:tcBorders>
              <w:top w:val="single" w:sz="6" w:space="0" w:color="000000"/>
              <w:left w:val="single" w:sz="4" w:space="0" w:color="000000"/>
              <w:bottom w:val="single" w:sz="4" w:space="0" w:color="000000"/>
              <w:right w:val="single" w:sz="4" w:space="0" w:color="000000"/>
            </w:tcBorders>
          </w:tcPr>
          <w:p>
            <w:pP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8"/>
                <w:szCs w:val="18"/>
              </w:rPr>
            </w:pPr>
            <w:r>
              <w:rPr>
                <w:rFonts w:ascii="宋体"/>
                <w:sz w:val="18"/>
              </w:rPr>
              <w:t>0</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8"/>
                <w:szCs w:val="18"/>
              </w:rPr>
            </w:pPr>
            <w:r>
              <w:rPr>
                <w:rFonts w:ascii="宋体"/>
                <w:sz w:val="18"/>
              </w:rPr>
              <w:t>0</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8"/>
                <w:szCs w:val="18"/>
              </w:rPr>
            </w:pPr>
            <w:r>
              <w:rPr>
                <w:rFonts w:ascii="宋体"/>
                <w:sz w:val="18"/>
              </w:rPr>
              <w:t>0</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499,480,933.85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499,073,749.37</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306,738,183.20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494,372,367.00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935,849,762.40</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139,868,293.06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139,414,734.66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116,700,762.90</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165,000,000.00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165,000,000.00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145,000,000.00</w:t>
            </w:r>
          </w:p>
        </w:tc>
      </w:tr>
      <w:tr>
        <w:trPr>
          <w:trHeight w:val="326"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9,297,954.61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55,892,449.47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9,232,183.72</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63,540,587.98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62,696,163.45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54,330,112.81</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220,160,101.03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158,163,684.35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160,604,383.53</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307,907,031.20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273,672,275.00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153,196,806.30</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23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4,177,715,732.6</w:t>
            </w:r>
            <w:r>
              <w:rPr>
                <w:rFonts w:ascii="宋体"/>
                <w:sz w:val="18"/>
              </w:rPr>
            </w:r>
          </w:p>
          <w:p>
            <w:pPr>
              <w:pStyle w:val="TableParagraph"/>
              <w:spacing w:line="240" w:lineRule="auto" w:before="31"/>
              <w:ind w:right="102"/>
              <w:jc w:val="right"/>
              <w:rPr>
                <w:rFonts w:ascii="宋体" w:hAnsi="宋体" w:cs="宋体" w:eastAsia="宋体" w:hint="default"/>
                <w:sz w:val="18"/>
                <w:szCs w:val="18"/>
              </w:rPr>
            </w:pPr>
            <w:r>
              <w:rPr>
                <w:rFonts w:ascii="宋体"/>
                <w:b/>
                <w:w w:val="99"/>
                <w:sz w:val="18"/>
              </w:rPr>
              <w:t>8</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3,074,271,074.7</w:t>
            </w:r>
            <w:r>
              <w:rPr>
                <w:rFonts w:ascii="宋体"/>
                <w:sz w:val="18"/>
              </w:rPr>
            </w:r>
          </w:p>
          <w:p>
            <w:pPr>
              <w:pStyle w:val="TableParagraph"/>
              <w:spacing w:line="240" w:lineRule="auto" w:before="31"/>
              <w:ind w:right="102"/>
              <w:jc w:val="right"/>
              <w:rPr>
                <w:rFonts w:ascii="宋体" w:hAnsi="宋体" w:cs="宋体" w:eastAsia="宋体" w:hint="default"/>
                <w:sz w:val="18"/>
                <w:szCs w:val="18"/>
              </w:rPr>
            </w:pPr>
            <w:r>
              <w:rPr>
                <w:rFonts w:ascii="宋体"/>
                <w:b/>
                <w:w w:val="99"/>
                <w:sz w:val="18"/>
              </w:rPr>
              <w:t>8</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b/>
                <w:w w:val="95"/>
                <w:sz w:val="18"/>
              </w:rPr>
              <w:t>3,680,545,480.3</w:t>
            </w:r>
            <w:r>
              <w:rPr>
                <w:rFonts w:ascii="宋体"/>
                <w:sz w:val="18"/>
              </w:rPr>
            </w:r>
          </w:p>
          <w:p>
            <w:pPr>
              <w:pStyle w:val="TableParagraph"/>
              <w:spacing w:line="240" w:lineRule="auto" w:before="31"/>
              <w:ind w:right="102"/>
              <w:jc w:val="right"/>
              <w:rPr>
                <w:rFonts w:ascii="宋体" w:hAnsi="宋体" w:cs="宋体" w:eastAsia="宋体" w:hint="default"/>
                <w:sz w:val="18"/>
                <w:szCs w:val="18"/>
              </w:rPr>
            </w:pPr>
            <w:r>
              <w:rPr>
                <w:rFonts w:ascii="宋体"/>
                <w:b/>
                <w:w w:val="99"/>
                <w:sz w:val="18"/>
              </w:rPr>
              <w:t>3</w:t>
            </w:r>
            <w:r>
              <w:rPr>
                <w:rFonts w:ascii="宋体"/>
                <w:sz w:val="18"/>
              </w:rPr>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30,752,916,948.</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59</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32,082,642,364.</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53</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b/>
                <w:w w:val="95"/>
                <w:sz w:val="18"/>
              </w:rPr>
              <w:t>31,376,507,424.</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83</w:t>
            </w:r>
            <w:r>
              <w:rPr>
                <w:rFonts w:ascii="宋体"/>
                <w:sz w:val="18"/>
              </w:rPr>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1,323,593,886.0</w:t>
            </w:r>
          </w:p>
          <w:p>
            <w:pPr>
              <w:pStyle w:val="TableParagraph"/>
              <w:spacing w:line="240" w:lineRule="auto" w:before="31"/>
              <w:ind w:right="102"/>
              <w:jc w:val="right"/>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1,323,593,886.0</w:t>
            </w:r>
          </w:p>
          <w:p>
            <w:pPr>
              <w:pStyle w:val="TableParagraph"/>
              <w:spacing w:line="240" w:lineRule="auto" w:before="31"/>
              <w:ind w:right="102"/>
              <w:jc w:val="right"/>
              <w:rPr>
                <w:rFonts w:ascii="宋体" w:hAnsi="宋体" w:cs="宋体" w:eastAsia="宋体" w:hint="default"/>
                <w:sz w:val="18"/>
                <w:szCs w:val="18"/>
              </w:rPr>
            </w:pPr>
            <w:r>
              <w:rPr>
                <w:rFonts w:ascii="宋体"/>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1,323,593,886.0</w:t>
            </w:r>
          </w:p>
          <w:p>
            <w:pPr>
              <w:pStyle w:val="TableParagraph"/>
              <w:spacing w:line="240" w:lineRule="auto" w:before="31"/>
              <w:ind w:right="102"/>
              <w:jc w:val="right"/>
              <w:rPr>
                <w:rFonts w:ascii="宋体" w:hAnsi="宋体" w:cs="宋体" w:eastAsia="宋体" w:hint="default"/>
                <w:sz w:val="18"/>
                <w:szCs w:val="18"/>
              </w:rPr>
            </w:pPr>
            <w:r>
              <w:rPr>
                <w:rFonts w:ascii="宋体"/>
                <w:sz w:val="18"/>
              </w:rPr>
              <w:t>0</w:t>
            </w:r>
          </w:p>
        </w:tc>
      </w:tr>
      <w:tr>
        <w:trPr>
          <w:trHeight w:val="326"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694,357,737.79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688,811,482.82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869,961,238.17</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-356,738,177.00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-436,125,850.14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-438,116,300.48</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346,966,035.74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346,239,878.16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345,950,082.93</w:t>
            </w:r>
          </w:p>
        </w:tc>
      </w:tr>
      <w:tr>
        <w:trPr>
          <w:trHeight w:val="324"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582,177,334.66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618,570,201.63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631,934,605.62</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84"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2,590,356,817.1</w:t>
            </w:r>
            <w:r>
              <w:rPr>
                <w:rFonts w:ascii="宋体"/>
                <w:sz w:val="18"/>
              </w:rPr>
            </w:r>
          </w:p>
          <w:p>
            <w:pPr>
              <w:pStyle w:val="TableParagraph"/>
              <w:spacing w:line="240" w:lineRule="auto" w:before="31"/>
              <w:ind w:right="102"/>
              <w:jc w:val="right"/>
              <w:rPr>
                <w:rFonts w:ascii="宋体" w:hAnsi="宋体" w:cs="宋体" w:eastAsia="宋体" w:hint="default"/>
                <w:sz w:val="18"/>
                <w:szCs w:val="18"/>
              </w:rPr>
            </w:pPr>
            <w:r>
              <w:rPr>
                <w:rFonts w:ascii="宋体"/>
                <w:b/>
                <w:w w:val="99"/>
                <w:sz w:val="18"/>
              </w:rPr>
              <w:t>9</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2,541,089,598.4</w:t>
            </w:r>
            <w:r>
              <w:rPr>
                <w:rFonts w:ascii="宋体"/>
                <w:sz w:val="18"/>
              </w:rPr>
            </w:r>
          </w:p>
          <w:p>
            <w:pPr>
              <w:pStyle w:val="TableParagraph"/>
              <w:spacing w:line="240" w:lineRule="auto" w:before="31"/>
              <w:ind w:right="102"/>
              <w:jc w:val="right"/>
              <w:rPr>
                <w:rFonts w:ascii="宋体" w:hAnsi="宋体" w:cs="宋体" w:eastAsia="宋体" w:hint="default"/>
                <w:sz w:val="18"/>
                <w:szCs w:val="18"/>
              </w:rPr>
            </w:pPr>
            <w:r>
              <w:rPr>
                <w:rFonts w:ascii="宋体"/>
                <w:b/>
                <w:w w:val="99"/>
                <w:sz w:val="18"/>
              </w:rPr>
              <w:t>7</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b/>
                <w:w w:val="95"/>
                <w:sz w:val="18"/>
              </w:rPr>
              <w:t>2,733,323,512.2</w:t>
            </w:r>
            <w:r>
              <w:rPr>
                <w:rFonts w:ascii="宋体"/>
                <w:sz w:val="18"/>
              </w:rPr>
            </w:r>
          </w:p>
          <w:p>
            <w:pPr>
              <w:pStyle w:val="TableParagraph"/>
              <w:spacing w:line="240" w:lineRule="auto" w:before="31"/>
              <w:ind w:right="102"/>
              <w:jc w:val="right"/>
              <w:rPr>
                <w:rFonts w:ascii="宋体" w:hAnsi="宋体" w:cs="宋体" w:eastAsia="宋体" w:hint="default"/>
                <w:sz w:val="18"/>
                <w:szCs w:val="18"/>
              </w:rPr>
            </w:pPr>
            <w:r>
              <w:rPr>
                <w:rFonts w:ascii="宋体"/>
                <w:b/>
                <w:w w:val="99"/>
                <w:sz w:val="18"/>
              </w:rPr>
              <w:t>4</w:t>
            </w:r>
            <w:r>
              <w:rPr>
                <w:rFonts w:ascii="宋体"/>
                <w:sz w:val="18"/>
              </w:rPr>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6,112,793,462.6</w:t>
            </w:r>
          </w:p>
          <w:p>
            <w:pPr>
              <w:pStyle w:val="TableParagraph"/>
              <w:spacing w:line="240" w:lineRule="auto" w:before="31"/>
              <w:ind w:right="102"/>
              <w:jc w:val="right"/>
              <w:rPr>
                <w:rFonts w:ascii="宋体" w:hAnsi="宋体" w:cs="宋体" w:eastAsia="宋体" w:hint="default"/>
                <w:sz w:val="18"/>
                <w:szCs w:val="18"/>
              </w:rPr>
            </w:pPr>
            <w:r>
              <w:rPr>
                <w:rFonts w:ascii="宋体"/>
                <w:sz w:val="18"/>
              </w:rPr>
              <w:t>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5,927,990,204.2</w:t>
            </w:r>
          </w:p>
          <w:p>
            <w:pPr>
              <w:pStyle w:val="TableParagraph"/>
              <w:spacing w:line="240" w:lineRule="auto" w:before="31"/>
              <w:ind w:right="102"/>
              <w:jc w:val="right"/>
              <w:rPr>
                <w:rFonts w:ascii="宋体" w:hAnsi="宋体" w:cs="宋体" w:eastAsia="宋体" w:hint="default"/>
                <w:sz w:val="18"/>
                <w:szCs w:val="18"/>
              </w:rPr>
            </w:pPr>
            <w:r>
              <w:rPr>
                <w:rFonts w:ascii="宋体"/>
                <w:sz w:val="18"/>
              </w:rPr>
              <w:t>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6,166,673,048.6</w:t>
            </w:r>
          </w:p>
          <w:p>
            <w:pPr>
              <w:pStyle w:val="TableParagraph"/>
              <w:spacing w:line="240" w:lineRule="auto" w:before="31"/>
              <w:ind w:right="102"/>
              <w:jc w:val="right"/>
              <w:rPr>
                <w:rFonts w:ascii="宋体" w:hAnsi="宋体" w:cs="宋体" w:eastAsia="宋体" w:hint="default"/>
                <w:sz w:val="18"/>
                <w:szCs w:val="18"/>
              </w:rPr>
            </w:pPr>
            <w:r>
              <w:rPr>
                <w:rFonts w:ascii="宋体"/>
                <w:sz w:val="18"/>
              </w:rPr>
              <w:t>4</w:t>
            </w:r>
          </w:p>
        </w:tc>
      </w:tr>
      <w:tr>
        <w:trPr>
          <w:trHeight w:val="593"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8,703,150,279.8</w:t>
            </w:r>
            <w:r>
              <w:rPr>
                <w:rFonts w:ascii="宋体"/>
                <w:sz w:val="18"/>
              </w:rPr>
            </w:r>
          </w:p>
          <w:p>
            <w:pPr>
              <w:pStyle w:val="TableParagraph"/>
              <w:spacing w:line="240" w:lineRule="auto" w:before="33"/>
              <w:ind w:right="102"/>
              <w:jc w:val="right"/>
              <w:rPr>
                <w:rFonts w:ascii="宋体" w:hAnsi="宋体" w:cs="宋体" w:eastAsia="宋体" w:hint="default"/>
                <w:sz w:val="18"/>
                <w:szCs w:val="18"/>
              </w:rPr>
            </w:pPr>
            <w:r>
              <w:rPr>
                <w:rFonts w:ascii="宋体"/>
                <w:b/>
                <w:w w:val="99"/>
                <w:sz w:val="18"/>
              </w:rPr>
              <w:t>1</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b/>
                <w:w w:val="95"/>
                <w:sz w:val="18"/>
              </w:rPr>
              <w:t>8,469,079,802.6</w:t>
            </w:r>
            <w:r>
              <w:rPr>
                <w:rFonts w:ascii="宋体"/>
                <w:sz w:val="18"/>
              </w:rPr>
            </w:r>
          </w:p>
          <w:p>
            <w:pPr>
              <w:pStyle w:val="TableParagraph"/>
              <w:spacing w:line="240" w:lineRule="auto" w:before="33"/>
              <w:ind w:right="102"/>
              <w:jc w:val="right"/>
              <w:rPr>
                <w:rFonts w:ascii="宋体" w:hAnsi="宋体" w:cs="宋体" w:eastAsia="宋体" w:hint="default"/>
                <w:sz w:val="18"/>
                <w:szCs w:val="18"/>
              </w:rPr>
            </w:pPr>
            <w:r>
              <w:rPr>
                <w:rFonts w:ascii="宋体"/>
                <w:b/>
                <w:w w:val="99"/>
                <w:sz w:val="18"/>
              </w:rPr>
              <w:t>9</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b/>
                <w:w w:val="95"/>
                <w:sz w:val="18"/>
              </w:rPr>
              <w:t>8,899,996,560.8</w:t>
            </w:r>
            <w:r>
              <w:rPr>
                <w:rFonts w:ascii="宋体"/>
                <w:sz w:val="18"/>
              </w:rPr>
            </w:r>
          </w:p>
          <w:p>
            <w:pPr>
              <w:pStyle w:val="TableParagraph"/>
              <w:spacing w:line="240" w:lineRule="auto" w:before="33"/>
              <w:ind w:right="102"/>
              <w:jc w:val="right"/>
              <w:rPr>
                <w:rFonts w:ascii="宋体" w:hAnsi="宋体" w:cs="宋体" w:eastAsia="宋体" w:hint="default"/>
                <w:sz w:val="18"/>
                <w:szCs w:val="18"/>
              </w:rPr>
            </w:pPr>
            <w:r>
              <w:rPr>
                <w:rFonts w:ascii="宋体"/>
                <w:b/>
                <w:w w:val="99"/>
                <w:sz w:val="18"/>
              </w:rPr>
              <w:t>8</w:t>
            </w:r>
            <w:r>
              <w:rPr>
                <w:rFonts w:ascii="宋体"/>
                <w:sz w:val="18"/>
              </w:rPr>
            </w:r>
          </w:p>
        </w:tc>
      </w:tr>
      <w:tr>
        <w:trPr>
          <w:trHeight w:val="595" w:hRule="exact"/>
        </w:trPr>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55"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39,456,067,228.</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40</w:t>
            </w:r>
            <w:r>
              <w:rPr>
                <w:rFonts w:ascii="宋体"/>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b/>
                <w:w w:val="95"/>
                <w:sz w:val="18"/>
              </w:rPr>
              <w:t>40,551,722,167.</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22</w:t>
            </w:r>
            <w:r>
              <w:rPr>
                <w:rFonts w:ascii="宋体"/>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b/>
                <w:w w:val="95"/>
                <w:sz w:val="18"/>
              </w:rPr>
              <w:t>40,276,503,985.</w:t>
            </w:r>
            <w:r>
              <w:rPr>
                <w:rFonts w:ascii="宋体"/>
                <w:sz w:val="18"/>
              </w:rPr>
            </w:r>
          </w:p>
          <w:p>
            <w:pPr>
              <w:pStyle w:val="TableParagraph"/>
              <w:spacing w:line="240" w:lineRule="auto" w:before="31"/>
              <w:ind w:right="101"/>
              <w:jc w:val="right"/>
              <w:rPr>
                <w:rFonts w:ascii="宋体" w:hAnsi="宋体" w:cs="宋体" w:eastAsia="宋体" w:hint="default"/>
                <w:sz w:val="18"/>
                <w:szCs w:val="18"/>
              </w:rPr>
            </w:pPr>
            <w:r>
              <w:rPr>
                <w:rFonts w:ascii="宋体"/>
                <w:b/>
                <w:sz w:val="18"/>
              </w:rPr>
              <w:t>71</w:t>
            </w:r>
            <w:r>
              <w:rPr>
                <w:rFonts w:ascii="宋体"/>
                <w:sz w:val="18"/>
              </w:rPr>
            </w:r>
          </w:p>
        </w:tc>
      </w:tr>
    </w:tbl>
    <w:p>
      <w:pPr>
        <w:spacing w:line="240" w:lineRule="auto" w:before="8"/>
        <w:rPr>
          <w:rFonts w:ascii="宋体" w:hAnsi="宋体" w:cs="宋体" w:eastAsia="宋体" w:hint="default"/>
          <w:sz w:val="21"/>
          <w:szCs w:val="21"/>
        </w:rPr>
      </w:pPr>
    </w:p>
    <w:p>
      <w:pPr>
        <w:pStyle w:val="Heading3"/>
        <w:spacing w:line="240" w:lineRule="auto"/>
        <w:ind w:right="153"/>
        <w:jc w:val="center"/>
      </w:pPr>
      <w:r>
        <w:rPr/>
        <w:t>合并利润表</w:t>
      </w:r>
    </w:p>
    <w:p>
      <w:pPr>
        <w:pStyle w:val="BodyText"/>
        <w:spacing w:line="240" w:lineRule="auto" w:before="43"/>
        <w:ind w:left="0" w:right="153"/>
        <w:jc w:val="center"/>
      </w:pPr>
      <w:r>
        <w:rPr>
          <w:rFonts w:ascii="宋体" w:hAnsi="宋体" w:cs="宋体" w:eastAsia="宋体" w:hint="default"/>
        </w:rPr>
        <w:t>2015</w:t>
      </w:r>
      <w:r>
        <w:rPr>
          <w:rFonts w:ascii="宋体" w:hAnsi="宋体" w:cs="宋体" w:eastAsia="宋体" w:hint="default"/>
          <w:spacing w:val="-43"/>
        </w:rPr>
        <w:t> </w:t>
      </w:r>
      <w:r>
        <w:rPr/>
        <w:t>年度</w:t>
      </w:r>
    </w:p>
    <w:p>
      <w:pPr>
        <w:pStyle w:val="BodyText"/>
        <w:tabs>
          <w:tab w:pos="7047" w:val="left" w:leader="none"/>
        </w:tabs>
        <w:spacing w:line="240" w:lineRule="auto" w:before="28"/>
        <w:ind w:left="0" w:right="156"/>
        <w:jc w:val="center"/>
      </w:pPr>
      <w:r>
        <w:rPr/>
        <w:t>编制单位：中国长城计算机深圳股份有限公司</w:t>
        <w:tab/>
        <w:t>单位：人民币元</w:t>
      </w: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02"/>
        <w:gridCol w:w="1862"/>
        <w:gridCol w:w="1760"/>
      </w:tblGrid>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2"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89"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b/>
                <w:w w:val="95"/>
                <w:sz w:val="18"/>
              </w:rPr>
              <w:t>72,935,851,650.45</w:t>
            </w:r>
            <w:r>
              <w:rPr>
                <w:rFonts w:ascii="宋体"/>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77,205,375,635.56</w:t>
            </w:r>
            <w:r>
              <w:rPr>
                <w:rFonts w:ascii="宋体"/>
                <w:sz w:val="18"/>
              </w:rPr>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spacing w:val="-1"/>
                <w:sz w:val="18"/>
              </w:rPr>
              <w:t>72,935,851,650.45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pacing w:val="-1"/>
                <w:sz w:val="18"/>
              </w:rPr>
              <w:t>77,205,375,635.56</w:t>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spacing w:val="-1"/>
                <w:sz w:val="18"/>
              </w:rPr>
              <w:t>74,244,425,875.57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pacing w:val="-1"/>
                <w:sz w:val="18"/>
              </w:rPr>
              <w:t>78,554,360,290.60</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spacing w:val="-1"/>
                <w:sz w:val="18"/>
              </w:rPr>
              <w:t>66,265,793,091.36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pacing w:val="-1"/>
                <w:sz w:val="18"/>
              </w:rPr>
              <w:t>69,615,225,292.25</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93,435,419.16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75,281,804.97</w:t>
            </w:r>
          </w:p>
        </w:tc>
      </w:tr>
      <w:tr>
        <w:trPr>
          <w:trHeight w:val="277"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2,835,454,144.41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3,447,890,210.83</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2,836,128,599.86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3,245,351,540.96</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1,650,413,852.76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1,518,362,632.63</w:t>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563,200,768.02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652,248,808.96</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68"/>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232,068,657.25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394,705,275.79</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901,059,903.57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260,470,014.10</w:t>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468"/>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pacing w:val="-1"/>
                <w:sz w:val="18"/>
              </w:rPr>
              <w:t>34,526,767.86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25,732,328.54</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b/>
                <w:w w:val="95"/>
                <w:sz w:val="18"/>
              </w:rPr>
              <w:t>-175,445,664.30</w:t>
            </w:r>
            <w:r>
              <w:rPr>
                <w:rFonts w:ascii="宋体"/>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-693,809,365.15</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79"/>
          <w:pgSz w:w="11910" w:h="16840"/>
          <w:pgMar w:footer="980" w:header="881" w:top="1600" w:bottom="1160" w:left="1580" w:right="1420"/>
          <w:pgNumType w:start="120"/>
        </w:sectPr>
      </w:pPr>
    </w:p>
    <w:p>
      <w:pPr>
        <w:spacing w:line="240" w:lineRule="auto" w:before="3"/>
        <w:rPr>
          <w:rFonts w:ascii="宋体" w:hAnsi="宋体" w:cs="宋体" w:eastAsia="宋体" w:hint="default"/>
          <w:sz w:val="3"/>
          <w:szCs w:val="3"/>
        </w:rPr>
      </w:pPr>
      <w:r>
        <w:rPr/>
        <w:pict>
          <v:group style="position:absolute;margin-left:90.800003pt;margin-top:82.499985pt;width:428pt;height:.1pt;mso-position-horizontal-relative:page;mso-position-vertical-relative:page;z-index:-1191520" coordorigin="1816,1650" coordsize="8560,2">
            <v:shape style="position:absolute;left:1816;top:1650;width:8560;height:2" coordorigin="1816,1650" coordsize="8560,0" path="m1816,1650l10376,1650e" filled="false" stroked="true" strokeweight=".75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4902"/>
        <w:gridCol w:w="1862"/>
        <w:gridCol w:w="1760"/>
      </w:tblGrid>
      <w:tr>
        <w:trPr>
          <w:trHeight w:val="249" w:hRule="exact"/>
        </w:trPr>
        <w:tc>
          <w:tcPr>
            <w:tcW w:w="4902" w:type="dxa"/>
            <w:tcBorders>
              <w:top w:val="single" w:sz="6" w:space="0" w:color="000000"/>
              <w:left w:val="single" w:sz="4" w:space="0" w:color="000000"/>
              <w:bottom w:val="single" w:sz="4" w:space="0" w:color="000000"/>
              <w:right w:val="single" w:sz="4" w:space="0" w:color="000000"/>
            </w:tcBorders>
          </w:tcPr>
          <w:p>
            <w:pPr>
              <w:pStyle w:val="TableParagraph"/>
              <w:spacing w:line="209" w:lineRule="exact"/>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62" w:type="dxa"/>
            <w:tcBorders>
              <w:top w:val="single" w:sz="6" w:space="0" w:color="000000"/>
              <w:left w:val="single" w:sz="4" w:space="0" w:color="000000"/>
              <w:bottom w:val="single" w:sz="4" w:space="0" w:color="000000"/>
              <w:right w:val="single" w:sz="4" w:space="0" w:color="000000"/>
            </w:tcBorders>
          </w:tcPr>
          <w:p>
            <w:pPr>
              <w:pStyle w:val="TableParagraph"/>
              <w:spacing w:line="209" w:lineRule="exact"/>
              <w:ind w:right="98"/>
              <w:jc w:val="right"/>
              <w:rPr>
                <w:rFonts w:ascii="宋体" w:hAnsi="宋体" w:cs="宋体" w:eastAsia="宋体" w:hint="default"/>
                <w:sz w:val="18"/>
                <w:szCs w:val="18"/>
              </w:rPr>
            </w:pPr>
            <w:r>
              <w:rPr>
                <w:rFonts w:ascii="宋体"/>
                <w:spacing w:val="-1"/>
                <w:sz w:val="18"/>
              </w:rPr>
              <w:t>295,280,520.99</w:t>
            </w:r>
          </w:p>
        </w:tc>
        <w:tc>
          <w:tcPr>
            <w:tcW w:w="1760" w:type="dxa"/>
            <w:tcBorders>
              <w:top w:val="single" w:sz="6"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640,320,572.53</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878,574.69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917,777.70</w:t>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pacing w:val="-1"/>
                <w:sz w:val="18"/>
              </w:rPr>
              <w:t>24,905,145.93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24,667,610.00</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9,446,415.56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15,610,453.75</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b/>
                <w:w w:val="95"/>
                <w:sz w:val="18"/>
              </w:rPr>
              <w:t>94,929,710.76</w:t>
            </w:r>
            <w:r>
              <w:rPr>
                <w:rFonts w:ascii="宋体"/>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-78,156,402.62</w:t>
            </w:r>
            <w:r>
              <w:rPr>
                <w:rFonts w:ascii="宋体"/>
                <w:sz w:val="18"/>
              </w:rPr>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pacing w:val="-1"/>
                <w:sz w:val="18"/>
              </w:rPr>
              <w:t>289,739,386.81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261,642,268.23</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五、净利润</w:t>
            </w:r>
            <w:r>
              <w:rPr>
                <w:rFonts w:ascii="宋体" w:hAnsi="宋体" w:cs="宋体" w:eastAsia="宋体" w:hint="default"/>
                <w:sz w:val="18"/>
                <w:szCs w:val="18"/>
              </w:rPr>
              <w:t>（净亏损以“－”号填列）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b/>
                <w:w w:val="95"/>
                <w:sz w:val="18"/>
              </w:rPr>
              <w:t>-194,809,676.05</w:t>
            </w:r>
            <w:r>
              <w:rPr>
                <w:rFonts w:ascii="宋体"/>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-339,798,670.85</w:t>
            </w:r>
            <w:r>
              <w:rPr>
                <w:rFonts w:ascii="宋体"/>
                <w:sz w:val="18"/>
              </w:rPr>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-35,666,709.39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-13,074,608.76</w:t>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pacing w:val="-1"/>
                <w:sz w:val="18"/>
              </w:rPr>
              <w:t>-159,142,966.66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-326,724,062.09</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六、其他综合收益的税后净额</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b/>
                <w:w w:val="95"/>
                <w:sz w:val="18"/>
              </w:rPr>
              <w:t>340,209,907.99</w:t>
            </w:r>
            <w:r>
              <w:rPr>
                <w:rFonts w:ascii="宋体"/>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-8,053,255.59</w:t>
            </w:r>
            <w:r>
              <w:rPr>
                <w:rFonts w:ascii="宋体"/>
                <w:sz w:val="18"/>
              </w:rPr>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79,387,673.14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1,990,450.34</w:t>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pacing w:val="-1"/>
                <w:sz w:val="18"/>
              </w:rPr>
              <w:t>1,236,867.47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-10,737,881.11</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1,236,867.47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-10,737,881.11</w:t>
            </w:r>
          </w:p>
        </w:tc>
      </w:tr>
      <w:tr>
        <w:trPr>
          <w:trHeight w:val="509"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04" w:firstLine="5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78,150,805.67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12,728,331.45</w:t>
            </w:r>
          </w:p>
        </w:tc>
      </w:tr>
      <w:tr>
        <w:trPr>
          <w:trHeight w:val="509"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104" w:firstLine="53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-24,118.44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941,659.87</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持有至到期投资重分类为可供出售金融资产损益</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78,174,924.11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11,786,671.58</w:t>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260,822,234.85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-10,043,705.93</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b/>
                <w:w w:val="95"/>
                <w:sz w:val="18"/>
              </w:rPr>
              <w:t>145,400,231.94</w:t>
            </w:r>
            <w:r>
              <w:rPr>
                <w:rFonts w:ascii="宋体"/>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-347,851,926.44</w:t>
            </w:r>
            <w:r>
              <w:rPr>
                <w:rFonts w:ascii="宋体"/>
                <w:sz w:val="18"/>
              </w:rPr>
            </w: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43,720,963.75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-11,084,158.42</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
                <w:sz w:val="18"/>
              </w:rPr>
              <w:t>101,679,268.19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-336,767,768.02</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八、每股收益：</w:t>
            </w:r>
            <w:r>
              <w:rPr>
                <w:rFonts w:ascii="宋体" w:hAnsi="宋体" w:cs="宋体" w:eastAsia="宋体" w:hint="default"/>
                <w:sz w:val="18"/>
                <w:szCs w:val="18"/>
              </w:rPr>
            </w:r>
          </w:p>
        </w:tc>
        <w:tc>
          <w:tcPr>
            <w:tcW w:w="186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宋体" w:hAnsi="宋体" w:cs="宋体" w:eastAsia="宋体" w:hint="default"/>
                <w:sz w:val="18"/>
                <w:szCs w:val="18"/>
              </w:rPr>
            </w:pPr>
            <w:r>
              <w:rPr>
                <w:rFonts w:ascii="宋体"/>
                <w:spacing w:val="-1"/>
                <w:sz w:val="18"/>
              </w:rPr>
              <w:t>-0.027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-0.010</w:t>
            </w:r>
          </w:p>
        </w:tc>
      </w:tr>
      <w:tr>
        <w:trPr>
          <w:trHeight w:val="274" w:hRule="exact"/>
        </w:trPr>
        <w:tc>
          <w:tcPr>
            <w:tcW w:w="4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7"/>
              <w:jc w:val="right"/>
              <w:rPr>
                <w:rFonts w:ascii="宋体" w:hAnsi="宋体" w:cs="宋体" w:eastAsia="宋体" w:hint="default"/>
                <w:sz w:val="18"/>
                <w:szCs w:val="18"/>
              </w:rPr>
            </w:pPr>
            <w:r>
              <w:rPr>
                <w:rFonts w:ascii="宋体"/>
                <w:spacing w:val="-1"/>
                <w:sz w:val="18"/>
              </w:rPr>
              <w:t>-0.027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-0.010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3"/>
        <w:spacing w:line="240" w:lineRule="auto"/>
        <w:ind w:right="153"/>
        <w:jc w:val="center"/>
      </w:pPr>
      <w:r>
        <w:rPr/>
        <w:t>合并现金流量表</w:t>
      </w:r>
    </w:p>
    <w:p>
      <w:pPr>
        <w:pStyle w:val="BodyText"/>
        <w:spacing w:line="240" w:lineRule="auto" w:before="64"/>
        <w:ind w:left="0" w:right="153"/>
        <w:jc w:val="center"/>
      </w:pPr>
      <w:r>
        <w:rPr>
          <w:rFonts w:ascii="宋体" w:hAnsi="宋体" w:cs="宋体" w:eastAsia="宋体" w:hint="default"/>
        </w:rPr>
        <w:t>2015</w:t>
      </w:r>
      <w:r>
        <w:rPr>
          <w:rFonts w:ascii="宋体" w:hAnsi="宋体" w:cs="宋体" w:eastAsia="宋体" w:hint="default"/>
          <w:spacing w:val="-43"/>
        </w:rPr>
        <w:t> </w:t>
      </w:r>
      <w:r>
        <w:rPr/>
        <w:t>年度</w:t>
      </w:r>
    </w:p>
    <w:p>
      <w:pPr>
        <w:pStyle w:val="BodyText"/>
        <w:tabs>
          <w:tab w:pos="7047" w:val="left" w:leader="none"/>
        </w:tabs>
        <w:spacing w:line="240" w:lineRule="auto" w:before="40"/>
        <w:ind w:left="0" w:right="156"/>
        <w:jc w:val="center"/>
      </w:pPr>
      <w:r>
        <w:rPr/>
        <w:t>编制单位：中国长城计算机深圳股份有限公司</w:t>
        <w:tab/>
        <w:t>单位：人民币元</w:t>
      </w:r>
    </w:p>
    <w:p>
      <w:pPr>
        <w:spacing w:line="240" w:lineRule="auto" w:before="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916"/>
        <w:gridCol w:w="1812"/>
        <w:gridCol w:w="1796"/>
      </w:tblGrid>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16"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77,360,383,051.83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pacing w:val="-1"/>
                <w:sz w:val="18"/>
              </w:rPr>
              <w:t>82,144,045,182.32</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122,298,941.01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107,686,728.27</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402,531,604.06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729,193,056.27</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7"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77,885,213,596.90</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82,980,924,966.86</w:t>
            </w:r>
            <w:r>
              <w:rPr>
                <w:rFonts w:ascii="宋体"/>
                <w:sz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67,661,459,576.45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pacing w:val="-1"/>
                <w:sz w:val="18"/>
              </w:rPr>
              <w:t>71,356,860,650.16</w:t>
            </w: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4,021,129,279.93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4,484,601,643.78</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1,449,755,156.57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1,083,778,139.88</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3,065,457,264.22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3,423,772,286.10</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7"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76,197,801,277.17</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80,349,012,719.92</w:t>
            </w:r>
            <w:r>
              <w:rPr>
                <w:rFonts w:ascii="宋体"/>
                <w:sz w:val="18"/>
              </w:rPr>
            </w: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7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1,687,412,319.73</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2,631,912,246.94</w:t>
            </w:r>
            <w:r>
              <w:rPr>
                <w:rFonts w:ascii="宋体"/>
                <w:sz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4,061,860.00</w:t>
            </w:r>
          </w:p>
        </w:tc>
        <w:tc>
          <w:tcPr>
            <w:tcW w:w="17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1" w:footer="980" w:top="1600" w:bottom="1160" w:left="1580" w:right="1420"/>
        </w:sectPr>
      </w:pPr>
    </w:p>
    <w:p>
      <w:pPr>
        <w:spacing w:line="240" w:lineRule="auto" w:before="3"/>
        <w:rPr>
          <w:rFonts w:ascii="宋体" w:hAnsi="宋体" w:cs="宋体" w:eastAsia="宋体" w:hint="default"/>
          <w:sz w:val="3"/>
          <w:szCs w:val="3"/>
        </w:rPr>
      </w:pPr>
      <w:r>
        <w:rPr/>
        <w:pict>
          <v:group style="position:absolute;margin-left:90.800003pt;margin-top:82.499985pt;width:428pt;height:.1pt;mso-position-horizontal-relative:page;mso-position-vertical-relative:page;z-index:-1191496" coordorigin="1816,1650" coordsize="8560,2">
            <v:shape style="position:absolute;left:1816;top:1650;width:8560;height:2" coordorigin="1816,1650" coordsize="8560,0" path="m1816,1650l10376,1650e" filled="false" stroked="true" strokeweight=".75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4916"/>
        <w:gridCol w:w="1812"/>
        <w:gridCol w:w="1796"/>
      </w:tblGrid>
      <w:tr>
        <w:trPr>
          <w:trHeight w:val="261" w:hRule="exact"/>
        </w:trPr>
        <w:tc>
          <w:tcPr>
            <w:tcW w:w="4916" w:type="dxa"/>
            <w:tcBorders>
              <w:top w:val="single" w:sz="6" w:space="0" w:color="000000"/>
              <w:left w:val="single" w:sz="4" w:space="0" w:color="000000"/>
              <w:bottom w:val="single" w:sz="4" w:space="0" w:color="000000"/>
              <w:right w:val="single" w:sz="4" w:space="0" w:color="000000"/>
            </w:tcBorders>
          </w:tcPr>
          <w:p>
            <w:pPr>
              <w:pStyle w:val="TableParagraph"/>
              <w:spacing w:line="209"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12" w:type="dxa"/>
            <w:tcBorders>
              <w:top w:val="single" w:sz="6"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60,955,827.23</w:t>
            </w:r>
          </w:p>
        </w:tc>
        <w:tc>
          <w:tcPr>
            <w:tcW w:w="1796" w:type="dxa"/>
            <w:tcBorders>
              <w:top w:val="single" w:sz="6"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pacing w:val="-1"/>
                <w:sz w:val="18"/>
              </w:rPr>
              <w:t>59,323,940.57</w:t>
            </w:r>
          </w:p>
        </w:tc>
      </w:tr>
      <w:tr>
        <w:trPr>
          <w:trHeight w:val="530"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375,379,263.46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222,946,226.27</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7"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440,396,950.69</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282,270,166.84</w:t>
            </w:r>
            <w:r>
              <w:rPr>
                <w:rFonts w:ascii="宋体"/>
                <w:sz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1,132,360,002.34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1,405,140,813.21</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403,650,571.25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141,428,916.97</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43,837,756.25</w:t>
            </w: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124,430,585.00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736,800.00</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7"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1,704,278,914.84</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1,547,306,530.18</w:t>
            </w:r>
            <w:r>
              <w:rPr>
                <w:rFonts w:ascii="宋体"/>
                <w:sz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76"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-1,263,881,964.15</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-1,265,036,363.34</w:t>
            </w:r>
            <w:r>
              <w:rPr>
                <w:rFonts w:ascii="宋体"/>
                <w:sz w:val="18"/>
              </w:rPr>
            </w: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133,135,733.75</w:t>
            </w: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133,135,733.75</w:t>
            </w: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4,248,655,977.72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4,969,605,925.49</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18"/>
                <w:szCs w:val="18"/>
              </w:rPr>
            </w:pPr>
            <w:r>
              <w:rPr>
                <w:rFonts w:ascii="宋体"/>
                <w:spacing w:val="-1"/>
                <w:sz w:val="18"/>
              </w:rPr>
              <w:t>50,680.62</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7"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4,381,791,711.47</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4,969,656,606.11</w:t>
            </w:r>
            <w:r>
              <w:rPr>
                <w:rFonts w:ascii="宋体"/>
                <w:sz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4,307,228,149.64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5,454,956,794.05</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363,521,654.57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293,764,747.84</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4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22,601,923.07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20,705,978.34</w:t>
            </w: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5,416,800.00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1,314,131.61</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7"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4,676,166,604.21</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5,750,035,673.50</w:t>
            </w:r>
            <w:r>
              <w:rPr>
                <w:rFonts w:ascii="宋体"/>
                <w:sz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76"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-294,374,892.74</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-780,379,067.39</w:t>
            </w:r>
            <w:r>
              <w:rPr>
                <w:rFonts w:ascii="宋体"/>
                <w:sz w:val="18"/>
              </w:rPr>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-81,856,427.07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-67,428,119.75</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47,299,035.77</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519,068,696.46</w:t>
            </w:r>
            <w:r>
              <w:rPr>
                <w:rFonts w:ascii="宋体"/>
                <w:sz w:val="18"/>
              </w:rPr>
            </w:r>
          </w:p>
        </w:tc>
      </w:tr>
      <w:tr>
        <w:trPr>
          <w:trHeight w:val="288"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3,616,324,733.67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3,097,256,037.21</w:t>
            </w:r>
          </w:p>
        </w:tc>
      </w:tr>
      <w:tr>
        <w:trPr>
          <w:trHeight w:val="28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b/>
                <w:w w:val="95"/>
                <w:sz w:val="18"/>
              </w:rPr>
              <w:t>3,663,623,769.44</w:t>
            </w:r>
            <w:r>
              <w:rPr>
                <w:rFonts w:ascii="宋体"/>
                <w:sz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b/>
                <w:w w:val="95"/>
                <w:sz w:val="18"/>
              </w:rPr>
              <w:t>3,616,324,733.67</w:t>
            </w:r>
            <w:r>
              <w:rPr>
                <w:rFonts w:ascii="宋体"/>
                <w:sz w:val="18"/>
              </w:rPr>
            </w:r>
          </w:p>
        </w:tc>
      </w:tr>
    </w:tbl>
    <w:p>
      <w:pPr>
        <w:spacing w:line="240" w:lineRule="auto" w:before="6"/>
        <w:rPr>
          <w:rFonts w:ascii="宋体" w:hAnsi="宋体" w:cs="宋体" w:eastAsia="宋体" w:hint="default"/>
          <w:sz w:val="28"/>
          <w:szCs w:val="28"/>
        </w:rPr>
      </w:pPr>
    </w:p>
    <w:p>
      <w:pPr>
        <w:pStyle w:val="Heading7"/>
        <w:spacing w:line="391" w:lineRule="auto"/>
        <w:ind w:left="659" w:right="4871"/>
        <w:jc w:val="left"/>
      </w:pPr>
      <w:r>
        <w:rPr>
          <w:rFonts w:ascii="宋体" w:hAnsi="宋体" w:cs="宋体" w:eastAsia="宋体" w:hint="default"/>
          <w:spacing w:val="-1"/>
        </w:rPr>
        <w:t>4</w:t>
      </w:r>
      <w:r>
        <w:rPr>
          <w:spacing w:val="-1"/>
        </w:rPr>
        <w:t>、会计政策变更相关补充资料</w:t>
      </w:r>
      <w:r>
        <w:rPr>
          <w:spacing w:val="-95"/>
        </w:rPr>
        <w:t> </w:t>
      </w:r>
      <w:r>
        <w:rPr>
          <w:spacing w:val="-95"/>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7"/>
        <w:spacing w:line="391" w:lineRule="auto"/>
        <w:ind w:left="6108" w:right="374" w:hanging="881"/>
        <w:jc w:val="right"/>
      </w:pPr>
      <w:r>
        <w:rPr>
          <w:spacing w:val="-1"/>
        </w:rPr>
        <w:t>中国长城计算机深圳股份有限公司</w:t>
      </w:r>
      <w:r>
        <w:rPr>
          <w:spacing w:val="-104"/>
        </w:rPr>
        <w:t> </w:t>
      </w:r>
      <w:r>
        <w:rPr>
          <w:spacing w:val="-104"/>
        </w:rPr>
      </w:r>
      <w:r>
        <w:rPr>
          <w:spacing w:val="-1"/>
        </w:rPr>
        <w:t>二○一六年四月二十七日</w:t>
      </w:r>
    </w:p>
    <w:sectPr>
      <w:pgSz w:w="11910" w:h="16840"/>
      <w:pgMar w:header="881" w:footer="980" w:top="1600" w:bottom="1160" w:left="158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1193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2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2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2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2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1192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192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192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1192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1192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45</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1193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192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192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59</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1192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192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192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1.933899pt;width:15.7pt;height:11pt;mso-position-horizontal-relative:page;mso-position-vertical-relative:page;z-index:-1192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1192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1192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1192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1192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410004pt;margin-top:535.333923pt;width:17.3pt;height:11pt;mso-position-horizontal-relative:page;mso-position-vertical-relative:page;z-index:-1191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1191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1191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3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2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2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1.933899pt;width:8.5pt;height:11pt;mso-position-horizontal-relative:page;mso-position-vertical-relative:page;z-index:-1192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937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070007pt;margin-top:42.865608pt;width:213.75pt;height:11.5pt;mso-position-horizontal-relative:page;mso-position-vertical-relative:page;z-index:-1193704" type="#_x0000_t202" filled="false" stroked="false">
          <v:textbox inset="0,0,0,0">
            <w:txbxContent>
              <w:p>
                <w:pPr>
                  <w:pStyle w:val="BodyText"/>
                  <w:spacing w:line="214" w:lineRule="exact"/>
                  <w:ind w:left="20" w:right="0"/>
                  <w:jc w:val="left"/>
                </w:pPr>
                <w:r>
                  <w:rPr/>
                  <w:t>中国长城计算机深圳股份有限公司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0.01001pt;margin-top:57.587509pt;width:122pt;height:27.4pt;mso-position-horizontal-relative:page;mso-position-vertical-relative:page;z-index:-1192816" type="#_x0000_t202" filled="false" stroked="false">
          <v:textbox inset="0,0,0,0">
            <w:txbxContent>
              <w:p>
                <w:pPr>
                  <w:spacing w:line="260"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合并所有者权益变动表</w:t>
                </w:r>
              </w:p>
              <w:p>
                <w:pPr>
                  <w:spacing w:before="6"/>
                  <w:ind w:left="2" w:right="0"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年度</w:t>
                </w:r>
              </w:p>
            </w:txbxContent>
          </v:textbox>
          <w10:wrap type="none"/>
        </v:shape>
      </w:pict>
    </w:r>
    <w:r>
      <w:rPr/>
      <w:pict>
        <v:shape style="position:absolute;margin-left:49.040001pt;margin-top:85.980629pt;width:201.9pt;height:12pt;mso-position-horizontal-relative:page;mso-position-vertical-relative:page;z-index:-119279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编制单位：中国长城计算机深圳股份有限公司</w:t>
                </w:r>
              </w:p>
            </w:txbxContent>
          </v:textbox>
          <w10:wrap type="none"/>
        </v:shape>
      </w:pict>
    </w:r>
    <w:r>
      <w:rPr/>
      <w:pict>
        <v:shape style="position:absolute;margin-left:721.140015pt;margin-top:85.980629pt;width:71.850pt;height:12pt;mso-position-horizontal-relative:page;mso-position-vertical-relative:page;z-index:-119276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4.01001pt;margin-top:56.027508pt;width:134pt;height:26.7pt;mso-position-horizontal-relative:page;mso-position-vertical-relative:page;z-index:-1192720" type="#_x0000_t202" filled="false" stroked="false">
          <v:textbox inset="0,0,0,0">
            <w:txbxContent>
              <w:p>
                <w:pPr>
                  <w:spacing w:line="256" w:lineRule="exact" w:before="0"/>
                  <w:ind w:left="0" w:right="0" w:firstLine="0"/>
                  <w:jc w:val="center"/>
                  <w:rPr>
                    <w:rFonts w:ascii="黑体" w:hAnsi="黑体" w:cs="黑体" w:eastAsia="黑体" w:hint="default"/>
                    <w:sz w:val="24"/>
                    <w:szCs w:val="24"/>
                  </w:rPr>
                </w:pPr>
                <w:r>
                  <w:rPr>
                    <w:rFonts w:ascii="黑体" w:hAnsi="黑体" w:cs="黑体" w:eastAsia="黑体" w:hint="default"/>
                    <w:sz w:val="24"/>
                    <w:szCs w:val="24"/>
                  </w:rPr>
                  <w:t>母公司所有者权益变动表</w:t>
                </w:r>
              </w:p>
              <w:p>
                <w:pPr>
                  <w:spacing w:line="258" w:lineRule="exact" w:before="0"/>
                  <w:ind w:left="2" w:right="0"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0"/>
                    <w:sz w:val="20"/>
                    <w:szCs w:val="20"/>
                  </w:rPr>
                  <w:t> </w:t>
                </w:r>
                <w:r>
                  <w:rPr>
                    <w:rFonts w:ascii="宋体" w:hAnsi="宋体" w:cs="宋体" w:eastAsia="宋体" w:hint="default"/>
                    <w:sz w:val="20"/>
                    <w:szCs w:val="20"/>
                  </w:rPr>
                  <w:t>年度</w:t>
                </w:r>
              </w:p>
            </w:txbxContent>
          </v:textbox>
          <w10:wrap type="none"/>
        </v:shape>
      </w:pict>
    </w:r>
    <w:r>
      <w:rPr/>
      <w:pict>
        <v:shape style="position:absolute;margin-left:49.040001pt;margin-top:83.820633pt;width:201.9pt;height:12pt;mso-position-horizontal-relative:page;mso-position-vertical-relative:page;z-index:-119269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编制单位：中国长城计算机深圳股份有限公司</w:t>
                </w:r>
              </w:p>
            </w:txbxContent>
          </v:textbox>
          <w10:wrap type="none"/>
        </v:shape>
      </w:pict>
    </w:r>
    <w:r>
      <w:rPr/>
      <w:pict>
        <v:shape style="position:absolute;margin-left:721.02002pt;margin-top:83.820633pt;width:71.850pt;height:12pt;mso-position-horizontal-relative:page;mso-position-vertical-relative:page;z-index:-119267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43.032482pt;width:241.9pt;height:38pt;mso-position-horizontal-relative:page;mso-position-vertical-relative:page;z-index:-1192648"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3"/>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800003pt;margin-top:82.500008pt;width:428pt;height:.1pt;mso-position-horizontal-relative:page;mso-position-vertical-relative:page;z-index:-1192576" coordorigin="1456,1650" coordsize="8560,2">
          <v:shape style="position:absolute;left:1456;top:1650;width:8560;height:2" coordorigin="1456,1650" coordsize="8560,0" path="m1456,1650l10016,1650e" filled="false" stroked="true" strokeweight=".75pt" strokecolor="#000000">
            <v:path arrowok="t"/>
          </v:shape>
          <w10:wrap type="none"/>
        </v:group>
      </w:pict>
    </w:r>
    <w:r>
      <w:rPr/>
      <w:pict>
        <v:shape style="position:absolute;margin-left:71pt;margin-top:43.032509pt;width:241.9pt;height:38pt;mso-position-horizontal-relative:page;mso-position-vertical-relative:page;z-index:-1192552"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4"/>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800003pt;margin-top:82.500008pt;width:428pt;height:.1pt;mso-position-horizontal-relative:page;mso-position-vertical-relative:page;z-index:-1192504" coordorigin="1456,1650" coordsize="8560,2">
          <v:shape style="position:absolute;left:1456;top:1650;width:8560;height:2" coordorigin="1456,1650" coordsize="8560,0" path="m1456,1650l10016,1650e" filled="false" stroked="true" strokeweight=".75pt" strokecolor="#000000">
            <v:path arrowok="t"/>
          </v:shape>
          <w10:wrap type="none"/>
        </v:group>
      </w:pict>
    </w:r>
    <w:r>
      <w:rPr/>
      <w:pict>
        <v:shape style="position:absolute;margin-left:71pt;margin-top:43.032509pt;width:241.9pt;height:38pt;mso-position-horizontal-relative:page;mso-position-vertical-relative:page;z-index:-1192480"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4"/>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800003pt;margin-top:82.500008pt;width:428pt;height:.1pt;mso-position-horizontal-relative:page;mso-position-vertical-relative:page;z-index:-1192432" coordorigin="1456,1650" coordsize="8560,2">
          <v:shape style="position:absolute;left:1456;top:1650;width:8560;height:2" coordorigin="1456,1650" coordsize="8560,0" path="m1456,1650l10016,1650e" filled="false" stroked="true" strokeweight=".75pt" strokecolor="#000000">
            <v:path arrowok="t"/>
          </v:shape>
          <w10:wrap type="none"/>
        </v:group>
      </w:pict>
    </w:r>
    <w:r>
      <w:rPr/>
      <w:pict>
        <v:shape style="position:absolute;margin-left:71pt;margin-top:43.032509pt;width:241.9pt;height:38pt;mso-position-horizontal-relative:page;mso-position-vertical-relative:page;z-index:-1192408"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4"/>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43.032482pt;width:241.9pt;height:38pt;mso-position-horizontal-relative:page;mso-position-vertical-relative:page;z-index:-1192384"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3"/>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800003pt;margin-top:82.500008pt;width:428pt;height:.1pt;mso-position-horizontal-relative:page;mso-position-vertical-relative:page;z-index:-1192312" coordorigin="1456,1650" coordsize="8560,2">
          <v:shape style="position:absolute;left:1456;top:1650;width:8560;height:2" coordorigin="1456,1650" coordsize="8560,0" path="m1456,1650l10016,1650e" filled="false" stroked="true" strokeweight=".75pt" strokecolor="#000000">
            <v:path arrowok="t"/>
          </v:shape>
          <w10:wrap type="none"/>
        </v:group>
      </w:pict>
    </w:r>
    <w:r>
      <w:rPr/>
      <w:pict>
        <v:shape style="position:absolute;margin-left:71pt;margin-top:43.032509pt;width:241.9pt;height:38pt;mso-position-horizontal-relative:page;mso-position-vertical-relative:page;z-index:-1192288"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4"/>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43.032482pt;width:241.9pt;height:38pt;mso-position-horizontal-relative:page;mso-position-vertical-relative:page;z-index:-1192240"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3"/>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43.032482pt;width:241.9pt;height:38pt;mso-position-horizontal-relative:page;mso-position-vertical-relative:page;z-index:-1192192"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3"/>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800003pt;margin-top:82.500008pt;width:428pt;height:.1pt;mso-position-horizontal-relative:page;mso-position-vertical-relative:page;z-index:-1192024" coordorigin="1456,1650" coordsize="8560,2">
          <v:shape style="position:absolute;left:1456;top:1650;width:8560;height:2" coordorigin="1456,1650" coordsize="8560,0" path="m1456,1650l10016,1650e" filled="false" stroked="true" strokeweight=".75pt" strokecolor="#000000">
            <v:path arrowok="t"/>
          </v:shape>
          <w10:wrap type="none"/>
        </v:group>
      </w:pict>
    </w:r>
    <w:r>
      <w:rPr/>
      <w:pict>
        <v:shape style="position:absolute;margin-left:71pt;margin-top:43.032509pt;width:241.9pt;height:38pt;mso-position-horizontal-relative:page;mso-position-vertical-relative:page;z-index:-1192000"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4"/>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800003pt;margin-top:82.499985pt;width:428pt;height:.1pt;mso-position-horizontal-relative:page;mso-position-vertical-relative:page;z-index:-1191952" coordorigin="1816,1650" coordsize="8560,2">
          <v:shape style="position:absolute;left:1816;top:1650;width:8560;height:2" coordorigin="1816,1650" coordsize="8560,0" path="m1816,1650l10376,1650e" filled="false" stroked="true" strokeweight=".75pt" strokecolor="#000000">
            <v:path arrowok="t"/>
          </v:shape>
          <w10:wrap type="none"/>
        </v:group>
      </w:pict>
    </w:r>
    <w:r>
      <w:rPr/>
      <w:pict>
        <v:shape style="position:absolute;margin-left:89.024002pt;margin-top:43.032482pt;width:241.9pt;height:38pt;mso-position-horizontal-relative:page;mso-position-vertical-relative:page;z-index:-1191928"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pStyle w:val="BodyText"/>
                  <w:spacing w:line="234" w:lineRule="exact" w:before="3"/>
                  <w:ind w:left="20" w:right="0"/>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61"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9.240002pt;margin-top:41.519981pt;width:2.2pt;height:71.1pt;mso-position-horizontal-relative:page;mso-position-vertical-relative:page;z-index:-1193632" coordorigin="785,830" coordsize="44,1422">
          <v:group style="position:absolute;left:806;top:852;width:2;height:466" coordorigin="806,852" coordsize="2,466">
            <v:shape style="position:absolute;left:806;top:852;width:2;height:466" coordorigin="806,852" coordsize="0,466" path="m806,852l806,1318e" filled="false" stroked="true" strokeweight="2.16pt" strokecolor="#000000">
              <v:path arrowok="t"/>
            </v:shape>
          </v:group>
          <v:group style="position:absolute;left:806;top:1318;width:2;height:132" coordorigin="806,1318" coordsize="2,132">
            <v:shape style="position:absolute;left:806;top:1318;width:2;height:132" coordorigin="806,1318" coordsize="0,132" path="m806,1318l806,1450e" filled="false" stroked="true" strokeweight="2.16pt" strokecolor="#000000">
              <v:path arrowok="t"/>
            </v:shape>
          </v:group>
          <v:group style="position:absolute;left:806;top:1450;width:2;height:781" coordorigin="806,1450" coordsize="2,781">
            <v:shape style="position:absolute;left:806;top:1450;width:2;height:781" coordorigin="806,1450" coordsize="0,781" path="m806,1450l806,2230e" filled="false" stroked="true" strokeweight="2.16pt" strokecolor="#000000">
              <v:path arrowok="t"/>
            </v:shape>
          </v:group>
          <w10:wrap type="none"/>
        </v:group>
      </w:pict>
    </w:r>
    <w:r>
      <w:rPr/>
      <w:pict>
        <v:group style="position:absolute;margin-left:159.619995pt;margin-top:41.519981pt;width:2.2pt;height:71.1pt;mso-position-horizontal-relative:page;mso-position-vertical-relative:page;z-index:-1193608" coordorigin="3192,830" coordsize="44,1422">
          <v:group style="position:absolute;left:3214;top:852;width:2;height:466" coordorigin="3214,852" coordsize="2,466">
            <v:shape style="position:absolute;left:3214;top:852;width:2;height:466" coordorigin="3214,852" coordsize="0,466" path="m3214,852l3214,1318e" filled="false" stroked="true" strokeweight="2.16pt" strokecolor="#000000">
              <v:path arrowok="t"/>
            </v:shape>
          </v:group>
          <v:group style="position:absolute;left:3214;top:1318;width:2;height:132" coordorigin="3214,1318" coordsize="2,132">
            <v:shape style="position:absolute;left:3214;top:1318;width:2;height:132" coordorigin="3214,1318" coordsize="0,132" path="m3214,1318l3214,1450e" filled="false" stroked="true" strokeweight="2.16pt" strokecolor="#000000">
              <v:path arrowok="t"/>
            </v:shape>
          </v:group>
          <v:group style="position:absolute;left:3214;top:1450;width:2;height:781" coordorigin="3214,1450" coordsize="2,781">
            <v:shape style="position:absolute;left:3214;top:1450;width:2;height:781" coordorigin="3214,1450" coordsize="0,781" path="m3214,1450l3214,2230e" filled="false" stroked="true" strokeweight="2.16pt" strokecolor="#000000">
              <v:path arrowok="t"/>
            </v:shape>
          </v:group>
          <w10:wrap type="none"/>
        </v:group>
      </w:pict>
    </w:r>
    <w:r>
      <w:rPr/>
      <w:pict>
        <v:group style="position:absolute;margin-left:289.369995pt;margin-top:42.359993pt;width:.5pt;height:69.4pt;mso-position-horizontal-relative:page;mso-position-vertical-relative:page;z-index:-1193584" coordorigin="5787,847" coordsize="10,1388">
          <v:group style="position:absolute;left:5792;top:852;width:2;height:466" coordorigin="5792,852" coordsize="2,466">
            <v:shape style="position:absolute;left:5792;top:852;width:2;height:466" coordorigin="5792,852" coordsize="0,466" path="m5792,852l5792,1318e" filled="false" stroked="true" strokeweight=".47998pt" strokecolor="#003366">
              <v:path arrowok="t"/>
            </v:shape>
          </v:group>
          <v:group style="position:absolute;left:5792;top:1318;width:2;height:132" coordorigin="5792,1318" coordsize="2,132">
            <v:shape style="position:absolute;left:5792;top:1318;width:2;height:132" coordorigin="5792,1318" coordsize="0,132" path="m5792,1318l5792,1450e" filled="false" stroked="true" strokeweight=".47998pt" strokecolor="#000000">
              <v:path arrowok="t"/>
            </v:shape>
          </v:group>
          <v:group style="position:absolute;left:5792;top:1450;width:2;height:781" coordorigin="5792,1450" coordsize="2,781">
            <v:shape style="position:absolute;left:5792;top:1450;width:2;height:781" coordorigin="5792,1450" coordsize="0,781" path="m5792,1450l5792,2230e" filled="false" stroked="true" strokeweight=".47998pt" strokecolor="#000000">
              <v:path arrowok="t"/>
            </v:shape>
          </v:group>
          <w10:wrap type="none"/>
        </v:group>
      </w:pict>
    </w:r>
    <w:r>
      <w:rPr/>
      <w:pict>
        <v:group style="position:absolute;margin-left:433.390015pt;margin-top:42.359978pt;width:.5pt;height:69.4pt;mso-position-horizontal-relative:page;mso-position-vertical-relative:page;z-index:-1193560" coordorigin="8668,847" coordsize="10,1388">
          <v:group style="position:absolute;left:8673;top:852;width:2;height:466" coordorigin="8673,852" coordsize="2,466">
            <v:shape style="position:absolute;left:8673;top:852;width:2;height:466" coordorigin="8673,852" coordsize="0,466" path="m8673,852l8673,1318e" filled="false" stroked="true" strokeweight=".48001pt" strokecolor="#000000">
              <v:path arrowok="t"/>
            </v:shape>
          </v:group>
          <v:group style="position:absolute;left:8673;top:1318;width:2;height:132" coordorigin="8673,1318" coordsize="2,132">
            <v:shape style="position:absolute;left:8673;top:1318;width:2;height:132" coordorigin="8673,1318" coordsize="0,132" path="m8673,1318l8673,1450e" filled="false" stroked="true" strokeweight=".48001pt" strokecolor="#000000">
              <v:path arrowok="t"/>
            </v:shape>
          </v:group>
          <v:group style="position:absolute;left:8673;top:1450;width:2;height:781" coordorigin="8673,1450" coordsize="2,781">
            <v:shape style="position:absolute;left:8673;top:1450;width:2;height:781" coordorigin="8673,1450" coordsize="0,781" path="m8673,1450l8673,2230e" filled="false" stroked="true" strokeweight=".48001pt" strokecolor="#000000">
              <v:path arrowok="t"/>
            </v:shape>
          </v:group>
          <w10:wrap type="none"/>
        </v:group>
      </w:pict>
    </w:r>
    <w:r>
      <w:rPr/>
      <w:pict>
        <v:shape style="position:absolute;margin-left:43.549999pt;margin-top:42.599983pt;width:113.9pt;height:68.9pt;mso-position-horizontal-relative:page;mso-position-vertical-relative:page;z-index:-1193536" type="#_x0000_t75" stroked="false">
          <v:imagedata r:id="rId1" o:title=""/>
        </v:shape>
      </w:pict>
    </w:r>
    <w:r>
      <w:rPr/>
      <w:pict>
        <v:shape style="position:absolute;margin-left:292.929993pt;margin-top:42.865608pt;width:131.9pt;height:22.65pt;mso-position-horizontal-relative:page;mso-position-vertical-relative:page;z-index:-1193512" type="#_x0000_t202" filled="false" stroked="false">
          <v:textbox inset="0,0,0,0">
            <w:txbxContent>
              <w:p>
                <w:pPr>
                  <w:pStyle w:val="BodyText"/>
                  <w:spacing w:line="199" w:lineRule="exact"/>
                  <w:ind w:left="20" w:right="0"/>
                  <w:jc w:val="left"/>
                </w:pPr>
                <w:r>
                  <w:rPr/>
                  <w:t>北</w:t>
                </w:r>
                <w:r>
                  <w:rPr>
                    <w:spacing w:val="-52"/>
                  </w:rPr>
                  <w:t> </w:t>
                </w:r>
                <w:r>
                  <w:rPr/>
                  <w:t>京</w:t>
                </w:r>
                <w:r>
                  <w:rPr>
                    <w:spacing w:val="-50"/>
                  </w:rPr>
                  <w:t> </w:t>
                </w:r>
                <w:r>
                  <w:rPr/>
                  <w:t>市</w:t>
                </w:r>
                <w:r>
                  <w:rPr>
                    <w:spacing w:val="-50"/>
                  </w:rPr>
                  <w:t> </w:t>
                </w:r>
                <w:r>
                  <w:rPr/>
                  <w:t>东</w:t>
                </w:r>
                <w:r>
                  <w:rPr>
                    <w:spacing w:val="-52"/>
                  </w:rPr>
                  <w:t> </w:t>
                </w:r>
                <w:r>
                  <w:rPr/>
                  <w:t>城</w:t>
                </w:r>
                <w:r>
                  <w:rPr>
                    <w:spacing w:val="-50"/>
                  </w:rPr>
                  <w:t> </w:t>
                </w:r>
                <w:r>
                  <w:rPr/>
                  <w:t>区</w:t>
                </w:r>
                <w:r>
                  <w:rPr>
                    <w:spacing w:val="-50"/>
                  </w:rPr>
                  <w:t> </w:t>
                </w:r>
                <w:r>
                  <w:rPr/>
                  <w:t>朝</w:t>
                </w:r>
                <w:r>
                  <w:rPr>
                    <w:spacing w:val="-52"/>
                  </w:rPr>
                  <w:t> </w:t>
                </w:r>
                <w:r>
                  <w:rPr/>
                  <w:t>阳</w:t>
                </w:r>
                <w:r>
                  <w:rPr>
                    <w:spacing w:val="-50"/>
                  </w:rPr>
                  <w:t> </w:t>
                </w:r>
                <w:r>
                  <w:rPr/>
                  <w:t>门</w:t>
                </w:r>
                <w:r>
                  <w:rPr>
                    <w:spacing w:val="-50"/>
                  </w:rPr>
                  <w:t> </w:t>
                </w:r>
                <w:r>
                  <w:rPr/>
                  <w:t>北</w:t>
                </w:r>
                <w:r>
                  <w:rPr>
                    <w:spacing w:val="-52"/>
                  </w:rPr>
                  <w:t> </w:t>
                </w:r>
                <w:r>
                  <w:rPr/>
                  <w:t>大</w:t>
                </w:r>
                <w:r>
                  <w:rPr>
                    <w:spacing w:val="-50"/>
                  </w:rPr>
                  <w:t> </w:t>
                </w:r>
                <w:r>
                  <w:rPr/>
                  <w:t>街</w:t>
                </w:r>
              </w:p>
              <w:p>
                <w:pPr>
                  <w:pStyle w:val="BodyText"/>
                  <w:spacing w:line="234" w:lineRule="exact"/>
                  <w:ind w:left="20" w:right="0"/>
                  <w:jc w:val="left"/>
                </w:pPr>
                <w:r>
                  <w:rPr>
                    <w:rFonts w:ascii="宋体" w:hAnsi="宋体" w:cs="宋体" w:eastAsia="宋体" w:hint="default"/>
                  </w:rPr>
                  <w:t>8</w:t>
                </w:r>
                <w:r>
                  <w:rPr>
                    <w:rFonts w:ascii="宋体" w:hAnsi="宋体" w:cs="宋体" w:eastAsia="宋体" w:hint="default"/>
                    <w:spacing w:val="-70"/>
                  </w:rPr>
                  <w:t> </w:t>
                </w:r>
                <w:r>
                  <w:rPr/>
                  <w:t>号</w:t>
                </w:r>
                <w:r>
                  <w:rPr>
                    <w:spacing w:val="-52"/>
                  </w:rPr>
                  <w:t> </w:t>
                </w:r>
                <w:r>
                  <w:rPr/>
                  <w:t>富</w:t>
                </w:r>
                <w:r>
                  <w:rPr>
                    <w:spacing w:val="-50"/>
                  </w:rPr>
                  <w:t> </w:t>
                </w:r>
                <w:r>
                  <w:rPr/>
                  <w:t>华</w:t>
                </w:r>
                <w:r>
                  <w:rPr>
                    <w:spacing w:val="-50"/>
                  </w:rPr>
                  <w:t> </w:t>
                </w:r>
                <w:r>
                  <w:rPr/>
                  <w:t>大</w:t>
                </w:r>
                <w:r>
                  <w:rPr>
                    <w:spacing w:val="-52"/>
                  </w:rPr>
                  <w:t> </w:t>
                </w:r>
                <w:r>
                  <w:rPr/>
                  <w:t>厦</w:t>
                </w:r>
                <w:r>
                  <w:rPr>
                    <w:spacing w:val="-51"/>
                  </w:rPr>
                  <w:t> </w:t>
                </w:r>
                <w:r>
                  <w:rPr>
                    <w:rFonts w:ascii="宋体" w:hAnsi="宋体" w:cs="宋体" w:eastAsia="宋体" w:hint="default"/>
                  </w:rPr>
                  <w:t>A</w:t>
                </w:r>
                <w:r>
                  <w:rPr>
                    <w:rFonts w:ascii="宋体" w:hAnsi="宋体" w:cs="宋体" w:eastAsia="宋体" w:hint="default"/>
                    <w:spacing w:val="-68"/>
                  </w:rPr>
                  <w:t> </w:t>
                </w:r>
                <w:r>
                  <w:rPr/>
                  <w:t>座</w:t>
                </w:r>
                <w:r>
                  <w:rPr>
                    <w:spacing w:val="-52"/>
                  </w:rPr>
                  <w:t> </w:t>
                </w:r>
                <w:r>
                  <w:rPr>
                    <w:rFonts w:ascii="宋体" w:hAnsi="宋体" w:cs="宋体" w:eastAsia="宋体" w:hint="default"/>
                  </w:rPr>
                  <w:t>9</w:t>
                </w:r>
                <w:r>
                  <w:rPr>
                    <w:rFonts w:ascii="宋体" w:hAnsi="宋体" w:cs="宋体" w:eastAsia="宋体" w:hint="default"/>
                    <w:spacing w:val="-70"/>
                  </w:rPr>
                  <w:t> </w:t>
                </w:r>
                <w:r>
                  <w:rPr/>
                  <w:t>层</w:t>
                </w:r>
              </w:p>
            </w:txbxContent>
          </v:textbox>
          <w10:wrap type="none"/>
        </v:shape>
      </w:pict>
    </w:r>
    <w:r>
      <w:rPr/>
      <w:pict>
        <v:shape style="position:absolute;margin-left:434.070007pt;margin-top:42.783108pt;width:37.1pt;height:19.45pt;mso-position-horizontal-relative:page;mso-position-vertical-relative:page;z-index:-1193488" type="#_x0000_t202" filled="false" stroked="false">
          <v:textbox inset="0,0,0,0">
            <w:txbxContent>
              <w:p>
                <w:pPr>
                  <w:spacing w:line="182" w:lineRule="exact" w:before="0"/>
                  <w:ind w:left="20" w:right="0" w:firstLine="0"/>
                  <w:jc w:val="left"/>
                  <w:rPr>
                    <w:rFonts w:ascii="Arial" w:hAnsi="Arial" w:cs="Arial" w:eastAsia="Arial" w:hint="default"/>
                    <w:sz w:val="15"/>
                    <w:szCs w:val="15"/>
                  </w:rPr>
                </w:pPr>
                <w:r>
                  <w:rPr>
                    <w:rFonts w:ascii="宋体" w:hAnsi="宋体" w:cs="宋体" w:eastAsia="宋体" w:hint="default"/>
                    <w:sz w:val="15"/>
                    <w:szCs w:val="15"/>
                  </w:rPr>
                  <w:t>联系电话</w:t>
                </w:r>
                <w:r>
                  <w:rPr>
                    <w:rFonts w:ascii="Arial" w:hAnsi="Arial" w:cs="Arial" w:eastAsia="Arial" w:hint="default"/>
                    <w:sz w:val="15"/>
                    <w:szCs w:val="15"/>
                  </w:rPr>
                  <w:t>:</w:t>
                </w:r>
              </w:p>
              <w:p>
                <w:pPr>
                  <w:spacing w:before="17"/>
                  <w:ind w:left="20" w:right="0" w:firstLine="0"/>
                  <w:jc w:val="left"/>
                  <w:rPr>
                    <w:rFonts w:ascii="Arial" w:hAnsi="Arial" w:cs="Arial" w:eastAsia="Arial" w:hint="default"/>
                    <w:sz w:val="15"/>
                    <w:szCs w:val="15"/>
                  </w:rPr>
                </w:pPr>
                <w:r>
                  <w:rPr>
                    <w:rFonts w:ascii="Arial"/>
                    <w:sz w:val="15"/>
                  </w:rPr>
                  <w:t>telephone:</w:t>
                </w:r>
              </w:p>
            </w:txbxContent>
          </v:textbox>
          <w10:wrap type="none"/>
        </v:shape>
      </w:pict>
    </w:r>
    <w:r>
      <w:rPr/>
      <w:pict>
        <v:shape style="position:absolute;margin-left:481.380005pt;margin-top:43.154003pt;width:67.8pt;height:19.2pt;mso-position-horizontal-relative:page;mso-position-vertical-relative:page;z-index:-1193464" type="#_x0000_t202" filled="false" stroked="false">
          <v:textbox inset="0,0,0,0">
            <w:txbxContent>
              <w:p>
                <w:pPr>
                  <w:spacing w:before="2"/>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2288</w:t>
                </w:r>
              </w:p>
              <w:p>
                <w:pPr>
                  <w:spacing w:before="19"/>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2288</w:t>
                </w:r>
              </w:p>
            </w:txbxContent>
          </v:textbox>
          <w10:wrap type="none"/>
        </v:shape>
      </w:pict>
    </w:r>
    <w:r>
      <w:rPr/>
      <w:pict>
        <v:shape style="position:absolute;margin-left:163.779999pt;margin-top:44.414356pt;width:124pt;height:16.05pt;mso-position-horizontal-relative:page;mso-position-vertical-relative:page;z-index:-1193440" type="#_x0000_t202" filled="false" stroked="false">
          <v:textbox inset="0,0,0,0">
            <w:txbxContent>
              <w:p>
                <w:pPr>
                  <w:spacing w:line="301" w:lineRule="exact" w:before="0"/>
                  <w:ind w:left="20" w:right="0" w:firstLine="0"/>
                  <w:jc w:val="left"/>
                  <w:rPr>
                    <w:rFonts w:ascii="宋体" w:hAnsi="宋体" w:cs="宋体" w:eastAsia="宋体" w:hint="default"/>
                    <w:sz w:val="28"/>
                    <w:szCs w:val="28"/>
                  </w:rPr>
                </w:pPr>
                <w:r>
                  <w:rPr>
                    <w:rFonts w:ascii="宋体" w:hAnsi="宋体" w:cs="宋体" w:eastAsia="宋体" w:hint="default"/>
                    <w:spacing w:val="6"/>
                    <w:w w:val="85"/>
                    <w:sz w:val="28"/>
                    <w:szCs w:val="28"/>
                  </w:rPr>
                  <w:t>信永中和会计师事务所</w:t>
                </w:r>
                <w:r>
                  <w:rPr>
                    <w:rFonts w:ascii="宋体" w:hAnsi="宋体" w:cs="宋体" w:eastAsia="宋体" w:hint="default"/>
                    <w:spacing w:val="6"/>
                    <w:sz w:val="28"/>
                    <w:szCs w:val="28"/>
                  </w:rPr>
                </w:r>
              </w:p>
            </w:txbxContent>
          </v:textbox>
          <w10:wrap type="none"/>
        </v:shape>
      </w:pict>
    </w:r>
    <w:r>
      <w:rPr/>
      <w:pict>
        <v:shape style="position:absolute;margin-left:292.929993pt;margin-top:76.634003pt;width:121.85pt;height:35.5pt;mso-position-horizontal-relative:page;mso-position-vertical-relative:page;z-index:-1193416" type="#_x0000_t202" filled="false" stroked="false">
          <v:textbox inset="0,0,0,0">
            <w:txbxContent>
              <w:p>
                <w:pPr>
                  <w:spacing w:before="2"/>
                  <w:ind w:left="20" w:right="18" w:firstLine="0"/>
                  <w:jc w:val="both"/>
                  <w:rPr>
                    <w:rFonts w:ascii="Arial" w:hAnsi="Arial" w:cs="Arial" w:eastAsia="Arial" w:hint="default"/>
                    <w:sz w:val="15"/>
                    <w:szCs w:val="15"/>
                  </w:rPr>
                </w:pPr>
                <w:r>
                  <w:rPr>
                    <w:rFonts w:ascii="Arial"/>
                    <w:spacing w:val="5"/>
                    <w:sz w:val="15"/>
                  </w:rPr>
                  <w:t>9/ </w:t>
                </w:r>
                <w:r>
                  <w:rPr>
                    <w:rFonts w:ascii="Arial"/>
                    <w:spacing w:val="4"/>
                    <w:sz w:val="15"/>
                  </w:rPr>
                  <w:t>F, </w:t>
                </w:r>
                <w:r>
                  <w:rPr>
                    <w:rFonts w:ascii="Arial"/>
                    <w:spacing w:val="8"/>
                    <w:sz w:val="15"/>
                  </w:rPr>
                  <w:t>Block </w:t>
                </w:r>
                <w:r>
                  <w:rPr>
                    <w:rFonts w:ascii="Arial"/>
                    <w:spacing w:val="5"/>
                    <w:sz w:val="15"/>
                  </w:rPr>
                  <w:t>A, </w:t>
                </w:r>
                <w:r>
                  <w:rPr>
                    <w:rFonts w:ascii="Arial"/>
                    <w:spacing w:val="4"/>
                    <w:sz w:val="15"/>
                  </w:rPr>
                  <w:t>Fu </w:t>
                </w:r>
                <w:r>
                  <w:rPr>
                    <w:rFonts w:ascii="Arial"/>
                    <w:spacing w:val="6"/>
                    <w:sz w:val="15"/>
                  </w:rPr>
                  <w:t>Hua</w:t>
                </w:r>
                <w:r>
                  <w:rPr>
                    <w:rFonts w:ascii="Arial"/>
                    <w:spacing w:val="17"/>
                    <w:sz w:val="15"/>
                  </w:rPr>
                  <w:t> </w:t>
                </w:r>
                <w:r>
                  <w:rPr>
                    <w:rFonts w:ascii="Arial"/>
                    <w:spacing w:val="9"/>
                    <w:sz w:val="15"/>
                  </w:rPr>
                  <w:t>Mansion,</w:t>
                </w:r>
                <w:r>
                  <w:rPr>
                    <w:rFonts w:ascii="Arial"/>
                    <w:w w:val="100"/>
                    <w:sz w:val="15"/>
                  </w:rPr>
                  <w:t> </w:t>
                </w:r>
                <w:r>
                  <w:rPr>
                    <w:rFonts w:ascii="Arial"/>
                    <w:spacing w:val="8"/>
                    <w:sz w:val="15"/>
                  </w:rPr>
                  <w:t>No.</w:t>
                </w:r>
                <w:r>
                  <w:rPr>
                    <w:rFonts w:ascii="Arial"/>
                    <w:spacing w:val="-24"/>
                    <w:sz w:val="15"/>
                  </w:rPr>
                  <w:t> </w:t>
                </w:r>
                <w:r>
                  <w:rPr>
                    <w:rFonts w:ascii="Arial"/>
                    <w:sz w:val="15"/>
                  </w:rPr>
                  <w:t>8</w:t>
                </w:r>
                <w:r>
                  <w:rPr>
                    <w:rFonts w:ascii="Arial"/>
                    <w:spacing w:val="-25"/>
                    <w:sz w:val="15"/>
                  </w:rPr>
                  <w:t> </w:t>
                </w:r>
                <w:r>
                  <w:rPr>
                    <w:rFonts w:ascii="Arial"/>
                    <w:sz w:val="15"/>
                  </w:rPr>
                  <w:t>,</w:t>
                </w:r>
                <w:r>
                  <w:rPr>
                    <w:rFonts w:ascii="Arial"/>
                    <w:spacing w:val="8"/>
                    <w:sz w:val="15"/>
                  </w:rPr>
                  <w:t> </w:t>
                </w:r>
                <w:r>
                  <w:rPr>
                    <w:rFonts w:ascii="Arial"/>
                    <w:spacing w:val="11"/>
                    <w:sz w:val="15"/>
                  </w:rPr>
                  <w:t>Chaoyangmen</w:t>
                </w:r>
                <w:r>
                  <w:rPr>
                    <w:rFonts w:ascii="Arial"/>
                    <w:spacing w:val="48"/>
                    <w:sz w:val="15"/>
                  </w:rPr>
                  <w:t> </w:t>
                </w:r>
                <w:r>
                  <w:rPr>
                    <w:rFonts w:ascii="Arial"/>
                    <w:spacing w:val="11"/>
                    <w:sz w:val="15"/>
                  </w:rPr>
                  <w:t>Beidajie,</w:t>
                </w:r>
                <w:r>
                  <w:rPr>
                    <w:rFonts w:ascii="Arial"/>
                    <w:spacing w:val="-36"/>
                    <w:sz w:val="15"/>
                  </w:rPr>
                  <w:t> </w:t>
                </w:r>
                <w:r>
                  <w:rPr>
                    <w:rFonts w:ascii="Arial"/>
                    <w:spacing w:val="-36"/>
                    <w:sz w:val="15"/>
                  </w:rPr>
                </w:r>
                <w:r>
                  <w:rPr>
                    <w:rFonts w:ascii="Arial"/>
                    <w:spacing w:val="8"/>
                    <w:sz w:val="15"/>
                  </w:rPr>
                  <w:t>Do</w:t>
                </w:r>
                <w:r>
                  <w:rPr>
                    <w:rFonts w:ascii="Arial"/>
                    <w:spacing w:val="-23"/>
                    <w:sz w:val="15"/>
                  </w:rPr>
                  <w:t> </w:t>
                </w:r>
                <w:r>
                  <w:rPr>
                    <w:rFonts w:ascii="Arial"/>
                    <w:sz w:val="15"/>
                  </w:rPr>
                  <w:t>n</w:t>
                </w:r>
                <w:r>
                  <w:rPr>
                    <w:rFonts w:ascii="Arial"/>
                    <w:spacing w:val="-23"/>
                    <w:sz w:val="15"/>
                  </w:rPr>
                  <w:t> </w:t>
                </w:r>
                <w:r>
                  <w:rPr>
                    <w:rFonts w:ascii="Arial"/>
                    <w:sz w:val="15"/>
                  </w:rPr>
                  <w:t>g</w:t>
                </w:r>
                <w:r>
                  <w:rPr>
                    <w:rFonts w:ascii="Arial"/>
                    <w:spacing w:val="-23"/>
                    <w:sz w:val="15"/>
                  </w:rPr>
                  <w:t> </w:t>
                </w:r>
                <w:r>
                  <w:rPr>
                    <w:rFonts w:ascii="Arial"/>
                    <w:sz w:val="15"/>
                  </w:rPr>
                  <w:t>c</w:t>
                </w:r>
                <w:r>
                  <w:rPr>
                    <w:rFonts w:ascii="Arial"/>
                    <w:spacing w:val="-22"/>
                    <w:sz w:val="15"/>
                  </w:rPr>
                  <w:t> </w:t>
                </w:r>
                <w:r>
                  <w:rPr>
                    <w:rFonts w:ascii="Arial"/>
                    <w:sz w:val="15"/>
                  </w:rPr>
                  <w:t>h</w:t>
                </w:r>
                <w:r>
                  <w:rPr>
                    <w:rFonts w:ascii="Arial"/>
                    <w:spacing w:val="-23"/>
                    <w:sz w:val="15"/>
                  </w:rPr>
                  <w:t> </w:t>
                </w:r>
                <w:r>
                  <w:rPr>
                    <w:rFonts w:ascii="Arial"/>
                    <w:sz w:val="15"/>
                  </w:rPr>
                  <w:t>e</w:t>
                </w:r>
                <w:r>
                  <w:rPr>
                    <w:rFonts w:ascii="Arial"/>
                    <w:spacing w:val="-23"/>
                    <w:sz w:val="15"/>
                  </w:rPr>
                  <w:t> </w:t>
                </w:r>
                <w:r>
                  <w:rPr>
                    <w:rFonts w:ascii="Arial"/>
                    <w:sz w:val="15"/>
                  </w:rPr>
                  <w:t>n</w:t>
                </w:r>
                <w:r>
                  <w:rPr>
                    <w:rFonts w:ascii="Arial"/>
                    <w:spacing w:val="-23"/>
                    <w:sz w:val="15"/>
                  </w:rPr>
                  <w:t> </w:t>
                </w:r>
                <w:r>
                  <w:rPr>
                    <w:rFonts w:ascii="Arial"/>
                    <w:sz w:val="15"/>
                  </w:rPr>
                  <w:t>g </w:t>
                </w:r>
                <w:r>
                  <w:rPr>
                    <w:rFonts w:ascii="Arial"/>
                    <w:spacing w:val="8"/>
                    <w:sz w:val="15"/>
                  </w:rPr>
                  <w:t>Di</w:t>
                </w:r>
                <w:r>
                  <w:rPr>
                    <w:rFonts w:ascii="Arial"/>
                    <w:spacing w:val="-23"/>
                    <w:sz w:val="15"/>
                  </w:rPr>
                  <w:t> </w:t>
                </w:r>
                <w:r>
                  <w:rPr>
                    <w:rFonts w:ascii="Arial"/>
                    <w:sz w:val="15"/>
                  </w:rPr>
                  <w:t>s</w:t>
                </w:r>
                <w:r>
                  <w:rPr>
                    <w:rFonts w:ascii="Arial"/>
                    <w:spacing w:val="-22"/>
                    <w:sz w:val="15"/>
                  </w:rPr>
                  <w:t> </w:t>
                </w:r>
                <w:r>
                  <w:rPr>
                    <w:rFonts w:ascii="Arial"/>
                    <w:sz w:val="15"/>
                  </w:rPr>
                  <w:t>t</w:t>
                </w:r>
                <w:r>
                  <w:rPr>
                    <w:rFonts w:ascii="Arial"/>
                    <w:spacing w:val="-22"/>
                    <w:sz w:val="15"/>
                  </w:rPr>
                  <w:t> </w:t>
                </w:r>
                <w:r>
                  <w:rPr>
                    <w:rFonts w:ascii="Arial"/>
                    <w:sz w:val="15"/>
                  </w:rPr>
                  <w:t>r</w:t>
                </w:r>
                <w:r>
                  <w:rPr>
                    <w:rFonts w:ascii="Arial"/>
                    <w:spacing w:val="-23"/>
                    <w:sz w:val="15"/>
                  </w:rPr>
                  <w:t> </w:t>
                </w:r>
                <w:r>
                  <w:rPr>
                    <w:rFonts w:ascii="Arial"/>
                    <w:sz w:val="15"/>
                  </w:rPr>
                  <w:t>i</w:t>
                </w:r>
                <w:r>
                  <w:rPr>
                    <w:rFonts w:ascii="Arial"/>
                    <w:spacing w:val="-23"/>
                    <w:sz w:val="15"/>
                  </w:rPr>
                  <w:t> </w:t>
                </w:r>
                <w:r>
                  <w:rPr>
                    <w:rFonts w:ascii="Arial"/>
                    <w:sz w:val="15"/>
                  </w:rPr>
                  <w:t>c</w:t>
                </w:r>
                <w:r>
                  <w:rPr>
                    <w:rFonts w:ascii="Arial"/>
                    <w:spacing w:val="-22"/>
                    <w:sz w:val="15"/>
                  </w:rPr>
                  <w:t> </w:t>
                </w:r>
                <w:r>
                  <w:rPr>
                    <w:rFonts w:ascii="Arial"/>
                    <w:sz w:val="15"/>
                  </w:rPr>
                  <w:t>t</w:t>
                </w:r>
                <w:r>
                  <w:rPr>
                    <w:rFonts w:ascii="Arial"/>
                    <w:spacing w:val="-22"/>
                    <w:sz w:val="15"/>
                  </w:rPr>
                  <w:t> </w:t>
                </w:r>
                <w:r>
                  <w:rPr>
                    <w:rFonts w:ascii="Arial"/>
                    <w:sz w:val="15"/>
                  </w:rPr>
                  <w:t>,</w:t>
                </w:r>
                <w:r>
                  <w:rPr>
                    <w:rFonts w:ascii="Arial"/>
                    <w:spacing w:val="4"/>
                    <w:sz w:val="15"/>
                  </w:rPr>
                  <w:t> </w:t>
                </w:r>
                <w:r>
                  <w:rPr>
                    <w:rFonts w:ascii="Arial"/>
                    <w:sz w:val="15"/>
                  </w:rPr>
                  <w:t>B</w:t>
                </w:r>
                <w:r>
                  <w:rPr>
                    <w:rFonts w:ascii="Arial"/>
                    <w:spacing w:val="-23"/>
                    <w:sz w:val="15"/>
                  </w:rPr>
                  <w:t> </w:t>
                </w:r>
                <w:r>
                  <w:rPr>
                    <w:rFonts w:ascii="Arial"/>
                    <w:sz w:val="15"/>
                  </w:rPr>
                  <w:t>e</w:t>
                </w:r>
                <w:r>
                  <w:rPr>
                    <w:rFonts w:ascii="Arial"/>
                    <w:spacing w:val="-23"/>
                    <w:sz w:val="15"/>
                  </w:rPr>
                  <w:t> </w:t>
                </w:r>
                <w:r>
                  <w:rPr>
                    <w:rFonts w:ascii="Arial"/>
                    <w:sz w:val="15"/>
                  </w:rPr>
                  <w:t>i</w:t>
                </w:r>
                <w:r>
                  <w:rPr>
                    <w:rFonts w:ascii="Arial"/>
                    <w:spacing w:val="-23"/>
                    <w:sz w:val="15"/>
                  </w:rPr>
                  <w:t> </w:t>
                </w:r>
                <w:r>
                  <w:rPr>
                    <w:rFonts w:ascii="Arial"/>
                    <w:sz w:val="15"/>
                  </w:rPr>
                  <w:t>j</w:t>
                </w:r>
                <w:r>
                  <w:rPr>
                    <w:rFonts w:ascii="Arial"/>
                    <w:spacing w:val="-21"/>
                    <w:sz w:val="15"/>
                  </w:rPr>
                  <w:t> </w:t>
                </w:r>
                <w:r>
                  <w:rPr>
                    <w:rFonts w:ascii="Arial"/>
                    <w:sz w:val="15"/>
                  </w:rPr>
                  <w:t>i</w:t>
                </w:r>
                <w:r>
                  <w:rPr>
                    <w:rFonts w:ascii="Arial"/>
                    <w:spacing w:val="-23"/>
                    <w:sz w:val="15"/>
                  </w:rPr>
                  <w:t> </w:t>
                </w:r>
                <w:r>
                  <w:rPr>
                    <w:rFonts w:ascii="Arial"/>
                    <w:sz w:val="15"/>
                  </w:rPr>
                  <w:t>n</w:t>
                </w:r>
                <w:r>
                  <w:rPr>
                    <w:rFonts w:ascii="Arial"/>
                    <w:spacing w:val="-23"/>
                    <w:sz w:val="15"/>
                  </w:rPr>
                  <w:t> </w:t>
                </w:r>
                <w:r>
                  <w:rPr>
                    <w:rFonts w:ascii="Arial"/>
                    <w:spacing w:val="8"/>
                    <w:sz w:val="15"/>
                  </w:rPr>
                  <w:t>g,</w:t>
                </w:r>
                <w:r>
                  <w:rPr>
                    <w:rFonts w:ascii="Arial"/>
                    <w:w w:val="100"/>
                    <w:sz w:val="15"/>
                  </w:rPr>
                  <w:t> </w:t>
                </w:r>
                <w:r>
                  <w:rPr>
                    <w:rFonts w:ascii="Arial"/>
                    <w:spacing w:val="10"/>
                    <w:sz w:val="15"/>
                  </w:rPr>
                  <w:t>100027, </w:t>
                </w:r>
                <w:r>
                  <w:rPr>
                    <w:rFonts w:ascii="Arial"/>
                    <w:spacing w:val="6"/>
                    <w:sz w:val="15"/>
                  </w:rPr>
                  <w:t>P. </w:t>
                </w:r>
                <w:r>
                  <w:rPr>
                    <w:rFonts w:ascii="Arial"/>
                    <w:spacing w:val="4"/>
                    <w:sz w:val="15"/>
                  </w:rPr>
                  <w:t>R.</w:t>
                </w:r>
                <w:r>
                  <w:rPr>
                    <w:rFonts w:ascii="Arial"/>
                    <w:spacing w:val="-16"/>
                    <w:sz w:val="15"/>
                  </w:rPr>
                  <w:t> </w:t>
                </w:r>
                <w:r>
                  <w:rPr>
                    <w:rFonts w:ascii="Arial"/>
                    <w:spacing w:val="9"/>
                    <w:sz w:val="15"/>
                  </w:rPr>
                  <w:t>China</w:t>
                </w:r>
              </w:p>
            </w:txbxContent>
          </v:textbox>
          <w10:wrap type="none"/>
        </v:shape>
      </w:pict>
    </w:r>
    <w:r>
      <w:rPr/>
      <w:pict>
        <v:shape style="position:absolute;margin-left:164.740005pt;margin-top:84.831413pt;width:121.55pt;height:27pt;mso-position-horizontal-relative:page;mso-position-vertical-relative:page;z-index:-1193392" type="#_x0000_t202" filled="false" stroked="false">
          <v:textbox inset="0,0,0,0">
            <w:txbxContent>
              <w:p>
                <w:pPr>
                  <w:spacing w:line="285" w:lineRule="exact" w:before="0"/>
                  <w:ind w:left="20" w:right="0" w:firstLine="0"/>
                  <w:jc w:val="lef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before="31"/>
                  <w:ind w:left="20" w:right="0" w:firstLine="0"/>
                  <w:jc w:val="left"/>
                  <w:rPr>
                    <w:rFonts w:ascii="Arial" w:hAnsi="Arial" w:cs="Arial" w:eastAsia="Arial" w:hint="default"/>
                    <w:sz w:val="18"/>
                    <w:szCs w:val="18"/>
                  </w:rPr>
                </w:pPr>
                <w:r>
                  <w:rPr>
                    <w:rFonts w:ascii="Arial"/>
                    <w:b/>
                    <w:sz w:val="18"/>
                  </w:rPr>
                  <w:t>certified public</w:t>
                </w:r>
                <w:r>
                  <w:rPr>
                    <w:rFonts w:ascii="Arial"/>
                    <w:b/>
                    <w:spacing w:val="-9"/>
                    <w:sz w:val="18"/>
                  </w:rPr>
                  <w:t> </w:t>
                </w:r>
                <w:r>
                  <w:rPr>
                    <w:rFonts w:ascii="Arial"/>
                    <w:b/>
                    <w:sz w:val="18"/>
                  </w:rPr>
                  <w:t>accountants</w:t>
                </w:r>
                <w:r>
                  <w:rPr>
                    <w:rFonts w:ascii="Arial"/>
                    <w:sz w:val="18"/>
                  </w:rPr>
                </w:r>
              </w:p>
            </w:txbxContent>
          </v:textbox>
          <w10:wrap type="none"/>
        </v:shape>
      </w:pict>
    </w:r>
    <w:r>
      <w:rPr/>
      <w:pict>
        <v:shape style="position:absolute;margin-left:434.070007pt;margin-top:92.603111pt;width:35.9pt;height:19.55pt;mso-position-horizontal-relative:page;mso-position-vertical-relative:page;z-index:-1193368" type="#_x0000_t202" filled="false" stroked="false">
          <v:textbox inset="0,0,0,0">
            <w:txbxContent>
              <w:p>
                <w:pPr>
                  <w:spacing w:line="182" w:lineRule="exact" w:before="0"/>
                  <w:ind w:left="20" w:right="0" w:firstLine="0"/>
                  <w:jc w:val="left"/>
                  <w:rPr>
                    <w:rFonts w:ascii="Arial" w:hAnsi="Arial" w:cs="Arial" w:eastAsia="Arial" w:hint="default"/>
                    <w:sz w:val="15"/>
                    <w:szCs w:val="15"/>
                  </w:rPr>
                </w:pPr>
                <w:r>
                  <w:rPr>
                    <w:rFonts w:ascii="宋体" w:hAnsi="宋体" w:cs="宋体" w:eastAsia="宋体" w:hint="default"/>
                    <w:sz w:val="15"/>
                    <w:szCs w:val="15"/>
                  </w:rPr>
                  <w:t>传真</w:t>
                </w:r>
                <w:r>
                  <w:rPr>
                    <w:rFonts w:ascii="Arial" w:hAnsi="Arial" w:cs="Arial" w:eastAsia="Arial" w:hint="default"/>
                    <w:sz w:val="15"/>
                    <w:szCs w:val="15"/>
                  </w:rPr>
                  <w:t>:</w:t>
                </w:r>
              </w:p>
              <w:p>
                <w:pPr>
                  <w:spacing w:before="19"/>
                  <w:ind w:left="72" w:right="0" w:firstLine="0"/>
                  <w:jc w:val="left"/>
                  <w:rPr>
                    <w:rFonts w:ascii="Arial" w:hAnsi="Arial" w:cs="Arial" w:eastAsia="Arial" w:hint="default"/>
                    <w:sz w:val="15"/>
                    <w:szCs w:val="15"/>
                  </w:rPr>
                </w:pPr>
                <w:r>
                  <w:rPr>
                    <w:rFonts w:ascii="Arial"/>
                    <w:sz w:val="15"/>
                  </w:rPr>
                  <w:t>facsimile:</w:t>
                </w:r>
              </w:p>
            </w:txbxContent>
          </v:textbox>
          <w10:wrap type="none"/>
        </v:shape>
      </w:pict>
    </w:r>
    <w:r>
      <w:rPr/>
      <w:pict>
        <v:shape style="position:absolute;margin-left:481.380005pt;margin-top:92.974007pt;width:67.8pt;height:19.2pt;mso-position-horizontal-relative:page;mso-position-vertical-relative:page;z-index:-1193344" type="#_x0000_t202" filled="false" stroked="false">
          <v:textbox inset="0,0,0,0">
            <w:txbxContent>
              <w:p>
                <w:pPr>
                  <w:spacing w:before="2"/>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7190</w:t>
                </w:r>
              </w:p>
              <w:p>
                <w:pPr>
                  <w:spacing w:before="19"/>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7190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9.240002pt;margin-top:41.519981pt;width:2.2pt;height:71.1pt;mso-position-horizontal-relative:page;mso-position-vertical-relative:page;z-index:-1193320" coordorigin="785,830" coordsize="44,1422">
          <v:group style="position:absolute;left:806;top:852;width:2;height:466" coordorigin="806,852" coordsize="2,466">
            <v:shape style="position:absolute;left:806;top:852;width:2;height:466" coordorigin="806,852" coordsize="0,466" path="m806,852l806,1318e" filled="false" stroked="true" strokeweight="2.16pt" strokecolor="#000000">
              <v:path arrowok="t"/>
            </v:shape>
          </v:group>
          <v:group style="position:absolute;left:806;top:1318;width:2;height:132" coordorigin="806,1318" coordsize="2,132">
            <v:shape style="position:absolute;left:806;top:1318;width:2;height:132" coordorigin="806,1318" coordsize="0,132" path="m806,1318l806,1450e" filled="false" stroked="true" strokeweight="2.16pt" strokecolor="#000000">
              <v:path arrowok="t"/>
            </v:shape>
          </v:group>
          <v:group style="position:absolute;left:806;top:1450;width:2;height:781" coordorigin="806,1450" coordsize="2,781">
            <v:shape style="position:absolute;left:806;top:1450;width:2;height:781" coordorigin="806,1450" coordsize="0,781" path="m806,1450l806,2230e" filled="false" stroked="true" strokeweight="2.16pt" strokecolor="#000000">
              <v:path arrowok="t"/>
            </v:shape>
          </v:group>
          <w10:wrap type="none"/>
        </v:group>
      </w:pict>
    </w:r>
    <w:r>
      <w:rPr/>
      <w:pict>
        <v:group style="position:absolute;margin-left:159.619995pt;margin-top:41.519981pt;width:2.2pt;height:71.1pt;mso-position-horizontal-relative:page;mso-position-vertical-relative:page;z-index:-1193296" coordorigin="3192,830" coordsize="44,1422">
          <v:group style="position:absolute;left:3214;top:852;width:2;height:466" coordorigin="3214,852" coordsize="2,466">
            <v:shape style="position:absolute;left:3214;top:852;width:2;height:466" coordorigin="3214,852" coordsize="0,466" path="m3214,852l3214,1318e" filled="false" stroked="true" strokeweight="2.16pt" strokecolor="#000000">
              <v:path arrowok="t"/>
            </v:shape>
          </v:group>
          <v:group style="position:absolute;left:3214;top:1318;width:2;height:132" coordorigin="3214,1318" coordsize="2,132">
            <v:shape style="position:absolute;left:3214;top:1318;width:2;height:132" coordorigin="3214,1318" coordsize="0,132" path="m3214,1318l3214,1450e" filled="false" stroked="true" strokeweight="2.16pt" strokecolor="#000000">
              <v:path arrowok="t"/>
            </v:shape>
          </v:group>
          <v:group style="position:absolute;left:3214;top:1450;width:2;height:781" coordorigin="3214,1450" coordsize="2,781">
            <v:shape style="position:absolute;left:3214;top:1450;width:2;height:781" coordorigin="3214,1450" coordsize="0,781" path="m3214,1450l3214,2230e" filled="false" stroked="true" strokeweight="2.16pt" strokecolor="#000000">
              <v:path arrowok="t"/>
            </v:shape>
          </v:group>
          <w10:wrap type="none"/>
        </v:group>
      </w:pict>
    </w:r>
    <w:r>
      <w:rPr/>
      <w:pict>
        <v:group style="position:absolute;margin-left:289.369995pt;margin-top:42.359993pt;width:.5pt;height:69.4pt;mso-position-horizontal-relative:page;mso-position-vertical-relative:page;z-index:-1193272" coordorigin="5787,847" coordsize="10,1388">
          <v:group style="position:absolute;left:5792;top:852;width:2;height:466" coordorigin="5792,852" coordsize="2,466">
            <v:shape style="position:absolute;left:5792;top:852;width:2;height:466" coordorigin="5792,852" coordsize="0,466" path="m5792,852l5792,1318e" filled="false" stroked="true" strokeweight=".47998pt" strokecolor="#003366">
              <v:path arrowok="t"/>
            </v:shape>
          </v:group>
          <v:group style="position:absolute;left:5792;top:1318;width:2;height:132" coordorigin="5792,1318" coordsize="2,132">
            <v:shape style="position:absolute;left:5792;top:1318;width:2;height:132" coordorigin="5792,1318" coordsize="0,132" path="m5792,1318l5792,1450e" filled="false" stroked="true" strokeweight=".47998pt" strokecolor="#000000">
              <v:path arrowok="t"/>
            </v:shape>
          </v:group>
          <v:group style="position:absolute;left:5792;top:1450;width:2;height:781" coordorigin="5792,1450" coordsize="2,781">
            <v:shape style="position:absolute;left:5792;top:1450;width:2;height:781" coordorigin="5792,1450" coordsize="0,781" path="m5792,1450l5792,2230e" filled="false" stroked="true" strokeweight=".47998pt" strokecolor="#000000">
              <v:path arrowok="t"/>
            </v:shape>
          </v:group>
          <w10:wrap type="none"/>
        </v:group>
      </w:pict>
    </w:r>
    <w:r>
      <w:rPr/>
      <w:pict>
        <v:group style="position:absolute;margin-left:433.390015pt;margin-top:42.359978pt;width:.5pt;height:69.4pt;mso-position-horizontal-relative:page;mso-position-vertical-relative:page;z-index:-1193248" coordorigin="8668,847" coordsize="10,1388">
          <v:group style="position:absolute;left:8673;top:852;width:2;height:466" coordorigin="8673,852" coordsize="2,466">
            <v:shape style="position:absolute;left:8673;top:852;width:2;height:466" coordorigin="8673,852" coordsize="0,466" path="m8673,852l8673,1318e" filled="false" stroked="true" strokeweight=".48001pt" strokecolor="#000000">
              <v:path arrowok="t"/>
            </v:shape>
          </v:group>
          <v:group style="position:absolute;left:8673;top:1318;width:2;height:132" coordorigin="8673,1318" coordsize="2,132">
            <v:shape style="position:absolute;left:8673;top:1318;width:2;height:132" coordorigin="8673,1318" coordsize="0,132" path="m8673,1318l8673,1450e" filled="false" stroked="true" strokeweight=".48001pt" strokecolor="#000000">
              <v:path arrowok="t"/>
            </v:shape>
          </v:group>
          <v:group style="position:absolute;left:8673;top:1450;width:2;height:781" coordorigin="8673,1450" coordsize="2,781">
            <v:shape style="position:absolute;left:8673;top:1450;width:2;height:781" coordorigin="8673,1450" coordsize="0,781" path="m8673,1450l8673,2230e" filled="false" stroked="true" strokeweight=".48001pt" strokecolor="#000000">
              <v:path arrowok="t"/>
            </v:shape>
          </v:group>
          <w10:wrap type="none"/>
        </v:group>
      </w:pict>
    </w:r>
    <w:r>
      <w:rPr/>
      <w:pict>
        <v:shape style="position:absolute;margin-left:43.549999pt;margin-top:42.599983pt;width:113.9pt;height:68.9pt;mso-position-horizontal-relative:page;mso-position-vertical-relative:page;z-index:-1193224" type="#_x0000_t75" stroked="false">
          <v:imagedata r:id="rId1" o:title=""/>
        </v:shape>
      </w:pict>
    </w:r>
    <w:r>
      <w:rPr/>
      <w:pict>
        <v:shape style="position:absolute;margin-left:292.929993pt;margin-top:42.865608pt;width:131.9pt;height:22.65pt;mso-position-horizontal-relative:page;mso-position-vertical-relative:page;z-index:-1193200" type="#_x0000_t202" filled="false" stroked="false">
          <v:textbox inset="0,0,0,0">
            <w:txbxContent>
              <w:p>
                <w:pPr>
                  <w:pStyle w:val="BodyText"/>
                  <w:spacing w:line="199" w:lineRule="exact"/>
                  <w:ind w:left="20" w:right="0"/>
                  <w:jc w:val="left"/>
                </w:pPr>
                <w:r>
                  <w:rPr/>
                  <w:t>北</w:t>
                </w:r>
                <w:r>
                  <w:rPr>
                    <w:spacing w:val="-52"/>
                  </w:rPr>
                  <w:t> </w:t>
                </w:r>
                <w:r>
                  <w:rPr/>
                  <w:t>京</w:t>
                </w:r>
                <w:r>
                  <w:rPr>
                    <w:spacing w:val="-50"/>
                  </w:rPr>
                  <w:t> </w:t>
                </w:r>
                <w:r>
                  <w:rPr/>
                  <w:t>市</w:t>
                </w:r>
                <w:r>
                  <w:rPr>
                    <w:spacing w:val="-50"/>
                  </w:rPr>
                  <w:t> </w:t>
                </w:r>
                <w:r>
                  <w:rPr/>
                  <w:t>东</w:t>
                </w:r>
                <w:r>
                  <w:rPr>
                    <w:spacing w:val="-52"/>
                  </w:rPr>
                  <w:t> </w:t>
                </w:r>
                <w:r>
                  <w:rPr/>
                  <w:t>城</w:t>
                </w:r>
                <w:r>
                  <w:rPr>
                    <w:spacing w:val="-50"/>
                  </w:rPr>
                  <w:t> </w:t>
                </w:r>
                <w:r>
                  <w:rPr/>
                  <w:t>区</w:t>
                </w:r>
                <w:r>
                  <w:rPr>
                    <w:spacing w:val="-50"/>
                  </w:rPr>
                  <w:t> </w:t>
                </w:r>
                <w:r>
                  <w:rPr/>
                  <w:t>朝</w:t>
                </w:r>
                <w:r>
                  <w:rPr>
                    <w:spacing w:val="-52"/>
                  </w:rPr>
                  <w:t> </w:t>
                </w:r>
                <w:r>
                  <w:rPr/>
                  <w:t>阳</w:t>
                </w:r>
                <w:r>
                  <w:rPr>
                    <w:spacing w:val="-50"/>
                  </w:rPr>
                  <w:t> </w:t>
                </w:r>
                <w:r>
                  <w:rPr/>
                  <w:t>门</w:t>
                </w:r>
                <w:r>
                  <w:rPr>
                    <w:spacing w:val="-50"/>
                  </w:rPr>
                  <w:t> </w:t>
                </w:r>
                <w:r>
                  <w:rPr/>
                  <w:t>北</w:t>
                </w:r>
                <w:r>
                  <w:rPr>
                    <w:spacing w:val="-52"/>
                  </w:rPr>
                  <w:t> </w:t>
                </w:r>
                <w:r>
                  <w:rPr/>
                  <w:t>大</w:t>
                </w:r>
                <w:r>
                  <w:rPr>
                    <w:spacing w:val="-50"/>
                  </w:rPr>
                  <w:t> </w:t>
                </w:r>
                <w:r>
                  <w:rPr/>
                  <w:t>街</w:t>
                </w:r>
              </w:p>
              <w:p>
                <w:pPr>
                  <w:pStyle w:val="BodyText"/>
                  <w:spacing w:line="234" w:lineRule="exact"/>
                  <w:ind w:left="20" w:right="0"/>
                  <w:jc w:val="left"/>
                </w:pPr>
                <w:r>
                  <w:rPr>
                    <w:rFonts w:ascii="宋体" w:hAnsi="宋体" w:cs="宋体" w:eastAsia="宋体" w:hint="default"/>
                  </w:rPr>
                  <w:t>8</w:t>
                </w:r>
                <w:r>
                  <w:rPr>
                    <w:rFonts w:ascii="宋体" w:hAnsi="宋体" w:cs="宋体" w:eastAsia="宋体" w:hint="default"/>
                    <w:spacing w:val="-70"/>
                  </w:rPr>
                  <w:t> </w:t>
                </w:r>
                <w:r>
                  <w:rPr/>
                  <w:t>号</w:t>
                </w:r>
                <w:r>
                  <w:rPr>
                    <w:spacing w:val="-52"/>
                  </w:rPr>
                  <w:t> </w:t>
                </w:r>
                <w:r>
                  <w:rPr/>
                  <w:t>富</w:t>
                </w:r>
                <w:r>
                  <w:rPr>
                    <w:spacing w:val="-50"/>
                  </w:rPr>
                  <w:t> </w:t>
                </w:r>
                <w:r>
                  <w:rPr/>
                  <w:t>华</w:t>
                </w:r>
                <w:r>
                  <w:rPr>
                    <w:spacing w:val="-50"/>
                  </w:rPr>
                  <w:t> </w:t>
                </w:r>
                <w:r>
                  <w:rPr/>
                  <w:t>大</w:t>
                </w:r>
                <w:r>
                  <w:rPr>
                    <w:spacing w:val="-52"/>
                  </w:rPr>
                  <w:t> </w:t>
                </w:r>
                <w:r>
                  <w:rPr/>
                  <w:t>厦</w:t>
                </w:r>
                <w:r>
                  <w:rPr>
                    <w:spacing w:val="-51"/>
                  </w:rPr>
                  <w:t> </w:t>
                </w:r>
                <w:r>
                  <w:rPr>
                    <w:rFonts w:ascii="宋体" w:hAnsi="宋体" w:cs="宋体" w:eastAsia="宋体" w:hint="default"/>
                  </w:rPr>
                  <w:t>A</w:t>
                </w:r>
                <w:r>
                  <w:rPr>
                    <w:rFonts w:ascii="宋体" w:hAnsi="宋体" w:cs="宋体" w:eastAsia="宋体" w:hint="default"/>
                    <w:spacing w:val="-68"/>
                  </w:rPr>
                  <w:t> </w:t>
                </w:r>
                <w:r>
                  <w:rPr/>
                  <w:t>座</w:t>
                </w:r>
                <w:r>
                  <w:rPr>
                    <w:spacing w:val="-52"/>
                  </w:rPr>
                  <w:t> </w:t>
                </w:r>
                <w:r>
                  <w:rPr>
                    <w:rFonts w:ascii="宋体" w:hAnsi="宋体" w:cs="宋体" w:eastAsia="宋体" w:hint="default"/>
                  </w:rPr>
                  <w:t>9</w:t>
                </w:r>
                <w:r>
                  <w:rPr>
                    <w:rFonts w:ascii="宋体" w:hAnsi="宋体" w:cs="宋体" w:eastAsia="宋体" w:hint="default"/>
                    <w:spacing w:val="-70"/>
                  </w:rPr>
                  <w:t> </w:t>
                </w:r>
                <w:r>
                  <w:rPr/>
                  <w:t>层</w:t>
                </w:r>
              </w:p>
            </w:txbxContent>
          </v:textbox>
          <w10:wrap type="none"/>
        </v:shape>
      </w:pict>
    </w:r>
    <w:r>
      <w:rPr/>
      <w:pict>
        <v:shape style="position:absolute;margin-left:434.070007pt;margin-top:42.783108pt;width:37.1pt;height:19.45pt;mso-position-horizontal-relative:page;mso-position-vertical-relative:page;z-index:-1193176" type="#_x0000_t202" filled="false" stroked="false">
          <v:textbox inset="0,0,0,0">
            <w:txbxContent>
              <w:p>
                <w:pPr>
                  <w:spacing w:line="182" w:lineRule="exact" w:before="0"/>
                  <w:ind w:left="20" w:right="0" w:firstLine="0"/>
                  <w:jc w:val="left"/>
                  <w:rPr>
                    <w:rFonts w:ascii="Arial" w:hAnsi="Arial" w:cs="Arial" w:eastAsia="Arial" w:hint="default"/>
                    <w:sz w:val="15"/>
                    <w:szCs w:val="15"/>
                  </w:rPr>
                </w:pPr>
                <w:r>
                  <w:rPr>
                    <w:rFonts w:ascii="宋体" w:hAnsi="宋体" w:cs="宋体" w:eastAsia="宋体" w:hint="default"/>
                    <w:sz w:val="15"/>
                    <w:szCs w:val="15"/>
                  </w:rPr>
                  <w:t>联系电话</w:t>
                </w:r>
                <w:r>
                  <w:rPr>
                    <w:rFonts w:ascii="Arial" w:hAnsi="Arial" w:cs="Arial" w:eastAsia="Arial" w:hint="default"/>
                    <w:sz w:val="15"/>
                    <w:szCs w:val="15"/>
                  </w:rPr>
                  <w:t>:</w:t>
                </w:r>
              </w:p>
              <w:p>
                <w:pPr>
                  <w:spacing w:before="17"/>
                  <w:ind w:left="20" w:right="0" w:firstLine="0"/>
                  <w:jc w:val="left"/>
                  <w:rPr>
                    <w:rFonts w:ascii="Arial" w:hAnsi="Arial" w:cs="Arial" w:eastAsia="Arial" w:hint="default"/>
                    <w:sz w:val="15"/>
                    <w:szCs w:val="15"/>
                  </w:rPr>
                </w:pPr>
                <w:r>
                  <w:rPr>
                    <w:rFonts w:ascii="Arial"/>
                    <w:sz w:val="15"/>
                  </w:rPr>
                  <w:t>telephone:</w:t>
                </w:r>
              </w:p>
            </w:txbxContent>
          </v:textbox>
          <w10:wrap type="none"/>
        </v:shape>
      </w:pict>
    </w:r>
    <w:r>
      <w:rPr/>
      <w:pict>
        <v:shape style="position:absolute;margin-left:481.380005pt;margin-top:43.154003pt;width:67.8pt;height:19.2pt;mso-position-horizontal-relative:page;mso-position-vertical-relative:page;z-index:-1193152" type="#_x0000_t202" filled="false" stroked="false">
          <v:textbox inset="0,0,0,0">
            <w:txbxContent>
              <w:p>
                <w:pPr>
                  <w:spacing w:before="2"/>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2288</w:t>
                </w:r>
              </w:p>
              <w:p>
                <w:pPr>
                  <w:spacing w:before="19"/>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2288</w:t>
                </w:r>
              </w:p>
            </w:txbxContent>
          </v:textbox>
          <w10:wrap type="none"/>
        </v:shape>
      </w:pict>
    </w:r>
    <w:r>
      <w:rPr/>
      <w:pict>
        <v:shape style="position:absolute;margin-left:163.779999pt;margin-top:44.414356pt;width:124pt;height:16.05pt;mso-position-horizontal-relative:page;mso-position-vertical-relative:page;z-index:-1193128" type="#_x0000_t202" filled="false" stroked="false">
          <v:textbox inset="0,0,0,0">
            <w:txbxContent>
              <w:p>
                <w:pPr>
                  <w:spacing w:line="301" w:lineRule="exact" w:before="0"/>
                  <w:ind w:left="20" w:right="0" w:firstLine="0"/>
                  <w:jc w:val="left"/>
                  <w:rPr>
                    <w:rFonts w:ascii="宋体" w:hAnsi="宋体" w:cs="宋体" w:eastAsia="宋体" w:hint="default"/>
                    <w:sz w:val="28"/>
                    <w:szCs w:val="28"/>
                  </w:rPr>
                </w:pPr>
                <w:r>
                  <w:rPr>
                    <w:rFonts w:ascii="宋体" w:hAnsi="宋体" w:cs="宋体" w:eastAsia="宋体" w:hint="default"/>
                    <w:spacing w:val="6"/>
                    <w:w w:val="85"/>
                    <w:sz w:val="28"/>
                    <w:szCs w:val="28"/>
                  </w:rPr>
                  <w:t>信永中和会计师事务所</w:t>
                </w:r>
                <w:r>
                  <w:rPr>
                    <w:rFonts w:ascii="宋体" w:hAnsi="宋体" w:cs="宋体" w:eastAsia="宋体" w:hint="default"/>
                    <w:spacing w:val="6"/>
                    <w:sz w:val="28"/>
                    <w:szCs w:val="28"/>
                  </w:rPr>
                </w:r>
              </w:p>
            </w:txbxContent>
          </v:textbox>
          <w10:wrap type="none"/>
        </v:shape>
      </w:pict>
    </w:r>
    <w:r>
      <w:rPr/>
      <w:pict>
        <v:shape style="position:absolute;margin-left:292.929993pt;margin-top:76.634003pt;width:121.85pt;height:35.5pt;mso-position-horizontal-relative:page;mso-position-vertical-relative:page;z-index:-1193104" type="#_x0000_t202" filled="false" stroked="false">
          <v:textbox inset="0,0,0,0">
            <w:txbxContent>
              <w:p>
                <w:pPr>
                  <w:spacing w:before="2"/>
                  <w:ind w:left="20" w:right="18" w:firstLine="0"/>
                  <w:jc w:val="both"/>
                  <w:rPr>
                    <w:rFonts w:ascii="Arial" w:hAnsi="Arial" w:cs="Arial" w:eastAsia="Arial" w:hint="default"/>
                    <w:sz w:val="15"/>
                    <w:szCs w:val="15"/>
                  </w:rPr>
                </w:pPr>
                <w:r>
                  <w:rPr>
                    <w:rFonts w:ascii="Arial"/>
                    <w:spacing w:val="5"/>
                    <w:sz w:val="15"/>
                  </w:rPr>
                  <w:t>9/ </w:t>
                </w:r>
                <w:r>
                  <w:rPr>
                    <w:rFonts w:ascii="Arial"/>
                    <w:spacing w:val="4"/>
                    <w:sz w:val="15"/>
                  </w:rPr>
                  <w:t>F, </w:t>
                </w:r>
                <w:r>
                  <w:rPr>
                    <w:rFonts w:ascii="Arial"/>
                    <w:spacing w:val="8"/>
                    <w:sz w:val="15"/>
                  </w:rPr>
                  <w:t>Block </w:t>
                </w:r>
                <w:r>
                  <w:rPr>
                    <w:rFonts w:ascii="Arial"/>
                    <w:spacing w:val="5"/>
                    <w:sz w:val="15"/>
                  </w:rPr>
                  <w:t>A, </w:t>
                </w:r>
                <w:r>
                  <w:rPr>
                    <w:rFonts w:ascii="Arial"/>
                    <w:spacing w:val="4"/>
                    <w:sz w:val="15"/>
                  </w:rPr>
                  <w:t>Fu </w:t>
                </w:r>
                <w:r>
                  <w:rPr>
                    <w:rFonts w:ascii="Arial"/>
                    <w:spacing w:val="6"/>
                    <w:sz w:val="15"/>
                  </w:rPr>
                  <w:t>Hua</w:t>
                </w:r>
                <w:r>
                  <w:rPr>
                    <w:rFonts w:ascii="Arial"/>
                    <w:spacing w:val="17"/>
                    <w:sz w:val="15"/>
                  </w:rPr>
                  <w:t> </w:t>
                </w:r>
                <w:r>
                  <w:rPr>
                    <w:rFonts w:ascii="Arial"/>
                    <w:spacing w:val="9"/>
                    <w:sz w:val="15"/>
                  </w:rPr>
                  <w:t>Mansion,</w:t>
                </w:r>
                <w:r>
                  <w:rPr>
                    <w:rFonts w:ascii="Arial"/>
                    <w:w w:val="100"/>
                    <w:sz w:val="15"/>
                  </w:rPr>
                  <w:t> </w:t>
                </w:r>
                <w:r>
                  <w:rPr>
                    <w:rFonts w:ascii="Arial"/>
                    <w:spacing w:val="8"/>
                    <w:sz w:val="15"/>
                  </w:rPr>
                  <w:t>No.</w:t>
                </w:r>
                <w:r>
                  <w:rPr>
                    <w:rFonts w:ascii="Arial"/>
                    <w:spacing w:val="-24"/>
                    <w:sz w:val="15"/>
                  </w:rPr>
                  <w:t> </w:t>
                </w:r>
                <w:r>
                  <w:rPr>
                    <w:rFonts w:ascii="Arial"/>
                    <w:sz w:val="15"/>
                  </w:rPr>
                  <w:t>8</w:t>
                </w:r>
                <w:r>
                  <w:rPr>
                    <w:rFonts w:ascii="Arial"/>
                    <w:spacing w:val="-25"/>
                    <w:sz w:val="15"/>
                  </w:rPr>
                  <w:t> </w:t>
                </w:r>
                <w:r>
                  <w:rPr>
                    <w:rFonts w:ascii="Arial"/>
                    <w:sz w:val="15"/>
                  </w:rPr>
                  <w:t>,</w:t>
                </w:r>
                <w:r>
                  <w:rPr>
                    <w:rFonts w:ascii="Arial"/>
                    <w:spacing w:val="8"/>
                    <w:sz w:val="15"/>
                  </w:rPr>
                  <w:t> </w:t>
                </w:r>
                <w:r>
                  <w:rPr>
                    <w:rFonts w:ascii="Arial"/>
                    <w:spacing w:val="11"/>
                    <w:sz w:val="15"/>
                  </w:rPr>
                  <w:t>Chaoyangmen</w:t>
                </w:r>
                <w:r>
                  <w:rPr>
                    <w:rFonts w:ascii="Arial"/>
                    <w:spacing w:val="48"/>
                    <w:sz w:val="15"/>
                  </w:rPr>
                  <w:t> </w:t>
                </w:r>
                <w:r>
                  <w:rPr>
                    <w:rFonts w:ascii="Arial"/>
                    <w:spacing w:val="11"/>
                    <w:sz w:val="15"/>
                  </w:rPr>
                  <w:t>Beidajie,</w:t>
                </w:r>
                <w:r>
                  <w:rPr>
                    <w:rFonts w:ascii="Arial"/>
                    <w:spacing w:val="-36"/>
                    <w:sz w:val="15"/>
                  </w:rPr>
                  <w:t> </w:t>
                </w:r>
                <w:r>
                  <w:rPr>
                    <w:rFonts w:ascii="Arial"/>
                    <w:spacing w:val="-36"/>
                    <w:sz w:val="15"/>
                  </w:rPr>
                </w:r>
                <w:r>
                  <w:rPr>
                    <w:rFonts w:ascii="Arial"/>
                    <w:spacing w:val="8"/>
                    <w:sz w:val="15"/>
                  </w:rPr>
                  <w:t>Do</w:t>
                </w:r>
                <w:r>
                  <w:rPr>
                    <w:rFonts w:ascii="Arial"/>
                    <w:spacing w:val="-23"/>
                    <w:sz w:val="15"/>
                  </w:rPr>
                  <w:t> </w:t>
                </w:r>
                <w:r>
                  <w:rPr>
                    <w:rFonts w:ascii="Arial"/>
                    <w:sz w:val="15"/>
                  </w:rPr>
                  <w:t>n</w:t>
                </w:r>
                <w:r>
                  <w:rPr>
                    <w:rFonts w:ascii="Arial"/>
                    <w:spacing w:val="-23"/>
                    <w:sz w:val="15"/>
                  </w:rPr>
                  <w:t> </w:t>
                </w:r>
                <w:r>
                  <w:rPr>
                    <w:rFonts w:ascii="Arial"/>
                    <w:sz w:val="15"/>
                  </w:rPr>
                  <w:t>g</w:t>
                </w:r>
                <w:r>
                  <w:rPr>
                    <w:rFonts w:ascii="Arial"/>
                    <w:spacing w:val="-23"/>
                    <w:sz w:val="15"/>
                  </w:rPr>
                  <w:t> </w:t>
                </w:r>
                <w:r>
                  <w:rPr>
                    <w:rFonts w:ascii="Arial"/>
                    <w:sz w:val="15"/>
                  </w:rPr>
                  <w:t>c</w:t>
                </w:r>
                <w:r>
                  <w:rPr>
                    <w:rFonts w:ascii="Arial"/>
                    <w:spacing w:val="-22"/>
                    <w:sz w:val="15"/>
                  </w:rPr>
                  <w:t> </w:t>
                </w:r>
                <w:r>
                  <w:rPr>
                    <w:rFonts w:ascii="Arial"/>
                    <w:sz w:val="15"/>
                  </w:rPr>
                  <w:t>h</w:t>
                </w:r>
                <w:r>
                  <w:rPr>
                    <w:rFonts w:ascii="Arial"/>
                    <w:spacing w:val="-23"/>
                    <w:sz w:val="15"/>
                  </w:rPr>
                  <w:t> </w:t>
                </w:r>
                <w:r>
                  <w:rPr>
                    <w:rFonts w:ascii="Arial"/>
                    <w:sz w:val="15"/>
                  </w:rPr>
                  <w:t>e</w:t>
                </w:r>
                <w:r>
                  <w:rPr>
                    <w:rFonts w:ascii="Arial"/>
                    <w:spacing w:val="-23"/>
                    <w:sz w:val="15"/>
                  </w:rPr>
                  <w:t> </w:t>
                </w:r>
                <w:r>
                  <w:rPr>
                    <w:rFonts w:ascii="Arial"/>
                    <w:sz w:val="15"/>
                  </w:rPr>
                  <w:t>n</w:t>
                </w:r>
                <w:r>
                  <w:rPr>
                    <w:rFonts w:ascii="Arial"/>
                    <w:spacing w:val="-23"/>
                    <w:sz w:val="15"/>
                  </w:rPr>
                  <w:t> </w:t>
                </w:r>
                <w:r>
                  <w:rPr>
                    <w:rFonts w:ascii="Arial"/>
                    <w:sz w:val="15"/>
                  </w:rPr>
                  <w:t>g </w:t>
                </w:r>
                <w:r>
                  <w:rPr>
                    <w:rFonts w:ascii="Arial"/>
                    <w:spacing w:val="8"/>
                    <w:sz w:val="15"/>
                  </w:rPr>
                  <w:t>Di</w:t>
                </w:r>
                <w:r>
                  <w:rPr>
                    <w:rFonts w:ascii="Arial"/>
                    <w:spacing w:val="-23"/>
                    <w:sz w:val="15"/>
                  </w:rPr>
                  <w:t> </w:t>
                </w:r>
                <w:r>
                  <w:rPr>
                    <w:rFonts w:ascii="Arial"/>
                    <w:sz w:val="15"/>
                  </w:rPr>
                  <w:t>s</w:t>
                </w:r>
                <w:r>
                  <w:rPr>
                    <w:rFonts w:ascii="Arial"/>
                    <w:spacing w:val="-22"/>
                    <w:sz w:val="15"/>
                  </w:rPr>
                  <w:t> </w:t>
                </w:r>
                <w:r>
                  <w:rPr>
                    <w:rFonts w:ascii="Arial"/>
                    <w:sz w:val="15"/>
                  </w:rPr>
                  <w:t>t</w:t>
                </w:r>
                <w:r>
                  <w:rPr>
                    <w:rFonts w:ascii="Arial"/>
                    <w:spacing w:val="-22"/>
                    <w:sz w:val="15"/>
                  </w:rPr>
                  <w:t> </w:t>
                </w:r>
                <w:r>
                  <w:rPr>
                    <w:rFonts w:ascii="Arial"/>
                    <w:sz w:val="15"/>
                  </w:rPr>
                  <w:t>r</w:t>
                </w:r>
                <w:r>
                  <w:rPr>
                    <w:rFonts w:ascii="Arial"/>
                    <w:spacing w:val="-23"/>
                    <w:sz w:val="15"/>
                  </w:rPr>
                  <w:t> </w:t>
                </w:r>
                <w:r>
                  <w:rPr>
                    <w:rFonts w:ascii="Arial"/>
                    <w:sz w:val="15"/>
                  </w:rPr>
                  <w:t>i</w:t>
                </w:r>
                <w:r>
                  <w:rPr>
                    <w:rFonts w:ascii="Arial"/>
                    <w:spacing w:val="-23"/>
                    <w:sz w:val="15"/>
                  </w:rPr>
                  <w:t> </w:t>
                </w:r>
                <w:r>
                  <w:rPr>
                    <w:rFonts w:ascii="Arial"/>
                    <w:sz w:val="15"/>
                  </w:rPr>
                  <w:t>c</w:t>
                </w:r>
                <w:r>
                  <w:rPr>
                    <w:rFonts w:ascii="Arial"/>
                    <w:spacing w:val="-22"/>
                    <w:sz w:val="15"/>
                  </w:rPr>
                  <w:t> </w:t>
                </w:r>
                <w:r>
                  <w:rPr>
                    <w:rFonts w:ascii="Arial"/>
                    <w:sz w:val="15"/>
                  </w:rPr>
                  <w:t>t</w:t>
                </w:r>
                <w:r>
                  <w:rPr>
                    <w:rFonts w:ascii="Arial"/>
                    <w:spacing w:val="-22"/>
                    <w:sz w:val="15"/>
                  </w:rPr>
                  <w:t> </w:t>
                </w:r>
                <w:r>
                  <w:rPr>
                    <w:rFonts w:ascii="Arial"/>
                    <w:sz w:val="15"/>
                  </w:rPr>
                  <w:t>,</w:t>
                </w:r>
                <w:r>
                  <w:rPr>
                    <w:rFonts w:ascii="Arial"/>
                    <w:spacing w:val="4"/>
                    <w:sz w:val="15"/>
                  </w:rPr>
                  <w:t> </w:t>
                </w:r>
                <w:r>
                  <w:rPr>
                    <w:rFonts w:ascii="Arial"/>
                    <w:sz w:val="15"/>
                  </w:rPr>
                  <w:t>B</w:t>
                </w:r>
                <w:r>
                  <w:rPr>
                    <w:rFonts w:ascii="Arial"/>
                    <w:spacing w:val="-23"/>
                    <w:sz w:val="15"/>
                  </w:rPr>
                  <w:t> </w:t>
                </w:r>
                <w:r>
                  <w:rPr>
                    <w:rFonts w:ascii="Arial"/>
                    <w:sz w:val="15"/>
                  </w:rPr>
                  <w:t>e</w:t>
                </w:r>
                <w:r>
                  <w:rPr>
                    <w:rFonts w:ascii="Arial"/>
                    <w:spacing w:val="-23"/>
                    <w:sz w:val="15"/>
                  </w:rPr>
                  <w:t> </w:t>
                </w:r>
                <w:r>
                  <w:rPr>
                    <w:rFonts w:ascii="Arial"/>
                    <w:sz w:val="15"/>
                  </w:rPr>
                  <w:t>i</w:t>
                </w:r>
                <w:r>
                  <w:rPr>
                    <w:rFonts w:ascii="Arial"/>
                    <w:spacing w:val="-23"/>
                    <w:sz w:val="15"/>
                  </w:rPr>
                  <w:t> </w:t>
                </w:r>
                <w:r>
                  <w:rPr>
                    <w:rFonts w:ascii="Arial"/>
                    <w:sz w:val="15"/>
                  </w:rPr>
                  <w:t>j</w:t>
                </w:r>
                <w:r>
                  <w:rPr>
                    <w:rFonts w:ascii="Arial"/>
                    <w:spacing w:val="-21"/>
                    <w:sz w:val="15"/>
                  </w:rPr>
                  <w:t> </w:t>
                </w:r>
                <w:r>
                  <w:rPr>
                    <w:rFonts w:ascii="Arial"/>
                    <w:sz w:val="15"/>
                  </w:rPr>
                  <w:t>i</w:t>
                </w:r>
                <w:r>
                  <w:rPr>
                    <w:rFonts w:ascii="Arial"/>
                    <w:spacing w:val="-23"/>
                    <w:sz w:val="15"/>
                  </w:rPr>
                  <w:t> </w:t>
                </w:r>
                <w:r>
                  <w:rPr>
                    <w:rFonts w:ascii="Arial"/>
                    <w:sz w:val="15"/>
                  </w:rPr>
                  <w:t>n</w:t>
                </w:r>
                <w:r>
                  <w:rPr>
                    <w:rFonts w:ascii="Arial"/>
                    <w:spacing w:val="-23"/>
                    <w:sz w:val="15"/>
                  </w:rPr>
                  <w:t> </w:t>
                </w:r>
                <w:r>
                  <w:rPr>
                    <w:rFonts w:ascii="Arial"/>
                    <w:spacing w:val="8"/>
                    <w:sz w:val="15"/>
                  </w:rPr>
                  <w:t>g,</w:t>
                </w:r>
                <w:r>
                  <w:rPr>
                    <w:rFonts w:ascii="Arial"/>
                    <w:w w:val="100"/>
                    <w:sz w:val="15"/>
                  </w:rPr>
                  <w:t> </w:t>
                </w:r>
                <w:r>
                  <w:rPr>
                    <w:rFonts w:ascii="Arial"/>
                    <w:spacing w:val="10"/>
                    <w:sz w:val="15"/>
                  </w:rPr>
                  <w:t>100027, </w:t>
                </w:r>
                <w:r>
                  <w:rPr>
                    <w:rFonts w:ascii="Arial"/>
                    <w:spacing w:val="6"/>
                    <w:sz w:val="15"/>
                  </w:rPr>
                  <w:t>P. </w:t>
                </w:r>
                <w:r>
                  <w:rPr>
                    <w:rFonts w:ascii="Arial"/>
                    <w:spacing w:val="4"/>
                    <w:sz w:val="15"/>
                  </w:rPr>
                  <w:t>R.</w:t>
                </w:r>
                <w:r>
                  <w:rPr>
                    <w:rFonts w:ascii="Arial"/>
                    <w:spacing w:val="-16"/>
                    <w:sz w:val="15"/>
                  </w:rPr>
                  <w:t> </w:t>
                </w:r>
                <w:r>
                  <w:rPr>
                    <w:rFonts w:ascii="Arial"/>
                    <w:spacing w:val="9"/>
                    <w:sz w:val="15"/>
                  </w:rPr>
                  <w:t>China</w:t>
                </w:r>
              </w:p>
            </w:txbxContent>
          </v:textbox>
          <w10:wrap type="none"/>
        </v:shape>
      </w:pict>
    </w:r>
    <w:r>
      <w:rPr/>
      <w:pict>
        <v:shape style="position:absolute;margin-left:164.740005pt;margin-top:84.831413pt;width:121.55pt;height:27pt;mso-position-horizontal-relative:page;mso-position-vertical-relative:page;z-index:-1193080" type="#_x0000_t202" filled="false" stroked="false">
          <v:textbox inset="0,0,0,0">
            <w:txbxContent>
              <w:p>
                <w:pPr>
                  <w:spacing w:line="285" w:lineRule="exact" w:before="0"/>
                  <w:ind w:left="20" w:right="0" w:firstLine="0"/>
                  <w:jc w:val="lef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before="31"/>
                  <w:ind w:left="20" w:right="0" w:firstLine="0"/>
                  <w:jc w:val="left"/>
                  <w:rPr>
                    <w:rFonts w:ascii="Arial" w:hAnsi="Arial" w:cs="Arial" w:eastAsia="Arial" w:hint="default"/>
                    <w:sz w:val="18"/>
                    <w:szCs w:val="18"/>
                  </w:rPr>
                </w:pPr>
                <w:r>
                  <w:rPr>
                    <w:rFonts w:ascii="Arial"/>
                    <w:b/>
                    <w:sz w:val="18"/>
                  </w:rPr>
                  <w:t>certified public</w:t>
                </w:r>
                <w:r>
                  <w:rPr>
                    <w:rFonts w:ascii="Arial"/>
                    <w:b/>
                    <w:spacing w:val="-9"/>
                    <w:sz w:val="18"/>
                  </w:rPr>
                  <w:t> </w:t>
                </w:r>
                <w:r>
                  <w:rPr>
                    <w:rFonts w:ascii="Arial"/>
                    <w:b/>
                    <w:sz w:val="18"/>
                  </w:rPr>
                  <w:t>accountants</w:t>
                </w:r>
                <w:r>
                  <w:rPr>
                    <w:rFonts w:ascii="Arial"/>
                    <w:sz w:val="18"/>
                  </w:rPr>
                </w:r>
              </w:p>
            </w:txbxContent>
          </v:textbox>
          <w10:wrap type="none"/>
        </v:shape>
      </w:pict>
    </w:r>
    <w:r>
      <w:rPr/>
      <w:pict>
        <v:shape style="position:absolute;margin-left:434.070007pt;margin-top:92.603111pt;width:35.9pt;height:19.55pt;mso-position-horizontal-relative:page;mso-position-vertical-relative:page;z-index:-1193056" type="#_x0000_t202" filled="false" stroked="false">
          <v:textbox inset="0,0,0,0">
            <w:txbxContent>
              <w:p>
                <w:pPr>
                  <w:spacing w:line="182" w:lineRule="exact" w:before="0"/>
                  <w:ind w:left="20" w:right="0" w:firstLine="0"/>
                  <w:jc w:val="left"/>
                  <w:rPr>
                    <w:rFonts w:ascii="Arial" w:hAnsi="Arial" w:cs="Arial" w:eastAsia="Arial" w:hint="default"/>
                    <w:sz w:val="15"/>
                    <w:szCs w:val="15"/>
                  </w:rPr>
                </w:pPr>
                <w:r>
                  <w:rPr>
                    <w:rFonts w:ascii="宋体" w:hAnsi="宋体" w:cs="宋体" w:eastAsia="宋体" w:hint="default"/>
                    <w:sz w:val="15"/>
                    <w:szCs w:val="15"/>
                  </w:rPr>
                  <w:t>传真</w:t>
                </w:r>
                <w:r>
                  <w:rPr>
                    <w:rFonts w:ascii="Arial" w:hAnsi="Arial" w:cs="Arial" w:eastAsia="Arial" w:hint="default"/>
                    <w:sz w:val="15"/>
                    <w:szCs w:val="15"/>
                  </w:rPr>
                  <w:t>:</w:t>
                </w:r>
              </w:p>
              <w:p>
                <w:pPr>
                  <w:spacing w:before="19"/>
                  <w:ind w:left="72" w:right="0" w:firstLine="0"/>
                  <w:jc w:val="left"/>
                  <w:rPr>
                    <w:rFonts w:ascii="Arial" w:hAnsi="Arial" w:cs="Arial" w:eastAsia="Arial" w:hint="default"/>
                    <w:sz w:val="15"/>
                    <w:szCs w:val="15"/>
                  </w:rPr>
                </w:pPr>
                <w:r>
                  <w:rPr>
                    <w:rFonts w:ascii="Arial"/>
                    <w:sz w:val="15"/>
                  </w:rPr>
                  <w:t>facsimile:</w:t>
                </w:r>
              </w:p>
            </w:txbxContent>
          </v:textbox>
          <w10:wrap type="none"/>
        </v:shape>
      </w:pict>
    </w:r>
    <w:r>
      <w:rPr/>
      <w:pict>
        <v:shape style="position:absolute;margin-left:481.380005pt;margin-top:92.974007pt;width:67.8pt;height:19.2pt;mso-position-horizontal-relative:page;mso-position-vertical-relative:page;z-index:-1193032" type="#_x0000_t202" filled="false" stroked="false">
          <v:textbox inset="0,0,0,0">
            <w:txbxContent>
              <w:p>
                <w:pPr>
                  <w:spacing w:before="2"/>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7190</w:t>
                </w:r>
              </w:p>
              <w:p>
                <w:pPr>
                  <w:spacing w:before="19"/>
                  <w:ind w:left="20" w:right="0" w:firstLine="0"/>
                  <w:jc w:val="left"/>
                  <w:rPr>
                    <w:rFonts w:ascii="Arial" w:hAnsi="Arial" w:cs="Arial" w:eastAsia="Arial" w:hint="default"/>
                    <w:sz w:val="15"/>
                    <w:szCs w:val="15"/>
                  </w:rPr>
                </w:pPr>
                <w:r>
                  <w:rPr>
                    <w:rFonts w:ascii="Arial"/>
                    <w:sz w:val="15"/>
                  </w:rPr>
                  <w:t>+86(010)6554</w:t>
                </w:r>
                <w:r>
                  <w:rPr>
                    <w:rFonts w:ascii="Arial"/>
                    <w:spacing w:val="-1"/>
                    <w:sz w:val="15"/>
                  </w:rPr>
                  <w:t> </w:t>
                </w:r>
                <w:r>
                  <w:rPr>
                    <w:rFonts w:ascii="Arial"/>
                    <w:sz w:val="15"/>
                  </w:rPr>
                  <w:t>7190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47"/>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spacing w:before="14"/>
      <w:outlineLvl w:val="3"/>
    </w:pPr>
    <w:rPr>
      <w:rFonts w:ascii="黑体" w:hAnsi="黑体" w:eastAsia="黑体"/>
      <w:sz w:val="28"/>
      <w:szCs w:val="28"/>
    </w:rPr>
  </w:style>
  <w:style w:styleId="Heading4" w:type="paragraph">
    <w:name w:val="Heading 4"/>
    <w:basedOn w:val="Normal"/>
    <w:uiPriority w:val="1"/>
    <w:qFormat/>
    <w:pPr>
      <w:spacing w:before="112"/>
      <w:outlineLvl w:val="4"/>
    </w:pPr>
    <w:rPr>
      <w:rFonts w:ascii="黑体" w:hAnsi="黑体" w:eastAsia="黑体"/>
      <w:sz w:val="26"/>
      <w:szCs w:val="26"/>
    </w:rPr>
  </w:style>
  <w:style w:styleId="Heading5" w:type="paragraph">
    <w:name w:val="Heading 5"/>
    <w:basedOn w:val="Normal"/>
    <w:uiPriority w:val="1"/>
    <w:qFormat/>
    <w:pPr>
      <w:ind w:left="152"/>
      <w:outlineLvl w:val="5"/>
    </w:pPr>
    <w:rPr>
      <w:rFonts w:ascii="宋体" w:hAnsi="宋体" w:eastAsia="宋体"/>
      <w:b/>
      <w:bCs/>
      <w:sz w:val="24"/>
      <w:szCs w:val="24"/>
    </w:rPr>
  </w:style>
  <w:style w:styleId="Heading6" w:type="paragraph">
    <w:name w:val="Heading 6"/>
    <w:basedOn w:val="Normal"/>
    <w:uiPriority w:val="1"/>
    <w:qFormat/>
    <w:pPr>
      <w:ind w:left="20"/>
      <w:outlineLvl w:val="6"/>
    </w:pPr>
    <w:rPr>
      <w:rFonts w:ascii="宋体" w:hAnsi="宋体" w:eastAsia="宋体"/>
      <w:b/>
      <w:bCs/>
      <w:sz w:val="22"/>
      <w:szCs w:val="22"/>
    </w:rPr>
  </w:style>
  <w:style w:styleId="Heading7" w:type="paragraph">
    <w:name w:val="Heading 7"/>
    <w:basedOn w:val="Normal"/>
    <w:uiPriority w:val="1"/>
    <w:qFormat/>
    <w:pPr>
      <w:spacing w:before="32"/>
      <w:ind w:left="120"/>
      <w:outlineLvl w:val="7"/>
    </w:pPr>
    <w:rPr>
      <w:rFonts w:ascii="宋体" w:hAnsi="宋体" w:eastAsia="宋体"/>
      <w:sz w:val="22"/>
      <w:szCs w:val="22"/>
    </w:rPr>
  </w:style>
  <w:style w:styleId="Heading8" w:type="paragraph">
    <w:name w:val="Heading 8"/>
    <w:basedOn w:val="Normal"/>
    <w:uiPriority w:val="1"/>
    <w:qFormat/>
    <w:pPr>
      <w:ind w:left="152"/>
      <w:outlineLvl w:val="8"/>
    </w:pPr>
    <w:rPr>
      <w:rFonts w:ascii="宋体" w:hAnsi="宋体" w:eastAsia="宋体"/>
      <w:b/>
      <w:bCs/>
      <w:sz w:val="21"/>
      <w:szCs w:val="21"/>
    </w:rPr>
  </w:style>
  <w:style w:styleId="Heading9" w:type="paragraph">
    <w:name w:val="Heading 9"/>
    <w:basedOn w:val="Normal"/>
    <w:uiPriority w:val="1"/>
    <w:qFormat/>
    <w:pPr>
      <w:outlineLvl w:val="9"/>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cninfo.com.cn/" TargetMode="External"/><Relationship Id="rId9" Type="http://schemas.openxmlformats.org/officeDocument/2006/relationships/hyperlink" Target="http://www.greatwall.cn/" TargetMode="External"/><Relationship Id="rId10" Type="http://schemas.openxmlformats.org/officeDocument/2006/relationships/hyperlink" Target="mailto:stock@greatwall.com.cn" TargetMode="External"/><Relationship Id="rId11" Type="http://schemas.openxmlformats.org/officeDocument/2006/relationships/hyperlink" Target="http://www.hkexnews.hk/"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footer" Target="foot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header" Target="header7.xml"/><Relationship Id="rId28" Type="http://schemas.openxmlformats.org/officeDocument/2006/relationships/footer" Target="footer8.xml"/><Relationship Id="rId29" Type="http://schemas.openxmlformats.org/officeDocument/2006/relationships/header" Target="header8.xml"/><Relationship Id="rId30" Type="http://schemas.openxmlformats.org/officeDocument/2006/relationships/footer" Target="footer9.xml"/><Relationship Id="rId31" Type="http://schemas.openxmlformats.org/officeDocument/2006/relationships/header" Target="header9.xml"/><Relationship Id="rId32" Type="http://schemas.openxmlformats.org/officeDocument/2006/relationships/footer" Target="footer10.xml"/><Relationship Id="rId33" Type="http://schemas.openxmlformats.org/officeDocument/2006/relationships/header" Target="header10.xml"/><Relationship Id="rId34" Type="http://schemas.openxmlformats.org/officeDocument/2006/relationships/footer" Target="footer11.xml"/><Relationship Id="rId35" Type="http://schemas.openxmlformats.org/officeDocument/2006/relationships/header" Target="header11.xml"/><Relationship Id="rId36" Type="http://schemas.openxmlformats.org/officeDocument/2006/relationships/footer" Target="footer12.xml"/><Relationship Id="rId37" Type="http://schemas.openxmlformats.org/officeDocument/2006/relationships/header" Target="header12.xml"/><Relationship Id="rId38" Type="http://schemas.openxmlformats.org/officeDocument/2006/relationships/footer" Target="footer13.xml"/><Relationship Id="rId39" Type="http://schemas.openxmlformats.org/officeDocument/2006/relationships/header" Target="header13.xml"/><Relationship Id="rId40" Type="http://schemas.openxmlformats.org/officeDocument/2006/relationships/footer" Target="footer14.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header" Target="header16.xml"/><Relationship Id="rId46" Type="http://schemas.openxmlformats.org/officeDocument/2006/relationships/footer" Target="footer17.xml"/><Relationship Id="rId47" Type="http://schemas.openxmlformats.org/officeDocument/2006/relationships/header" Target="header17.xml"/><Relationship Id="rId48" Type="http://schemas.openxmlformats.org/officeDocument/2006/relationships/footer" Target="footer18.xml"/><Relationship Id="rId49" Type="http://schemas.openxmlformats.org/officeDocument/2006/relationships/header" Target="header18.xml"/><Relationship Id="rId50" Type="http://schemas.openxmlformats.org/officeDocument/2006/relationships/footer" Target="footer19.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20.xml"/><Relationship Id="rId54" Type="http://schemas.openxmlformats.org/officeDocument/2006/relationships/header" Target="header21.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header" Target="header22.xml"/><Relationship Id="rId58" Type="http://schemas.openxmlformats.org/officeDocument/2006/relationships/footer" Target="footer23.xml"/><Relationship Id="rId59" Type="http://schemas.openxmlformats.org/officeDocument/2006/relationships/header" Target="header23.xml"/><Relationship Id="rId60" Type="http://schemas.openxmlformats.org/officeDocument/2006/relationships/footer" Target="footer24.xml"/><Relationship Id="rId61" Type="http://schemas.openxmlformats.org/officeDocument/2006/relationships/header" Target="header24.xml"/><Relationship Id="rId62" Type="http://schemas.openxmlformats.org/officeDocument/2006/relationships/footer" Target="footer25.xml"/><Relationship Id="rId63" Type="http://schemas.openxmlformats.org/officeDocument/2006/relationships/header" Target="header25.xml"/><Relationship Id="rId64" Type="http://schemas.openxmlformats.org/officeDocument/2006/relationships/footer" Target="footer26.xml"/><Relationship Id="rId65" Type="http://schemas.openxmlformats.org/officeDocument/2006/relationships/header" Target="header26.xml"/><Relationship Id="rId66" Type="http://schemas.openxmlformats.org/officeDocument/2006/relationships/footer" Target="footer27.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footer" Target="footer30.xml"/><Relationship Id="rId70" Type="http://schemas.openxmlformats.org/officeDocument/2006/relationships/header" Target="header27.xml"/><Relationship Id="rId71" Type="http://schemas.openxmlformats.org/officeDocument/2006/relationships/footer" Target="footer31.xml"/><Relationship Id="rId72" Type="http://schemas.openxmlformats.org/officeDocument/2006/relationships/footer" Target="footer32.xml"/><Relationship Id="rId73" Type="http://schemas.openxmlformats.org/officeDocument/2006/relationships/footer" Target="footer33.xml"/><Relationship Id="rId74" Type="http://schemas.openxmlformats.org/officeDocument/2006/relationships/footer" Target="footer34.xml"/><Relationship Id="rId75" Type="http://schemas.openxmlformats.org/officeDocument/2006/relationships/header" Target="header28.xml"/><Relationship Id="rId76" Type="http://schemas.openxmlformats.org/officeDocument/2006/relationships/footer" Target="footer35.xml"/><Relationship Id="rId77" Type="http://schemas.openxmlformats.org/officeDocument/2006/relationships/header" Target="header29.xml"/><Relationship Id="rId78" Type="http://schemas.openxmlformats.org/officeDocument/2006/relationships/footer" Target="footer36.xml"/><Relationship Id="rId79" Type="http://schemas.openxmlformats.org/officeDocument/2006/relationships/footer" Target="footer37.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中国长城计算机深圳股份有限公司</dc:creator>
  <dc:title>中国长城计算机深圳股份有限公司2015年年度报告全文</dc:title>
  <dcterms:created xsi:type="dcterms:W3CDTF">2020-05-04T09:40:25Z</dcterms:created>
  <dcterms:modified xsi:type="dcterms:W3CDTF">2020-05-04T09:40:25Z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2016-04-28T00:00:00Z</vt:filetime>
  </property>
  <property fmtid="{D5CDD505-2E9C-101B-9397-08002B2CF9AE}" pid="3" name="Creator">
    <vt:lpwstr>Microsoft® Office Word 2007</vt:lpwstr>
  </property>
  <property fmtid="{D5CDD505-2E9C-101B-9397-08002B2CF9AE}" pid="4" name="LastSaved">
    <vt:filetime>2020-05-04T00:00:00Z</vt:filetime>
  </property>
</Properties>
</file>